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sz w:val="1"/>
          <w:szCs w:val="1"/>
          <w:color w:val="auto"/>
        </w:rPr>
        <w:drawing>
          <wp:inline distT="0" distB="0" distL="0" distR="0">
            <wp:extent cx="203200" cy="600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00" cy="600075"/>
                    </a:xfrm>
                    <a:prstGeom prst="rect">
                      <a:avLst/>
                    </a:prstGeom>
                    <a:noFill/>
                    <a:ln>
                      <a:noFill/>
                    </a:ln>
                  </pic:spPr>
                </pic:pic>
              </a:graphicData>
            </a:graphic>
          </wp:inline>
        </w:drawing>
        <w:drawing>
          <wp:inline distT="0" distB="0" distL="0" distR="0">
            <wp:extent cx="1719580" cy="4006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9580" cy="400685"/>
                    </a:xfrm>
                    <a:prstGeom prst="rect">
                      <a:avLst/>
                    </a:prstGeom>
                    <a:noFill/>
                    <a:ln>
                      <a:noFill/>
                    </a:ln>
                  </pic:spPr>
                </pic:pic>
              </a:graphicData>
            </a:graphic>
          </wp:inline>
        </w:drawing>
        <w:drawing>
          <wp:inline distT="0" distB="0" distL="0" distR="0">
            <wp:extent cx="85090" cy="308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090" cy="308610"/>
                    </a:xfrm>
                    <a:prstGeom prst="rect">
                      <a:avLst/>
                    </a:prstGeom>
                    <a:noFill/>
                    <a:ln>
                      <a:noFill/>
                    </a:ln>
                  </pic:spPr>
                </pic:pic>
              </a:graphicData>
            </a:graphic>
          </wp:inline>
        </w:drawing>
      </w:r>
      <w:r>
        <w:rPr>
          <w:rFonts w:ascii="Arial" w:cs="Arial" w:eastAsia="Arial" w:hAnsi="Arial"/>
          <w:sz w:val="103"/>
          <w:szCs w:val="103"/>
          <w:color w:val="7AD2F7"/>
          <w:shd w:val="clear" w:color="auto" w:fill="121A2F"/>
        </w:rPr>
        <w:t>2025</w:t>
      </w:r>
      <w:r>
        <w:rPr>
          <w:sz w:val="1"/>
          <w:szCs w:val="1"/>
          <w:color w:val="auto"/>
        </w:rPr>
        <w:drawing>
          <wp:inline distT="0" distB="0" distL="0" distR="0">
            <wp:extent cx="889000" cy="18707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00" cy="1870710"/>
                    </a:xfrm>
                    <a:prstGeom prst="rect">
                      <a:avLst/>
                    </a:prstGeom>
                    <a:noFill/>
                    <a:ln>
                      <a:noFill/>
                    </a:ln>
                  </pic:spPr>
                </pic:pic>
              </a:graphicData>
            </a:graphic>
          </wp:inline>
        </w:drawing>
      </w:r>
    </w:p>
    <w:p>
      <w:pPr>
        <w:sectPr>
          <w:pgSz w:w="11880" w:h="15675" w:orient="portrait"/>
          <w:cols w:equalWidth="0" w:num="1">
            <w:col w:w="11360"/>
          </w:cols>
          <w:pgMar w:left="0" w:top="1440" w:right="520" w:bottom="0" w:gutter="0" w:footer="0" w:header="0"/>
        </w:sectPr>
      </w:pPr>
    </w:p>
    <w:p>
      <w:pPr>
        <w:spacing w:after="0" w:line="27" w:lineRule="exact"/>
        <w:rPr>
          <w:sz w:val="24"/>
          <w:szCs w:val="24"/>
          <w:color w:val="auto"/>
        </w:rPr>
      </w:pPr>
    </w:p>
    <w:p>
      <w:pPr>
        <w:ind w:left="1340" w:firstLine="16"/>
        <w:spacing w:after="0" w:line="239" w:lineRule="auto"/>
        <w:rPr>
          <w:sz w:val="20"/>
          <w:szCs w:val="20"/>
          <w:color w:val="auto"/>
        </w:rPr>
      </w:pPr>
      <w:r>
        <w:rPr>
          <w:rFonts w:ascii="Arial" w:cs="Arial" w:eastAsia="Arial" w:hAnsi="Arial"/>
          <w:sz w:val="116"/>
          <w:szCs w:val="116"/>
          <w:color w:val="FFFFFF"/>
          <w:shd w:val="clear" w:color="auto" w:fill="1B2642"/>
        </w:rPr>
        <w:t xml:space="preserve">ANNUAL REPORT </w:t>
      </w:r>
      <w:r>
        <w:rPr>
          <w:sz w:val="1"/>
          <w:szCs w:val="1"/>
          <w:color w:val="auto"/>
        </w:rPr>
        <w:drawing>
          <wp:inline distT="0" distB="0" distL="0" distR="0">
            <wp:extent cx="1558925" cy="1906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8925" cy="1906270"/>
                    </a:xfrm>
                    <a:prstGeom prst="rect">
                      <a:avLst/>
                    </a:prstGeom>
                    <a:noFill/>
                    <a:ln>
                      <a:noFill/>
                    </a:ln>
                  </pic:spPr>
                </pic:pic>
              </a:graphicData>
            </a:graphic>
          </wp:inline>
        </w:drawing>
        <w:drawing>
          <wp:inline distT="0" distB="0" distL="0" distR="0">
            <wp:extent cx="951865" cy="10788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865" cy="1078865"/>
                    </a:xfrm>
                    <a:prstGeom prst="rect">
                      <a:avLst/>
                    </a:prstGeom>
                    <a:noFill/>
                    <a:ln>
                      <a:noFill/>
                    </a:ln>
                  </pic:spPr>
                </pic:pic>
              </a:graphicData>
            </a:graphic>
          </wp:inline>
        </w:drawing>
      </w:r>
    </w:p>
    <w:p>
      <w:pPr>
        <w:sectPr>
          <w:pgSz w:w="11880" w:h="15675" w:orient="portrait"/>
          <w:cols w:equalWidth="0" w:num="1">
            <w:col w:w="11360"/>
          </w:cols>
          <w:pgMar w:left="0" w:top="1440" w:right="520" w:bottom="0" w:gutter="0" w:footer="0" w:header="0"/>
          <w:type w:val="continuous"/>
        </w:sectPr>
      </w:pPr>
    </w:p>
    <w:bookmarkStart w:id="1" w:name="page2"/>
    <w:bookmarkEnd w:id="1"/>
    <w:p>
      <w:pPr>
        <w:ind w:left="720"/>
        <w:spacing w:after="0"/>
        <w:rPr>
          <w:sz w:val="20"/>
          <w:szCs w:val="20"/>
          <w:color w:val="auto"/>
        </w:rPr>
      </w:pPr>
      <w:r>
        <w:rPr>
          <w:rFonts w:ascii="Arial" w:cs="Arial" w:eastAsia="Arial" w:hAnsi="Arial"/>
          <w:sz w:val="70"/>
          <w:szCs w:val="70"/>
          <w:color w:val="102349"/>
        </w:rPr>
        <w:t>FINANCIAL &amp; OPERATIONAL</w:t>
      </w:r>
    </w:p>
    <w:p>
      <w:pPr>
        <w:ind w:left="660"/>
        <w:spacing w:after="0" w:line="192" w:lineRule="auto"/>
        <w:rPr>
          <w:sz w:val="20"/>
          <w:szCs w:val="20"/>
          <w:color w:val="auto"/>
        </w:rPr>
      </w:pPr>
      <w:r>
        <w:rPr>
          <w:rFonts w:ascii="Arial" w:cs="Arial" w:eastAsia="Arial" w:hAnsi="Arial"/>
          <w:sz w:val="161"/>
          <w:szCs w:val="161"/>
          <w:color w:val="102349"/>
        </w:rPr>
        <w:t>HIGHLIGHTS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780" w:type="dxa"/>
            <w:vAlign w:val="bottom"/>
          </w:tcPr>
          <w:p>
            <w:pPr>
              <w:spacing w:after="0"/>
              <w:rPr>
                <w:sz w:val="24"/>
                <w:szCs w:val="24"/>
                <w:color w:val="auto"/>
              </w:rPr>
            </w:pPr>
          </w:p>
        </w:tc>
        <w:tc>
          <w:tcPr>
            <w:tcW w:w="5580" w:type="dxa"/>
            <w:vAlign w:val="bottom"/>
            <w:tcBorders>
              <w:bottom w:val="single" w:sz="8" w:color="102349"/>
            </w:tcBorders>
            <w:shd w:val="clear" w:color="auto" w:fill="102349"/>
          </w:tcPr>
          <w:p>
            <w:pPr>
              <w:ind w:left="80"/>
              <w:spacing w:after="0"/>
              <w:rPr>
                <w:sz w:val="20"/>
                <w:szCs w:val="20"/>
                <w:color w:val="auto"/>
              </w:rPr>
            </w:pPr>
            <w:r>
              <w:rPr>
                <w:rFonts w:ascii="Arial" w:cs="Arial" w:eastAsia="Arial" w:hAnsi="Arial"/>
                <w:sz w:val="22"/>
                <w:szCs w:val="22"/>
                <w:color w:val="7AD2F7"/>
              </w:rPr>
              <w:t>FINANCIAL HIGHLIGHTS</w:t>
            </w:r>
          </w:p>
        </w:tc>
        <w:tc>
          <w:tcPr>
            <w:tcW w:w="600" w:type="dxa"/>
            <w:vAlign w:val="bottom"/>
            <w:tcBorders>
              <w:bottom w:val="single" w:sz="8" w:color="102349"/>
            </w:tcBorders>
            <w:shd w:val="clear" w:color="auto" w:fill="102349"/>
          </w:tcPr>
          <w:p>
            <w:pPr>
              <w:spacing w:after="0"/>
              <w:rPr>
                <w:sz w:val="24"/>
                <w:szCs w:val="24"/>
                <w:color w:val="auto"/>
              </w:rPr>
            </w:pPr>
          </w:p>
        </w:tc>
        <w:tc>
          <w:tcPr>
            <w:tcW w:w="960" w:type="dxa"/>
            <w:vAlign w:val="bottom"/>
            <w:tcBorders>
              <w:bottom w:val="single" w:sz="8" w:color="102349"/>
            </w:tcBorders>
            <w:shd w:val="clear" w:color="auto" w:fill="102349"/>
          </w:tcPr>
          <w:p>
            <w:pPr>
              <w:jc w:val="right"/>
              <w:ind w:right="239"/>
              <w:spacing w:after="0"/>
              <w:rPr>
                <w:sz w:val="20"/>
                <w:szCs w:val="20"/>
                <w:color w:val="auto"/>
              </w:rPr>
            </w:pPr>
            <w:r>
              <w:rPr>
                <w:rFonts w:ascii="Arial" w:cs="Arial" w:eastAsia="Arial" w:hAnsi="Arial"/>
                <w:sz w:val="22"/>
                <w:szCs w:val="22"/>
                <w:color w:val="7AD2F7"/>
              </w:rPr>
              <w:t>2025</w:t>
            </w:r>
          </w:p>
        </w:tc>
        <w:tc>
          <w:tcPr>
            <w:tcW w:w="600" w:type="dxa"/>
            <w:vAlign w:val="bottom"/>
            <w:tcBorders>
              <w:bottom w:val="single" w:sz="8" w:color="102349"/>
            </w:tcBorders>
            <w:shd w:val="clear" w:color="auto" w:fill="102349"/>
          </w:tcPr>
          <w:p>
            <w:pPr>
              <w:spacing w:after="0"/>
              <w:rPr>
                <w:sz w:val="24"/>
                <w:szCs w:val="24"/>
                <w:color w:val="auto"/>
              </w:rPr>
            </w:pPr>
          </w:p>
        </w:tc>
        <w:tc>
          <w:tcPr>
            <w:tcW w:w="940" w:type="dxa"/>
            <w:vAlign w:val="bottom"/>
            <w:tcBorders>
              <w:bottom w:val="single" w:sz="8" w:color="102349"/>
            </w:tcBorders>
            <w:shd w:val="clear" w:color="auto" w:fill="102349"/>
          </w:tcPr>
          <w:p>
            <w:pPr>
              <w:jc w:val="right"/>
              <w:ind w:right="219"/>
              <w:spacing w:after="0"/>
              <w:rPr>
                <w:sz w:val="20"/>
                <w:szCs w:val="20"/>
                <w:color w:val="auto"/>
              </w:rPr>
            </w:pPr>
            <w:r>
              <w:rPr>
                <w:rFonts w:ascii="Arial" w:cs="Arial" w:eastAsia="Arial" w:hAnsi="Arial"/>
                <w:sz w:val="22"/>
                <w:szCs w:val="22"/>
                <w:color w:val="7AD2F7"/>
              </w:rPr>
              <w:t>2024</w:t>
            </w:r>
          </w:p>
        </w:tc>
        <w:tc>
          <w:tcPr>
            <w:tcW w:w="560" w:type="dxa"/>
            <w:vAlign w:val="bottom"/>
            <w:tcBorders>
              <w:bottom w:val="single" w:sz="8" w:color="102349"/>
            </w:tcBorders>
            <w:shd w:val="clear" w:color="auto" w:fill="102349"/>
          </w:tcPr>
          <w:p>
            <w:pPr>
              <w:spacing w:after="0"/>
              <w:rPr>
                <w:sz w:val="24"/>
                <w:szCs w:val="24"/>
                <w:color w:val="auto"/>
              </w:rPr>
            </w:pPr>
          </w:p>
        </w:tc>
        <w:tc>
          <w:tcPr>
            <w:tcW w:w="720" w:type="dxa"/>
            <w:vAlign w:val="bottom"/>
            <w:tcBorders>
              <w:bottom w:val="single" w:sz="8" w:color="102349"/>
            </w:tcBorders>
            <w:shd w:val="clear" w:color="auto" w:fill="102349"/>
          </w:tcPr>
          <w:p>
            <w:pPr>
              <w:jc w:val="right"/>
              <w:spacing w:after="0"/>
              <w:rPr>
                <w:sz w:val="20"/>
                <w:szCs w:val="20"/>
                <w:color w:val="auto"/>
              </w:rPr>
            </w:pPr>
            <w:r>
              <w:rPr>
                <w:rFonts w:ascii="Arial" w:cs="Arial" w:eastAsia="Arial" w:hAnsi="Arial"/>
                <w:sz w:val="22"/>
                <w:szCs w:val="22"/>
                <w:color w:val="7AD2F7"/>
              </w:rPr>
              <w:t>2023</w:t>
            </w:r>
          </w:p>
        </w:tc>
        <w:tc>
          <w:tcPr>
            <w:tcW w:w="0" w:type="dxa"/>
            <w:vAlign w:val="bottom"/>
          </w:tcPr>
          <w:p>
            <w:pPr>
              <w:spacing w:after="0"/>
              <w:rPr>
                <w:sz w:val="1"/>
                <w:szCs w:val="1"/>
                <w:color w:val="auto"/>
              </w:rPr>
            </w:pPr>
          </w:p>
        </w:tc>
      </w:tr>
      <w:tr>
        <w:trPr>
          <w:trHeight w:val="308"/>
        </w:trPr>
        <w:tc>
          <w:tcPr>
            <w:tcW w:w="780" w:type="dxa"/>
            <w:vAlign w:val="bottom"/>
          </w:tcPr>
          <w:p>
            <w:pPr>
              <w:spacing w:after="0"/>
              <w:rPr>
                <w:sz w:val="24"/>
                <w:szCs w:val="24"/>
                <w:color w:val="auto"/>
              </w:rPr>
            </w:pPr>
          </w:p>
        </w:tc>
        <w:tc>
          <w:tcPr>
            <w:tcW w:w="7740" w:type="dxa"/>
            <w:vAlign w:val="bottom"/>
            <w:gridSpan w:val="4"/>
          </w:tcPr>
          <w:p>
            <w:pPr>
              <w:ind w:left="80"/>
              <w:spacing w:after="0"/>
              <w:rPr>
                <w:sz w:val="20"/>
                <w:szCs w:val="20"/>
                <w:color w:val="auto"/>
              </w:rPr>
            </w:pPr>
            <w:r>
              <w:rPr>
                <w:rFonts w:ascii="Arial" w:cs="Arial" w:eastAsia="Arial" w:hAnsi="Arial"/>
                <w:sz w:val="20"/>
                <w:szCs w:val="20"/>
                <w:color w:val="404041"/>
                <w:w w:val="79"/>
              </w:rPr>
              <w:t>Dollar amounts in millions, except share and per-share amounts, as of and for the years ended December 31</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3"/>
                <w:szCs w:val="23"/>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Total Operating Revenues</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3,669</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3,198</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2,801</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Net Income</w:t>
            </w:r>
          </w:p>
        </w:tc>
        <w:tc>
          <w:tcPr>
            <w:tcW w:w="600" w:type="dxa"/>
            <w:vAlign w:val="bottom"/>
          </w:tcPr>
          <w:p>
            <w:pPr>
              <w:jc w:val="right"/>
              <w:ind w:right="40"/>
              <w:spacing w:after="0" w:line="200" w:lineRule="exact"/>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363</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376</w:t>
            </w:r>
          </w:p>
        </w:tc>
        <w:tc>
          <w:tcPr>
            <w:tcW w:w="56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564</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Adjusted Net Income</w:t>
            </w:r>
            <w:r>
              <w:rPr>
                <w:rFonts w:ascii="Arial" w:cs="Arial" w:eastAsia="Arial" w:hAnsi="Arial"/>
                <w:sz w:val="23"/>
                <w:szCs w:val="23"/>
                <w:color w:val="404041"/>
                <w:vertAlign w:val="superscript"/>
              </w:rPr>
              <w:t>(a)</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359</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317</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372</w:t>
            </w:r>
          </w:p>
        </w:tc>
        <w:tc>
          <w:tcPr>
            <w:tcW w:w="0" w:type="dxa"/>
            <w:vAlign w:val="bottom"/>
          </w:tcPr>
          <w:p>
            <w:pPr>
              <w:spacing w:after="0"/>
              <w:rPr>
                <w:sz w:val="1"/>
                <w:szCs w:val="1"/>
                <w:color w:val="auto"/>
              </w:rPr>
            </w:pPr>
          </w:p>
        </w:tc>
      </w:tr>
      <w:tr>
        <w:trPr>
          <w:trHeight w:val="316"/>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Net Income per Share – Diluted</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4.15</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4.62</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7.78</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Adjusted Net Income per Share – Diluted</w:t>
            </w:r>
            <w:r>
              <w:rPr>
                <w:rFonts w:ascii="Arial" w:cs="Arial" w:eastAsia="Arial" w:hAnsi="Arial"/>
                <w:sz w:val="23"/>
                <w:szCs w:val="23"/>
                <w:color w:val="404041"/>
                <w:vertAlign w:val="superscript"/>
              </w:rPr>
              <w:t>(a)</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4.11</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3.89</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5.13</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Net Cash Provided by Operating Activities</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865</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610</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653</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Capital Investments</w:t>
            </w:r>
          </w:p>
        </w:tc>
        <w:tc>
          <w:tcPr>
            <w:tcW w:w="600" w:type="dxa"/>
            <w:vAlign w:val="bottom"/>
          </w:tcPr>
          <w:p>
            <w:pPr>
              <w:jc w:val="right"/>
              <w:ind w:right="40"/>
              <w:spacing w:after="0" w:line="200" w:lineRule="exact"/>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322</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255</w:t>
            </w:r>
          </w:p>
        </w:tc>
        <w:tc>
          <w:tcPr>
            <w:tcW w:w="56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185</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Free Cash Flow</w:t>
            </w:r>
            <w:r>
              <w:rPr>
                <w:rFonts w:ascii="Arial" w:cs="Arial" w:eastAsia="Arial" w:hAnsi="Arial"/>
                <w:sz w:val="23"/>
                <w:szCs w:val="23"/>
                <w:color w:val="404041"/>
                <w:vertAlign w:val="superscript"/>
              </w:rPr>
              <w:t>(a)</w:t>
            </w:r>
          </w:p>
        </w:tc>
        <w:tc>
          <w:tcPr>
            <w:tcW w:w="600" w:type="dxa"/>
            <w:vAlign w:val="bottom"/>
          </w:tcPr>
          <w:p>
            <w:pPr>
              <w:jc w:val="right"/>
              <w:ind w:right="40"/>
              <w:spacing w:after="0" w:line="200" w:lineRule="exact"/>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543</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355</w:t>
            </w:r>
          </w:p>
        </w:tc>
        <w:tc>
          <w:tcPr>
            <w:tcW w:w="56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468</w:t>
            </w:r>
          </w:p>
        </w:tc>
        <w:tc>
          <w:tcPr>
            <w:tcW w:w="0" w:type="dxa"/>
            <w:vAlign w:val="bottom"/>
          </w:tcPr>
          <w:p>
            <w:pPr>
              <w:spacing w:after="0"/>
              <w:rPr>
                <w:sz w:val="1"/>
                <w:szCs w:val="1"/>
                <w:color w:val="auto"/>
              </w:rPr>
            </w:pPr>
          </w:p>
        </w:tc>
      </w:tr>
      <w:tr>
        <w:trPr>
          <w:trHeight w:val="259"/>
        </w:trPr>
        <w:tc>
          <w:tcPr>
            <w:tcW w:w="780" w:type="dxa"/>
            <w:vAlign w:val="bottom"/>
          </w:tcPr>
          <w:p>
            <w:pPr>
              <w:spacing w:after="0"/>
              <w:rPr>
                <w:sz w:val="22"/>
                <w:szCs w:val="22"/>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Net Cash Provided by (Used in) Financing Activities</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(380)</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343</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(289)</w:t>
            </w:r>
          </w:p>
        </w:tc>
        <w:tc>
          <w:tcPr>
            <w:tcW w:w="0" w:type="dxa"/>
            <w:vAlign w:val="bottom"/>
          </w:tcPr>
          <w:p>
            <w:pPr>
              <w:spacing w:after="0"/>
              <w:rPr>
                <w:sz w:val="1"/>
                <w:szCs w:val="1"/>
                <w:color w:val="auto"/>
              </w:rPr>
            </w:pPr>
          </w:p>
        </w:tc>
      </w:tr>
      <w:tr>
        <w:trPr>
          <w:trHeight w:val="301"/>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Total Assets</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7,403</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7,135</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3,998</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Long-Term Debt, Net</w:t>
            </w:r>
          </w:p>
        </w:tc>
        <w:tc>
          <w:tcPr>
            <w:tcW w:w="600" w:type="dxa"/>
            <w:vAlign w:val="bottom"/>
          </w:tcPr>
          <w:p>
            <w:pPr>
              <w:jc w:val="right"/>
              <w:ind w:right="40"/>
              <w:spacing w:after="0" w:line="200" w:lineRule="exact"/>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1,283</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1,132</w:t>
            </w:r>
          </w:p>
        </w:tc>
        <w:tc>
          <w:tcPr>
            <w:tcW w:w="56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540</w:t>
            </w:r>
          </w:p>
        </w:tc>
        <w:tc>
          <w:tcPr>
            <w:tcW w:w="0" w:type="dxa"/>
            <w:vAlign w:val="bottom"/>
          </w:tcPr>
          <w:p>
            <w:pPr>
              <w:spacing w:after="0"/>
              <w:rPr>
                <w:sz w:val="1"/>
                <w:szCs w:val="1"/>
                <w:color w:val="auto"/>
              </w:rPr>
            </w:pPr>
          </w:p>
        </w:tc>
      </w:tr>
      <w:tr>
        <w:trPr>
          <w:trHeight w:val="259"/>
        </w:trPr>
        <w:tc>
          <w:tcPr>
            <w:tcW w:w="780" w:type="dxa"/>
            <w:vAlign w:val="bottom"/>
          </w:tcPr>
          <w:p>
            <w:pPr>
              <w:spacing w:after="0"/>
              <w:rPr>
                <w:sz w:val="22"/>
                <w:szCs w:val="22"/>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Stockholders’ Equity</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3,674</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3,538</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2,219</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Weighted-Average Shares Outstanding - Diluted</w:t>
            </w:r>
          </w:p>
        </w:tc>
        <w:tc>
          <w:tcPr>
            <w:tcW w:w="60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87.4</w:t>
            </w:r>
          </w:p>
        </w:tc>
        <w:tc>
          <w:tcPr>
            <w:tcW w:w="60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81.4</w:t>
            </w: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404041"/>
              </w:rPr>
              <w:t>72.5</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Year-End Shares</w:t>
            </w:r>
          </w:p>
        </w:tc>
        <w:tc>
          <w:tcPr>
            <w:tcW w:w="600" w:type="dxa"/>
            <w:vAlign w:val="bottom"/>
          </w:tcPr>
          <w:p>
            <w:pPr>
              <w:spacing w:after="0"/>
              <w:rPr>
                <w:sz w:val="17"/>
                <w:szCs w:val="17"/>
                <w:color w:val="auto"/>
              </w:rPr>
            </w:pP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88.8</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91.1</w:t>
            </w:r>
          </w:p>
        </w:tc>
        <w:tc>
          <w:tcPr>
            <w:tcW w:w="5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68.7</w:t>
            </w:r>
          </w:p>
        </w:tc>
        <w:tc>
          <w:tcPr>
            <w:tcW w:w="0" w:type="dxa"/>
            <w:vAlign w:val="bottom"/>
          </w:tcPr>
          <w:p>
            <w:pPr>
              <w:spacing w:after="0"/>
              <w:rPr>
                <w:sz w:val="1"/>
                <w:szCs w:val="1"/>
                <w:color w:val="auto"/>
              </w:rPr>
            </w:pPr>
          </w:p>
        </w:tc>
      </w:tr>
      <w:tr>
        <w:trPr>
          <w:trHeight w:val="325"/>
        </w:trPr>
        <w:tc>
          <w:tcPr>
            <w:tcW w:w="780" w:type="dxa"/>
            <w:vAlign w:val="bottom"/>
          </w:tcPr>
          <w:p>
            <w:pPr>
              <w:spacing w:after="0"/>
              <w:rPr>
                <w:sz w:val="24"/>
                <w:szCs w:val="24"/>
                <w:color w:val="auto"/>
              </w:rPr>
            </w:pPr>
          </w:p>
        </w:tc>
        <w:tc>
          <w:tcPr>
            <w:tcW w:w="5580" w:type="dxa"/>
            <w:vAlign w:val="bottom"/>
            <w:textDirection w:val="btLr"/>
          </w:tcPr>
          <w:p>
            <w:pPr>
              <w:ind w:left="4704"/>
              <w:spacing w:after="0"/>
              <w:rPr>
                <w:sz w:val="20"/>
                <w:szCs w:val="20"/>
                <w:color w:val="auto"/>
              </w:rPr>
            </w:pPr>
            <w:r>
              <w:rPr>
                <w:rFonts w:ascii="Arial" w:cs="Arial" w:eastAsia="Arial" w:hAnsi="Arial"/>
                <w:sz w:val="21"/>
                <w:szCs w:val="21"/>
                <w:b w:val="1"/>
                <w:bCs w:val="1"/>
                <w:color w:val="C8C6D1"/>
                <w:w w:val="72"/>
              </w:rPr>
              <w:t>2025</w:t>
            </w:r>
          </w:p>
        </w:tc>
        <w:tc>
          <w:tcPr>
            <w:tcW w:w="600" w:type="dxa"/>
            <w:vAlign w:val="bottom"/>
          </w:tcPr>
          <w:p>
            <w:pPr>
              <w:spacing w:after="0"/>
              <w:rPr>
                <w:sz w:val="24"/>
                <w:szCs w:val="24"/>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22"/>
                <w:szCs w:val="22"/>
                <w:color w:val="7AD2F7"/>
              </w:rPr>
              <w:t>2025</w:t>
            </w:r>
          </w:p>
        </w:tc>
        <w:tc>
          <w:tcPr>
            <w:tcW w:w="600" w:type="dxa"/>
            <w:vAlign w:val="bottom"/>
          </w:tcPr>
          <w:p>
            <w:pPr>
              <w:spacing w:after="0"/>
              <w:rPr>
                <w:sz w:val="24"/>
                <w:szCs w:val="24"/>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22"/>
                <w:szCs w:val="22"/>
                <w:color w:val="7AD2F7"/>
              </w:rPr>
              <w:t>2024</w:t>
            </w:r>
          </w:p>
        </w:tc>
        <w:tc>
          <w:tcPr>
            <w:tcW w:w="5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22"/>
                <w:szCs w:val="22"/>
                <w:color w:val="7AD2F7"/>
              </w:rPr>
              <w:t>2023</w:t>
            </w:r>
          </w:p>
        </w:tc>
        <w:tc>
          <w:tcPr>
            <w:tcW w:w="0" w:type="dxa"/>
            <w:vAlign w:val="bottom"/>
          </w:tcPr>
          <w:p>
            <w:pPr>
              <w:spacing w:after="0"/>
              <w:rPr>
                <w:sz w:val="1"/>
                <w:szCs w:val="1"/>
                <w:color w:val="auto"/>
              </w:rPr>
            </w:pPr>
          </w:p>
        </w:tc>
      </w:tr>
      <w:tr>
        <w:trPr>
          <w:trHeight w:val="272"/>
        </w:trPr>
        <w:tc>
          <w:tcPr>
            <w:tcW w:w="780" w:type="dxa"/>
            <w:vAlign w:val="bottom"/>
          </w:tcPr>
          <w:p>
            <w:pPr>
              <w:spacing w:after="0"/>
              <w:rPr>
                <w:sz w:val="23"/>
                <w:szCs w:val="23"/>
                <w:color w:val="auto"/>
              </w:rPr>
            </w:pPr>
          </w:p>
        </w:tc>
        <w:tc>
          <w:tcPr>
            <w:tcW w:w="5580" w:type="dxa"/>
            <w:vAlign w:val="bottom"/>
          </w:tcPr>
          <w:p>
            <w:pPr>
              <w:ind w:left="80"/>
              <w:spacing w:after="0"/>
              <w:rPr>
                <w:sz w:val="20"/>
                <w:szCs w:val="20"/>
                <w:color w:val="auto"/>
              </w:rPr>
            </w:pPr>
            <w:r>
              <w:rPr>
                <w:rFonts w:ascii="Arial" w:cs="Arial" w:eastAsia="Arial" w:hAnsi="Arial"/>
                <w:sz w:val="22"/>
                <w:szCs w:val="22"/>
                <w:color w:val="7AD2F7"/>
              </w:rPr>
              <w:t>OPERATIONAL HIGHLIGHTS</w:t>
            </w:r>
          </w:p>
        </w:tc>
        <w:tc>
          <w:tcPr>
            <w:tcW w:w="60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Average Daily Net Production:</w:t>
            </w:r>
          </w:p>
        </w:tc>
        <w:tc>
          <w:tcPr>
            <w:tcW w:w="600" w:type="dxa"/>
            <w:vAlign w:val="bottom"/>
          </w:tcPr>
          <w:p>
            <w:pPr>
              <w:spacing w:after="0"/>
              <w:rPr>
                <w:sz w:val="24"/>
                <w:szCs w:val="24"/>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20"/>
                <w:szCs w:val="20"/>
                <w:color w:val="404041"/>
              </w:rPr>
              <w:t>109</w:t>
            </w:r>
          </w:p>
        </w:tc>
        <w:tc>
          <w:tcPr>
            <w:tcW w:w="600" w:type="dxa"/>
            <w:vAlign w:val="bottom"/>
          </w:tcPr>
          <w:p>
            <w:pPr>
              <w:spacing w:after="0"/>
              <w:rPr>
                <w:sz w:val="24"/>
                <w:szCs w:val="24"/>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20"/>
                <w:szCs w:val="20"/>
                <w:color w:val="404041"/>
              </w:rPr>
              <w:t>80</w:t>
            </w:r>
          </w:p>
        </w:tc>
        <w:tc>
          <w:tcPr>
            <w:tcW w:w="5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404041"/>
              </w:rPr>
              <w:t>52</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5580" w:type="dxa"/>
            <w:vAlign w:val="bottom"/>
          </w:tcPr>
          <w:p>
            <w:pPr>
              <w:ind w:left="80"/>
              <w:spacing w:after="0" w:line="208" w:lineRule="exact"/>
              <w:rPr>
                <w:sz w:val="20"/>
                <w:szCs w:val="20"/>
                <w:color w:val="auto"/>
              </w:rPr>
            </w:pPr>
            <w:r>
              <w:rPr>
                <w:rFonts w:ascii="Arial" w:cs="Arial" w:eastAsia="Arial" w:hAnsi="Arial"/>
                <w:sz w:val="20"/>
                <w:szCs w:val="20"/>
                <w:color w:val="404041"/>
              </w:rPr>
              <w:t>Oil (MBbl/d)</w:t>
            </w:r>
          </w:p>
        </w:tc>
        <w:tc>
          <w:tcPr>
            <w:tcW w:w="6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NGLs (MBbl/d)</w:t>
            </w:r>
          </w:p>
        </w:tc>
        <w:tc>
          <w:tcPr>
            <w:tcW w:w="600" w:type="dxa"/>
            <w:vAlign w:val="bottom"/>
          </w:tcPr>
          <w:p>
            <w:pPr>
              <w:spacing w:after="0"/>
              <w:rPr>
                <w:sz w:val="17"/>
                <w:szCs w:val="17"/>
                <w:color w:val="auto"/>
              </w:rPr>
            </w:pP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10</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10</w:t>
            </w:r>
          </w:p>
        </w:tc>
        <w:tc>
          <w:tcPr>
            <w:tcW w:w="5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11</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Natural Gas (MMcf/d)</w:t>
            </w:r>
          </w:p>
        </w:tc>
        <w:tc>
          <w:tcPr>
            <w:tcW w:w="600" w:type="dxa"/>
            <w:vAlign w:val="bottom"/>
          </w:tcPr>
          <w:p>
            <w:pPr>
              <w:spacing w:after="0"/>
              <w:rPr>
                <w:sz w:val="17"/>
                <w:szCs w:val="17"/>
                <w:color w:val="auto"/>
              </w:rPr>
            </w:pP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114</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117</w:t>
            </w:r>
          </w:p>
        </w:tc>
        <w:tc>
          <w:tcPr>
            <w:tcW w:w="5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135</w:t>
            </w: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Total (MBoe/d)</w:t>
            </w:r>
            <w:r>
              <w:rPr>
                <w:rFonts w:ascii="Arial" w:cs="Arial" w:eastAsia="Arial" w:hAnsi="Arial"/>
                <w:sz w:val="23"/>
                <w:szCs w:val="23"/>
                <w:color w:val="404041"/>
                <w:vertAlign w:val="superscript"/>
              </w:rPr>
              <w:t>(b)</w:t>
            </w:r>
          </w:p>
        </w:tc>
        <w:tc>
          <w:tcPr>
            <w:tcW w:w="60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138</w:t>
            </w:r>
          </w:p>
        </w:tc>
        <w:tc>
          <w:tcPr>
            <w:tcW w:w="60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110</w:t>
            </w: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404041"/>
              </w:rPr>
              <w:t>86</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5580" w:type="dxa"/>
            <w:vAlign w:val="bottom"/>
          </w:tcPr>
          <w:p>
            <w:pPr>
              <w:ind w:left="80"/>
              <w:spacing w:after="0" w:line="222" w:lineRule="exact"/>
              <w:rPr>
                <w:sz w:val="20"/>
                <w:szCs w:val="20"/>
                <w:color w:val="auto"/>
              </w:rPr>
            </w:pPr>
            <w:r>
              <w:rPr>
                <w:rFonts w:ascii="Arial" w:cs="Arial" w:eastAsia="Arial" w:hAnsi="Arial"/>
                <w:sz w:val="20"/>
                <w:szCs w:val="20"/>
                <w:color w:val="404041"/>
              </w:rPr>
              <w:t>Average Realized Prices:</w:t>
            </w:r>
          </w:p>
        </w:tc>
        <w:tc>
          <w:tcPr>
            <w:tcW w:w="600" w:type="dxa"/>
            <w:vAlign w:val="bottom"/>
            <w:vMerge w:val="restart"/>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vMerge w:val="restart"/>
          </w:tcPr>
          <w:p>
            <w:pPr>
              <w:jc w:val="right"/>
              <w:ind w:right="239"/>
              <w:spacing w:after="0"/>
              <w:rPr>
                <w:sz w:val="20"/>
                <w:szCs w:val="20"/>
                <w:color w:val="auto"/>
              </w:rPr>
            </w:pPr>
            <w:r>
              <w:rPr>
                <w:rFonts w:ascii="Arial" w:cs="Arial" w:eastAsia="Arial" w:hAnsi="Arial"/>
                <w:sz w:val="20"/>
                <w:szCs w:val="20"/>
                <w:color w:val="404041"/>
              </w:rPr>
              <w:t>67.51</w:t>
            </w:r>
          </w:p>
        </w:tc>
        <w:tc>
          <w:tcPr>
            <w:tcW w:w="600" w:type="dxa"/>
            <w:vAlign w:val="bottom"/>
            <w:vMerge w:val="restart"/>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vMerge w:val="restart"/>
          </w:tcPr>
          <w:p>
            <w:pPr>
              <w:jc w:val="right"/>
              <w:ind w:right="219"/>
              <w:spacing w:after="0"/>
              <w:rPr>
                <w:sz w:val="20"/>
                <w:szCs w:val="20"/>
                <w:color w:val="auto"/>
              </w:rPr>
            </w:pPr>
            <w:r>
              <w:rPr>
                <w:rFonts w:ascii="Arial" w:cs="Arial" w:eastAsia="Arial" w:hAnsi="Arial"/>
                <w:sz w:val="20"/>
                <w:szCs w:val="20"/>
                <w:color w:val="404041"/>
              </w:rPr>
              <w:t>75.66</w:t>
            </w:r>
          </w:p>
        </w:tc>
        <w:tc>
          <w:tcPr>
            <w:tcW w:w="560" w:type="dxa"/>
            <w:vAlign w:val="bottom"/>
            <w:vMerge w:val="restart"/>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vMerge w:val="restart"/>
          </w:tcPr>
          <w:p>
            <w:pPr>
              <w:jc w:val="right"/>
              <w:spacing w:after="0"/>
              <w:rPr>
                <w:sz w:val="20"/>
                <w:szCs w:val="20"/>
                <w:color w:val="auto"/>
              </w:rPr>
            </w:pPr>
            <w:r>
              <w:rPr>
                <w:rFonts w:ascii="Arial" w:cs="Arial" w:eastAsia="Arial" w:hAnsi="Arial"/>
                <w:sz w:val="20"/>
                <w:szCs w:val="20"/>
                <w:color w:val="404041"/>
              </w:rPr>
              <w:t>65.97</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Oil with hedge ($/Bbl)</w:t>
            </w:r>
          </w:p>
        </w:tc>
        <w:tc>
          <w:tcPr>
            <w:tcW w:w="6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Oil without hedge ($/Bbl)</w:t>
            </w:r>
          </w:p>
        </w:tc>
        <w:tc>
          <w:tcPr>
            <w:tcW w:w="600" w:type="dxa"/>
            <w:vAlign w:val="bottom"/>
          </w:tcPr>
          <w:p>
            <w:pPr>
              <w:jc w:val="right"/>
              <w:ind w:right="40"/>
              <w:spacing w:after="0" w:line="200" w:lineRule="exact"/>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66.52</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76.92</w:t>
            </w:r>
          </w:p>
        </w:tc>
        <w:tc>
          <w:tcPr>
            <w:tcW w:w="56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80.41</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NGLs ($/Bbl)</w:t>
            </w:r>
          </w:p>
        </w:tc>
        <w:tc>
          <w:tcPr>
            <w:tcW w:w="600" w:type="dxa"/>
            <w:vAlign w:val="bottom"/>
          </w:tcPr>
          <w:p>
            <w:pPr>
              <w:jc w:val="right"/>
              <w:ind w:right="40"/>
              <w:spacing w:after="0" w:line="200" w:lineRule="exact"/>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45.30</w:t>
            </w:r>
          </w:p>
        </w:tc>
        <w:tc>
          <w:tcPr>
            <w:tcW w:w="60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48.93</w:t>
            </w:r>
          </w:p>
        </w:tc>
        <w:tc>
          <w:tcPr>
            <w:tcW w:w="560" w:type="dxa"/>
            <w:vAlign w:val="bottom"/>
          </w:tcPr>
          <w:p>
            <w:pPr>
              <w:jc w:val="right"/>
              <w:ind w:right="60"/>
              <w:spacing w:after="0" w:line="200" w:lineRule="exact"/>
              <w:rPr>
                <w:sz w:val="20"/>
                <w:szCs w:val="20"/>
                <w:color w:val="auto"/>
              </w:rPr>
            </w:pPr>
            <w:r>
              <w:rPr>
                <w:rFonts w:ascii="Arial" w:cs="Arial" w:eastAsia="Arial" w:hAnsi="Arial"/>
                <w:sz w:val="20"/>
                <w:szCs w:val="20"/>
                <w:color w:val="404041"/>
              </w:rPr>
              <w:t>$</w:t>
            </w: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48.94</w:t>
            </w:r>
          </w:p>
        </w:tc>
        <w:tc>
          <w:tcPr>
            <w:tcW w:w="0" w:type="dxa"/>
            <w:vAlign w:val="bottom"/>
          </w:tcPr>
          <w:p>
            <w:pPr>
              <w:spacing w:after="0"/>
              <w:rPr>
                <w:sz w:val="1"/>
                <w:szCs w:val="1"/>
                <w:color w:val="auto"/>
              </w:rPr>
            </w:pPr>
          </w:p>
        </w:tc>
      </w:tr>
      <w:tr>
        <w:trPr>
          <w:trHeight w:val="259"/>
        </w:trPr>
        <w:tc>
          <w:tcPr>
            <w:tcW w:w="780" w:type="dxa"/>
            <w:vAlign w:val="bottom"/>
          </w:tcPr>
          <w:p>
            <w:pPr>
              <w:spacing w:after="0"/>
              <w:rPr>
                <w:sz w:val="22"/>
                <w:szCs w:val="22"/>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Natural Gas ($/Mcf)</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3.57</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2.99</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8.59</w:t>
            </w:r>
          </w:p>
        </w:tc>
        <w:tc>
          <w:tcPr>
            <w:tcW w:w="0" w:type="dxa"/>
            <w:vAlign w:val="bottom"/>
          </w:tcPr>
          <w:p>
            <w:pPr>
              <w:spacing w:after="0"/>
              <w:rPr>
                <w:sz w:val="1"/>
                <w:szCs w:val="1"/>
                <w:color w:val="auto"/>
              </w:rPr>
            </w:pPr>
          </w:p>
        </w:tc>
      </w:tr>
      <w:tr>
        <w:trPr>
          <w:trHeight w:val="301"/>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Proved Reserves:</w:t>
            </w:r>
          </w:p>
        </w:tc>
        <w:tc>
          <w:tcPr>
            <w:tcW w:w="600" w:type="dxa"/>
            <w:vAlign w:val="bottom"/>
          </w:tcPr>
          <w:p>
            <w:pPr>
              <w:spacing w:after="0"/>
              <w:rPr>
                <w:sz w:val="24"/>
                <w:szCs w:val="24"/>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20"/>
                <w:szCs w:val="20"/>
                <w:color w:val="404041"/>
              </w:rPr>
              <w:t>541</w:t>
            </w:r>
          </w:p>
        </w:tc>
        <w:tc>
          <w:tcPr>
            <w:tcW w:w="600" w:type="dxa"/>
            <w:vAlign w:val="bottom"/>
          </w:tcPr>
          <w:p>
            <w:pPr>
              <w:spacing w:after="0"/>
              <w:rPr>
                <w:sz w:val="24"/>
                <w:szCs w:val="24"/>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20"/>
                <w:szCs w:val="20"/>
                <w:color w:val="404041"/>
              </w:rPr>
              <w:t>443</w:t>
            </w:r>
          </w:p>
        </w:tc>
        <w:tc>
          <w:tcPr>
            <w:tcW w:w="5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20"/>
                <w:szCs w:val="20"/>
                <w:color w:val="404041"/>
              </w:rPr>
              <w:t>256</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Oil (MMBbl)</w:t>
            </w:r>
          </w:p>
        </w:tc>
        <w:tc>
          <w:tcPr>
            <w:tcW w:w="6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NGLs (MMBbl)</w:t>
            </w:r>
          </w:p>
        </w:tc>
        <w:tc>
          <w:tcPr>
            <w:tcW w:w="600" w:type="dxa"/>
            <w:vAlign w:val="bottom"/>
          </w:tcPr>
          <w:p>
            <w:pPr>
              <w:spacing w:after="0"/>
              <w:rPr>
                <w:sz w:val="17"/>
                <w:szCs w:val="17"/>
                <w:color w:val="auto"/>
              </w:rPr>
            </w:pP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37</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34</w:t>
            </w:r>
          </w:p>
        </w:tc>
        <w:tc>
          <w:tcPr>
            <w:tcW w:w="5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35</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Natural Gas (Bcf)</w:t>
            </w:r>
          </w:p>
        </w:tc>
        <w:tc>
          <w:tcPr>
            <w:tcW w:w="600" w:type="dxa"/>
            <w:vAlign w:val="bottom"/>
          </w:tcPr>
          <w:p>
            <w:pPr>
              <w:spacing w:after="0"/>
              <w:rPr>
                <w:sz w:val="17"/>
                <w:szCs w:val="17"/>
                <w:color w:val="auto"/>
              </w:rPr>
            </w:pP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455</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409</w:t>
            </w:r>
          </w:p>
        </w:tc>
        <w:tc>
          <w:tcPr>
            <w:tcW w:w="5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518</w:t>
            </w: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Total (MMBoe)</w:t>
            </w:r>
            <w:r>
              <w:rPr>
                <w:rFonts w:ascii="Arial" w:cs="Arial" w:eastAsia="Arial" w:hAnsi="Arial"/>
                <w:sz w:val="23"/>
                <w:szCs w:val="23"/>
                <w:color w:val="404041"/>
                <w:vertAlign w:val="superscript"/>
              </w:rPr>
              <w:t>(b)</w:t>
            </w:r>
          </w:p>
        </w:tc>
        <w:tc>
          <w:tcPr>
            <w:tcW w:w="60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654</w:t>
            </w:r>
          </w:p>
        </w:tc>
        <w:tc>
          <w:tcPr>
            <w:tcW w:w="60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545</w:t>
            </w: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404041"/>
              </w:rPr>
              <w:t>377</w:t>
            </w:r>
          </w:p>
        </w:tc>
        <w:tc>
          <w:tcPr>
            <w:tcW w:w="0" w:type="dxa"/>
            <w:vAlign w:val="bottom"/>
          </w:tcPr>
          <w:p>
            <w:pPr>
              <w:spacing w:after="0"/>
              <w:rPr>
                <w:sz w:val="1"/>
                <w:szCs w:val="1"/>
                <w:color w:val="auto"/>
              </w:rPr>
            </w:pPr>
          </w:p>
        </w:tc>
      </w:tr>
      <w:tr>
        <w:trPr>
          <w:trHeight w:val="256"/>
        </w:trPr>
        <w:tc>
          <w:tcPr>
            <w:tcW w:w="780" w:type="dxa"/>
            <w:vAlign w:val="bottom"/>
          </w:tcPr>
          <w:p>
            <w:pPr>
              <w:spacing w:after="0"/>
              <w:rPr>
                <w:sz w:val="22"/>
                <w:szCs w:val="22"/>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w w:val="85"/>
              </w:rPr>
              <w:t>Standardized Measure of Discounted Future Net Cash Flows (in billions)</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6.7</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6.7</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4.1</w:t>
            </w:r>
          </w:p>
        </w:tc>
        <w:tc>
          <w:tcPr>
            <w:tcW w:w="0" w:type="dxa"/>
            <w:vAlign w:val="bottom"/>
          </w:tcPr>
          <w:p>
            <w:pPr>
              <w:spacing w:after="0"/>
              <w:rPr>
                <w:sz w:val="1"/>
                <w:szCs w:val="1"/>
                <w:color w:val="auto"/>
              </w:rPr>
            </w:pPr>
          </w:p>
        </w:tc>
      </w:tr>
      <w:tr>
        <w:trPr>
          <w:trHeight w:val="277"/>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PV-10 of Cash Flows (in billions)</w:t>
            </w:r>
            <w:r>
              <w:rPr>
                <w:rFonts w:ascii="Arial" w:cs="Arial" w:eastAsia="Arial" w:hAnsi="Arial"/>
                <w:sz w:val="23"/>
                <w:szCs w:val="23"/>
                <w:color w:val="404041"/>
                <w:vertAlign w:val="superscript"/>
              </w:rPr>
              <w:t>(a)</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8.7</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8.9</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5.5</w:t>
            </w:r>
          </w:p>
        </w:tc>
        <w:tc>
          <w:tcPr>
            <w:tcW w:w="0" w:type="dxa"/>
            <w:vAlign w:val="bottom"/>
          </w:tcPr>
          <w:p>
            <w:pPr>
              <w:spacing w:after="0"/>
              <w:rPr>
                <w:sz w:val="1"/>
                <w:szCs w:val="1"/>
                <w:color w:val="auto"/>
              </w:rPr>
            </w:pPr>
          </w:p>
        </w:tc>
      </w:tr>
      <w:tr>
        <w:trPr>
          <w:trHeight w:val="259"/>
        </w:trPr>
        <w:tc>
          <w:tcPr>
            <w:tcW w:w="780" w:type="dxa"/>
            <w:vAlign w:val="bottom"/>
          </w:tcPr>
          <w:p>
            <w:pPr>
              <w:spacing w:after="0"/>
              <w:rPr>
                <w:sz w:val="22"/>
                <w:szCs w:val="22"/>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Net Mineral Acreage (in thousands):</w:t>
            </w: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5580" w:type="dxa"/>
            <w:vAlign w:val="bottom"/>
          </w:tcPr>
          <w:p>
            <w:pPr>
              <w:ind w:left="80"/>
              <w:spacing w:after="0" w:line="224" w:lineRule="exact"/>
              <w:rPr>
                <w:sz w:val="20"/>
                <w:szCs w:val="20"/>
                <w:color w:val="auto"/>
              </w:rPr>
            </w:pPr>
            <w:r>
              <w:rPr>
                <w:rFonts w:ascii="Arial" w:cs="Arial" w:eastAsia="Arial" w:hAnsi="Arial"/>
                <w:sz w:val="20"/>
                <w:szCs w:val="20"/>
                <w:color w:val="404041"/>
              </w:rPr>
              <w:t>Developed</w:t>
            </w:r>
          </w:p>
        </w:tc>
        <w:tc>
          <w:tcPr>
            <w:tcW w:w="600" w:type="dxa"/>
            <w:vAlign w:val="bottom"/>
          </w:tcPr>
          <w:p>
            <w:pPr>
              <w:spacing w:after="0"/>
              <w:rPr>
                <w:sz w:val="19"/>
                <w:szCs w:val="19"/>
                <w:color w:val="auto"/>
              </w:rPr>
            </w:pPr>
          </w:p>
        </w:tc>
        <w:tc>
          <w:tcPr>
            <w:tcW w:w="960" w:type="dxa"/>
            <w:vAlign w:val="bottom"/>
          </w:tcPr>
          <w:p>
            <w:pPr>
              <w:jc w:val="right"/>
              <w:ind w:right="239"/>
              <w:spacing w:after="0" w:line="224" w:lineRule="exact"/>
              <w:rPr>
                <w:sz w:val="20"/>
                <w:szCs w:val="20"/>
                <w:color w:val="auto"/>
              </w:rPr>
            </w:pPr>
            <w:r>
              <w:rPr>
                <w:rFonts w:ascii="Arial" w:cs="Arial" w:eastAsia="Arial" w:hAnsi="Arial"/>
                <w:sz w:val="20"/>
                <w:szCs w:val="20"/>
                <w:color w:val="404041"/>
              </w:rPr>
              <w:t>802</w:t>
            </w:r>
          </w:p>
        </w:tc>
        <w:tc>
          <w:tcPr>
            <w:tcW w:w="600" w:type="dxa"/>
            <w:vAlign w:val="bottom"/>
          </w:tcPr>
          <w:p>
            <w:pPr>
              <w:spacing w:after="0"/>
              <w:rPr>
                <w:sz w:val="19"/>
                <w:szCs w:val="19"/>
                <w:color w:val="auto"/>
              </w:rPr>
            </w:pPr>
          </w:p>
        </w:tc>
        <w:tc>
          <w:tcPr>
            <w:tcW w:w="940" w:type="dxa"/>
            <w:vAlign w:val="bottom"/>
          </w:tcPr>
          <w:p>
            <w:pPr>
              <w:jc w:val="right"/>
              <w:ind w:right="219"/>
              <w:spacing w:after="0" w:line="224" w:lineRule="exact"/>
              <w:rPr>
                <w:sz w:val="20"/>
                <w:szCs w:val="20"/>
                <w:color w:val="auto"/>
              </w:rPr>
            </w:pPr>
            <w:r>
              <w:rPr>
                <w:rFonts w:ascii="Arial" w:cs="Arial" w:eastAsia="Arial" w:hAnsi="Arial"/>
                <w:sz w:val="20"/>
                <w:szCs w:val="20"/>
                <w:color w:val="404041"/>
              </w:rPr>
              <w:t>757</w:t>
            </w:r>
          </w:p>
        </w:tc>
        <w:tc>
          <w:tcPr>
            <w:tcW w:w="560" w:type="dxa"/>
            <w:vAlign w:val="bottom"/>
          </w:tcPr>
          <w:p>
            <w:pPr>
              <w:spacing w:after="0"/>
              <w:rPr>
                <w:sz w:val="19"/>
                <w:szCs w:val="19"/>
                <w:color w:val="auto"/>
              </w:rPr>
            </w:pPr>
          </w:p>
        </w:tc>
        <w:tc>
          <w:tcPr>
            <w:tcW w:w="720" w:type="dxa"/>
            <w:vAlign w:val="bottom"/>
          </w:tcPr>
          <w:p>
            <w:pPr>
              <w:jc w:val="right"/>
              <w:spacing w:after="0" w:line="224" w:lineRule="exact"/>
              <w:rPr>
                <w:sz w:val="20"/>
                <w:szCs w:val="20"/>
                <w:color w:val="auto"/>
              </w:rPr>
            </w:pPr>
            <w:r>
              <w:rPr>
                <w:rFonts w:ascii="Arial" w:cs="Arial" w:eastAsia="Arial" w:hAnsi="Arial"/>
                <w:sz w:val="20"/>
                <w:szCs w:val="20"/>
                <w:color w:val="404041"/>
              </w:rPr>
              <w:t>684</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5580" w:type="dxa"/>
            <w:vAlign w:val="bottom"/>
          </w:tcPr>
          <w:p>
            <w:pPr>
              <w:ind w:left="80"/>
              <w:spacing w:after="0" w:line="200" w:lineRule="exact"/>
              <w:rPr>
                <w:sz w:val="20"/>
                <w:szCs w:val="20"/>
                <w:color w:val="auto"/>
              </w:rPr>
            </w:pPr>
            <w:r>
              <w:rPr>
                <w:rFonts w:ascii="Arial" w:cs="Arial" w:eastAsia="Arial" w:hAnsi="Arial"/>
                <w:sz w:val="20"/>
                <w:szCs w:val="20"/>
                <w:color w:val="404041"/>
              </w:rPr>
              <w:t>Undeveloped</w:t>
            </w:r>
          </w:p>
        </w:tc>
        <w:tc>
          <w:tcPr>
            <w:tcW w:w="600" w:type="dxa"/>
            <w:vAlign w:val="bottom"/>
          </w:tcPr>
          <w:p>
            <w:pPr>
              <w:spacing w:after="0"/>
              <w:rPr>
                <w:sz w:val="17"/>
                <w:szCs w:val="17"/>
                <w:color w:val="auto"/>
              </w:rPr>
            </w:pPr>
          </w:p>
        </w:tc>
        <w:tc>
          <w:tcPr>
            <w:tcW w:w="960" w:type="dxa"/>
            <w:vAlign w:val="bottom"/>
          </w:tcPr>
          <w:p>
            <w:pPr>
              <w:jc w:val="right"/>
              <w:ind w:right="239"/>
              <w:spacing w:after="0" w:line="200" w:lineRule="exact"/>
              <w:rPr>
                <w:sz w:val="20"/>
                <w:szCs w:val="20"/>
                <w:color w:val="auto"/>
              </w:rPr>
            </w:pPr>
            <w:r>
              <w:rPr>
                <w:rFonts w:ascii="Arial" w:cs="Arial" w:eastAsia="Arial" w:hAnsi="Arial"/>
                <w:sz w:val="20"/>
                <w:szCs w:val="20"/>
                <w:color w:val="404041"/>
              </w:rPr>
              <w:t>1,184</w:t>
            </w:r>
          </w:p>
        </w:tc>
        <w:tc>
          <w:tcPr>
            <w:tcW w:w="600" w:type="dxa"/>
            <w:vAlign w:val="bottom"/>
          </w:tcPr>
          <w:p>
            <w:pPr>
              <w:spacing w:after="0"/>
              <w:rPr>
                <w:sz w:val="17"/>
                <w:szCs w:val="17"/>
                <w:color w:val="auto"/>
              </w:rPr>
            </w:pPr>
          </w:p>
        </w:tc>
        <w:tc>
          <w:tcPr>
            <w:tcW w:w="940" w:type="dxa"/>
            <w:vAlign w:val="bottom"/>
          </w:tcPr>
          <w:p>
            <w:pPr>
              <w:jc w:val="right"/>
              <w:ind w:right="219"/>
              <w:spacing w:after="0" w:line="200" w:lineRule="exact"/>
              <w:rPr>
                <w:sz w:val="20"/>
                <w:szCs w:val="20"/>
                <w:color w:val="auto"/>
              </w:rPr>
            </w:pPr>
            <w:r>
              <w:rPr>
                <w:rFonts w:ascii="Arial" w:cs="Arial" w:eastAsia="Arial" w:hAnsi="Arial"/>
                <w:sz w:val="20"/>
                <w:szCs w:val="20"/>
                <w:color w:val="404041"/>
              </w:rPr>
              <w:t>1,106</w:t>
            </w:r>
          </w:p>
        </w:tc>
        <w:tc>
          <w:tcPr>
            <w:tcW w:w="5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20"/>
                <w:szCs w:val="20"/>
                <w:color w:val="404041"/>
              </w:rPr>
              <w:t>1,008</w:t>
            </w:r>
          </w:p>
        </w:tc>
        <w:tc>
          <w:tcPr>
            <w:tcW w:w="0" w:type="dxa"/>
            <w:vAlign w:val="bottom"/>
          </w:tcPr>
          <w:p>
            <w:pPr>
              <w:spacing w:after="0"/>
              <w:rPr>
                <w:sz w:val="1"/>
                <w:szCs w:val="1"/>
                <w:color w:val="auto"/>
              </w:rPr>
            </w:pPr>
          </w:p>
        </w:tc>
      </w:tr>
      <w:tr>
        <w:trPr>
          <w:trHeight w:val="259"/>
        </w:trPr>
        <w:tc>
          <w:tcPr>
            <w:tcW w:w="780" w:type="dxa"/>
            <w:vAlign w:val="bottom"/>
          </w:tcPr>
          <w:p>
            <w:pPr>
              <w:spacing w:after="0"/>
              <w:rPr>
                <w:sz w:val="22"/>
                <w:szCs w:val="22"/>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Total</w:t>
            </w:r>
          </w:p>
        </w:tc>
        <w:tc>
          <w:tcPr>
            <w:tcW w:w="600" w:type="dxa"/>
            <w:vAlign w:val="bottom"/>
          </w:tcPr>
          <w:p>
            <w:pPr>
              <w:spacing w:after="0"/>
              <w:rPr>
                <w:sz w:val="22"/>
                <w:szCs w:val="22"/>
                <w:color w:val="auto"/>
              </w:rPr>
            </w:pP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1,986</w:t>
            </w:r>
          </w:p>
        </w:tc>
        <w:tc>
          <w:tcPr>
            <w:tcW w:w="600" w:type="dxa"/>
            <w:vAlign w:val="bottom"/>
          </w:tcPr>
          <w:p>
            <w:pPr>
              <w:spacing w:after="0"/>
              <w:rPr>
                <w:sz w:val="22"/>
                <w:szCs w:val="22"/>
                <w:color w:val="auto"/>
              </w:rPr>
            </w:pP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1,863</w:t>
            </w: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404041"/>
              </w:rPr>
              <w:t>1,692</w:t>
            </w:r>
          </w:p>
        </w:tc>
        <w:tc>
          <w:tcPr>
            <w:tcW w:w="0" w:type="dxa"/>
            <w:vAlign w:val="bottom"/>
          </w:tcPr>
          <w:p>
            <w:pPr>
              <w:spacing w:after="0"/>
              <w:rPr>
                <w:sz w:val="1"/>
                <w:szCs w:val="1"/>
                <w:color w:val="auto"/>
              </w:rPr>
            </w:pPr>
          </w:p>
        </w:tc>
      </w:tr>
      <w:tr>
        <w:trPr>
          <w:trHeight w:val="391"/>
        </w:trPr>
        <w:tc>
          <w:tcPr>
            <w:tcW w:w="7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0"/>
                <w:szCs w:val="20"/>
                <w:color w:val="404041"/>
              </w:rPr>
              <w:t>Closing Share Price</w:t>
            </w:r>
          </w:p>
        </w:tc>
        <w:tc>
          <w:tcPr>
            <w:tcW w:w="600" w:type="dxa"/>
            <w:vAlign w:val="bottom"/>
          </w:tcPr>
          <w:p>
            <w:pPr>
              <w:jc w:val="right"/>
              <w:ind w:right="40"/>
              <w:spacing w:after="0"/>
              <w:rPr>
                <w:sz w:val="20"/>
                <w:szCs w:val="20"/>
                <w:color w:val="auto"/>
              </w:rPr>
            </w:pPr>
            <w:r>
              <w:rPr>
                <w:rFonts w:ascii="Arial" w:cs="Arial" w:eastAsia="Arial" w:hAnsi="Arial"/>
                <w:sz w:val="20"/>
                <w:szCs w:val="20"/>
                <w:color w:val="404041"/>
              </w:rPr>
              <w:t>$</w:t>
            </w:r>
          </w:p>
        </w:tc>
        <w:tc>
          <w:tcPr>
            <w:tcW w:w="960" w:type="dxa"/>
            <w:vAlign w:val="bottom"/>
          </w:tcPr>
          <w:p>
            <w:pPr>
              <w:jc w:val="right"/>
              <w:ind w:right="239"/>
              <w:spacing w:after="0"/>
              <w:rPr>
                <w:sz w:val="20"/>
                <w:szCs w:val="20"/>
                <w:color w:val="auto"/>
              </w:rPr>
            </w:pPr>
            <w:r>
              <w:rPr>
                <w:rFonts w:ascii="Arial" w:cs="Arial" w:eastAsia="Arial" w:hAnsi="Arial"/>
                <w:sz w:val="20"/>
                <w:szCs w:val="20"/>
                <w:color w:val="404041"/>
              </w:rPr>
              <w:t>44.71</w:t>
            </w:r>
          </w:p>
        </w:tc>
        <w:tc>
          <w:tcPr>
            <w:tcW w:w="60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940" w:type="dxa"/>
            <w:vAlign w:val="bottom"/>
          </w:tcPr>
          <w:p>
            <w:pPr>
              <w:jc w:val="right"/>
              <w:ind w:right="219"/>
              <w:spacing w:after="0"/>
              <w:rPr>
                <w:sz w:val="20"/>
                <w:szCs w:val="20"/>
                <w:color w:val="auto"/>
              </w:rPr>
            </w:pPr>
            <w:r>
              <w:rPr>
                <w:rFonts w:ascii="Arial" w:cs="Arial" w:eastAsia="Arial" w:hAnsi="Arial"/>
                <w:sz w:val="20"/>
                <w:szCs w:val="20"/>
                <w:color w:val="404041"/>
              </w:rPr>
              <w:t>51.89</w:t>
            </w:r>
          </w:p>
        </w:tc>
        <w:tc>
          <w:tcPr>
            <w:tcW w:w="560" w:type="dxa"/>
            <w:vAlign w:val="bottom"/>
          </w:tcPr>
          <w:p>
            <w:pPr>
              <w:jc w:val="right"/>
              <w:ind w:right="60"/>
              <w:spacing w:after="0"/>
              <w:rPr>
                <w:sz w:val="20"/>
                <w:szCs w:val="20"/>
                <w:color w:val="auto"/>
              </w:rPr>
            </w:pPr>
            <w:r>
              <w:rPr>
                <w:rFonts w:ascii="Arial" w:cs="Arial" w:eastAsia="Arial" w:hAnsi="Arial"/>
                <w:sz w:val="20"/>
                <w:szCs w:val="20"/>
                <w:color w:val="404041"/>
              </w:rPr>
              <w:t>$</w:t>
            </w:r>
          </w:p>
        </w:tc>
        <w:tc>
          <w:tcPr>
            <w:tcW w:w="720" w:type="dxa"/>
            <w:vAlign w:val="bottom"/>
          </w:tcPr>
          <w:p>
            <w:pPr>
              <w:jc w:val="right"/>
              <w:spacing w:after="0"/>
              <w:rPr>
                <w:sz w:val="20"/>
                <w:szCs w:val="20"/>
                <w:color w:val="auto"/>
              </w:rPr>
            </w:pPr>
            <w:r>
              <w:rPr>
                <w:rFonts w:ascii="Arial" w:cs="Arial" w:eastAsia="Arial" w:hAnsi="Arial"/>
                <w:sz w:val="20"/>
                <w:szCs w:val="20"/>
                <w:color w:val="404041"/>
              </w:rPr>
              <w:t>54.68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490220</wp:posOffset>
                </wp:positionH>
                <wp:positionV relativeFrom="paragraph">
                  <wp:posOffset>-3624580</wp:posOffset>
                </wp:positionV>
                <wp:extent cx="6332855" cy="23622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2855" cy="236220"/>
                        </a:xfrm>
                        <a:prstGeom prst="rect">
                          <a:avLst/>
                        </a:prstGeom>
                        <a:solidFill>
                          <a:srgbClr val="102349"/>
                        </a:solidFill>
                      </wps:spPr>
                      <wps:bodyPr/>
                    </wps:wsp>
                  </a:graphicData>
                </a:graphic>
              </wp:anchor>
            </w:drawing>
          </mc:Choice>
          <mc:Fallback>
            <w:pict>
              <v:rect id="Shape 8" o:spid="_x0000_s1033" style="position:absolute;margin-left:38.6pt;margin-top:-285.3999pt;width:498.65pt;height:1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02349" stroked="f"/>
            </w:pict>
          </mc:Fallback>
        </mc:AlternateContent>
      </w:r>
    </w:p>
    <w:p>
      <w:pPr>
        <w:spacing w:after="0" w:line="200" w:lineRule="exact"/>
        <w:rPr>
          <w:sz w:val="20"/>
          <w:szCs w:val="20"/>
          <w:color w:val="auto"/>
        </w:rPr>
      </w:pPr>
    </w:p>
    <w:p>
      <w:pPr>
        <w:spacing w:after="0" w:line="214" w:lineRule="exact"/>
        <w:rPr>
          <w:sz w:val="20"/>
          <w:szCs w:val="20"/>
          <w:color w:val="auto"/>
        </w:rPr>
      </w:pPr>
    </w:p>
    <w:p>
      <w:pPr>
        <w:ind w:left="900"/>
        <w:spacing w:after="0"/>
        <w:rPr>
          <w:sz w:val="20"/>
          <w:szCs w:val="20"/>
          <w:color w:val="auto"/>
        </w:rPr>
      </w:pPr>
      <w:r>
        <w:rPr>
          <w:rFonts w:ascii="Arial" w:cs="Arial" w:eastAsia="Arial" w:hAnsi="Arial"/>
          <w:sz w:val="10"/>
          <w:szCs w:val="10"/>
          <w:color w:val="404041"/>
        </w:rPr>
        <w:t>(a) See www.crc.com, Investor Relations for a discussion of these performance and non-GAAP measures, including a reconciliation to the most closely related GAAP measure or information on the related calculations.</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9"/>
          <w:szCs w:val="9"/>
          <w:color w:val="404041"/>
        </w:rPr>
        <w:t>(b) Natural gas volumes have been converted to Boe based on the equivalence of energy content between six Mcf of natural gas and one barrel of oil. Barrels of oil equivalence does not necessarily result in price equivalence.</w:t>
      </w:r>
    </w:p>
    <w:p>
      <w:pPr>
        <w:spacing w:after="0" w:line="96" w:lineRule="exact"/>
        <w:rPr>
          <w:sz w:val="20"/>
          <w:szCs w:val="20"/>
          <w:color w:val="auto"/>
        </w:rPr>
      </w:pPr>
    </w:p>
    <w:p>
      <w:pPr>
        <w:ind w:left="900" w:right="80"/>
        <w:spacing w:after="0" w:line="271" w:lineRule="auto"/>
        <w:rPr>
          <w:sz w:val="20"/>
          <w:szCs w:val="20"/>
          <w:color w:val="auto"/>
        </w:rPr>
      </w:pPr>
      <w:r>
        <w:rPr>
          <w:rFonts w:ascii="Arial" w:cs="Arial" w:eastAsia="Arial" w:hAnsi="Arial"/>
          <w:sz w:val="10"/>
          <w:szCs w:val="10"/>
          <w:color w:val="404041"/>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sectPr>
          <w:pgSz w:w="11520" w:h="15480" w:orient="portrait"/>
          <w:cols w:equalWidth="0" w:num="1">
            <w:col w:w="10740"/>
          </w:cols>
          <w:pgMar w:left="0" w:top="613" w:right="780" w:bottom="416"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231F20"/>
        </w:rPr>
        <w:t>2025 CEO Annual Report Letter</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Fellow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231F20"/>
        </w:rPr>
        <w:t>California Resources Corporation delivered an exceptional year in 2025.</w:t>
      </w:r>
    </w:p>
    <w:p>
      <w:pPr>
        <w:spacing w:after="0" w:line="296" w:lineRule="exact"/>
        <w:rPr>
          <w:sz w:val="20"/>
          <w:szCs w:val="20"/>
          <w:color w:val="auto"/>
        </w:rPr>
      </w:pPr>
    </w:p>
    <w:p>
      <w:pPr>
        <w:ind w:firstLine="400"/>
        <w:spacing w:after="0" w:line="249" w:lineRule="auto"/>
        <w:rPr>
          <w:sz w:val="20"/>
          <w:szCs w:val="20"/>
          <w:color w:val="auto"/>
        </w:rPr>
      </w:pPr>
      <w:r>
        <w:rPr>
          <w:rFonts w:ascii="Arial" w:cs="Arial" w:eastAsia="Arial" w:hAnsi="Arial"/>
          <w:sz w:val="20"/>
          <w:szCs w:val="20"/>
          <w:color w:val="231F20"/>
        </w:rPr>
        <w:t>We generated strong financial results, achieved production growth for the third consecutive year, and returned substantial capital to shareholders – all while operating in one of the most demanding regulatory environments in the United States. We did so profitably and with a focus on sustainability, as reflected by MiQ methane performance certifications for production assets across the Los Angeles, Ventura, and San Joaquin basins. This underscores that strong operational performance and responsible development go hand in hand.</w:t>
      </w:r>
    </w:p>
    <w:p>
      <w:pPr>
        <w:spacing w:after="0" w:line="287" w:lineRule="exact"/>
        <w:rPr>
          <w:sz w:val="20"/>
          <w:szCs w:val="20"/>
          <w:color w:val="auto"/>
        </w:rPr>
      </w:pPr>
    </w:p>
    <w:p>
      <w:pPr>
        <w:ind w:right="20" w:firstLine="400"/>
        <w:spacing w:after="0" w:line="249" w:lineRule="auto"/>
        <w:rPr>
          <w:sz w:val="20"/>
          <w:szCs w:val="20"/>
          <w:color w:val="auto"/>
        </w:rPr>
      </w:pPr>
      <w:r>
        <w:rPr>
          <w:rFonts w:ascii="Arial" w:cs="Arial" w:eastAsia="Arial" w:hAnsi="Arial"/>
          <w:sz w:val="20"/>
          <w:szCs w:val="20"/>
          <w:color w:val="231F20"/>
        </w:rPr>
        <w:t>Importantly, California’s regulatory environment now recognizes the importance of local production in delivering energy affordability and reliability. The passage of Senate Bill 237 and resolution of litigation regarding Kern County’s environmental impact report provided permitting clarity in Kern County, and CRC has begun receiving new drilling permits to support its planned 2026 drilling program. This clarity enables CRC to allocate and invest capital with confidence in 2026 and beyond.</w:t>
      </w:r>
    </w:p>
    <w:p>
      <w:pPr>
        <w:spacing w:after="0" w:line="286" w:lineRule="exact"/>
        <w:rPr>
          <w:sz w:val="20"/>
          <w:szCs w:val="20"/>
          <w:color w:val="auto"/>
        </w:rPr>
      </w:pPr>
    </w:p>
    <w:p>
      <w:pPr>
        <w:ind w:right="20" w:firstLine="400"/>
        <w:spacing w:after="0" w:line="249" w:lineRule="auto"/>
        <w:rPr>
          <w:sz w:val="20"/>
          <w:szCs w:val="20"/>
          <w:color w:val="auto"/>
        </w:rPr>
      </w:pPr>
      <w:r>
        <w:rPr>
          <w:rFonts w:ascii="Arial" w:cs="Arial" w:eastAsia="Arial" w:hAnsi="Arial"/>
          <w:sz w:val="20"/>
          <w:szCs w:val="20"/>
          <w:color w:val="231F20"/>
        </w:rPr>
        <w:t>As the energy landscape continues to evolve, CRC is anchored by long-duration, low-decline conventional reservoirs that provide stable production, modest reinvestment requirements, and durable free cash flow across commodity cycles. In a period defined by price volatility, disciplined capital markets, and growing energy demand in California, our intentionally integrated strategy builds on this resilient foundation. By pairing our core operations with disciplined expansion in carbon management and power, we are positioned to support the state’s long-term energy needs while advancing its decarbonization objectives.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2025: Disciplined Execution, Scale, and Returns</w:t>
      </w:r>
    </w:p>
    <w:p>
      <w:pPr>
        <w:spacing w:after="0" w:line="154" w:lineRule="exact"/>
        <w:rPr>
          <w:sz w:val="20"/>
          <w:szCs w:val="20"/>
          <w:color w:val="auto"/>
        </w:rPr>
      </w:pPr>
    </w:p>
    <w:p>
      <w:pPr>
        <w:ind w:right="360" w:firstLine="400"/>
        <w:spacing w:after="0" w:line="249" w:lineRule="auto"/>
        <w:rPr>
          <w:sz w:val="20"/>
          <w:szCs w:val="20"/>
          <w:color w:val="auto"/>
        </w:rPr>
      </w:pPr>
      <w:r>
        <w:rPr>
          <w:rFonts w:ascii="Arial" w:cs="Arial" w:eastAsia="Arial" w:hAnsi="Arial"/>
          <w:sz w:val="20"/>
          <w:szCs w:val="20"/>
          <w:color w:val="231F20"/>
        </w:rPr>
        <w:t>In 2025, CRC delivered another year of disciplined execution across the portfolio. Our teams improved reservoir performance, reduced corporate base decline rates, enhanced capital efficiency and, combined with the benefit of well-timed strategic mergers, enabled approximately 25% year-over-year production growth. This performance reflects both the quality of our long-life conventional asset base and the depth of our operational capability.</w:t>
      </w:r>
    </w:p>
    <w:p>
      <w:pPr>
        <w:spacing w:after="0" w:line="286" w:lineRule="exact"/>
        <w:rPr>
          <w:sz w:val="20"/>
          <w:szCs w:val="20"/>
          <w:color w:val="auto"/>
        </w:rPr>
      </w:pPr>
    </w:p>
    <w:p>
      <w:pPr>
        <w:ind w:right="100" w:firstLine="400"/>
        <w:spacing w:after="0" w:line="249" w:lineRule="auto"/>
        <w:rPr>
          <w:sz w:val="20"/>
          <w:szCs w:val="20"/>
          <w:color w:val="auto"/>
        </w:rPr>
      </w:pPr>
      <w:r>
        <w:rPr>
          <w:rFonts w:ascii="Arial" w:cs="Arial" w:eastAsia="Arial" w:hAnsi="Arial"/>
          <w:sz w:val="20"/>
          <w:szCs w:val="20"/>
          <w:color w:val="231F20"/>
        </w:rPr>
        <w:t>We also demonstrated that scale and integration are repeatable sources of value creation. Following the Aera transaction, we delivered $235 million of merger-related synergies through disciplined cost rationalization and operational efficiencies while maintaining safe operations and production stability. In December, we completed the merger with Berry Corporation, extending the life of our conventional inventory and further expanding our footprint in California. Integration is underway using the same proven playbook, with execution focused on cost structure, operational alignment, and long-term value creation.</w:t>
      </w:r>
    </w:p>
    <w:p>
      <w:pPr>
        <w:spacing w:after="0" w:line="289" w:lineRule="exact"/>
        <w:rPr>
          <w:sz w:val="20"/>
          <w:szCs w:val="20"/>
          <w:color w:val="auto"/>
        </w:rPr>
      </w:pPr>
    </w:p>
    <w:p>
      <w:pPr>
        <w:ind w:right="40" w:firstLine="400"/>
        <w:spacing w:after="0" w:line="225" w:lineRule="auto"/>
        <w:rPr>
          <w:sz w:val="20"/>
          <w:szCs w:val="20"/>
          <w:color w:val="auto"/>
        </w:rPr>
      </w:pPr>
      <w:r>
        <w:rPr>
          <w:rFonts w:ascii="Arial" w:cs="Arial" w:eastAsia="Arial" w:hAnsi="Arial"/>
          <w:sz w:val="20"/>
          <w:szCs w:val="20"/>
          <w:color w:val="231F20"/>
        </w:rPr>
        <w:t>The financial impact of strong execution in 2025 is evident in our results. Despite a 14% decline in Brent, CRC generated record adjusted EBITDAX</w:t>
      </w:r>
      <w:r>
        <w:rPr>
          <w:rFonts w:ascii="Arial" w:cs="Arial" w:eastAsia="Arial" w:hAnsi="Arial"/>
          <w:sz w:val="26"/>
          <w:szCs w:val="26"/>
          <w:color w:val="231F20"/>
          <w:vertAlign w:val="superscript"/>
        </w:rPr>
        <w:t>2</w:t>
      </w:r>
      <w:r>
        <w:rPr>
          <w:rFonts w:ascii="Arial" w:cs="Arial" w:eastAsia="Arial" w:hAnsi="Arial"/>
          <w:sz w:val="20"/>
          <w:szCs w:val="20"/>
          <w:color w:val="231F20"/>
        </w:rPr>
        <w:t xml:space="preserve"> and free cash flow</w:t>
      </w:r>
      <w:r>
        <w:rPr>
          <w:rFonts w:ascii="Arial" w:cs="Arial" w:eastAsia="Arial" w:hAnsi="Arial"/>
          <w:sz w:val="26"/>
          <w:szCs w:val="26"/>
          <w:color w:val="231F20"/>
          <w:vertAlign w:val="superscript"/>
        </w:rPr>
        <w:t>2</w:t>
      </w:r>
      <w:r>
        <w:rPr>
          <w:rFonts w:ascii="Arial" w:cs="Arial" w:eastAsia="Arial" w:hAnsi="Arial"/>
          <w:sz w:val="20"/>
          <w:szCs w:val="20"/>
          <w:color w:val="231F20"/>
        </w:rPr>
        <w:t xml:space="preserve"> in 2025, while strengthening the balance sheet and maintaining ample liquidity</w:t>
      </w:r>
      <w:r>
        <w:rPr>
          <w:rFonts w:ascii="Arial" w:cs="Arial" w:eastAsia="Arial" w:hAnsi="Arial"/>
          <w:sz w:val="26"/>
          <w:szCs w:val="26"/>
          <w:color w:val="231F20"/>
          <w:vertAlign w:val="superscript"/>
        </w:rPr>
        <w:t>1</w:t>
      </w:r>
      <w:r>
        <w:rPr>
          <w:rFonts w:ascii="Arial" w:cs="Arial" w:eastAsia="Arial" w:hAnsi="Arial"/>
          <w:sz w:val="20"/>
          <w:szCs w:val="20"/>
          <w:color w:val="231F20"/>
        </w:rPr>
        <w:t>. Furthermore, we returned more than 90% of free cash flow</w:t>
      </w:r>
      <w:r>
        <w:rPr>
          <w:rFonts w:ascii="Arial" w:cs="Arial" w:eastAsia="Arial" w:hAnsi="Arial"/>
          <w:sz w:val="26"/>
          <w:szCs w:val="26"/>
          <w:color w:val="231F20"/>
          <w:vertAlign w:val="superscript"/>
        </w:rPr>
        <w:t>2</w:t>
      </w:r>
      <w:r>
        <w:rPr>
          <w:rFonts w:ascii="Arial" w:cs="Arial" w:eastAsia="Arial" w:hAnsi="Arial"/>
          <w:sz w:val="20"/>
          <w:szCs w:val="20"/>
          <w:color w:val="231F20"/>
        </w:rPr>
        <w:t xml:space="preserve"> to shareholders through a combination of dividends and share repurchases, demonstrating our continued focus on delivering meaningful value in a previously permitting constrained environment. More broadly, since mid-2021, CRC has returned nearly $1.6 billion to shareholders, repurchasing approximately 26.8 million shares over that period. Throughout our history, our capital allocation philosophy has remained consistent: drive long-term per-share value through disciplined execution and integration.</w:t>
      </w:r>
    </w:p>
    <w:p>
      <w:pPr>
        <w:sectPr>
          <w:pgSz w:w="11880" w:h="15480" w:orient="portrait"/>
          <w:cols w:equalWidth="0" w:num="1">
            <w:col w:w="9120"/>
          </w:cols>
          <w:pgMar w:left="1380" w:top="1318" w:right="1380" w:bottom="673"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231F20"/>
        </w:rPr>
        <w:t>Carbon TerraVault and Power: From Concept to Execution</w:t>
      </w:r>
    </w:p>
    <w:p>
      <w:pPr>
        <w:spacing w:after="0" w:line="109" w:lineRule="exact"/>
        <w:rPr>
          <w:sz w:val="20"/>
          <w:szCs w:val="20"/>
          <w:color w:val="auto"/>
        </w:rPr>
      </w:pPr>
    </w:p>
    <w:p>
      <w:pPr>
        <w:ind w:right="60" w:firstLine="400"/>
        <w:spacing w:after="0" w:line="238" w:lineRule="auto"/>
        <w:rPr>
          <w:sz w:val="20"/>
          <w:szCs w:val="20"/>
          <w:color w:val="auto"/>
        </w:rPr>
      </w:pPr>
      <w:r>
        <w:rPr>
          <w:rFonts w:ascii="Arial" w:cs="Arial" w:eastAsia="Arial" w:hAnsi="Arial"/>
          <w:sz w:val="20"/>
          <w:szCs w:val="20"/>
          <w:color w:val="231F20"/>
        </w:rPr>
        <w:t>CRC’s long-life asset base and subsurface expertise also provide a natural foundation for carbon management and power. In 2025, Carbon TerraVault reached a significant milestone: we advanced California’s first carbon capture and storage project from permitting to construction, and completed pre-operational activities at our Elk Hills Cryogenic Gas Plant. This positions the project for first carbon dioxide (CO</w:t>
      </w:r>
      <w:r>
        <w:rPr>
          <w:rFonts w:ascii="Arial" w:cs="Arial" w:eastAsia="Arial" w:hAnsi="Arial"/>
          <w:sz w:val="26"/>
          <w:szCs w:val="26"/>
          <w:color w:val="231F20"/>
          <w:vertAlign w:val="subscript"/>
        </w:rPr>
        <w:t>2</w:t>
      </w:r>
      <w:r>
        <w:rPr>
          <w:rFonts w:ascii="Arial" w:cs="Arial" w:eastAsia="Arial" w:hAnsi="Arial"/>
          <w:sz w:val="20"/>
          <w:szCs w:val="20"/>
          <w:color w:val="231F20"/>
        </w:rPr>
        <w:t>) injection in the spring of 2026, subject to final regulatory approvals.</w:t>
      </w:r>
    </w:p>
    <w:p>
      <w:pPr>
        <w:spacing w:after="0" w:line="141" w:lineRule="exact"/>
        <w:rPr>
          <w:sz w:val="20"/>
          <w:szCs w:val="20"/>
          <w:color w:val="auto"/>
        </w:rPr>
      </w:pPr>
    </w:p>
    <w:p>
      <w:pPr>
        <w:ind w:right="20" w:firstLine="400"/>
        <w:spacing w:after="0" w:line="242" w:lineRule="auto"/>
        <w:rPr>
          <w:sz w:val="20"/>
          <w:szCs w:val="20"/>
          <w:color w:val="auto"/>
        </w:rPr>
      </w:pPr>
      <w:r>
        <w:rPr>
          <w:rFonts w:ascii="Arial" w:cs="Arial" w:eastAsia="Arial" w:hAnsi="Arial"/>
          <w:sz w:val="20"/>
          <w:szCs w:val="20"/>
          <w:color w:val="231F20"/>
        </w:rPr>
        <w:t>The commencement of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injection at the CTV I storage reservoir places CRC among a small group of operators globally that have developed CCS projects from concept to operation. This milestone reflects years of deliberate actions across permitting, engineering and stakeholder education. Our approach has been consistent throughout – regulatory clarity first, followed by technical readiness and commercial alignment – leveraging existing infrastructure and subsurface expertise while maintaining a disciplined, milestone-based approach to capital deployment.</w:t>
      </w:r>
    </w:p>
    <w:p>
      <w:pPr>
        <w:spacing w:after="0" w:line="200" w:lineRule="exact"/>
        <w:rPr>
          <w:sz w:val="20"/>
          <w:szCs w:val="20"/>
          <w:color w:val="auto"/>
        </w:rPr>
      </w:pPr>
    </w:p>
    <w:p>
      <w:pPr>
        <w:ind w:firstLine="400"/>
        <w:spacing w:after="0" w:line="248" w:lineRule="auto"/>
        <w:rPr>
          <w:sz w:val="20"/>
          <w:szCs w:val="20"/>
          <w:color w:val="auto"/>
        </w:rPr>
      </w:pPr>
      <w:r>
        <w:rPr>
          <w:rFonts w:ascii="Arial" w:cs="Arial" w:eastAsia="Arial" w:hAnsi="Arial"/>
          <w:sz w:val="20"/>
          <w:szCs w:val="20"/>
          <w:color w:val="231F20"/>
        </w:rPr>
        <w:t>Looking ahead, we see growing demand for reliable, decarbonized power solutions in California as electricity needs expand across industrial, infrastructure, and data-driven applications. CRC is uniquely positioned at the intersection of long-duration subsurface assets, existing infrastructure, and power capabilities. Our focus now is on progressing our portfolio of projects where commercial contracts, strong counterparties and compelling economics converge.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Looking Forward</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As we enter 2026, our priorities are clear:</w:t>
      </w:r>
    </w:p>
    <w:p>
      <w:pPr>
        <w:spacing w:after="0" w:line="104" w:lineRule="exact"/>
        <w:rPr>
          <w:sz w:val="20"/>
          <w:szCs w:val="20"/>
          <w:color w:val="auto"/>
        </w:rPr>
      </w:pPr>
    </w:p>
    <w:p>
      <w:pPr>
        <w:ind w:left="800" w:hanging="300"/>
        <w:spacing w:after="0"/>
        <w:tabs>
          <w:tab w:leader="none" w:pos="800" w:val="left"/>
        </w:tabs>
        <w:numPr>
          <w:ilvl w:val="0"/>
          <w:numId w:val="1"/>
        </w:numPr>
        <w:rPr>
          <w:rFonts w:ascii="Arial" w:cs="Arial" w:eastAsia="Arial" w:hAnsi="Arial"/>
          <w:sz w:val="20"/>
          <w:szCs w:val="20"/>
          <w:color w:val="231F20"/>
        </w:rPr>
      </w:pPr>
      <w:r>
        <w:rPr>
          <w:rFonts w:ascii="Arial" w:cs="Arial" w:eastAsia="Arial" w:hAnsi="Arial"/>
          <w:sz w:val="20"/>
          <w:szCs w:val="20"/>
          <w:color w:val="231F20"/>
        </w:rPr>
        <w:t>Generate durable free cash flow through disciplined operations and capital allocation</w:t>
      </w:r>
    </w:p>
    <w:p>
      <w:pPr>
        <w:spacing w:after="0" w:line="102" w:lineRule="exact"/>
        <w:rPr>
          <w:rFonts w:ascii="Arial" w:cs="Arial" w:eastAsia="Arial" w:hAnsi="Arial"/>
          <w:sz w:val="20"/>
          <w:szCs w:val="20"/>
          <w:color w:val="231F20"/>
        </w:rPr>
      </w:pPr>
    </w:p>
    <w:p>
      <w:pPr>
        <w:ind w:left="800" w:hanging="300"/>
        <w:spacing w:after="0"/>
        <w:tabs>
          <w:tab w:leader="none" w:pos="800" w:val="left"/>
        </w:tabs>
        <w:numPr>
          <w:ilvl w:val="0"/>
          <w:numId w:val="1"/>
        </w:numPr>
        <w:rPr>
          <w:rFonts w:ascii="Arial" w:cs="Arial" w:eastAsia="Arial" w:hAnsi="Arial"/>
          <w:sz w:val="20"/>
          <w:szCs w:val="20"/>
          <w:color w:val="231F20"/>
        </w:rPr>
      </w:pPr>
      <w:r>
        <w:rPr>
          <w:rFonts w:ascii="Arial" w:cs="Arial" w:eastAsia="Arial" w:hAnsi="Arial"/>
          <w:sz w:val="20"/>
          <w:szCs w:val="20"/>
          <w:color w:val="231F20"/>
        </w:rPr>
        <w:t>Complete integration activities and progress planned synergies using a proven framework</w:t>
      </w:r>
    </w:p>
    <w:p>
      <w:pPr>
        <w:spacing w:after="0" w:line="71" w:lineRule="exact"/>
        <w:rPr>
          <w:rFonts w:ascii="Arial" w:cs="Arial" w:eastAsia="Arial" w:hAnsi="Arial"/>
          <w:sz w:val="20"/>
          <w:szCs w:val="20"/>
          <w:color w:val="231F20"/>
        </w:rPr>
      </w:pPr>
    </w:p>
    <w:p>
      <w:pPr>
        <w:ind w:left="800" w:right="80" w:hanging="300"/>
        <w:spacing w:after="0" w:line="227" w:lineRule="auto"/>
        <w:tabs>
          <w:tab w:leader="none" w:pos="800" w:val="left"/>
        </w:tabs>
        <w:numPr>
          <w:ilvl w:val="0"/>
          <w:numId w:val="1"/>
        </w:numPr>
        <w:rPr>
          <w:rFonts w:ascii="Arial" w:cs="Arial" w:eastAsia="Arial" w:hAnsi="Arial"/>
          <w:sz w:val="20"/>
          <w:szCs w:val="20"/>
          <w:color w:val="231F20"/>
        </w:rPr>
      </w:pPr>
      <w:r>
        <w:rPr>
          <w:rFonts w:ascii="Arial" w:cs="Arial" w:eastAsia="Arial" w:hAnsi="Arial"/>
          <w:sz w:val="20"/>
          <w:szCs w:val="20"/>
          <w:color w:val="231F20"/>
        </w:rPr>
        <w:t>Advance Carbon TerraVault into operations, including commencement of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injection at the CTV I storage reservoir</w:t>
      </w:r>
    </w:p>
    <w:p>
      <w:pPr>
        <w:spacing w:after="0" w:line="107" w:lineRule="exact"/>
        <w:rPr>
          <w:rFonts w:ascii="Arial" w:cs="Arial" w:eastAsia="Arial" w:hAnsi="Arial"/>
          <w:sz w:val="20"/>
          <w:szCs w:val="20"/>
          <w:color w:val="231F20"/>
        </w:rPr>
      </w:pPr>
    </w:p>
    <w:p>
      <w:pPr>
        <w:ind w:left="800" w:right="680" w:hanging="300"/>
        <w:spacing w:after="0" w:line="245" w:lineRule="auto"/>
        <w:tabs>
          <w:tab w:leader="none" w:pos="800" w:val="left"/>
        </w:tabs>
        <w:numPr>
          <w:ilvl w:val="0"/>
          <w:numId w:val="1"/>
        </w:numPr>
        <w:rPr>
          <w:rFonts w:ascii="Arial" w:cs="Arial" w:eastAsia="Arial" w:hAnsi="Arial"/>
          <w:sz w:val="20"/>
          <w:szCs w:val="20"/>
          <w:color w:val="231F20"/>
        </w:rPr>
      </w:pPr>
      <w:r>
        <w:rPr>
          <w:rFonts w:ascii="Arial" w:cs="Arial" w:eastAsia="Arial" w:hAnsi="Arial"/>
          <w:sz w:val="20"/>
          <w:szCs w:val="20"/>
          <w:color w:val="231F20"/>
        </w:rPr>
        <w:t>Progress high-return opportunities across the portfolio based on returns and execution readiness</w:t>
      </w:r>
    </w:p>
    <w:p>
      <w:pPr>
        <w:spacing w:after="0" w:line="97" w:lineRule="exact"/>
        <w:rPr>
          <w:rFonts w:ascii="Arial" w:cs="Arial" w:eastAsia="Arial" w:hAnsi="Arial"/>
          <w:sz w:val="20"/>
          <w:szCs w:val="20"/>
          <w:color w:val="231F20"/>
        </w:rPr>
      </w:pPr>
    </w:p>
    <w:p>
      <w:pPr>
        <w:ind w:left="800" w:hanging="300"/>
        <w:spacing w:after="0"/>
        <w:tabs>
          <w:tab w:leader="none" w:pos="800" w:val="left"/>
        </w:tabs>
        <w:numPr>
          <w:ilvl w:val="0"/>
          <w:numId w:val="1"/>
        </w:numPr>
        <w:rPr>
          <w:rFonts w:ascii="Arial" w:cs="Arial" w:eastAsia="Arial" w:hAnsi="Arial"/>
          <w:sz w:val="20"/>
          <w:szCs w:val="20"/>
          <w:color w:val="231F20"/>
        </w:rPr>
      </w:pPr>
      <w:r>
        <w:rPr>
          <w:rFonts w:ascii="Arial" w:cs="Arial" w:eastAsia="Arial" w:hAnsi="Arial"/>
          <w:sz w:val="20"/>
          <w:szCs w:val="20"/>
          <w:color w:val="231F20"/>
        </w:rPr>
        <w:t>Maintain balance sheet strength while supporting continued shareholder returns</w:t>
      </w:r>
    </w:p>
    <w:p>
      <w:pPr>
        <w:spacing w:after="0" w:line="169" w:lineRule="exact"/>
        <w:rPr>
          <w:sz w:val="20"/>
          <w:szCs w:val="20"/>
          <w:color w:val="auto"/>
        </w:rPr>
      </w:pPr>
    </w:p>
    <w:p>
      <w:pPr>
        <w:ind w:right="120" w:firstLine="400"/>
        <w:spacing w:after="0" w:line="250" w:lineRule="auto"/>
        <w:rPr>
          <w:sz w:val="20"/>
          <w:szCs w:val="20"/>
          <w:color w:val="auto"/>
        </w:rPr>
      </w:pPr>
      <w:r>
        <w:rPr>
          <w:rFonts w:ascii="Arial" w:cs="Arial" w:eastAsia="Arial" w:hAnsi="Arial"/>
          <w:sz w:val="20"/>
          <w:szCs w:val="20"/>
          <w:color w:val="231F20"/>
        </w:rPr>
        <w:t xml:space="preserve">CRC is not built to chase cycles. It is built to perform through them – anchored by long-duration assets, a multi-decade inventory of low-decline development opportunities, disciplined capital allocation, and an integrated strategy that generates cash today while extending relevance and value over time. That performance is enabled by our people – their expertise, discipline, and commitment to safe, responsible operations – and is what makes CRC a </w:t>
      </w:r>
      <w:r>
        <w:rPr>
          <w:rFonts w:ascii="Arial" w:cs="Arial" w:eastAsia="Arial" w:hAnsi="Arial"/>
          <w:sz w:val="20"/>
          <w:szCs w:val="20"/>
          <w:b w:val="1"/>
          <w:bCs w:val="1"/>
          <w:i w:val="1"/>
          <w:iCs w:val="1"/>
          <w:color w:val="231F20"/>
        </w:rPr>
        <w:t>Different Kind of Energy Company</w:t>
      </w:r>
      <w:r>
        <w:rPr>
          <w:rFonts w:ascii="Arial" w:cs="Arial" w:eastAsia="Arial" w:hAnsi="Arial"/>
          <w:sz w:val="20"/>
          <w:szCs w:val="20"/>
          <w:color w:val="231F20"/>
        </w:rPr>
        <w:t>.</w:t>
      </w:r>
    </w:p>
    <w:p>
      <w:pPr>
        <w:spacing w:after="0" w:line="156" w:lineRule="exact"/>
        <w:rPr>
          <w:sz w:val="20"/>
          <w:szCs w:val="20"/>
          <w:color w:val="auto"/>
        </w:rPr>
      </w:pPr>
    </w:p>
    <w:p>
      <w:pPr>
        <w:jc w:val="both"/>
        <w:ind w:right="580" w:firstLine="400"/>
        <w:spacing w:after="0" w:line="245" w:lineRule="auto"/>
        <w:rPr>
          <w:sz w:val="20"/>
          <w:szCs w:val="20"/>
          <w:color w:val="auto"/>
        </w:rPr>
      </w:pPr>
      <w:r>
        <w:rPr>
          <w:rFonts w:ascii="Arial" w:cs="Arial" w:eastAsia="Arial" w:hAnsi="Arial"/>
          <w:sz w:val="20"/>
          <w:szCs w:val="20"/>
          <w:color w:val="231F20"/>
        </w:rPr>
        <w:t>I want to thank our employees for their professionalism and execution, our communities and partners for their continued engagement, and our shareholders for their confidence and support.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1524000" cy="594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1524000" cy="59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Francisco Leon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President and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California Resources Corporation</w:t>
      </w:r>
    </w:p>
    <w:p>
      <w:pPr>
        <w:spacing w:after="0" w:line="145" w:lineRule="exact"/>
        <w:rPr>
          <w:sz w:val="20"/>
          <w:szCs w:val="20"/>
          <w:color w:val="auto"/>
        </w:rPr>
      </w:pPr>
    </w:p>
    <w:p>
      <w:pPr>
        <w:ind w:right="180"/>
        <w:spacing w:after="0" w:line="202" w:lineRule="auto"/>
        <w:tabs>
          <w:tab w:leader="none" w:pos="87" w:val="left"/>
        </w:tabs>
        <w:numPr>
          <w:ilvl w:val="0"/>
          <w:numId w:val="2"/>
        </w:numPr>
        <w:rPr>
          <w:rFonts w:ascii="Arial" w:cs="Arial" w:eastAsia="Arial" w:hAnsi="Arial"/>
          <w:sz w:val="21"/>
          <w:szCs w:val="21"/>
          <w:color w:val="231F20"/>
          <w:vertAlign w:val="superscript"/>
        </w:rPr>
      </w:pPr>
      <w:r>
        <w:rPr>
          <w:rFonts w:ascii="Arial" w:cs="Arial" w:eastAsia="Arial" w:hAnsi="Arial"/>
          <w:sz w:val="16"/>
          <w:szCs w:val="16"/>
          <w:color w:val="231F20"/>
        </w:rPr>
        <w:t>Represents the achievement of record annual adjusted EBITDAX, annual free cash flow and annual total shareholder returns which includes share repurchases and dividends paid since October 2020 in 2025.</w:t>
      </w:r>
    </w:p>
    <w:p>
      <w:pPr>
        <w:spacing w:after="0" w:line="94" w:lineRule="exact"/>
        <w:rPr>
          <w:sz w:val="20"/>
          <w:szCs w:val="20"/>
          <w:color w:val="auto"/>
        </w:rPr>
      </w:pPr>
    </w:p>
    <w:p>
      <w:pPr>
        <w:ind w:right="80"/>
        <w:spacing w:after="0" w:line="212" w:lineRule="auto"/>
        <w:tabs>
          <w:tab w:leader="none" w:pos="87" w:val="left"/>
        </w:tabs>
        <w:numPr>
          <w:ilvl w:val="0"/>
          <w:numId w:val="3"/>
        </w:numPr>
        <w:rPr>
          <w:rFonts w:ascii="Arial" w:cs="Arial" w:eastAsia="Arial" w:hAnsi="Arial"/>
          <w:sz w:val="21"/>
          <w:szCs w:val="21"/>
          <w:color w:val="231F20"/>
          <w:vertAlign w:val="superscript"/>
        </w:rPr>
      </w:pPr>
      <w:r>
        <w:rPr>
          <w:rFonts w:ascii="Arial" w:cs="Arial" w:eastAsia="Arial" w:hAnsi="Arial"/>
          <w:sz w:val="16"/>
          <w:szCs w:val="16"/>
          <w:color w:val="231F20"/>
        </w:rPr>
        <w:t>Represents a non-GAAP measure. For all historical non-GAAP financial measures please see the Investor Relations page at www.crc.com for a reconciliation to the nearest GAAP equivalent and other additional information. Free cash flow is equal to net cash provided (used) by operating activities less capital investments.</w:t>
      </w:r>
    </w:p>
    <w:p>
      <w:pPr>
        <w:sectPr>
          <w:pgSz w:w="11880" w:h="15480" w:orient="portrait"/>
          <w:cols w:equalWidth="0" w:num="1">
            <w:col w:w="9100"/>
          </w:cols>
          <w:pgMar w:left="1380" w:top="1310" w:right="1400" w:bottom="678" w:gutter="0" w:footer="0" w:header="0"/>
        </w:sectPr>
      </w:pPr>
    </w:p>
    <w:bookmarkStart w:id="4" w:name="page5"/>
    <w:bookmarkEnd w:id="4"/>
    <w:p>
      <w:pPr>
        <w:jc w:val="center"/>
        <w:ind w:right="480"/>
        <w:spacing w:after="0"/>
        <w:rPr>
          <w:sz w:val="20"/>
          <w:szCs w:val="20"/>
          <w:color w:val="auto"/>
        </w:rPr>
      </w:pPr>
      <w:r>
        <w:rPr>
          <w:rFonts w:ascii="Arial" w:cs="Arial" w:eastAsia="Arial" w:hAnsi="Arial"/>
          <w:sz w:val="18"/>
          <w:szCs w:val="18"/>
          <w:b w:val="1"/>
          <w:bCs w:val="1"/>
          <w:color w:val="231F20"/>
        </w:rPr>
        <w:t>UNITED STATES SECURITIES AND EXCHANGE COMMISSION</w:t>
      </w:r>
    </w:p>
    <w:p>
      <w:pPr>
        <w:spacing w:after="0" w:line="13"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231F20"/>
        </w:rPr>
        <w:t>Washington, D.C. 20549</w:t>
      </w:r>
    </w:p>
    <w:p>
      <w:pPr>
        <w:spacing w:after="0" w:line="69" w:lineRule="exact"/>
        <w:rPr>
          <w:sz w:val="20"/>
          <w:szCs w:val="20"/>
          <w:color w:val="auto"/>
        </w:rPr>
      </w:pPr>
    </w:p>
    <w:p>
      <w:pPr>
        <w:ind w:left="3960"/>
        <w:spacing w:after="0"/>
        <w:rPr>
          <w:sz w:val="20"/>
          <w:szCs w:val="20"/>
          <w:color w:val="auto"/>
        </w:rPr>
      </w:pPr>
      <w:r>
        <w:rPr>
          <w:rFonts w:ascii="Arial" w:cs="Arial" w:eastAsia="Arial" w:hAnsi="Arial"/>
          <w:sz w:val="24"/>
          <w:szCs w:val="24"/>
          <w:b w:val="1"/>
          <w:bCs w:val="1"/>
          <w:color w:val="231F20"/>
        </w:rPr>
        <w:t>Form 10-K</w:t>
      </w:r>
    </w:p>
    <w:p>
      <w:pPr>
        <w:spacing w:after="0" w:line="94" w:lineRule="exact"/>
        <w:rPr>
          <w:sz w:val="20"/>
          <w:szCs w:val="20"/>
          <w:color w:val="auto"/>
        </w:rPr>
      </w:pPr>
    </w:p>
    <w:p>
      <w:pPr>
        <w:ind w:left="640" w:right="540" w:hanging="640"/>
        <w:spacing w:after="0" w:line="250" w:lineRule="auto"/>
        <w:tabs>
          <w:tab w:leader="none" w:pos="640" w:val="left"/>
        </w:tabs>
        <w:numPr>
          <w:ilvl w:val="0"/>
          <w:numId w:val="4"/>
        </w:numPr>
        <w:rPr>
          <w:rFonts w:ascii="Arial" w:cs="Arial" w:eastAsia="Arial" w:hAnsi="Arial"/>
          <w:sz w:val="18"/>
          <w:szCs w:val="18"/>
          <w:color w:val="231F20"/>
        </w:rPr>
      </w:pPr>
      <w:r>
        <w:rPr>
          <w:rFonts w:ascii="Arial" w:cs="Arial" w:eastAsia="Arial" w:hAnsi="Arial"/>
          <w:sz w:val="18"/>
          <w:szCs w:val="18"/>
          <w:b w:val="1"/>
          <w:bCs w:val="1"/>
          <w:color w:val="231F20"/>
        </w:rPr>
        <w:t>ANNUAL REPORT PURSUANT TO SECTION 13 OR 15(d) OF THE SECURITIES EXCHANGE ACT OF 1934</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8"/>
          <w:szCs w:val="18"/>
          <w:color w:val="231F20"/>
        </w:rPr>
        <w:t>For the fiscal year ended December 31, 2025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    </w:t>
      </w:r>
      <w:r>
        <w:rPr>
          <w:rFonts w:ascii="Arial" w:cs="Arial" w:eastAsia="Arial" w:hAnsi="Arial"/>
          <w:sz w:val="18"/>
          <w:szCs w:val="18"/>
          <w:b w:val="1"/>
          <w:bCs w:val="1"/>
          <w:color w:val="231F20"/>
        </w:rPr>
        <w:t>TRANSITION REPORT PURSUANT TO SECTION 13 OR 15(d) OF THE SECURITIES EXCHANGE ACT</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31F20"/>
        </w:rPr>
        <w:t>OF 1934</w:t>
      </w:r>
    </w:p>
    <w:p>
      <w:pPr>
        <w:spacing w:after="0" w:line="13" w:lineRule="exact"/>
        <w:rPr>
          <w:sz w:val="20"/>
          <w:szCs w:val="20"/>
          <w:color w:val="auto"/>
        </w:rPr>
      </w:pPr>
    </w:p>
    <w:p>
      <w:pPr>
        <w:ind w:left="640"/>
        <w:spacing w:after="0"/>
        <w:tabs>
          <w:tab w:leader="none" w:pos="4060" w:val="left"/>
        </w:tabs>
        <w:rPr>
          <w:sz w:val="20"/>
          <w:szCs w:val="20"/>
          <w:color w:val="auto"/>
        </w:rPr>
      </w:pPr>
      <w:r>
        <w:rPr>
          <w:rFonts w:ascii="Arial" w:cs="Arial" w:eastAsia="Arial" w:hAnsi="Arial"/>
          <w:sz w:val="18"/>
          <w:szCs w:val="18"/>
          <w:color w:val="231F20"/>
        </w:rPr>
        <w:t>For the transition period from</w:t>
      </w:r>
      <w:r>
        <w:rPr>
          <w:sz w:val="20"/>
          <w:szCs w:val="20"/>
          <w:color w:val="auto"/>
        </w:rPr>
        <w:tab/>
      </w:r>
      <w:r>
        <w:rPr>
          <w:rFonts w:ascii="Arial" w:cs="Arial" w:eastAsia="Arial" w:hAnsi="Arial"/>
          <w:sz w:val="16"/>
          <w:szCs w:val="16"/>
          <w:color w:val="231F20"/>
        </w:rPr>
        <w:t>to</w:t>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20"/>
          <w:szCs w:val="20"/>
          <w:b w:val="1"/>
          <w:bCs w:val="1"/>
          <w:color w:val="231F20"/>
        </w:rPr>
        <w:t>Commission File Number 001-36478</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36"/>
          <w:szCs w:val="36"/>
          <w:b w:val="1"/>
          <w:bCs w:val="1"/>
          <w:color w:val="231F20"/>
        </w:rPr>
        <w:t>California Resources Corporation</w:t>
      </w:r>
    </w:p>
    <w:p>
      <w:pPr>
        <w:ind w:left="2520"/>
        <w:spacing w:after="0" w:line="211" w:lineRule="auto"/>
        <w:rPr>
          <w:sz w:val="20"/>
          <w:szCs w:val="20"/>
          <w:color w:val="auto"/>
        </w:rPr>
      </w:pPr>
      <w:r>
        <w:rPr>
          <w:rFonts w:ascii="Arial" w:cs="Arial" w:eastAsia="Arial" w:hAnsi="Arial"/>
          <w:sz w:val="18"/>
          <w:szCs w:val="18"/>
          <w:color w:val="231F20"/>
        </w:rPr>
        <w:t>(Exact name of registrant as specified in its charter)</w:t>
      </w:r>
    </w:p>
    <w:p>
      <w:pPr>
        <w:sectPr>
          <w:pgSz w:w="11880" w:h="15480" w:orient="portrait"/>
          <w:cols w:equalWidth="0" w:num="1">
            <w:col w:w="9620"/>
          </w:cols>
          <w:pgMar w:left="1380" w:top="769" w:right="880" w:bottom="361" w:gutter="0" w:footer="0" w:header="0"/>
        </w:sectPr>
      </w:pPr>
    </w:p>
    <w:p>
      <w:pPr>
        <w:spacing w:after="0" w:line="84"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231F20"/>
        </w:rPr>
        <w:t>Delaware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46-5670947</w:t>
      </w:r>
    </w:p>
    <w:p>
      <w:pPr>
        <w:spacing w:after="0" w:line="11" w:lineRule="exact"/>
        <w:rPr>
          <w:sz w:val="20"/>
          <w:szCs w:val="20"/>
          <w:color w:val="auto"/>
        </w:rPr>
      </w:pPr>
    </w:p>
    <w:p>
      <w:pPr>
        <w:sectPr>
          <w:pgSz w:w="11880" w:h="15480" w:orient="portrait"/>
          <w:cols w:equalWidth="0" w:num="2">
            <w:col w:w="5580" w:space="720"/>
            <w:col w:w="3320"/>
          </w:cols>
          <w:pgMar w:left="1380" w:top="769" w:right="880" w:bottom="361" w:gutter="0" w:footer="0" w:header="0"/>
          <w:type w:val="continuous"/>
        </w:sectPr>
      </w:pPr>
    </w:p>
    <w:p>
      <w:pPr>
        <w:ind w:left="1240"/>
        <w:spacing w:after="0"/>
        <w:rPr>
          <w:sz w:val="20"/>
          <w:szCs w:val="20"/>
          <w:color w:val="auto"/>
        </w:rPr>
      </w:pPr>
      <w:r>
        <w:rPr>
          <w:rFonts w:ascii="Arial" w:cs="Arial" w:eastAsia="Arial" w:hAnsi="Arial"/>
          <w:sz w:val="15"/>
          <w:szCs w:val="15"/>
          <w:color w:val="231F20"/>
        </w:rPr>
        <w:t>(State or other jurisdiction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231F20"/>
        </w:rPr>
        <w:t>(I.R.S. Employer</w:t>
      </w:r>
    </w:p>
    <w:p>
      <w:pPr>
        <w:spacing w:after="0" w:line="28" w:lineRule="exact"/>
        <w:rPr>
          <w:sz w:val="20"/>
          <w:szCs w:val="20"/>
          <w:color w:val="auto"/>
        </w:rPr>
      </w:pPr>
    </w:p>
    <w:p>
      <w:pPr>
        <w:sectPr>
          <w:pgSz w:w="11880" w:h="15480" w:orient="portrait"/>
          <w:cols w:equalWidth="0" w:num="2">
            <w:col w:w="5540" w:space="720"/>
            <w:col w:w="3360"/>
          </w:cols>
          <w:pgMar w:left="1380" w:top="769" w:right="880" w:bottom="361" w:gutter="0" w:footer="0" w:header="0"/>
          <w:type w:val="continuous"/>
        </w:sectPr>
      </w:pPr>
    </w:p>
    <w:p>
      <w:pPr>
        <w:ind w:left="1200"/>
        <w:spacing w:after="0"/>
        <w:rPr>
          <w:sz w:val="20"/>
          <w:szCs w:val="20"/>
          <w:color w:val="auto"/>
        </w:rPr>
      </w:pPr>
      <w:r>
        <w:rPr>
          <w:rFonts w:ascii="Arial" w:cs="Arial" w:eastAsia="Arial" w:hAnsi="Arial"/>
          <w:sz w:val="15"/>
          <w:szCs w:val="15"/>
          <w:color w:val="231F20"/>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231F20"/>
        </w:rPr>
        <w:t>Identification No.)</w:t>
      </w:r>
    </w:p>
    <w:p>
      <w:pPr>
        <w:spacing w:after="0" w:line="24" w:lineRule="exact"/>
        <w:rPr>
          <w:sz w:val="20"/>
          <w:szCs w:val="20"/>
          <w:color w:val="auto"/>
        </w:rPr>
      </w:pPr>
    </w:p>
    <w:p>
      <w:pPr>
        <w:sectPr>
          <w:pgSz w:w="11880" w:h="15480" w:orient="portrait"/>
          <w:cols w:equalWidth="0" w:num="2">
            <w:col w:w="5500" w:space="720"/>
            <w:col w:w="3400"/>
          </w:cols>
          <w:pgMar w:left="1380" w:top="769" w:right="880" w:bottom="361" w:gutter="0" w:footer="0" w:header="0"/>
          <w:type w:val="continuous"/>
        </w:sectPr>
      </w:pPr>
    </w:p>
    <w:p>
      <w:pPr>
        <w:ind w:left="3000"/>
        <w:spacing w:after="0"/>
        <w:rPr>
          <w:sz w:val="20"/>
          <w:szCs w:val="20"/>
          <w:color w:val="auto"/>
        </w:rPr>
      </w:pPr>
      <w:r>
        <w:rPr>
          <w:rFonts w:ascii="Arial" w:cs="Arial" w:eastAsia="Arial" w:hAnsi="Arial"/>
          <w:sz w:val="20"/>
          <w:szCs w:val="20"/>
          <w:b w:val="1"/>
          <w:bCs w:val="1"/>
          <w:color w:val="231F20"/>
        </w:rPr>
        <w:t>1 World Trade Center, Suite 1500</w:t>
      </w:r>
    </w:p>
    <w:p>
      <w:pPr>
        <w:spacing w:after="0" w:line="10"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231F20"/>
        </w:rPr>
        <w:t>Long Beach, California 90831</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231F20"/>
        </w:rPr>
        <w:t>(Address of principal executive offices) (Zip Code)</w:t>
      </w:r>
    </w:p>
    <w:p>
      <w:pPr>
        <w:spacing w:after="0" w:line="84" w:lineRule="exact"/>
        <w:rPr>
          <w:sz w:val="20"/>
          <w:szCs w:val="20"/>
          <w:color w:val="auto"/>
        </w:rPr>
      </w:pPr>
    </w:p>
    <w:p>
      <w:pPr>
        <w:jc w:val="center"/>
        <w:ind w:right="500"/>
        <w:spacing w:after="0"/>
        <w:rPr>
          <w:sz w:val="20"/>
          <w:szCs w:val="20"/>
          <w:color w:val="auto"/>
        </w:rPr>
      </w:pPr>
      <w:r>
        <w:rPr>
          <w:rFonts w:ascii="Arial" w:cs="Arial" w:eastAsia="Arial" w:hAnsi="Arial"/>
          <w:sz w:val="20"/>
          <w:szCs w:val="20"/>
          <w:b w:val="1"/>
          <w:bCs w:val="1"/>
          <w:color w:val="231F20"/>
        </w:rPr>
        <w:t>(888) 848-4754</w:t>
      </w:r>
    </w:p>
    <w:p>
      <w:pPr>
        <w:spacing w:after="0" w:line="7" w:lineRule="exact"/>
        <w:rPr>
          <w:sz w:val="20"/>
          <w:szCs w:val="20"/>
          <w:color w:val="auto"/>
        </w:rPr>
      </w:pPr>
    </w:p>
    <w:p>
      <w:pPr>
        <w:ind w:left="2440"/>
        <w:spacing w:after="0"/>
        <w:rPr>
          <w:sz w:val="20"/>
          <w:szCs w:val="20"/>
          <w:color w:val="auto"/>
        </w:rPr>
      </w:pPr>
      <w:r>
        <w:rPr>
          <w:rFonts w:ascii="Arial" w:cs="Arial" w:eastAsia="Arial" w:hAnsi="Arial"/>
          <w:sz w:val="18"/>
          <w:szCs w:val="18"/>
          <w:color w:val="231F20"/>
        </w:rPr>
        <w:t>(Registrant’s telephone number, including area code)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231F20"/>
        </w:rPr>
        <w:t>Securities registered pursuant to Section 12(b) of the Act:</w:t>
      </w:r>
    </w:p>
    <w:p>
      <w:pPr>
        <w:sectPr>
          <w:pgSz w:w="11880" w:h="15480" w:orient="portrait"/>
          <w:cols w:equalWidth="0" w:num="1">
            <w:col w:w="9620"/>
          </w:cols>
          <w:pgMar w:left="1380" w:top="769" w:right="880" w:bottom="361" w:gutter="0" w:footer="0" w:header="0"/>
          <w:type w:val="continuous"/>
        </w:sectPr>
      </w:pPr>
    </w:p>
    <w:p>
      <w:pPr>
        <w:spacing w:after="0" w:line="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231F20"/>
        </w:rPr>
        <w:t>Title of Each Class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Trading Symbol(s)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Name of Each Exchange on Which Registered</w:t>
      </w:r>
    </w:p>
    <w:p>
      <w:pPr>
        <w:spacing w:after="0" w:line="13" w:lineRule="exact"/>
        <w:rPr>
          <w:sz w:val="20"/>
          <w:szCs w:val="20"/>
          <w:color w:val="auto"/>
        </w:rPr>
      </w:pPr>
    </w:p>
    <w:p>
      <w:pPr>
        <w:sectPr>
          <w:pgSz w:w="11880" w:h="15480" w:orient="portrait"/>
          <w:cols w:equalWidth="0" w:num="3">
            <w:col w:w="3060" w:space="720"/>
            <w:col w:w="1580" w:space="320"/>
            <w:col w:w="3940"/>
          </w:cols>
          <w:pgMar w:left="1380" w:top="769" w:right="880" w:bottom="361" w:gutter="0" w:footer="0" w:header="0"/>
          <w:type w:val="continuous"/>
        </w:sectPr>
      </w:pPr>
    </w:p>
    <w:p>
      <w:pPr>
        <w:spacing w:after="0" w:line="6" w:lineRule="exact"/>
        <w:rPr>
          <w:sz w:val="20"/>
          <w:szCs w:val="20"/>
          <w:color w:val="auto"/>
        </w:rPr>
      </w:pPr>
    </w:p>
    <w:p>
      <w:pPr>
        <w:ind w:left="860"/>
        <w:spacing w:after="0"/>
        <w:rPr>
          <w:sz w:val="20"/>
          <w:szCs w:val="20"/>
          <w:color w:val="auto"/>
        </w:rPr>
      </w:pPr>
      <w:r>
        <w:rPr>
          <w:rFonts w:ascii="Arial" w:cs="Arial" w:eastAsia="Arial" w:hAnsi="Arial"/>
          <w:sz w:val="17"/>
          <w:szCs w:val="17"/>
          <w:color w:val="231F20"/>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231F20"/>
        </w:rPr>
        <w:t>CRC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231F20"/>
        </w:rPr>
        <w:t>New York Stock Exchange</w:t>
      </w:r>
    </w:p>
    <w:p>
      <w:pPr>
        <w:spacing w:after="0" w:line="57" w:lineRule="exact"/>
        <w:rPr>
          <w:sz w:val="20"/>
          <w:szCs w:val="20"/>
          <w:color w:val="auto"/>
        </w:rPr>
      </w:pPr>
    </w:p>
    <w:p>
      <w:pPr>
        <w:sectPr>
          <w:pgSz w:w="11880" w:h="15480" w:orient="portrait"/>
          <w:cols w:equalWidth="0" w:num="3">
            <w:col w:w="3640" w:space="720"/>
            <w:col w:w="1500" w:space="720"/>
            <w:col w:w="3040"/>
          </w:cols>
          <w:pgMar w:left="1380" w:top="769" w:right="880" w:bottom="361" w:gutter="0" w:footer="0" w:header="0"/>
          <w:type w:val="continuous"/>
        </w:sectPr>
      </w:pPr>
    </w:p>
    <w:p>
      <w:pPr>
        <w:spacing w:after="0"/>
        <w:rPr>
          <w:sz w:val="20"/>
          <w:szCs w:val="20"/>
          <w:color w:val="auto"/>
        </w:rPr>
      </w:pPr>
      <w:r>
        <w:rPr>
          <w:rFonts w:ascii="Arial" w:cs="Arial" w:eastAsia="Arial" w:hAnsi="Arial"/>
          <w:sz w:val="16"/>
          <w:szCs w:val="16"/>
          <w:color w:val="231F20"/>
        </w:rPr>
        <w:t>Securities registered pursuant to Section 12(g) of the Act: None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231F20"/>
        </w:rPr>
        <w:t>Indicate by check mark if the registrant is a well-known seasoned issuer, as defined in Rule 405 of the Securities</w:t>
      </w:r>
    </w:p>
    <w:p>
      <w:pPr>
        <w:spacing w:after="0" w:line="16" w:lineRule="exact"/>
        <w:rPr>
          <w:sz w:val="20"/>
          <w:szCs w:val="20"/>
          <w:color w:val="auto"/>
        </w:rPr>
      </w:pPr>
    </w:p>
    <w:p>
      <w:pPr>
        <w:spacing w:after="0"/>
        <w:tabs>
          <w:tab w:leader="none" w:pos="7860" w:val="left"/>
        </w:tabs>
        <w:rPr>
          <w:sz w:val="20"/>
          <w:szCs w:val="20"/>
          <w:color w:val="auto"/>
        </w:rPr>
      </w:pPr>
      <w:r>
        <w:rPr>
          <w:rFonts w:ascii="Arial" w:cs="Arial" w:eastAsia="Arial" w:hAnsi="Arial"/>
          <w:sz w:val="16"/>
          <w:szCs w:val="16"/>
          <w:color w:val="231F20"/>
        </w:rPr>
        <w:t>Act.</w:t>
      </w:r>
      <w:r>
        <w:rPr>
          <w:sz w:val="20"/>
          <w:szCs w:val="20"/>
          <w:color w:val="auto"/>
        </w:rPr>
        <w:tab/>
      </w:r>
      <w:r>
        <w:rPr>
          <w:rFonts w:ascii="Arial" w:cs="Arial" w:eastAsia="Arial" w:hAnsi="Arial"/>
          <w:sz w:val="16"/>
          <w:szCs w:val="16"/>
          <w:color w:val="231F20"/>
        </w:rPr>
        <w:t>Yes Í No ‘</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231F20"/>
        </w:rPr>
        <w:t>Indicate by check mark if the registrant is not required to file reports pursuant to Section 13 or Section 15(d) of the</w:t>
      </w:r>
    </w:p>
    <w:p>
      <w:pPr>
        <w:spacing w:after="0" w:line="16" w:lineRule="exact"/>
        <w:rPr>
          <w:sz w:val="20"/>
          <w:szCs w:val="20"/>
          <w:color w:val="auto"/>
        </w:rPr>
      </w:pPr>
    </w:p>
    <w:p>
      <w:pPr>
        <w:spacing w:after="0"/>
        <w:tabs>
          <w:tab w:leader="none" w:pos="7860" w:val="left"/>
        </w:tabs>
        <w:rPr>
          <w:sz w:val="20"/>
          <w:szCs w:val="20"/>
          <w:color w:val="auto"/>
        </w:rPr>
      </w:pPr>
      <w:r>
        <w:rPr>
          <w:rFonts w:ascii="Arial" w:cs="Arial" w:eastAsia="Arial" w:hAnsi="Arial"/>
          <w:sz w:val="16"/>
          <w:szCs w:val="16"/>
          <w:color w:val="231F20"/>
        </w:rPr>
        <w:t>Act.</w:t>
      </w:r>
      <w:r>
        <w:rPr>
          <w:sz w:val="20"/>
          <w:szCs w:val="20"/>
          <w:color w:val="auto"/>
        </w:rPr>
        <w:tab/>
      </w:r>
      <w:r>
        <w:rPr>
          <w:rFonts w:ascii="Arial" w:cs="Arial" w:eastAsia="Arial" w:hAnsi="Arial"/>
          <w:sz w:val="16"/>
          <w:szCs w:val="16"/>
          <w:color w:val="231F20"/>
        </w:rPr>
        <w:t>Yes ‘ No Í</w:t>
      </w:r>
    </w:p>
    <w:p>
      <w:pPr>
        <w:spacing w:after="0" w:line="66" w:lineRule="exact"/>
        <w:rPr>
          <w:sz w:val="20"/>
          <w:szCs w:val="20"/>
          <w:color w:val="auto"/>
        </w:rPr>
      </w:pPr>
    </w:p>
    <w:p>
      <w:pPr>
        <w:ind w:right="600"/>
        <w:spacing w:after="0" w:line="278" w:lineRule="auto"/>
        <w:rPr>
          <w:sz w:val="20"/>
          <w:szCs w:val="20"/>
          <w:color w:val="auto"/>
        </w:rPr>
      </w:pPr>
      <w:r>
        <w:rPr>
          <w:rFonts w:ascii="Arial" w:cs="Arial" w:eastAsia="Arial" w:hAnsi="Arial"/>
          <w:sz w:val="15"/>
          <w:szCs w:val="15"/>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w:t>
      </w:r>
    </w:p>
    <w:p>
      <w:pPr>
        <w:spacing w:after="0" w:line="233" w:lineRule="auto"/>
        <w:tabs>
          <w:tab w:leader="none" w:pos="7860" w:val="left"/>
        </w:tabs>
        <w:rPr>
          <w:sz w:val="20"/>
          <w:szCs w:val="20"/>
          <w:color w:val="auto"/>
        </w:rPr>
      </w:pPr>
      <w:r>
        <w:rPr>
          <w:rFonts w:ascii="Arial" w:cs="Arial" w:eastAsia="Arial" w:hAnsi="Arial"/>
          <w:sz w:val="16"/>
          <w:szCs w:val="16"/>
          <w:color w:val="231F20"/>
        </w:rPr>
        <w:t>reports), and (2) has been subject to such filing requirements for the past 90 days.</w:t>
      </w:r>
      <w:r>
        <w:rPr>
          <w:sz w:val="20"/>
          <w:szCs w:val="20"/>
          <w:color w:val="auto"/>
        </w:rPr>
        <w:tab/>
      </w:r>
      <w:r>
        <w:rPr>
          <w:rFonts w:ascii="Arial" w:cs="Arial" w:eastAsia="Arial" w:hAnsi="Arial"/>
          <w:sz w:val="16"/>
          <w:szCs w:val="16"/>
          <w:color w:val="231F20"/>
        </w:rPr>
        <w:t>Yes Í No ‘</w:t>
      </w:r>
    </w:p>
    <w:p>
      <w:pPr>
        <w:spacing w:after="0" w:line="67" w:lineRule="exact"/>
        <w:rPr>
          <w:sz w:val="20"/>
          <w:szCs w:val="20"/>
          <w:color w:val="auto"/>
        </w:rPr>
      </w:pPr>
    </w:p>
    <w:p>
      <w:pPr>
        <w:ind w:right="560"/>
        <w:spacing w:after="0" w:line="278" w:lineRule="auto"/>
        <w:rPr>
          <w:sz w:val="20"/>
          <w:szCs w:val="20"/>
          <w:color w:val="auto"/>
        </w:rPr>
      </w:pPr>
      <w:r>
        <w:rPr>
          <w:rFonts w:ascii="Arial" w:cs="Arial" w:eastAsia="Arial" w:hAnsi="Arial"/>
          <w:sz w:val="15"/>
          <w:szCs w:val="15"/>
          <w:color w:val="231F20"/>
        </w:rPr>
        <w:t>Indicate by check mark whether the registrant has submitted electronically every Interactive Data File required to be submitted pursuant to Rule 405 of Regulation S-T (§232.405 of this chapter) during the preceding 12 months (or such shorter period as the</w:t>
      </w:r>
    </w:p>
    <w:p>
      <w:pPr>
        <w:spacing w:after="0" w:line="233" w:lineRule="auto"/>
        <w:tabs>
          <w:tab w:leader="none" w:pos="7880" w:val="left"/>
        </w:tabs>
        <w:rPr>
          <w:sz w:val="20"/>
          <w:szCs w:val="20"/>
          <w:color w:val="auto"/>
        </w:rPr>
      </w:pPr>
      <w:r>
        <w:rPr>
          <w:rFonts w:ascii="Arial" w:cs="Arial" w:eastAsia="Arial" w:hAnsi="Arial"/>
          <w:sz w:val="16"/>
          <w:szCs w:val="16"/>
          <w:color w:val="231F20"/>
        </w:rPr>
        <w:t>registrant was required to submit such files).</w:t>
      </w:r>
      <w:r>
        <w:rPr>
          <w:sz w:val="20"/>
          <w:szCs w:val="20"/>
          <w:color w:val="auto"/>
        </w:rPr>
        <w:tab/>
      </w:r>
      <w:r>
        <w:rPr>
          <w:rFonts w:ascii="Arial" w:cs="Arial" w:eastAsia="Arial" w:hAnsi="Arial"/>
          <w:sz w:val="16"/>
          <w:szCs w:val="16"/>
          <w:color w:val="231F20"/>
        </w:rPr>
        <w:t>Yes Í No ‘</w:t>
      </w:r>
    </w:p>
    <w:p>
      <w:pPr>
        <w:spacing w:after="0" w:line="67" w:lineRule="exact"/>
        <w:rPr>
          <w:sz w:val="20"/>
          <w:szCs w:val="20"/>
          <w:color w:val="auto"/>
        </w:rPr>
      </w:pPr>
    </w:p>
    <w:p>
      <w:pPr>
        <w:jc w:val="both"/>
        <w:ind w:right="680"/>
        <w:spacing w:after="0" w:line="257" w:lineRule="auto"/>
        <w:rPr>
          <w:sz w:val="20"/>
          <w:szCs w:val="20"/>
          <w:color w:val="auto"/>
        </w:rPr>
      </w:pPr>
      <w:r>
        <w:rPr>
          <w:rFonts w:ascii="Arial" w:cs="Arial" w:eastAsia="Arial" w:hAnsi="Arial"/>
          <w:sz w:val="16"/>
          <w:szCs w:val="16"/>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9620"/>
          </w:cols>
          <w:pgMar w:left="1380" w:top="769" w:right="880" w:bottom="361" w:gutter="0" w:footer="0" w:header="0"/>
          <w:type w:val="continuous"/>
        </w:sectPr>
      </w:pPr>
    </w:p>
    <w:p>
      <w:pPr>
        <w:spacing w:after="0" w:line="49" w:lineRule="exact"/>
        <w:rPr>
          <w:sz w:val="20"/>
          <w:szCs w:val="20"/>
          <w:color w:val="auto"/>
        </w:rPr>
      </w:pPr>
    </w:p>
    <w:p>
      <w:pPr>
        <w:ind w:left="32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Í</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231F20"/>
        </w:rPr>
        <w:t>Accelerated Filer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231F20"/>
        </w:rPr>
        <w:t>Non-Accelerated Filer</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w:t>
      </w:r>
    </w:p>
    <w:p>
      <w:pPr>
        <w:spacing w:after="0" w:line="84" w:lineRule="exact"/>
        <w:rPr>
          <w:sz w:val="20"/>
          <w:szCs w:val="20"/>
          <w:color w:val="auto"/>
        </w:rPr>
      </w:pPr>
    </w:p>
    <w:p>
      <w:pPr>
        <w:sectPr>
          <w:pgSz w:w="11880" w:h="15480" w:orient="portrait"/>
          <w:cols w:equalWidth="0" w:num="6">
            <w:col w:w="1980" w:space="460"/>
            <w:col w:w="360" w:space="720"/>
            <w:col w:w="1360" w:space="720"/>
            <w:col w:w="260" w:space="720"/>
            <w:col w:w="1540" w:space="100"/>
            <w:col w:w="1400"/>
          </w:cols>
          <w:pgMar w:left="1380" w:top="769" w:right="880" w:bottom="361" w:gutter="0" w:footer="0" w:header="0"/>
          <w:type w:val="continuous"/>
        </w:sectPr>
      </w:pPr>
    </w:p>
    <w:p>
      <w:pPr>
        <w:spacing w:after="0" w:line="15" w:lineRule="exact"/>
        <w:rPr>
          <w:sz w:val="20"/>
          <w:szCs w:val="20"/>
          <w:color w:val="auto"/>
        </w:rPr>
      </w:pPr>
    </w:p>
    <w:p>
      <w:pPr>
        <w:ind w:left="320"/>
        <w:spacing w:after="0"/>
        <w:rPr>
          <w:sz w:val="20"/>
          <w:szCs w:val="20"/>
          <w:color w:val="auto"/>
        </w:rPr>
      </w:pPr>
      <w:r>
        <w:rPr>
          <w:rFonts w:ascii="Arial" w:cs="Arial" w:eastAsia="Arial" w:hAnsi="Arial"/>
          <w:sz w:val="15"/>
          <w:szCs w:val="15"/>
          <w:color w:val="231F20"/>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231F2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231F20"/>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231F20"/>
        </w:rPr>
        <w:t>‘</w:t>
      </w:r>
    </w:p>
    <w:p>
      <w:pPr>
        <w:spacing w:after="0" w:line="76" w:lineRule="exact"/>
        <w:rPr>
          <w:sz w:val="20"/>
          <w:szCs w:val="20"/>
          <w:color w:val="auto"/>
        </w:rPr>
      </w:pPr>
    </w:p>
    <w:p>
      <w:pPr>
        <w:sectPr>
          <w:pgSz w:w="11880" w:h="15480" w:orient="portrait"/>
          <w:cols w:equalWidth="0" w:num="4">
            <w:col w:w="2320" w:space="120"/>
            <w:col w:w="360" w:space="720"/>
            <w:col w:w="1980" w:space="100"/>
            <w:col w:w="4020"/>
          </w:cols>
          <w:pgMar w:left="1380" w:top="769" w:right="880" w:bottom="361" w:gutter="0" w:footer="0" w:header="0"/>
          <w:type w:val="continuous"/>
        </w:sectPr>
      </w:pPr>
    </w:p>
    <w:p>
      <w:pPr>
        <w:ind w:right="580"/>
        <w:spacing w:after="0" w:line="253" w:lineRule="auto"/>
        <w:rPr>
          <w:sz w:val="20"/>
          <w:szCs w:val="20"/>
          <w:color w:val="auto"/>
        </w:rPr>
      </w:pPr>
      <w:r>
        <w:rPr>
          <w:rFonts w:ascii="Arial" w:cs="Arial" w:eastAsia="Arial" w:hAnsi="Arial"/>
          <w:sz w:val="16"/>
          <w:szCs w:val="16"/>
          <w:color w:val="231F20"/>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57" w:lineRule="exact"/>
        <w:rPr>
          <w:sz w:val="20"/>
          <w:szCs w:val="20"/>
          <w:color w:val="auto"/>
        </w:rPr>
      </w:pPr>
    </w:p>
    <w:p>
      <w:pPr>
        <w:ind w:right="660"/>
        <w:spacing w:after="0" w:line="278" w:lineRule="auto"/>
        <w:rPr>
          <w:sz w:val="20"/>
          <w:szCs w:val="20"/>
          <w:color w:val="auto"/>
        </w:rPr>
      </w:pPr>
      <w:r>
        <w:rPr>
          <w:rFonts w:ascii="Arial" w:cs="Arial" w:eastAsia="Arial" w:hAnsi="Arial"/>
          <w:sz w:val="15"/>
          <w:szCs w:val="15"/>
          <w:color w:val="231F20"/>
        </w:rPr>
        <w:t>Indicate by check mark whether the registrant has filed a report on and attestation to its management’s assessment of the effectiveness of its internal control over financial reporting under Section 404(b) of the Sarbanes-Oxley Act (15 U.S.C. 7262(b))</w:t>
      </w:r>
    </w:p>
    <w:p>
      <w:pPr>
        <w:spacing w:after="0" w:line="194" w:lineRule="auto"/>
        <w:tabs>
          <w:tab w:leader="none" w:pos="6240" w:val="left"/>
        </w:tabs>
        <w:rPr>
          <w:sz w:val="20"/>
          <w:szCs w:val="20"/>
          <w:color w:val="auto"/>
        </w:rPr>
      </w:pPr>
      <w:r>
        <w:rPr>
          <w:rFonts w:ascii="Arial" w:cs="Arial" w:eastAsia="Arial" w:hAnsi="Arial"/>
          <w:sz w:val="16"/>
          <w:szCs w:val="16"/>
          <w:color w:val="231F20"/>
        </w:rPr>
        <w:t>by the registered public accounting firm that prepared or issued its audit report.</w:t>
      </w:r>
      <w:r>
        <w:rPr>
          <w:sz w:val="20"/>
          <w:szCs w:val="20"/>
          <w:color w:val="auto"/>
        </w:rPr>
        <w:tab/>
      </w:r>
      <w:r>
        <w:rPr>
          <w:rFonts w:ascii="Arial" w:cs="Arial" w:eastAsia="Arial" w:hAnsi="Arial"/>
          <w:sz w:val="16"/>
          <w:szCs w:val="16"/>
          <w:color w:val="231F20"/>
        </w:rPr>
        <w:t>Í</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231F20"/>
        </w:rPr>
        <w:t>If securities are registered pursuant to Section 12(b) of the Act, indicate by check mark whether the financial statements of the</w:t>
      </w:r>
    </w:p>
    <w:p>
      <w:pPr>
        <w:spacing w:after="0" w:line="221" w:lineRule="auto"/>
        <w:tabs>
          <w:tab w:leader="none" w:pos="7960" w:val="left"/>
        </w:tabs>
        <w:rPr>
          <w:sz w:val="20"/>
          <w:szCs w:val="20"/>
          <w:color w:val="auto"/>
        </w:rPr>
      </w:pPr>
      <w:r>
        <w:rPr>
          <w:rFonts w:ascii="Arial" w:cs="Arial" w:eastAsia="Arial" w:hAnsi="Arial"/>
          <w:sz w:val="16"/>
          <w:szCs w:val="16"/>
          <w:color w:val="231F20"/>
        </w:rPr>
        <w:t>registrant included in the filing reflect the correction of an error to previously issued financial statements.</w:t>
      </w:r>
      <w:r>
        <w:rPr>
          <w:sz w:val="20"/>
          <w:szCs w:val="20"/>
          <w:color w:val="auto"/>
        </w:rPr>
        <w:tab/>
      </w:r>
      <w:r>
        <w:rPr>
          <w:rFonts w:ascii="Arial" w:cs="Arial" w:eastAsia="Arial" w:hAnsi="Arial"/>
          <w:sz w:val="16"/>
          <w:szCs w:val="16"/>
          <w:color w:val="231F20"/>
        </w:rPr>
        <w:t>‘</w:t>
      </w:r>
    </w:p>
    <w:p>
      <w:pPr>
        <w:spacing w:after="0" w:line="66" w:lineRule="exact"/>
        <w:rPr>
          <w:sz w:val="20"/>
          <w:szCs w:val="20"/>
          <w:color w:val="auto"/>
        </w:rPr>
      </w:pPr>
    </w:p>
    <w:p>
      <w:pPr>
        <w:ind w:right="760"/>
        <w:spacing w:after="0" w:line="257" w:lineRule="auto"/>
        <w:rPr>
          <w:sz w:val="20"/>
          <w:szCs w:val="20"/>
          <w:color w:val="auto"/>
        </w:rPr>
      </w:pPr>
      <w:r>
        <w:rPr>
          <w:rFonts w:ascii="Arial" w:cs="Arial" w:eastAsia="Arial" w:hAnsi="Arial"/>
          <w:sz w:val="16"/>
          <w:szCs w:val="16"/>
          <w:color w:val="231F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spacing w:after="0" w:line="48" w:lineRule="exact"/>
        <w:rPr>
          <w:sz w:val="20"/>
          <w:szCs w:val="20"/>
          <w:color w:val="auto"/>
        </w:rPr>
      </w:pPr>
    </w:p>
    <w:p>
      <w:pPr>
        <w:spacing w:after="0"/>
        <w:tabs>
          <w:tab w:leader="none" w:pos="7920" w:val="left"/>
        </w:tabs>
        <w:rPr>
          <w:sz w:val="20"/>
          <w:szCs w:val="20"/>
          <w:color w:val="auto"/>
        </w:rPr>
      </w:pPr>
      <w:r>
        <w:rPr>
          <w:rFonts w:ascii="Arial" w:cs="Arial" w:eastAsia="Arial" w:hAnsi="Arial"/>
          <w:sz w:val="16"/>
          <w:szCs w:val="16"/>
          <w:color w:val="231F20"/>
        </w:rPr>
        <w:t>Indicate by check mark whether the registrant is a shell company (as defined in Rule 12b-2 of the Act).</w:t>
      </w:r>
      <w:r>
        <w:rPr>
          <w:sz w:val="20"/>
          <w:szCs w:val="20"/>
          <w:color w:val="auto"/>
        </w:rPr>
        <w:tab/>
      </w:r>
      <w:r>
        <w:rPr>
          <w:rFonts w:ascii="Arial" w:cs="Arial" w:eastAsia="Arial" w:hAnsi="Arial"/>
          <w:sz w:val="16"/>
          <w:szCs w:val="16"/>
          <w:color w:val="231F20"/>
        </w:rPr>
        <w:t>Yes ‘ No Í</w:t>
      </w:r>
    </w:p>
    <w:p>
      <w:pPr>
        <w:spacing w:after="0" w:line="66" w:lineRule="exact"/>
        <w:rPr>
          <w:sz w:val="20"/>
          <w:szCs w:val="20"/>
          <w:color w:val="auto"/>
        </w:rPr>
      </w:pPr>
    </w:p>
    <w:p>
      <w:pPr>
        <w:ind w:right="660"/>
        <w:spacing w:after="0" w:line="258" w:lineRule="auto"/>
        <w:rPr>
          <w:sz w:val="20"/>
          <w:szCs w:val="20"/>
          <w:color w:val="auto"/>
        </w:rPr>
      </w:pPr>
      <w:r>
        <w:rPr>
          <w:rFonts w:ascii="Arial" w:cs="Arial" w:eastAsia="Arial" w:hAnsi="Arial"/>
          <w:sz w:val="16"/>
          <w:szCs w:val="16"/>
          <w:color w:val="231F20"/>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Common Stock aggregate market value held by non-affiliates as of June 30, 2025: $3,803,313,982.</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231F20"/>
        </w:rPr>
        <w:t>At January 31, 2026, there were 88,597,474 shares of Common Stock outstanding.</w:t>
      </w:r>
    </w:p>
    <w:p>
      <w:pPr>
        <w:spacing w:after="0" w:line="61" w:lineRule="exact"/>
        <w:rPr>
          <w:sz w:val="20"/>
          <w:szCs w:val="20"/>
          <w:color w:val="auto"/>
        </w:rPr>
      </w:pPr>
    </w:p>
    <w:p>
      <w:pPr>
        <w:ind w:left="2740"/>
        <w:spacing w:after="0"/>
        <w:rPr>
          <w:sz w:val="20"/>
          <w:szCs w:val="20"/>
          <w:color w:val="auto"/>
        </w:rPr>
      </w:pPr>
      <w:r>
        <w:rPr>
          <w:rFonts w:ascii="Arial" w:cs="Arial" w:eastAsia="Arial" w:hAnsi="Arial"/>
          <w:sz w:val="16"/>
          <w:szCs w:val="16"/>
          <w:color w:val="231F20"/>
        </w:rPr>
        <w:t>DOCUMENTS INCORPORATED BY REFERENCE</w:t>
      </w:r>
    </w:p>
    <w:p>
      <w:pPr>
        <w:spacing w:after="0" w:line="66" w:lineRule="exact"/>
        <w:rPr>
          <w:sz w:val="20"/>
          <w:szCs w:val="20"/>
          <w:color w:val="auto"/>
        </w:rPr>
      </w:pPr>
    </w:p>
    <w:p>
      <w:pPr>
        <w:ind w:right="740" w:firstLine="240"/>
        <w:spacing w:after="0" w:line="257" w:lineRule="auto"/>
        <w:rPr>
          <w:sz w:val="20"/>
          <w:szCs w:val="20"/>
          <w:color w:val="auto"/>
        </w:rPr>
      </w:pPr>
      <w:r>
        <w:rPr>
          <w:rFonts w:ascii="Arial" w:cs="Arial" w:eastAsia="Arial" w:hAnsi="Arial"/>
          <w:sz w:val="16"/>
          <w:szCs w:val="16"/>
          <w:color w:val="231F20"/>
        </w:rPr>
        <w:t>Portions of the Definitive Proxy Statement to be filed within 120 days after December 31, 2025 with the Securities and Exchange Commission in connection with the registrant’s 2025 Annual Meeting of Stockholders are incorporated by reference into Part III of this Form 10-K.</w:t>
      </w:r>
    </w:p>
    <w:p>
      <w:pPr>
        <w:sectPr>
          <w:pgSz w:w="11880" w:h="15480" w:orient="portrait"/>
          <w:cols w:equalWidth="0" w:num="1">
            <w:col w:w="9620"/>
          </w:cols>
          <w:pgMar w:left="1380" w:top="769" w:right="880" w:bottom="361" w:gutter="0" w:footer="0" w:header="0"/>
          <w:type w:val="continuous"/>
        </w:sectPr>
      </w:pPr>
    </w:p>
    <w:bookmarkStart w:id="5" w:name="page6"/>
    <w:bookmarkEnd w:id="5"/>
    <w:p>
      <w:pPr>
        <w:ind w:left="3480"/>
        <w:spacing w:after="0"/>
        <w:rPr>
          <w:sz w:val="20"/>
          <w:szCs w:val="20"/>
          <w:color w:val="auto"/>
        </w:rPr>
      </w:pPr>
      <w:r>
        <w:rPr>
          <w:rFonts w:ascii="Arial" w:cs="Arial" w:eastAsia="Arial" w:hAnsi="Arial"/>
          <w:sz w:val="20"/>
          <w:szCs w:val="20"/>
          <w:b w:val="1"/>
          <w:bCs w:val="1"/>
          <w:color w:val="231F20"/>
        </w:rPr>
        <w:t>TABLE OF CONTENTS</w:t>
      </w:r>
    </w:p>
    <w:p>
      <w:pPr>
        <w:spacing w:after="0" w:line="208"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5469890</wp:posOffset>
                </wp:positionH>
                <wp:positionV relativeFrom="paragraph">
                  <wp:posOffset>23495</wp:posOffset>
                </wp:positionV>
                <wp:extent cx="26860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60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7pt,1.85pt" to="451.85pt,1.85pt" o:allowincell="f" strokecolor="#231F20" strokeweight="1pt"/>
            </w:pict>
          </mc:Fallback>
        </mc:AlternateConten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Part I</w:t>
      </w:r>
    </w:p>
    <w:p>
      <w:pPr>
        <w:spacing w:after="0" w:line="10" w:lineRule="exact"/>
        <w:rPr>
          <w:sz w:val="20"/>
          <w:szCs w:val="20"/>
          <w:color w:val="auto"/>
        </w:rPr>
      </w:pPr>
    </w:p>
    <w:p>
      <w:pPr>
        <w:ind w:left="200"/>
        <w:spacing w:after="0"/>
        <w:tabs>
          <w:tab w:leader="none" w:pos="8800" w:val="left"/>
        </w:tabs>
        <w:rPr>
          <w:sz w:val="20"/>
          <w:szCs w:val="20"/>
          <w:color w:val="auto"/>
        </w:rPr>
      </w:pPr>
      <w:r>
        <w:rPr>
          <w:rFonts w:ascii="Arial" w:cs="Arial" w:eastAsia="Arial" w:hAnsi="Arial"/>
          <w:sz w:val="20"/>
          <w:szCs w:val="20"/>
          <w:b w:val="1"/>
          <w:bCs w:val="1"/>
          <w:color w:val="231F20"/>
        </w:rPr>
        <w:t xml:space="preserve">Items 1 &amp; 2 </w:t>
      </w:r>
      <w:r>
        <w:rPr>
          <w:rFonts w:ascii="Arial" w:cs="Arial" w:eastAsia="Arial" w:hAnsi="Arial"/>
          <w:sz w:val="20"/>
          <w:szCs w:val="20"/>
          <w:color w:val="231F20"/>
        </w:rPr>
        <w:t>BUSINESS AND PROPERTIES . . . . . . . . . . . . . . . . . . . . . . . . . . . . . . . . . . . . . . . .</w:t>
      </w:r>
      <w:r>
        <w:rPr>
          <w:sz w:val="20"/>
          <w:szCs w:val="20"/>
          <w:color w:val="auto"/>
        </w:rPr>
        <w:tab/>
      </w:r>
      <w:r>
        <w:rPr>
          <w:rFonts w:ascii="Arial" w:cs="Arial" w:eastAsia="Arial" w:hAnsi="Arial"/>
          <w:sz w:val="20"/>
          <w:szCs w:val="20"/>
          <w:b w:val="1"/>
          <w:bCs w:val="1"/>
          <w:color w:val="231F20"/>
        </w:rPr>
        <w:t>7</w:t>
      </w:r>
    </w:p>
    <w:p>
      <w:pPr>
        <w:spacing w:after="0" w:line="7" w:lineRule="exact"/>
        <w:rPr>
          <w:sz w:val="20"/>
          <w:szCs w:val="20"/>
          <w:color w:val="auto"/>
        </w:rPr>
      </w:pPr>
    </w:p>
    <w:p>
      <w:pPr>
        <w:ind w:left="1520"/>
        <w:spacing w:after="0"/>
        <w:tabs>
          <w:tab w:leader="none" w:pos="8800" w:val="left"/>
        </w:tabs>
        <w:rPr>
          <w:sz w:val="20"/>
          <w:szCs w:val="20"/>
          <w:color w:val="auto"/>
        </w:rPr>
      </w:pPr>
      <w:r>
        <w:rPr>
          <w:rFonts w:ascii="Arial" w:cs="Arial" w:eastAsia="Arial" w:hAnsi="Arial"/>
          <w:sz w:val="20"/>
          <w:szCs w:val="20"/>
          <w:color w:val="231F20"/>
        </w:rPr>
        <w:t>Business . . . . . . . . . . . . . . . . . . . . . . . . . . . . . . . . . . . . . . . . . . . . . . . . . . . . . . . . .</w:t>
      </w:r>
      <w:r>
        <w:rPr>
          <w:sz w:val="20"/>
          <w:szCs w:val="20"/>
          <w:color w:val="auto"/>
        </w:rPr>
        <w:tab/>
      </w:r>
      <w:r>
        <w:rPr>
          <w:rFonts w:ascii="Arial" w:cs="Arial" w:eastAsia="Arial" w:hAnsi="Arial"/>
          <w:sz w:val="20"/>
          <w:szCs w:val="20"/>
          <w:b w:val="1"/>
          <w:bCs w:val="1"/>
          <w:color w:val="231F20"/>
        </w:rPr>
        <w:t>7</w:t>
      </w:r>
    </w:p>
    <w:p>
      <w:pPr>
        <w:spacing w:after="0" w:line="7" w:lineRule="exact"/>
        <w:rPr>
          <w:sz w:val="20"/>
          <w:szCs w:val="20"/>
          <w:color w:val="auto"/>
        </w:rPr>
      </w:pPr>
    </w:p>
    <w:p>
      <w:pPr>
        <w:ind w:left="1520"/>
        <w:spacing w:after="0"/>
        <w:tabs>
          <w:tab w:leader="none" w:pos="3260" w:val="left"/>
          <w:tab w:leader="none" w:pos="8800" w:val="left"/>
        </w:tabs>
        <w:rPr>
          <w:sz w:val="20"/>
          <w:szCs w:val="20"/>
          <w:color w:val="auto"/>
        </w:rPr>
      </w:pPr>
      <w:r>
        <w:rPr>
          <w:rFonts w:ascii="Arial" w:cs="Arial" w:eastAsia="Arial" w:hAnsi="Arial"/>
          <w:sz w:val="20"/>
          <w:szCs w:val="20"/>
          <w:color w:val="231F20"/>
        </w:rPr>
        <w:t>Business Strategy</w:t>
        <w:tab/>
        <w:t>. . . . . . . . . . . . . . . . . . . . . . . . . . . . . . . . . . . . . . . . . . . . . . . . .</w:t>
      </w:r>
      <w:r>
        <w:rPr>
          <w:sz w:val="20"/>
          <w:szCs w:val="20"/>
          <w:color w:val="auto"/>
        </w:rPr>
        <w:tab/>
      </w:r>
      <w:r>
        <w:rPr>
          <w:rFonts w:ascii="Arial" w:cs="Arial" w:eastAsia="Arial" w:hAnsi="Arial"/>
          <w:sz w:val="20"/>
          <w:szCs w:val="20"/>
          <w:b w:val="1"/>
          <w:bCs w:val="1"/>
          <w:color w:val="231F20"/>
        </w:rPr>
        <w:t>8</w:t>
      </w:r>
    </w:p>
    <w:p>
      <w:pPr>
        <w:spacing w:after="0" w:line="7" w:lineRule="exact"/>
        <w:rPr>
          <w:sz w:val="20"/>
          <w:szCs w:val="20"/>
          <w:color w:val="auto"/>
        </w:rPr>
      </w:pPr>
    </w:p>
    <w:p>
      <w:pPr>
        <w:ind w:left="1520"/>
        <w:spacing w:after="0"/>
        <w:tabs>
          <w:tab w:leader="none" w:pos="8800" w:val="left"/>
        </w:tabs>
        <w:rPr>
          <w:sz w:val="20"/>
          <w:szCs w:val="20"/>
          <w:color w:val="auto"/>
        </w:rPr>
      </w:pPr>
      <w:r>
        <w:rPr>
          <w:rFonts w:ascii="Arial" w:cs="Arial" w:eastAsia="Arial" w:hAnsi="Arial"/>
          <w:sz w:val="20"/>
          <w:szCs w:val="20"/>
          <w:color w:val="231F20"/>
        </w:rPr>
        <w:t>Oil and Natural Gas Segment . . . . . . . . . . . . . . . . . . . . . . . . . . . . . . . . . . . . . . . .</w:t>
      </w:r>
      <w:r>
        <w:rPr>
          <w:sz w:val="20"/>
          <w:szCs w:val="20"/>
          <w:color w:val="auto"/>
        </w:rPr>
        <w:tab/>
      </w:r>
      <w:r>
        <w:rPr>
          <w:rFonts w:ascii="Arial" w:cs="Arial" w:eastAsia="Arial" w:hAnsi="Arial"/>
          <w:sz w:val="20"/>
          <w:szCs w:val="20"/>
          <w:b w:val="1"/>
          <w:bCs w:val="1"/>
          <w:color w:val="231F20"/>
        </w:rPr>
        <w:t>9</w:t>
      </w:r>
    </w:p>
    <w:p>
      <w:pPr>
        <w:spacing w:after="0" w:line="7"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Mineral Acreage . . . . . . . . . . . . . . . . . . . . . . . . . . . . . . . . . . . . . . . . . . . . . . . . .</w:t>
      </w:r>
      <w:r>
        <w:rPr>
          <w:sz w:val="20"/>
          <w:szCs w:val="20"/>
          <w:color w:val="auto"/>
        </w:rPr>
        <w:tab/>
      </w:r>
      <w:r>
        <w:rPr>
          <w:rFonts w:ascii="Arial" w:cs="Arial" w:eastAsia="Arial" w:hAnsi="Arial"/>
          <w:sz w:val="19"/>
          <w:szCs w:val="19"/>
          <w:b w:val="1"/>
          <w:bCs w:val="1"/>
          <w:color w:val="231F20"/>
        </w:rPr>
        <w:t>11</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Production, Price and Cost History . . . . . . . . . . . . . . . . . . . . . . . . . . . . . . . . . .</w:t>
      </w:r>
      <w:r>
        <w:rPr>
          <w:sz w:val="20"/>
          <w:szCs w:val="20"/>
          <w:color w:val="auto"/>
        </w:rPr>
        <w:tab/>
      </w:r>
      <w:r>
        <w:rPr>
          <w:rFonts w:ascii="Arial" w:cs="Arial" w:eastAsia="Arial" w:hAnsi="Arial"/>
          <w:sz w:val="19"/>
          <w:szCs w:val="19"/>
          <w:b w:val="1"/>
          <w:bCs w:val="1"/>
          <w:color w:val="231F20"/>
        </w:rPr>
        <w:t>13</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Estimated Proved Reserves and Future Net Cash Flows . . . . . . . . . . . . . . . .</w:t>
      </w:r>
      <w:r>
        <w:rPr>
          <w:sz w:val="20"/>
          <w:szCs w:val="20"/>
          <w:color w:val="auto"/>
        </w:rPr>
        <w:tab/>
      </w:r>
      <w:r>
        <w:rPr>
          <w:rFonts w:ascii="Arial" w:cs="Arial" w:eastAsia="Arial" w:hAnsi="Arial"/>
          <w:sz w:val="19"/>
          <w:szCs w:val="19"/>
          <w:b w:val="1"/>
          <w:bCs w:val="1"/>
          <w:color w:val="231F20"/>
        </w:rPr>
        <w:t>15</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Drilling Statistics . . . . . . . . . . . . . . . . . . . . . . . . . . . . . . . . . . . . . . . . . . . . . . . . .</w:t>
      </w:r>
      <w:r>
        <w:rPr>
          <w:sz w:val="20"/>
          <w:szCs w:val="20"/>
          <w:color w:val="auto"/>
        </w:rPr>
        <w:tab/>
      </w:r>
      <w:r>
        <w:rPr>
          <w:rFonts w:ascii="Arial" w:cs="Arial" w:eastAsia="Arial" w:hAnsi="Arial"/>
          <w:sz w:val="19"/>
          <w:szCs w:val="19"/>
          <w:b w:val="1"/>
          <w:bCs w:val="1"/>
          <w:color w:val="231F20"/>
        </w:rPr>
        <w:t>20</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Productive Wells . . . . . . . . . . . . . . . . . . . . . . . . . . . . . . . . . . . . . . . . . . . . . . . . .</w:t>
      </w:r>
      <w:r>
        <w:rPr>
          <w:sz w:val="20"/>
          <w:szCs w:val="20"/>
          <w:color w:val="auto"/>
        </w:rPr>
        <w:tab/>
      </w:r>
      <w:r>
        <w:rPr>
          <w:rFonts w:ascii="Arial" w:cs="Arial" w:eastAsia="Arial" w:hAnsi="Arial"/>
          <w:sz w:val="19"/>
          <w:szCs w:val="19"/>
          <w:b w:val="1"/>
          <w:bCs w:val="1"/>
          <w:color w:val="231F20"/>
        </w:rPr>
        <w:t>20</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Exploration Inventory . . . . . . . . . . . . . . . . . . . . . . . . . . . . . . . . . . . . . . . . . . . . .</w:t>
      </w:r>
      <w:r>
        <w:rPr>
          <w:sz w:val="20"/>
          <w:szCs w:val="20"/>
          <w:color w:val="auto"/>
        </w:rPr>
        <w:tab/>
      </w:r>
      <w:r>
        <w:rPr>
          <w:rFonts w:ascii="Arial" w:cs="Arial" w:eastAsia="Arial" w:hAnsi="Arial"/>
          <w:sz w:val="19"/>
          <w:szCs w:val="19"/>
          <w:b w:val="1"/>
          <w:bCs w:val="1"/>
          <w:color w:val="231F20"/>
        </w:rPr>
        <w:t>21</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Marketing Arrangements . . . . . . . . . . . . . . . . . . . . . . . . . . . . . . . . . . . . . . . . . .</w:t>
      </w:r>
      <w:r>
        <w:rPr>
          <w:sz w:val="20"/>
          <w:szCs w:val="20"/>
          <w:color w:val="auto"/>
        </w:rPr>
        <w:tab/>
      </w:r>
      <w:r>
        <w:rPr>
          <w:rFonts w:ascii="Arial" w:cs="Arial" w:eastAsia="Arial" w:hAnsi="Arial"/>
          <w:sz w:val="19"/>
          <w:szCs w:val="19"/>
          <w:b w:val="1"/>
          <w:bCs w:val="1"/>
          <w:color w:val="231F20"/>
        </w:rPr>
        <w:t>21</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Competition . . . . . . . . . . . . . . . . . . . . . . . . . . . . . . . . . . . . . . . . . . . . . . . . . . . . .</w:t>
      </w:r>
      <w:r>
        <w:rPr>
          <w:sz w:val="20"/>
          <w:szCs w:val="20"/>
          <w:color w:val="auto"/>
        </w:rPr>
        <w:tab/>
      </w:r>
      <w:r>
        <w:rPr>
          <w:rFonts w:ascii="Arial" w:cs="Arial" w:eastAsia="Arial" w:hAnsi="Arial"/>
          <w:sz w:val="19"/>
          <w:szCs w:val="19"/>
          <w:b w:val="1"/>
          <w:bCs w:val="1"/>
          <w:color w:val="231F20"/>
        </w:rPr>
        <w:t>23</w:t>
      </w:r>
    </w:p>
    <w:p>
      <w:pPr>
        <w:spacing w:after="0" w:line="8"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Carbon Management Segment . . . . . . . . . . . . . . . . . . . . . . . . . . . . . . . . . . . . .</w:t>
      </w:r>
      <w:r>
        <w:rPr>
          <w:sz w:val="20"/>
          <w:szCs w:val="20"/>
          <w:color w:val="auto"/>
        </w:rPr>
        <w:tab/>
      </w:r>
      <w:r>
        <w:rPr>
          <w:rFonts w:ascii="Arial" w:cs="Arial" w:eastAsia="Arial" w:hAnsi="Arial"/>
          <w:sz w:val="19"/>
          <w:szCs w:val="19"/>
          <w:b w:val="1"/>
          <w:bCs w:val="1"/>
          <w:color w:val="231F20"/>
        </w:rPr>
        <w:t>24</w:t>
      </w:r>
    </w:p>
    <w:p>
      <w:pPr>
        <w:spacing w:after="0" w:line="8"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Responsible Net Zero Goal . . . . . . . . . . . . . . . . . . . . . . . . . . . . . . . . . . . . . . . .</w:t>
      </w:r>
      <w:r>
        <w:rPr>
          <w:sz w:val="20"/>
          <w:szCs w:val="20"/>
          <w:color w:val="auto"/>
        </w:rPr>
        <w:tab/>
      </w:r>
      <w:r>
        <w:rPr>
          <w:rFonts w:ascii="Arial" w:cs="Arial" w:eastAsia="Arial" w:hAnsi="Arial"/>
          <w:sz w:val="19"/>
          <w:szCs w:val="19"/>
          <w:b w:val="1"/>
          <w:bCs w:val="1"/>
          <w:color w:val="231F20"/>
        </w:rPr>
        <w:t>25</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Infrastructure . . . . . . . . . . . . . . . . . . . . . . . . . . . . . . . . . . . . . . . . . . . . . . . . . . . .</w:t>
      </w:r>
      <w:r>
        <w:rPr>
          <w:sz w:val="20"/>
          <w:szCs w:val="20"/>
          <w:color w:val="auto"/>
        </w:rPr>
        <w:tab/>
      </w:r>
      <w:r>
        <w:rPr>
          <w:rFonts w:ascii="Arial" w:cs="Arial" w:eastAsia="Arial" w:hAnsi="Arial"/>
          <w:sz w:val="19"/>
          <w:szCs w:val="19"/>
          <w:b w:val="1"/>
          <w:bCs w:val="1"/>
          <w:color w:val="231F20"/>
        </w:rPr>
        <w:t>26</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Human Capital Management . . . . . . . . . . . . . . . . . . . . . . . . . . . . . . . . . . . . . . .</w:t>
      </w:r>
      <w:r>
        <w:rPr>
          <w:sz w:val="20"/>
          <w:szCs w:val="20"/>
          <w:color w:val="auto"/>
        </w:rPr>
        <w:tab/>
      </w:r>
      <w:r>
        <w:rPr>
          <w:rFonts w:ascii="Arial" w:cs="Arial" w:eastAsia="Arial" w:hAnsi="Arial"/>
          <w:sz w:val="19"/>
          <w:szCs w:val="19"/>
          <w:b w:val="1"/>
          <w:bCs w:val="1"/>
          <w:color w:val="231F20"/>
        </w:rPr>
        <w:t>28</w:t>
      </w:r>
    </w:p>
    <w:p>
      <w:pPr>
        <w:spacing w:after="0" w:line="10" w:lineRule="exact"/>
        <w:rPr>
          <w:sz w:val="20"/>
          <w:szCs w:val="20"/>
          <w:color w:val="auto"/>
        </w:rPr>
      </w:pPr>
    </w:p>
    <w:p>
      <w:pPr>
        <w:ind w:left="1720"/>
        <w:spacing w:after="0"/>
        <w:tabs>
          <w:tab w:leader="none" w:pos="8700" w:val="left"/>
        </w:tabs>
        <w:rPr>
          <w:sz w:val="20"/>
          <w:szCs w:val="20"/>
          <w:color w:val="auto"/>
        </w:rPr>
      </w:pPr>
      <w:r>
        <w:rPr>
          <w:rFonts w:ascii="Arial" w:cs="Arial" w:eastAsia="Arial" w:hAnsi="Arial"/>
          <w:sz w:val="20"/>
          <w:szCs w:val="20"/>
          <w:color w:val="231F20"/>
        </w:rPr>
        <w:t>Seasonality . . . . . . . . . . . . . . . . . . . . . . . . . . . . . . . . . . . . . . . . . . . . . . . . . . . . .</w:t>
      </w:r>
      <w:r>
        <w:rPr>
          <w:sz w:val="20"/>
          <w:szCs w:val="20"/>
          <w:color w:val="auto"/>
        </w:rPr>
        <w:tab/>
      </w:r>
      <w:r>
        <w:rPr>
          <w:rFonts w:ascii="Arial" w:cs="Arial" w:eastAsia="Arial" w:hAnsi="Arial"/>
          <w:sz w:val="19"/>
          <w:szCs w:val="19"/>
          <w:b w:val="1"/>
          <w:bCs w:val="1"/>
          <w:color w:val="231F20"/>
        </w:rPr>
        <w:t>29</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Regulation of the Industries in Which We Operate  . . . . . . . . . . . . . . . . . . . . . . .</w:t>
      </w:r>
      <w:r>
        <w:rPr>
          <w:sz w:val="20"/>
          <w:szCs w:val="20"/>
          <w:color w:val="auto"/>
        </w:rPr>
        <w:tab/>
      </w:r>
      <w:r>
        <w:rPr>
          <w:rFonts w:ascii="Arial" w:cs="Arial" w:eastAsia="Arial" w:hAnsi="Arial"/>
          <w:sz w:val="19"/>
          <w:szCs w:val="19"/>
          <w:b w:val="1"/>
          <w:bCs w:val="1"/>
          <w:color w:val="231F20"/>
        </w:rPr>
        <w:t>29</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Available Information . . . . . . . . . . . . . . . . . . . . . . . . . . . . . . . . . . . . . . . . . . . . . . .</w:t>
      </w:r>
      <w:r>
        <w:rPr>
          <w:sz w:val="20"/>
          <w:szCs w:val="20"/>
          <w:color w:val="auto"/>
        </w:rPr>
        <w:tab/>
      </w:r>
      <w:r>
        <w:rPr>
          <w:rFonts w:ascii="Arial" w:cs="Arial" w:eastAsia="Arial" w:hAnsi="Arial"/>
          <w:sz w:val="19"/>
          <w:szCs w:val="19"/>
          <w:b w:val="1"/>
          <w:bCs w:val="1"/>
          <w:color w:val="231F20"/>
        </w:rPr>
        <w:t>37</w:t>
      </w:r>
    </w:p>
    <w:p>
      <w:pPr>
        <w:spacing w:after="0" w:line="10" w:lineRule="exact"/>
        <w:rPr>
          <w:sz w:val="20"/>
          <w:szCs w:val="20"/>
          <w:color w:val="auto"/>
        </w:rPr>
      </w:pPr>
    </w:p>
    <w:p>
      <w:pPr>
        <w:ind w:left="400"/>
        <w:spacing w:after="0"/>
        <w:tabs>
          <w:tab w:leader="none" w:pos="1300" w:val="left"/>
          <w:tab w:leader="none" w:pos="8700" w:val="left"/>
        </w:tabs>
        <w:rPr>
          <w:sz w:val="20"/>
          <w:szCs w:val="20"/>
          <w:color w:val="auto"/>
        </w:rPr>
      </w:pPr>
      <w:r>
        <w:rPr>
          <w:rFonts w:ascii="Arial" w:cs="Arial" w:eastAsia="Arial" w:hAnsi="Arial"/>
          <w:sz w:val="20"/>
          <w:szCs w:val="20"/>
          <w:b w:val="1"/>
          <w:bCs w:val="1"/>
          <w:color w:val="231F20"/>
        </w:rPr>
        <w:t>Item 1A</w:t>
      </w:r>
      <w:r>
        <w:rPr>
          <w:sz w:val="20"/>
          <w:szCs w:val="20"/>
          <w:color w:val="auto"/>
        </w:rPr>
        <w:tab/>
      </w:r>
      <w:r>
        <w:rPr>
          <w:rFonts w:ascii="Arial" w:cs="Arial" w:eastAsia="Arial" w:hAnsi="Arial"/>
          <w:sz w:val="20"/>
          <w:szCs w:val="20"/>
          <w:color w:val="231F20"/>
        </w:rPr>
        <w:t>RISK FACTORS . . . . . . . . . . . . . . . . . . . . . . . . . . . . . . . . . . . . . . . . . . . . . . . . . . . . .</w:t>
      </w:r>
      <w:r>
        <w:rPr>
          <w:sz w:val="20"/>
          <w:szCs w:val="20"/>
          <w:color w:val="auto"/>
        </w:rPr>
        <w:tab/>
      </w:r>
      <w:r>
        <w:rPr>
          <w:rFonts w:ascii="Arial" w:cs="Arial" w:eastAsia="Arial" w:hAnsi="Arial"/>
          <w:sz w:val="19"/>
          <w:szCs w:val="19"/>
          <w:b w:val="1"/>
          <w:bCs w:val="1"/>
          <w:color w:val="231F20"/>
        </w:rPr>
        <w:t>38</w:t>
      </w:r>
    </w:p>
    <w:p>
      <w:pPr>
        <w:spacing w:after="0" w:line="5" w:lineRule="exact"/>
        <w:rPr>
          <w:sz w:val="20"/>
          <w:szCs w:val="20"/>
          <w:color w:val="auto"/>
        </w:rPr>
      </w:pPr>
    </w:p>
    <w:p>
      <w:pPr>
        <w:ind w:left="400"/>
        <w:spacing w:after="0"/>
        <w:tabs>
          <w:tab w:leader="none" w:pos="1300" w:val="left"/>
          <w:tab w:leader="none" w:pos="4740" w:val="left"/>
          <w:tab w:leader="none" w:pos="8700" w:val="left"/>
        </w:tabs>
        <w:rPr>
          <w:sz w:val="20"/>
          <w:szCs w:val="20"/>
          <w:color w:val="auto"/>
        </w:rPr>
      </w:pPr>
      <w:r>
        <w:rPr>
          <w:rFonts w:ascii="Arial" w:cs="Arial" w:eastAsia="Arial" w:hAnsi="Arial"/>
          <w:sz w:val="20"/>
          <w:szCs w:val="20"/>
          <w:b w:val="1"/>
          <w:bCs w:val="1"/>
          <w:color w:val="231F20"/>
        </w:rPr>
        <w:t>Item 1B</w:t>
      </w:r>
      <w:r>
        <w:rPr>
          <w:sz w:val="20"/>
          <w:szCs w:val="20"/>
          <w:color w:val="auto"/>
        </w:rPr>
        <w:tab/>
      </w:r>
      <w:r>
        <w:rPr>
          <w:rFonts w:ascii="Arial" w:cs="Arial" w:eastAsia="Arial" w:hAnsi="Arial"/>
          <w:sz w:val="20"/>
          <w:szCs w:val="20"/>
          <w:color w:val="231F20"/>
        </w:rPr>
        <w:t>UNRESOLVED STAFF COMMENTS</w:t>
        <w:tab/>
        <w:t>. . . . . . . . . . . . . . . . . . . . . . . . . . . . . . . . . . .</w:t>
      </w:r>
      <w:r>
        <w:rPr>
          <w:sz w:val="20"/>
          <w:szCs w:val="20"/>
          <w:color w:val="auto"/>
        </w:rPr>
        <w:tab/>
      </w:r>
      <w:r>
        <w:rPr>
          <w:rFonts w:ascii="Arial" w:cs="Arial" w:eastAsia="Arial" w:hAnsi="Arial"/>
          <w:sz w:val="19"/>
          <w:szCs w:val="19"/>
          <w:b w:val="1"/>
          <w:bCs w:val="1"/>
          <w:color w:val="231F20"/>
        </w:rPr>
        <w:t>58</w:t>
      </w:r>
    </w:p>
    <w:p>
      <w:pPr>
        <w:spacing w:after="0" w:line="5" w:lineRule="exact"/>
        <w:rPr>
          <w:sz w:val="20"/>
          <w:szCs w:val="20"/>
          <w:color w:val="auto"/>
        </w:rPr>
      </w:pPr>
    </w:p>
    <w:p>
      <w:pPr>
        <w:ind w:left="400"/>
        <w:spacing w:after="0"/>
        <w:tabs>
          <w:tab w:leader="none" w:pos="1300" w:val="left"/>
          <w:tab w:leader="none" w:pos="3140" w:val="left"/>
          <w:tab w:leader="none" w:pos="8700" w:val="left"/>
        </w:tabs>
        <w:rPr>
          <w:sz w:val="20"/>
          <w:szCs w:val="20"/>
          <w:color w:val="auto"/>
        </w:rPr>
      </w:pPr>
      <w:r>
        <w:rPr>
          <w:rFonts w:ascii="Arial" w:cs="Arial" w:eastAsia="Arial" w:hAnsi="Arial"/>
          <w:sz w:val="20"/>
          <w:szCs w:val="20"/>
          <w:b w:val="1"/>
          <w:bCs w:val="1"/>
          <w:color w:val="231F20"/>
        </w:rPr>
        <w:t>Item 1C</w:t>
      </w:r>
      <w:r>
        <w:rPr>
          <w:sz w:val="20"/>
          <w:szCs w:val="20"/>
          <w:color w:val="auto"/>
        </w:rPr>
        <w:tab/>
      </w:r>
      <w:r>
        <w:rPr>
          <w:rFonts w:ascii="Arial" w:cs="Arial" w:eastAsia="Arial" w:hAnsi="Arial"/>
          <w:sz w:val="20"/>
          <w:szCs w:val="20"/>
          <w:color w:val="231F20"/>
        </w:rPr>
        <w:t>CYBERSECURITY</w:t>
        <w:tab/>
        <w:t>. . . . . . . . . . . . . . . . . . . . . . . . . . . . . . . . . . . . . . . . . . . . . . . . . .</w:t>
      </w:r>
      <w:r>
        <w:rPr>
          <w:sz w:val="20"/>
          <w:szCs w:val="20"/>
          <w:color w:val="auto"/>
        </w:rPr>
        <w:tab/>
      </w:r>
      <w:r>
        <w:rPr>
          <w:rFonts w:ascii="Arial" w:cs="Arial" w:eastAsia="Arial" w:hAnsi="Arial"/>
          <w:sz w:val="19"/>
          <w:szCs w:val="19"/>
          <w:b w:val="1"/>
          <w:bCs w:val="1"/>
          <w:color w:val="231F20"/>
        </w:rPr>
        <w:t>58</w:t>
      </w:r>
    </w:p>
    <w:p>
      <w:pPr>
        <w:spacing w:after="0" w:line="5" w:lineRule="exact"/>
        <w:rPr>
          <w:sz w:val="20"/>
          <w:szCs w:val="20"/>
          <w:color w:val="auto"/>
        </w:rPr>
      </w:pPr>
    </w:p>
    <w:p>
      <w:pPr>
        <w:ind w:left="400"/>
        <w:spacing w:after="0"/>
        <w:tabs>
          <w:tab w:leader="none" w:pos="1300" w:val="left"/>
          <w:tab w:leader="none" w:pos="8700" w:val="left"/>
        </w:tabs>
        <w:rPr>
          <w:sz w:val="20"/>
          <w:szCs w:val="20"/>
          <w:color w:val="auto"/>
        </w:rPr>
      </w:pPr>
      <w:r>
        <w:rPr>
          <w:rFonts w:ascii="Arial" w:cs="Arial" w:eastAsia="Arial" w:hAnsi="Arial"/>
          <w:sz w:val="20"/>
          <w:szCs w:val="20"/>
          <w:b w:val="1"/>
          <w:bCs w:val="1"/>
          <w:color w:val="231F20"/>
        </w:rPr>
        <w:t>Item 3</w:t>
      </w:r>
      <w:r>
        <w:rPr>
          <w:sz w:val="20"/>
          <w:szCs w:val="20"/>
          <w:color w:val="auto"/>
        </w:rPr>
        <w:tab/>
      </w:r>
      <w:r>
        <w:rPr>
          <w:rFonts w:ascii="Arial" w:cs="Arial" w:eastAsia="Arial" w:hAnsi="Arial"/>
          <w:sz w:val="20"/>
          <w:szCs w:val="20"/>
          <w:color w:val="231F20"/>
        </w:rPr>
        <w:t>LEGAL PROCEEDINGS . . . . . . . . . . . . . . . . . . . . . . . . . . . . . . . . . . . . . . . . . . . . . .</w:t>
      </w:r>
      <w:r>
        <w:rPr>
          <w:sz w:val="20"/>
          <w:szCs w:val="20"/>
          <w:color w:val="auto"/>
        </w:rPr>
        <w:tab/>
      </w:r>
      <w:r>
        <w:rPr>
          <w:rFonts w:ascii="Arial" w:cs="Arial" w:eastAsia="Arial" w:hAnsi="Arial"/>
          <w:sz w:val="19"/>
          <w:szCs w:val="19"/>
          <w:b w:val="1"/>
          <w:bCs w:val="1"/>
          <w:color w:val="231F20"/>
        </w:rPr>
        <w:t>59</w:t>
      </w:r>
    </w:p>
    <w:p>
      <w:pPr>
        <w:spacing w:after="0" w:line="5" w:lineRule="exact"/>
        <w:rPr>
          <w:sz w:val="20"/>
          <w:szCs w:val="20"/>
          <w:color w:val="auto"/>
        </w:rPr>
      </w:pPr>
    </w:p>
    <w:p>
      <w:pPr>
        <w:ind w:left="400"/>
        <w:spacing w:after="0"/>
        <w:tabs>
          <w:tab w:leader="none" w:pos="1300" w:val="left"/>
          <w:tab w:leader="none" w:pos="8700" w:val="left"/>
        </w:tabs>
        <w:rPr>
          <w:sz w:val="20"/>
          <w:szCs w:val="20"/>
          <w:color w:val="auto"/>
        </w:rPr>
      </w:pPr>
      <w:r>
        <w:rPr>
          <w:rFonts w:ascii="Arial" w:cs="Arial" w:eastAsia="Arial" w:hAnsi="Arial"/>
          <w:sz w:val="20"/>
          <w:szCs w:val="20"/>
          <w:b w:val="1"/>
          <w:bCs w:val="1"/>
          <w:color w:val="231F20"/>
        </w:rPr>
        <w:t>Item 4</w:t>
      </w:r>
      <w:r>
        <w:rPr>
          <w:sz w:val="20"/>
          <w:szCs w:val="20"/>
          <w:color w:val="auto"/>
        </w:rPr>
        <w:tab/>
      </w:r>
      <w:r>
        <w:rPr>
          <w:rFonts w:ascii="Arial" w:cs="Arial" w:eastAsia="Arial" w:hAnsi="Arial"/>
          <w:sz w:val="20"/>
          <w:szCs w:val="20"/>
          <w:color w:val="231F20"/>
        </w:rPr>
        <w:t>MINE SAFETY DISCLOSURES . . . . . . . . . . . . . . . . . . . . . . . . . . . . . . . . . . . . . . . .</w:t>
      </w:r>
      <w:r>
        <w:rPr>
          <w:sz w:val="20"/>
          <w:szCs w:val="20"/>
          <w:color w:val="auto"/>
        </w:rPr>
        <w:tab/>
      </w:r>
      <w:r>
        <w:rPr>
          <w:rFonts w:ascii="Arial" w:cs="Arial" w:eastAsia="Arial" w:hAnsi="Arial"/>
          <w:sz w:val="19"/>
          <w:szCs w:val="19"/>
          <w:b w:val="1"/>
          <w:bCs w:val="1"/>
          <w:color w:val="231F20"/>
        </w:rPr>
        <w:t>59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Part II</w:t>
      </w:r>
    </w:p>
    <w:p>
      <w:pPr>
        <w:spacing w:after="0" w:line="10" w:lineRule="exact"/>
        <w:rPr>
          <w:sz w:val="20"/>
          <w:szCs w:val="20"/>
          <w:color w:val="auto"/>
        </w:rPr>
      </w:pPr>
    </w:p>
    <w:p>
      <w:pPr>
        <w:ind w:left="400"/>
        <w:spacing w:after="0"/>
        <w:tabs>
          <w:tab w:leader="none" w:pos="1300" w:val="left"/>
        </w:tabs>
        <w:rPr>
          <w:sz w:val="20"/>
          <w:szCs w:val="20"/>
          <w:color w:val="auto"/>
        </w:rPr>
      </w:pPr>
      <w:r>
        <w:rPr>
          <w:rFonts w:ascii="Arial" w:cs="Arial" w:eastAsia="Arial" w:hAnsi="Arial"/>
          <w:sz w:val="20"/>
          <w:szCs w:val="20"/>
          <w:b w:val="1"/>
          <w:bCs w:val="1"/>
          <w:color w:val="231F20"/>
        </w:rPr>
        <w:t>Item 5</w:t>
      </w:r>
      <w:r>
        <w:rPr>
          <w:sz w:val="20"/>
          <w:szCs w:val="20"/>
          <w:color w:val="auto"/>
        </w:rPr>
        <w:tab/>
      </w:r>
      <w:r>
        <w:rPr>
          <w:rFonts w:ascii="Arial" w:cs="Arial" w:eastAsia="Arial" w:hAnsi="Arial"/>
          <w:sz w:val="19"/>
          <w:szCs w:val="19"/>
          <w:color w:val="231F20"/>
        </w:rPr>
        <w:t>MARKET FOR REGISTRANT’S COMMON EQUITY, RELATED</w:t>
      </w:r>
    </w:p>
    <w:p>
      <w:pPr>
        <w:spacing w:after="0" w:line="10" w:lineRule="exact"/>
        <w:rPr>
          <w:sz w:val="20"/>
          <w:szCs w:val="20"/>
          <w:color w:val="auto"/>
        </w:rPr>
      </w:pPr>
    </w:p>
    <w:p>
      <w:pPr>
        <w:ind w:left="1320"/>
        <w:spacing w:after="0"/>
        <w:rPr>
          <w:sz w:val="20"/>
          <w:szCs w:val="20"/>
          <w:color w:val="auto"/>
        </w:rPr>
      </w:pPr>
      <w:r>
        <w:rPr>
          <w:rFonts w:ascii="Arial" w:cs="Arial" w:eastAsia="Arial" w:hAnsi="Arial"/>
          <w:sz w:val="20"/>
          <w:szCs w:val="20"/>
          <w:color w:val="231F20"/>
        </w:rPr>
        <w:t>STOCKHOLDER MATTERS AND ISSUER PURCHASES OF EQUITY</w:t>
      </w:r>
    </w:p>
    <w:p>
      <w:pPr>
        <w:spacing w:after="0" w:line="5" w:lineRule="exact"/>
        <w:rPr>
          <w:sz w:val="20"/>
          <w:szCs w:val="20"/>
          <w:color w:val="auto"/>
        </w:rPr>
      </w:pPr>
    </w:p>
    <w:p>
      <w:pPr>
        <w:ind w:left="1320"/>
        <w:spacing w:after="0"/>
        <w:tabs>
          <w:tab w:leader="none" w:pos="8700" w:val="left"/>
        </w:tabs>
        <w:rPr>
          <w:sz w:val="20"/>
          <w:szCs w:val="20"/>
          <w:color w:val="auto"/>
        </w:rPr>
      </w:pPr>
      <w:r>
        <w:rPr>
          <w:rFonts w:ascii="Arial" w:cs="Arial" w:eastAsia="Arial" w:hAnsi="Arial"/>
          <w:sz w:val="20"/>
          <w:szCs w:val="20"/>
          <w:color w:val="231F20"/>
        </w:rPr>
        <w:t>SECURITIES  . . . . . . . . . . . . . . . . . . . . . . . . . . . . . . . . . . . . . . . . . . . . . . . . . . . . . . .</w:t>
      </w:r>
      <w:r>
        <w:rPr>
          <w:sz w:val="20"/>
          <w:szCs w:val="20"/>
          <w:color w:val="auto"/>
        </w:rPr>
        <w:tab/>
      </w:r>
      <w:r>
        <w:rPr>
          <w:rFonts w:ascii="Arial" w:cs="Arial" w:eastAsia="Arial" w:hAnsi="Arial"/>
          <w:sz w:val="19"/>
          <w:szCs w:val="19"/>
          <w:b w:val="1"/>
          <w:bCs w:val="1"/>
          <w:color w:val="231F20"/>
        </w:rPr>
        <w:t>60</w:t>
      </w:r>
    </w:p>
    <w:p>
      <w:pPr>
        <w:spacing w:after="0" w:line="10" w:lineRule="exact"/>
        <w:rPr>
          <w:sz w:val="20"/>
          <w:szCs w:val="20"/>
          <w:color w:val="auto"/>
        </w:rPr>
      </w:pPr>
    </w:p>
    <w:p>
      <w:pPr>
        <w:ind w:left="400"/>
        <w:spacing w:after="0"/>
        <w:tabs>
          <w:tab w:leader="none" w:pos="1300" w:val="left"/>
          <w:tab w:leader="none" w:pos="8700" w:val="left"/>
        </w:tabs>
        <w:rPr>
          <w:sz w:val="20"/>
          <w:szCs w:val="20"/>
          <w:color w:val="auto"/>
        </w:rPr>
      </w:pPr>
      <w:r>
        <w:rPr>
          <w:rFonts w:ascii="Arial" w:cs="Arial" w:eastAsia="Arial" w:hAnsi="Arial"/>
          <w:sz w:val="20"/>
          <w:szCs w:val="20"/>
          <w:b w:val="1"/>
          <w:bCs w:val="1"/>
          <w:color w:val="231F20"/>
        </w:rPr>
        <w:t>Item 6</w:t>
      </w:r>
      <w:r>
        <w:rPr>
          <w:sz w:val="20"/>
          <w:szCs w:val="20"/>
          <w:color w:val="auto"/>
        </w:rPr>
        <w:tab/>
      </w:r>
      <w:r>
        <w:rPr>
          <w:rFonts w:ascii="Arial" w:cs="Arial" w:eastAsia="Arial" w:hAnsi="Arial"/>
          <w:sz w:val="20"/>
          <w:szCs w:val="20"/>
          <w:color w:val="231F20"/>
        </w:rPr>
        <w:t>RESERVED  . . . . . . . . . . . . . . . . . . . . . . . . . . . . . . . . . . . . . . . . . . . . . . . . . . . . . . . .</w:t>
      </w:r>
      <w:r>
        <w:rPr>
          <w:sz w:val="20"/>
          <w:szCs w:val="20"/>
          <w:color w:val="auto"/>
        </w:rPr>
        <w:tab/>
      </w:r>
      <w:r>
        <w:rPr>
          <w:rFonts w:ascii="Arial" w:cs="Arial" w:eastAsia="Arial" w:hAnsi="Arial"/>
          <w:sz w:val="19"/>
          <w:szCs w:val="19"/>
          <w:b w:val="1"/>
          <w:bCs w:val="1"/>
          <w:color w:val="231F20"/>
        </w:rPr>
        <w:t>63</w:t>
      </w:r>
    </w:p>
    <w:p>
      <w:pPr>
        <w:spacing w:after="0" w:line="10" w:lineRule="exact"/>
        <w:rPr>
          <w:sz w:val="20"/>
          <w:szCs w:val="20"/>
          <w:color w:val="auto"/>
        </w:rPr>
      </w:pPr>
    </w:p>
    <w:p>
      <w:pPr>
        <w:ind w:left="400"/>
        <w:spacing w:after="0"/>
        <w:tabs>
          <w:tab w:leader="none" w:pos="1300" w:val="left"/>
        </w:tabs>
        <w:rPr>
          <w:sz w:val="20"/>
          <w:szCs w:val="20"/>
          <w:color w:val="auto"/>
        </w:rPr>
      </w:pPr>
      <w:r>
        <w:rPr>
          <w:rFonts w:ascii="Arial" w:cs="Arial" w:eastAsia="Arial" w:hAnsi="Arial"/>
          <w:sz w:val="20"/>
          <w:szCs w:val="20"/>
          <w:b w:val="1"/>
          <w:bCs w:val="1"/>
          <w:color w:val="231F20"/>
        </w:rPr>
        <w:t>Item 7</w:t>
      </w:r>
      <w:r>
        <w:rPr>
          <w:sz w:val="20"/>
          <w:szCs w:val="20"/>
          <w:color w:val="auto"/>
        </w:rPr>
        <w:tab/>
      </w:r>
      <w:r>
        <w:rPr>
          <w:rFonts w:ascii="Arial" w:cs="Arial" w:eastAsia="Arial" w:hAnsi="Arial"/>
          <w:sz w:val="19"/>
          <w:szCs w:val="19"/>
          <w:color w:val="231F20"/>
        </w:rPr>
        <w:t>MANAGEMENT’S DISCUSSION AND ANALYSIS OF FINANCIAL CONDITION</w:t>
      </w:r>
    </w:p>
    <w:p>
      <w:pPr>
        <w:spacing w:after="0" w:line="5" w:lineRule="exact"/>
        <w:rPr>
          <w:sz w:val="20"/>
          <w:szCs w:val="20"/>
          <w:color w:val="auto"/>
        </w:rPr>
      </w:pPr>
    </w:p>
    <w:p>
      <w:pPr>
        <w:ind w:left="1320"/>
        <w:spacing w:after="0"/>
        <w:tabs>
          <w:tab w:leader="none" w:pos="8700" w:val="left"/>
        </w:tabs>
        <w:rPr>
          <w:sz w:val="20"/>
          <w:szCs w:val="20"/>
          <w:color w:val="auto"/>
        </w:rPr>
      </w:pPr>
      <w:r>
        <w:rPr>
          <w:rFonts w:ascii="Arial" w:cs="Arial" w:eastAsia="Arial" w:hAnsi="Arial"/>
          <w:sz w:val="20"/>
          <w:szCs w:val="20"/>
          <w:color w:val="231F20"/>
        </w:rPr>
        <w:t>AND RESULTS OF OPERATIONS  . . . . . . . . . . . . . . . . . . . . . . . . . . . . . . . . . . . . .</w:t>
      </w:r>
      <w:r>
        <w:rPr>
          <w:sz w:val="20"/>
          <w:szCs w:val="20"/>
          <w:color w:val="auto"/>
        </w:rPr>
        <w:tab/>
      </w:r>
      <w:r>
        <w:rPr>
          <w:rFonts w:ascii="Arial" w:cs="Arial" w:eastAsia="Arial" w:hAnsi="Arial"/>
          <w:sz w:val="19"/>
          <w:szCs w:val="19"/>
          <w:b w:val="1"/>
          <w:bCs w:val="1"/>
          <w:color w:val="231F20"/>
        </w:rPr>
        <w:t>64</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Basis of Presentation . . . . . . . . . . . . . . . . . . . . . . . . . . . . . . . . . . . . . . . . . . . . . . .</w:t>
      </w:r>
      <w:r>
        <w:rPr>
          <w:sz w:val="20"/>
          <w:szCs w:val="20"/>
          <w:color w:val="auto"/>
        </w:rPr>
        <w:tab/>
      </w:r>
      <w:r>
        <w:rPr>
          <w:rFonts w:ascii="Arial" w:cs="Arial" w:eastAsia="Arial" w:hAnsi="Arial"/>
          <w:sz w:val="19"/>
          <w:szCs w:val="19"/>
          <w:b w:val="1"/>
          <w:bCs w:val="1"/>
          <w:color w:val="231F20"/>
        </w:rPr>
        <w:t>64</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Statement of Operations Analysis . . . . . . . . . . . . . . . . . . . . . . . . . . . . . . . . . . . . .</w:t>
      </w:r>
      <w:r>
        <w:rPr>
          <w:sz w:val="20"/>
          <w:szCs w:val="20"/>
          <w:color w:val="auto"/>
        </w:rPr>
        <w:tab/>
      </w:r>
      <w:r>
        <w:rPr>
          <w:rFonts w:ascii="Arial" w:cs="Arial" w:eastAsia="Arial" w:hAnsi="Arial"/>
          <w:sz w:val="19"/>
          <w:szCs w:val="19"/>
          <w:b w:val="1"/>
          <w:bCs w:val="1"/>
          <w:color w:val="231F20"/>
        </w:rPr>
        <w:t>64</w:t>
      </w:r>
    </w:p>
    <w:p>
      <w:pPr>
        <w:spacing w:after="0" w:line="12"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Segment Results of Oil and Natural Gas Operations  . . . . . . . . . . . . . . . . . . . . .</w:t>
      </w:r>
      <w:r>
        <w:rPr>
          <w:sz w:val="20"/>
          <w:szCs w:val="20"/>
          <w:color w:val="auto"/>
        </w:rPr>
        <w:tab/>
      </w:r>
      <w:r>
        <w:rPr>
          <w:rFonts w:ascii="Arial" w:cs="Arial" w:eastAsia="Arial" w:hAnsi="Arial"/>
          <w:sz w:val="19"/>
          <w:szCs w:val="19"/>
          <w:b w:val="1"/>
          <w:bCs w:val="1"/>
          <w:color w:val="231F20"/>
        </w:rPr>
        <w:t>69</w:t>
      </w:r>
    </w:p>
    <w:p>
      <w:pPr>
        <w:spacing w:after="0" w:line="8"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Results of Our Carbon Management Segment  . . . . . . . . . . . . . . . . . . . . . . . . . .</w:t>
      </w:r>
      <w:r>
        <w:rPr>
          <w:sz w:val="20"/>
          <w:szCs w:val="20"/>
          <w:color w:val="auto"/>
        </w:rPr>
        <w:tab/>
      </w:r>
      <w:r>
        <w:rPr>
          <w:rFonts w:ascii="Arial" w:cs="Arial" w:eastAsia="Arial" w:hAnsi="Arial"/>
          <w:sz w:val="19"/>
          <w:szCs w:val="19"/>
          <w:b w:val="1"/>
          <w:bCs w:val="1"/>
          <w:color w:val="231F20"/>
        </w:rPr>
        <w:t>72</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Liquidity and Capital Resources  . . . . . . . . . . . . . . . . . . . . . . . . . . . . . . . . . . . . . .</w:t>
      </w:r>
      <w:r>
        <w:rPr>
          <w:sz w:val="20"/>
          <w:szCs w:val="20"/>
          <w:color w:val="auto"/>
        </w:rPr>
        <w:tab/>
      </w:r>
      <w:r>
        <w:rPr>
          <w:rFonts w:ascii="Arial" w:cs="Arial" w:eastAsia="Arial" w:hAnsi="Arial"/>
          <w:sz w:val="19"/>
          <w:szCs w:val="19"/>
          <w:b w:val="1"/>
          <w:bCs w:val="1"/>
          <w:color w:val="231F20"/>
        </w:rPr>
        <w:t>72</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Transactions Related to Our Common Stock . . . . . . . . . . . . . . . . . . . . . . . . . . . .</w:t>
      </w:r>
      <w:r>
        <w:rPr>
          <w:sz w:val="20"/>
          <w:szCs w:val="20"/>
          <w:color w:val="auto"/>
        </w:rPr>
        <w:tab/>
      </w:r>
      <w:r>
        <w:rPr>
          <w:rFonts w:ascii="Arial" w:cs="Arial" w:eastAsia="Arial" w:hAnsi="Arial"/>
          <w:sz w:val="19"/>
          <w:szCs w:val="19"/>
          <w:b w:val="1"/>
          <w:bCs w:val="1"/>
          <w:color w:val="231F20"/>
        </w:rPr>
        <w:t>74</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Uses of Cash  . . . . . . . . . . . . . . . . . . . . . . . . . . . . . . . . . . . . . . . . . . . . . . . . . . . . .</w:t>
      </w:r>
      <w:r>
        <w:rPr>
          <w:sz w:val="20"/>
          <w:szCs w:val="20"/>
          <w:color w:val="auto"/>
        </w:rPr>
        <w:tab/>
      </w:r>
      <w:r>
        <w:rPr>
          <w:rFonts w:ascii="Arial" w:cs="Arial" w:eastAsia="Arial" w:hAnsi="Arial"/>
          <w:sz w:val="19"/>
          <w:szCs w:val="19"/>
          <w:b w:val="1"/>
          <w:bCs w:val="1"/>
          <w:color w:val="231F20"/>
        </w:rPr>
        <w:t>76</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Divestitures and Acquisitions . . . . . . . . . . . . . . . . . . . . . . . . . . . . . . . . . . . . . . . . .</w:t>
      </w:r>
      <w:r>
        <w:rPr>
          <w:sz w:val="20"/>
          <w:szCs w:val="20"/>
          <w:color w:val="auto"/>
        </w:rPr>
        <w:tab/>
      </w:r>
      <w:r>
        <w:rPr>
          <w:rFonts w:ascii="Arial" w:cs="Arial" w:eastAsia="Arial" w:hAnsi="Arial"/>
          <w:sz w:val="19"/>
          <w:szCs w:val="19"/>
          <w:b w:val="1"/>
          <w:bCs w:val="1"/>
          <w:color w:val="231F20"/>
        </w:rPr>
        <w:t>79</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Lawsuits, Claims, Commitments and Contingencies . . . . . . . . . . . . . . . . . . . . . .</w:t>
      </w:r>
      <w:r>
        <w:rPr>
          <w:sz w:val="20"/>
          <w:szCs w:val="20"/>
          <w:color w:val="auto"/>
        </w:rPr>
        <w:tab/>
      </w:r>
      <w:r>
        <w:rPr>
          <w:rFonts w:ascii="Arial" w:cs="Arial" w:eastAsia="Arial" w:hAnsi="Arial"/>
          <w:sz w:val="19"/>
          <w:szCs w:val="19"/>
          <w:b w:val="1"/>
          <w:bCs w:val="1"/>
          <w:color w:val="231F20"/>
        </w:rPr>
        <w:t>80</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Critical Accounting Estimates  . . . . . . . . . . . . . . . . . . . . . . . . . . . . . . . . . . . . . . . .</w:t>
      </w:r>
      <w:r>
        <w:rPr>
          <w:sz w:val="20"/>
          <w:szCs w:val="20"/>
          <w:color w:val="auto"/>
        </w:rPr>
        <w:tab/>
      </w:r>
      <w:r>
        <w:rPr>
          <w:rFonts w:ascii="Arial" w:cs="Arial" w:eastAsia="Arial" w:hAnsi="Arial"/>
          <w:sz w:val="19"/>
          <w:szCs w:val="19"/>
          <w:b w:val="1"/>
          <w:bCs w:val="1"/>
          <w:color w:val="231F20"/>
        </w:rPr>
        <w:t>81</w:t>
      </w:r>
    </w:p>
    <w:p>
      <w:pPr>
        <w:spacing w:after="0" w:line="10" w:lineRule="exact"/>
        <w:rPr>
          <w:sz w:val="20"/>
          <w:szCs w:val="20"/>
          <w:color w:val="auto"/>
        </w:rPr>
      </w:pPr>
    </w:p>
    <w:p>
      <w:pPr>
        <w:ind w:left="1520"/>
        <w:spacing w:after="0"/>
        <w:tabs>
          <w:tab w:leader="none" w:pos="4200" w:val="left"/>
          <w:tab w:leader="none" w:pos="8700" w:val="left"/>
        </w:tabs>
        <w:rPr>
          <w:sz w:val="20"/>
          <w:szCs w:val="20"/>
          <w:color w:val="auto"/>
        </w:rPr>
      </w:pPr>
      <w:r>
        <w:rPr>
          <w:rFonts w:ascii="Arial" w:cs="Arial" w:eastAsia="Arial" w:hAnsi="Arial"/>
          <w:sz w:val="20"/>
          <w:szCs w:val="20"/>
          <w:color w:val="231F20"/>
        </w:rPr>
        <w:t>Forward-Looking Statements</w:t>
        <w:tab/>
        <w:t>. . . . . . . . . . . . . . . . . . . . . . . . . . . . . . . . . . . . . . . .</w:t>
      </w:r>
      <w:r>
        <w:rPr>
          <w:sz w:val="20"/>
          <w:szCs w:val="20"/>
          <w:color w:val="auto"/>
        </w:rPr>
        <w:tab/>
      </w:r>
      <w:r>
        <w:rPr>
          <w:rFonts w:ascii="Arial" w:cs="Arial" w:eastAsia="Arial" w:hAnsi="Arial"/>
          <w:sz w:val="19"/>
          <w:szCs w:val="19"/>
          <w:b w:val="1"/>
          <w:bCs w:val="1"/>
          <w:color w:val="231F20"/>
        </w:rPr>
        <w:t>83</w:t>
      </w:r>
    </w:p>
    <w:p>
      <w:pPr>
        <w:spacing w:after="0" w:line="15" w:lineRule="exact"/>
        <w:rPr>
          <w:sz w:val="20"/>
          <w:szCs w:val="20"/>
          <w:color w:val="auto"/>
        </w:rPr>
      </w:pPr>
    </w:p>
    <w:p>
      <w:pPr>
        <w:ind w:left="400"/>
        <w:spacing w:after="0"/>
        <w:tabs>
          <w:tab w:leader="none" w:pos="1300" w:val="left"/>
        </w:tabs>
        <w:rPr>
          <w:sz w:val="20"/>
          <w:szCs w:val="20"/>
          <w:color w:val="auto"/>
        </w:rPr>
      </w:pPr>
      <w:r>
        <w:rPr>
          <w:rFonts w:ascii="Arial" w:cs="Arial" w:eastAsia="Arial" w:hAnsi="Arial"/>
          <w:sz w:val="20"/>
          <w:szCs w:val="20"/>
          <w:b w:val="1"/>
          <w:bCs w:val="1"/>
          <w:color w:val="231F20"/>
        </w:rPr>
        <w:t>Item 7A</w:t>
      </w:r>
      <w:r>
        <w:rPr>
          <w:sz w:val="20"/>
          <w:szCs w:val="20"/>
          <w:color w:val="auto"/>
        </w:rPr>
        <w:tab/>
      </w:r>
      <w:r>
        <w:rPr>
          <w:rFonts w:ascii="Arial" w:cs="Arial" w:eastAsia="Arial" w:hAnsi="Arial"/>
          <w:sz w:val="19"/>
          <w:szCs w:val="19"/>
          <w:color w:val="231F20"/>
        </w:rPr>
        <w:t>QUANTITATIVE AND QUALITATIVE DISCLOSURES ABOUT MARKET</w:t>
      </w:r>
    </w:p>
    <w:p>
      <w:pPr>
        <w:spacing w:after="0" w:line="5" w:lineRule="exact"/>
        <w:rPr>
          <w:sz w:val="20"/>
          <w:szCs w:val="20"/>
          <w:color w:val="auto"/>
        </w:rPr>
      </w:pPr>
    </w:p>
    <w:p>
      <w:pPr>
        <w:ind w:left="1320"/>
        <w:spacing w:after="0"/>
        <w:tabs>
          <w:tab w:leader="none" w:pos="8700" w:val="left"/>
        </w:tabs>
        <w:rPr>
          <w:sz w:val="20"/>
          <w:szCs w:val="20"/>
          <w:color w:val="auto"/>
        </w:rPr>
      </w:pPr>
      <w:r>
        <w:rPr>
          <w:rFonts w:ascii="Arial" w:cs="Arial" w:eastAsia="Arial" w:hAnsi="Arial"/>
          <w:sz w:val="20"/>
          <w:szCs w:val="20"/>
          <w:color w:val="231F20"/>
        </w:rPr>
        <w:t>RISK . . . . . . . . . . . . . . . . . . . . . . . . . . . . . . . . . . . . . . . . . . . . . . . . . . . . . . . . . . . . . .</w:t>
      </w:r>
      <w:r>
        <w:rPr>
          <w:sz w:val="20"/>
          <w:szCs w:val="20"/>
          <w:color w:val="auto"/>
        </w:rPr>
        <w:tab/>
      </w:r>
      <w:r>
        <w:rPr>
          <w:rFonts w:ascii="Arial" w:cs="Arial" w:eastAsia="Arial" w:hAnsi="Arial"/>
          <w:sz w:val="19"/>
          <w:szCs w:val="19"/>
          <w:b w:val="1"/>
          <w:bCs w:val="1"/>
          <w:color w:val="231F20"/>
        </w:rPr>
        <w:t>85</w:t>
      </w:r>
    </w:p>
    <w:p>
      <w:pPr>
        <w:spacing w:after="0" w:line="10" w:lineRule="exact"/>
        <w:rPr>
          <w:sz w:val="20"/>
          <w:szCs w:val="20"/>
          <w:color w:val="auto"/>
        </w:rPr>
      </w:pPr>
    </w:p>
    <w:p>
      <w:pPr>
        <w:ind w:left="400"/>
        <w:spacing w:after="0"/>
        <w:tabs>
          <w:tab w:leader="none" w:pos="1300" w:val="left"/>
          <w:tab w:leader="none" w:pos="8700" w:val="left"/>
        </w:tabs>
        <w:rPr>
          <w:sz w:val="20"/>
          <w:szCs w:val="20"/>
          <w:color w:val="auto"/>
        </w:rPr>
      </w:pPr>
      <w:r>
        <w:rPr>
          <w:rFonts w:ascii="Arial" w:cs="Arial" w:eastAsia="Arial" w:hAnsi="Arial"/>
          <w:sz w:val="20"/>
          <w:szCs w:val="20"/>
          <w:b w:val="1"/>
          <w:bCs w:val="1"/>
          <w:color w:val="231F20"/>
        </w:rPr>
        <w:t>Item 8</w:t>
      </w:r>
      <w:r>
        <w:rPr>
          <w:sz w:val="20"/>
          <w:szCs w:val="20"/>
          <w:color w:val="auto"/>
        </w:rPr>
        <w:tab/>
      </w:r>
      <w:r>
        <w:rPr>
          <w:rFonts w:ascii="Arial" w:cs="Arial" w:eastAsia="Arial" w:hAnsi="Arial"/>
          <w:sz w:val="20"/>
          <w:szCs w:val="20"/>
          <w:color w:val="231F20"/>
        </w:rPr>
        <w:t>FINANCIAL STATEMENTS AND SUPPLEMENTARY DATA  . . . . . . . . . . . . . . . .</w:t>
      </w:r>
      <w:r>
        <w:rPr>
          <w:sz w:val="20"/>
          <w:szCs w:val="20"/>
          <w:color w:val="auto"/>
        </w:rPr>
        <w:tab/>
      </w:r>
      <w:r>
        <w:rPr>
          <w:rFonts w:ascii="Arial" w:cs="Arial" w:eastAsia="Arial" w:hAnsi="Arial"/>
          <w:sz w:val="19"/>
          <w:szCs w:val="19"/>
          <w:b w:val="1"/>
          <w:bCs w:val="1"/>
          <w:color w:val="231F20"/>
        </w:rPr>
        <w:t>86</w:t>
      </w:r>
    </w:p>
    <w:p>
      <w:pPr>
        <w:spacing w:after="0" w:line="7" w:lineRule="exact"/>
        <w:rPr>
          <w:sz w:val="20"/>
          <w:szCs w:val="20"/>
          <w:color w:val="auto"/>
        </w:rPr>
      </w:pPr>
    </w:p>
    <w:p>
      <w:pPr>
        <w:ind w:left="1520"/>
        <w:spacing w:after="0"/>
        <w:tabs>
          <w:tab w:leader="none" w:pos="6740" w:val="left"/>
          <w:tab w:leader="none" w:pos="8700" w:val="left"/>
        </w:tabs>
        <w:rPr>
          <w:sz w:val="20"/>
          <w:szCs w:val="20"/>
          <w:color w:val="auto"/>
        </w:rPr>
      </w:pPr>
      <w:r>
        <w:rPr>
          <w:rFonts w:ascii="Arial" w:cs="Arial" w:eastAsia="Arial" w:hAnsi="Arial"/>
          <w:sz w:val="20"/>
          <w:szCs w:val="20"/>
          <w:color w:val="231F20"/>
        </w:rPr>
        <w:t>Report of Independent Registered Public Accounting Firm</w:t>
        <w:tab/>
        <w:t>. . . . . . . . . . . . . . . .</w:t>
      </w:r>
      <w:r>
        <w:rPr>
          <w:sz w:val="20"/>
          <w:szCs w:val="20"/>
          <w:color w:val="auto"/>
        </w:rPr>
        <w:tab/>
      </w:r>
      <w:r>
        <w:rPr>
          <w:rFonts w:ascii="Arial" w:cs="Arial" w:eastAsia="Arial" w:hAnsi="Arial"/>
          <w:sz w:val="19"/>
          <w:szCs w:val="19"/>
          <w:b w:val="1"/>
          <w:bCs w:val="1"/>
          <w:color w:val="231F20"/>
        </w:rPr>
        <w:t>86</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Consolidated Balance Sheets . . . . . . . . . . . . . . . . . . . . . . . . . . . . . . . . . . . . . . . .</w:t>
      </w:r>
      <w:r>
        <w:rPr>
          <w:sz w:val="20"/>
          <w:szCs w:val="20"/>
          <w:color w:val="auto"/>
        </w:rPr>
        <w:tab/>
      </w:r>
      <w:r>
        <w:rPr>
          <w:rFonts w:ascii="Arial" w:cs="Arial" w:eastAsia="Arial" w:hAnsi="Arial"/>
          <w:sz w:val="19"/>
          <w:szCs w:val="19"/>
          <w:b w:val="1"/>
          <w:bCs w:val="1"/>
          <w:color w:val="231F20"/>
        </w:rPr>
        <w:t>90</w:t>
      </w:r>
    </w:p>
    <w:p>
      <w:pPr>
        <w:spacing w:after="0" w:line="10" w:lineRule="exact"/>
        <w:rPr>
          <w:sz w:val="20"/>
          <w:szCs w:val="20"/>
          <w:color w:val="auto"/>
        </w:rPr>
      </w:pPr>
    </w:p>
    <w:p>
      <w:pPr>
        <w:ind w:left="1520"/>
        <w:spacing w:after="0"/>
        <w:tabs>
          <w:tab w:leader="none" w:pos="8700" w:val="left"/>
        </w:tabs>
        <w:rPr>
          <w:sz w:val="20"/>
          <w:szCs w:val="20"/>
          <w:color w:val="auto"/>
        </w:rPr>
      </w:pPr>
      <w:r>
        <w:rPr>
          <w:rFonts w:ascii="Arial" w:cs="Arial" w:eastAsia="Arial" w:hAnsi="Arial"/>
          <w:sz w:val="20"/>
          <w:szCs w:val="20"/>
          <w:color w:val="231F20"/>
        </w:rPr>
        <w:t>Consolidated Statements of Operations . . . . . . . . . . . . . . . . . . . . . . . . . . . . . . . .</w:t>
      </w:r>
      <w:r>
        <w:rPr>
          <w:sz w:val="20"/>
          <w:szCs w:val="20"/>
          <w:color w:val="auto"/>
        </w:rPr>
        <w:tab/>
      </w:r>
      <w:r>
        <w:rPr>
          <w:rFonts w:ascii="Arial" w:cs="Arial" w:eastAsia="Arial" w:hAnsi="Arial"/>
          <w:sz w:val="19"/>
          <w:szCs w:val="19"/>
          <w:b w:val="1"/>
          <w:bCs w:val="1"/>
          <w:color w:val="231F20"/>
        </w:rPr>
        <w:t>91</w:t>
      </w:r>
    </w:p>
    <w:p>
      <w:pPr>
        <w:sectPr>
          <w:pgSz w:w="11880" w:h="15480" w:orient="portrait"/>
          <w:cols w:equalWidth="0" w:num="1">
            <w:col w:w="9060"/>
          </w:cols>
          <w:pgMar w:left="1380" w:top="1310" w:right="1440" w:bottom="653" w:gutter="0" w:footer="0" w:header="0"/>
        </w:sect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2</w:t>
      </w:r>
    </w:p>
    <w:p>
      <w:pPr>
        <w:sectPr>
          <w:pgSz w:w="11880" w:h="15480" w:orient="portrait"/>
          <w:cols w:equalWidth="0" w:num="1">
            <w:col w:w="9060"/>
          </w:cols>
          <w:pgMar w:left="1380" w:top="1310" w:right="1440" w:bottom="653" w:gutter="0" w:footer="0" w:header="0"/>
          <w:type w:val="continuous"/>
        </w:sectPr>
      </w:pPr>
    </w:p>
    <w:bookmarkStart w:id="6" w:name="page7"/>
    <w:bookmarkEnd w:id="6"/>
    <w:p>
      <w:pPr>
        <w:jc w:val="right"/>
        <w:ind w:right="40"/>
        <w:spacing w:after="0"/>
        <w:rPr>
          <w:sz w:val="20"/>
          <w:szCs w:val="20"/>
          <w:color w:val="auto"/>
        </w:rPr>
      </w:pPr>
      <w:r>
        <w:rPr>
          <w:rFonts w:ascii="Arial" w:cs="Arial" w:eastAsia="Arial" w:hAnsi="Arial"/>
          <w:sz w:val="16"/>
          <w:szCs w:val="16"/>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5469890</wp:posOffset>
                </wp:positionH>
                <wp:positionV relativeFrom="paragraph">
                  <wp:posOffset>23495</wp:posOffset>
                </wp:positionV>
                <wp:extent cx="2686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60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7pt,1.85pt" to="451.85pt,1.85pt" o:allowincell="f" strokecolor="#231F20" strokeweight="1pt"/>
            </w:pict>
          </mc:Fallback>
        </mc:AlternateContent>
      </w:r>
    </w:p>
    <w:p>
      <w:pPr>
        <w:spacing w:after="0" w:line="77" w:lineRule="exact"/>
        <w:rPr>
          <w:sz w:val="20"/>
          <w:szCs w:val="20"/>
          <w:color w:val="auto"/>
        </w:rPr>
      </w:pPr>
    </w:p>
    <w:p>
      <w:pPr>
        <w:ind w:left="1520"/>
        <w:spacing w:after="0"/>
        <w:tabs>
          <w:tab w:leader="none" w:pos="8760" w:val="left"/>
        </w:tabs>
        <w:rPr>
          <w:sz w:val="20"/>
          <w:szCs w:val="20"/>
          <w:color w:val="auto"/>
        </w:rPr>
      </w:pPr>
      <w:r>
        <w:rPr>
          <w:rFonts w:ascii="Arial" w:cs="Arial" w:eastAsia="Arial" w:hAnsi="Arial"/>
          <w:sz w:val="20"/>
          <w:szCs w:val="20"/>
          <w:color w:val="231F20"/>
        </w:rPr>
        <w:t>Consolidated Statements of Comprehensive Income (Loss)  . . . . . . . . . . . . . . .</w:t>
      </w:r>
      <w:r>
        <w:rPr>
          <w:sz w:val="20"/>
          <w:szCs w:val="20"/>
          <w:color w:val="auto"/>
        </w:rPr>
        <w:tab/>
      </w:r>
      <w:r>
        <w:rPr>
          <w:rFonts w:ascii="Arial" w:cs="Arial" w:eastAsia="Arial" w:hAnsi="Arial"/>
          <w:sz w:val="19"/>
          <w:szCs w:val="19"/>
          <w:b w:val="1"/>
          <w:bCs w:val="1"/>
          <w:color w:val="231F20"/>
        </w:rPr>
        <w:t>92</w:t>
      </w:r>
    </w:p>
    <w:p>
      <w:pPr>
        <w:spacing w:after="0" w:line="10" w:lineRule="exact"/>
        <w:rPr>
          <w:sz w:val="20"/>
          <w:szCs w:val="20"/>
          <w:color w:val="auto"/>
        </w:rPr>
      </w:pPr>
    </w:p>
    <w:p>
      <w:pPr>
        <w:ind w:left="1520"/>
        <w:spacing w:after="0"/>
        <w:tabs>
          <w:tab w:leader="none" w:pos="8760" w:val="left"/>
        </w:tabs>
        <w:rPr>
          <w:sz w:val="20"/>
          <w:szCs w:val="20"/>
          <w:color w:val="auto"/>
        </w:rPr>
      </w:pPr>
      <w:r>
        <w:rPr>
          <w:rFonts w:ascii="Arial" w:cs="Arial" w:eastAsia="Arial" w:hAnsi="Arial"/>
          <w:sz w:val="20"/>
          <w:szCs w:val="20"/>
          <w:color w:val="231F20"/>
        </w:rPr>
        <w:t>Consolidated Statements of Changes in Stockholders’ Equity (Deficit) . . . . . . .</w:t>
      </w:r>
      <w:r>
        <w:rPr>
          <w:sz w:val="20"/>
          <w:szCs w:val="20"/>
          <w:color w:val="auto"/>
        </w:rPr>
        <w:tab/>
      </w:r>
      <w:r>
        <w:rPr>
          <w:rFonts w:ascii="Arial" w:cs="Arial" w:eastAsia="Arial" w:hAnsi="Arial"/>
          <w:sz w:val="19"/>
          <w:szCs w:val="19"/>
          <w:b w:val="1"/>
          <w:bCs w:val="1"/>
          <w:color w:val="231F20"/>
        </w:rPr>
        <w:t>93</w:t>
      </w:r>
    </w:p>
    <w:p>
      <w:pPr>
        <w:spacing w:after="0" w:line="10" w:lineRule="exact"/>
        <w:rPr>
          <w:sz w:val="20"/>
          <w:szCs w:val="20"/>
          <w:color w:val="auto"/>
        </w:rPr>
      </w:pPr>
    </w:p>
    <w:p>
      <w:pPr>
        <w:ind w:left="1520"/>
        <w:spacing w:after="0"/>
        <w:tabs>
          <w:tab w:leader="none" w:pos="8760" w:val="left"/>
        </w:tabs>
        <w:rPr>
          <w:sz w:val="20"/>
          <w:szCs w:val="20"/>
          <w:color w:val="auto"/>
        </w:rPr>
      </w:pPr>
      <w:r>
        <w:rPr>
          <w:rFonts w:ascii="Arial" w:cs="Arial" w:eastAsia="Arial" w:hAnsi="Arial"/>
          <w:sz w:val="20"/>
          <w:szCs w:val="20"/>
          <w:color w:val="231F20"/>
        </w:rPr>
        <w:t>Consolidated Statements of Cash Flows . . . . . . . . . . . . . . . . . . . . . . . . . . . . . . .</w:t>
      </w:r>
      <w:r>
        <w:rPr>
          <w:sz w:val="20"/>
          <w:szCs w:val="20"/>
          <w:color w:val="auto"/>
        </w:rPr>
        <w:tab/>
      </w:r>
      <w:r>
        <w:rPr>
          <w:rFonts w:ascii="Arial" w:cs="Arial" w:eastAsia="Arial" w:hAnsi="Arial"/>
          <w:sz w:val="19"/>
          <w:szCs w:val="19"/>
          <w:b w:val="1"/>
          <w:bCs w:val="1"/>
          <w:color w:val="231F20"/>
        </w:rPr>
        <w:t>94</w:t>
      </w:r>
    </w:p>
    <w:p>
      <w:pPr>
        <w:spacing w:after="0" w:line="10" w:lineRule="exact"/>
        <w:rPr>
          <w:sz w:val="20"/>
          <w:szCs w:val="20"/>
          <w:color w:val="auto"/>
        </w:rPr>
      </w:pPr>
    </w:p>
    <w:p>
      <w:pPr>
        <w:ind w:left="1520"/>
        <w:spacing w:after="0"/>
        <w:tabs>
          <w:tab w:leader="none" w:pos="8760" w:val="left"/>
        </w:tabs>
        <w:rPr>
          <w:sz w:val="20"/>
          <w:szCs w:val="20"/>
          <w:color w:val="auto"/>
        </w:rPr>
      </w:pPr>
      <w:r>
        <w:rPr>
          <w:rFonts w:ascii="Arial" w:cs="Arial" w:eastAsia="Arial" w:hAnsi="Arial"/>
          <w:sz w:val="20"/>
          <w:szCs w:val="20"/>
          <w:color w:val="231F20"/>
        </w:rPr>
        <w:t>Notes to Consolidated Financial Statements . . . . . . . . . . . . . . . . . . . . . . . . . . . .</w:t>
      </w:r>
      <w:r>
        <w:rPr>
          <w:sz w:val="20"/>
          <w:szCs w:val="20"/>
          <w:color w:val="auto"/>
        </w:rPr>
        <w:tab/>
      </w:r>
      <w:r>
        <w:rPr>
          <w:rFonts w:ascii="Arial" w:cs="Arial" w:eastAsia="Arial" w:hAnsi="Arial"/>
          <w:sz w:val="19"/>
          <w:szCs w:val="19"/>
          <w:b w:val="1"/>
          <w:bCs w:val="1"/>
          <w:color w:val="231F20"/>
        </w:rPr>
        <w:t>95</w:t>
      </w:r>
    </w:p>
    <w:p>
      <w:pPr>
        <w:spacing w:after="0" w:line="10" w:lineRule="exact"/>
        <w:rPr>
          <w:sz w:val="20"/>
          <w:szCs w:val="20"/>
          <w:color w:val="auto"/>
        </w:rPr>
      </w:pPr>
    </w:p>
    <w:p>
      <w:pPr>
        <w:ind w:left="1520"/>
        <w:spacing w:after="0"/>
        <w:tabs>
          <w:tab w:leader="none" w:pos="8640" w:val="left"/>
        </w:tabs>
        <w:rPr>
          <w:sz w:val="20"/>
          <w:szCs w:val="20"/>
          <w:color w:val="auto"/>
        </w:rPr>
      </w:pPr>
      <w:r>
        <w:rPr>
          <w:rFonts w:ascii="Arial" w:cs="Arial" w:eastAsia="Arial" w:hAnsi="Arial"/>
          <w:sz w:val="20"/>
          <w:szCs w:val="20"/>
          <w:color w:val="231F20"/>
        </w:rPr>
        <w:t>Supplemental Oil and Gas Information (Unaudited)  . . . . . . . . . . . . . . . . . . . . . .</w:t>
      </w:r>
      <w:r>
        <w:rPr>
          <w:sz w:val="20"/>
          <w:szCs w:val="20"/>
          <w:color w:val="auto"/>
        </w:rPr>
        <w:tab/>
      </w:r>
      <w:r>
        <w:rPr>
          <w:rFonts w:ascii="Arial" w:cs="Arial" w:eastAsia="Arial" w:hAnsi="Arial"/>
          <w:sz w:val="20"/>
          <w:szCs w:val="20"/>
          <w:b w:val="1"/>
          <w:bCs w:val="1"/>
          <w:color w:val="231F20"/>
        </w:rPr>
        <w:t>151</w:t>
      </w:r>
    </w:p>
    <w:p>
      <w:pPr>
        <w:spacing w:after="0" w:line="10"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20"/>
          <w:szCs w:val="20"/>
          <w:b w:val="1"/>
          <w:bCs w:val="1"/>
          <w:color w:val="231F20"/>
        </w:rPr>
        <w:t>Item 9</w:t>
      </w:r>
      <w:r>
        <w:rPr>
          <w:sz w:val="20"/>
          <w:szCs w:val="20"/>
          <w:color w:val="auto"/>
        </w:rPr>
        <w:tab/>
      </w:r>
      <w:r>
        <w:rPr>
          <w:rFonts w:ascii="Arial" w:cs="Arial" w:eastAsia="Arial" w:hAnsi="Arial"/>
          <w:sz w:val="19"/>
          <w:szCs w:val="19"/>
          <w:color w:val="231F20"/>
        </w:rPr>
        <w:t>CHANGES IN AND DISAGREEMENTS WITH ACCOUNTANTS ON</w:t>
      </w:r>
    </w:p>
    <w:p>
      <w:pPr>
        <w:spacing w:after="0" w:line="7" w:lineRule="exact"/>
        <w:rPr>
          <w:sz w:val="20"/>
          <w:szCs w:val="20"/>
          <w:color w:val="auto"/>
        </w:rPr>
      </w:pPr>
    </w:p>
    <w:p>
      <w:pPr>
        <w:ind w:left="1720"/>
        <w:spacing w:after="0"/>
        <w:tabs>
          <w:tab w:leader="none" w:pos="6120" w:val="left"/>
          <w:tab w:leader="none" w:pos="8640" w:val="left"/>
        </w:tabs>
        <w:rPr>
          <w:sz w:val="20"/>
          <w:szCs w:val="20"/>
          <w:color w:val="auto"/>
        </w:rPr>
      </w:pPr>
      <w:r>
        <w:rPr>
          <w:rFonts w:ascii="Arial" w:cs="Arial" w:eastAsia="Arial" w:hAnsi="Arial"/>
          <w:sz w:val="20"/>
          <w:szCs w:val="20"/>
          <w:color w:val="231F20"/>
        </w:rPr>
        <w:t>ACCOUNTING AND FINANCIAL DISCLOSURE</w:t>
        <w:tab/>
        <w:t>. . . . . . . . . . . . . . . . . . . . . .</w:t>
      </w:r>
      <w:r>
        <w:rPr>
          <w:sz w:val="20"/>
          <w:szCs w:val="20"/>
          <w:color w:val="auto"/>
        </w:rPr>
        <w:tab/>
      </w:r>
      <w:r>
        <w:rPr>
          <w:rFonts w:ascii="Arial" w:cs="Arial" w:eastAsia="Arial" w:hAnsi="Arial"/>
          <w:sz w:val="20"/>
          <w:szCs w:val="20"/>
          <w:b w:val="1"/>
          <w:bCs w:val="1"/>
          <w:color w:val="231F20"/>
        </w:rPr>
        <w:t>156</w:t>
      </w:r>
    </w:p>
    <w:p>
      <w:pPr>
        <w:spacing w:after="0" w:line="7" w:lineRule="exact"/>
        <w:rPr>
          <w:sz w:val="20"/>
          <w:szCs w:val="20"/>
          <w:color w:val="auto"/>
        </w:rPr>
      </w:pPr>
    </w:p>
    <w:p>
      <w:pPr>
        <w:ind w:left="400"/>
        <w:spacing w:after="0"/>
        <w:tabs>
          <w:tab w:leader="none" w:pos="1500" w:val="left"/>
          <w:tab w:leader="none" w:pos="8640" w:val="left"/>
        </w:tabs>
        <w:rPr>
          <w:sz w:val="20"/>
          <w:szCs w:val="20"/>
          <w:color w:val="auto"/>
        </w:rPr>
      </w:pPr>
      <w:r>
        <w:rPr>
          <w:rFonts w:ascii="Arial" w:cs="Arial" w:eastAsia="Arial" w:hAnsi="Arial"/>
          <w:sz w:val="20"/>
          <w:szCs w:val="20"/>
          <w:b w:val="1"/>
          <w:bCs w:val="1"/>
          <w:color w:val="231F20"/>
        </w:rPr>
        <w:t>Item 9A</w:t>
      </w:r>
      <w:r>
        <w:rPr>
          <w:sz w:val="20"/>
          <w:szCs w:val="20"/>
          <w:color w:val="auto"/>
        </w:rPr>
        <w:tab/>
      </w:r>
      <w:r>
        <w:rPr>
          <w:rFonts w:ascii="Arial" w:cs="Arial" w:eastAsia="Arial" w:hAnsi="Arial"/>
          <w:sz w:val="20"/>
          <w:szCs w:val="20"/>
          <w:color w:val="231F20"/>
        </w:rPr>
        <w:t>CONTROLS AND PROCEDURES . . . . . . . . . . . . . . . . . . . . . . . . . . . . . . . . . . . .</w:t>
      </w:r>
      <w:r>
        <w:rPr>
          <w:sz w:val="20"/>
          <w:szCs w:val="20"/>
          <w:color w:val="auto"/>
        </w:rPr>
        <w:tab/>
      </w:r>
      <w:r>
        <w:rPr>
          <w:rFonts w:ascii="Arial" w:cs="Arial" w:eastAsia="Arial" w:hAnsi="Arial"/>
          <w:sz w:val="20"/>
          <w:szCs w:val="20"/>
          <w:b w:val="1"/>
          <w:bCs w:val="1"/>
          <w:color w:val="231F20"/>
        </w:rPr>
        <w:t>156</w:t>
      </w:r>
    </w:p>
    <w:p>
      <w:pPr>
        <w:spacing w:after="0" w:line="7" w:lineRule="exact"/>
        <w:rPr>
          <w:sz w:val="20"/>
          <w:szCs w:val="20"/>
          <w:color w:val="auto"/>
        </w:rPr>
      </w:pPr>
    </w:p>
    <w:p>
      <w:pPr>
        <w:ind w:left="400"/>
        <w:spacing w:after="0"/>
        <w:tabs>
          <w:tab w:leader="none" w:pos="1500" w:val="left"/>
          <w:tab w:leader="none" w:pos="8640" w:val="left"/>
        </w:tabs>
        <w:rPr>
          <w:sz w:val="20"/>
          <w:szCs w:val="20"/>
          <w:color w:val="auto"/>
        </w:rPr>
      </w:pPr>
      <w:r>
        <w:rPr>
          <w:rFonts w:ascii="Arial" w:cs="Arial" w:eastAsia="Arial" w:hAnsi="Arial"/>
          <w:sz w:val="20"/>
          <w:szCs w:val="20"/>
          <w:b w:val="1"/>
          <w:bCs w:val="1"/>
          <w:color w:val="231F20"/>
        </w:rPr>
        <w:t>Item 9B</w:t>
      </w:r>
      <w:r>
        <w:rPr>
          <w:sz w:val="20"/>
          <w:szCs w:val="20"/>
          <w:color w:val="auto"/>
        </w:rPr>
        <w:tab/>
      </w:r>
      <w:r>
        <w:rPr>
          <w:rFonts w:ascii="Arial" w:cs="Arial" w:eastAsia="Arial" w:hAnsi="Arial"/>
          <w:sz w:val="20"/>
          <w:szCs w:val="20"/>
          <w:color w:val="231F20"/>
        </w:rPr>
        <w:t>OTHER INFORMATION  . . . . . . . . . . . . . . . . . . . . . . . . . . . . . . . . . . . . . . . . . . . .</w:t>
      </w:r>
      <w:r>
        <w:rPr>
          <w:sz w:val="20"/>
          <w:szCs w:val="20"/>
          <w:color w:val="auto"/>
        </w:rPr>
        <w:tab/>
      </w:r>
      <w:r>
        <w:rPr>
          <w:rFonts w:ascii="Arial" w:cs="Arial" w:eastAsia="Arial" w:hAnsi="Arial"/>
          <w:sz w:val="20"/>
          <w:szCs w:val="20"/>
          <w:b w:val="1"/>
          <w:bCs w:val="1"/>
          <w:color w:val="231F20"/>
        </w:rPr>
        <w:t>157</w:t>
      </w:r>
    </w:p>
    <w:p>
      <w:pPr>
        <w:spacing w:after="0" w:line="10"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20"/>
          <w:szCs w:val="20"/>
          <w:b w:val="1"/>
          <w:bCs w:val="1"/>
          <w:color w:val="231F20"/>
        </w:rPr>
        <w:t>Item 9C</w:t>
      </w:r>
      <w:r>
        <w:rPr>
          <w:sz w:val="20"/>
          <w:szCs w:val="20"/>
          <w:color w:val="auto"/>
        </w:rPr>
        <w:tab/>
      </w:r>
      <w:r>
        <w:rPr>
          <w:rFonts w:ascii="Arial" w:cs="Arial" w:eastAsia="Arial" w:hAnsi="Arial"/>
          <w:sz w:val="19"/>
          <w:szCs w:val="19"/>
          <w:color w:val="231F20"/>
        </w:rPr>
        <w:t>DISCLOSURE REGARDING FOREIGN JURISDICTIONS THAT PREVENT</w:t>
      </w:r>
    </w:p>
    <w:p>
      <w:pPr>
        <w:spacing w:after="0" w:line="7" w:lineRule="exact"/>
        <w:rPr>
          <w:sz w:val="20"/>
          <w:szCs w:val="20"/>
          <w:color w:val="auto"/>
        </w:rPr>
      </w:pPr>
    </w:p>
    <w:p>
      <w:pPr>
        <w:ind w:left="1720"/>
        <w:spacing w:after="0"/>
        <w:tabs>
          <w:tab w:leader="none" w:pos="8640" w:val="left"/>
        </w:tabs>
        <w:rPr>
          <w:sz w:val="20"/>
          <w:szCs w:val="20"/>
          <w:color w:val="auto"/>
        </w:rPr>
      </w:pPr>
      <w:r>
        <w:rPr>
          <w:rFonts w:ascii="Arial" w:cs="Arial" w:eastAsia="Arial" w:hAnsi="Arial"/>
          <w:sz w:val="20"/>
          <w:szCs w:val="20"/>
          <w:color w:val="231F20"/>
        </w:rPr>
        <w:t>INSPECTIONS . . . . . . . . . . . . . . . . . . . . . . . . . . . . . . . . . . . . . . . . . . . . . . . . . .</w:t>
      </w:r>
      <w:r>
        <w:rPr>
          <w:sz w:val="20"/>
          <w:szCs w:val="20"/>
          <w:color w:val="auto"/>
        </w:rPr>
        <w:tab/>
      </w:r>
      <w:r>
        <w:rPr>
          <w:rFonts w:ascii="Arial" w:cs="Arial" w:eastAsia="Arial" w:hAnsi="Arial"/>
          <w:sz w:val="20"/>
          <w:szCs w:val="20"/>
          <w:b w:val="1"/>
          <w:bCs w:val="1"/>
          <w:color w:val="231F20"/>
        </w:rPr>
        <w:t>157</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Part III</w:t>
      </w:r>
    </w:p>
    <w:p>
      <w:pPr>
        <w:spacing w:after="0" w:line="10"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20"/>
          <w:szCs w:val="20"/>
          <w:b w:val="1"/>
          <w:bCs w:val="1"/>
          <w:color w:val="231F20"/>
        </w:rPr>
        <w:t>Item 10</w:t>
      </w:r>
      <w:r>
        <w:rPr>
          <w:sz w:val="20"/>
          <w:szCs w:val="20"/>
          <w:color w:val="auto"/>
        </w:rPr>
        <w:tab/>
      </w:r>
      <w:r>
        <w:rPr>
          <w:rFonts w:ascii="Arial" w:cs="Arial" w:eastAsia="Arial" w:hAnsi="Arial"/>
          <w:sz w:val="19"/>
          <w:szCs w:val="19"/>
          <w:color w:val="231F20"/>
        </w:rPr>
        <w:t>DIRECTORS, EXECUTIVE OFFICERS AND CORPORATE</w:t>
      </w:r>
    </w:p>
    <w:p>
      <w:pPr>
        <w:spacing w:after="0" w:line="7" w:lineRule="exact"/>
        <w:rPr>
          <w:sz w:val="20"/>
          <w:szCs w:val="20"/>
          <w:color w:val="auto"/>
        </w:rPr>
      </w:pPr>
    </w:p>
    <w:p>
      <w:pPr>
        <w:ind w:left="1720"/>
        <w:spacing w:after="0"/>
        <w:tabs>
          <w:tab w:leader="none" w:pos="8640" w:val="left"/>
        </w:tabs>
        <w:rPr>
          <w:sz w:val="20"/>
          <w:szCs w:val="20"/>
          <w:color w:val="auto"/>
        </w:rPr>
      </w:pPr>
      <w:r>
        <w:rPr>
          <w:rFonts w:ascii="Arial" w:cs="Arial" w:eastAsia="Arial" w:hAnsi="Arial"/>
          <w:sz w:val="20"/>
          <w:szCs w:val="20"/>
          <w:color w:val="231F20"/>
        </w:rPr>
        <w:t>GOVERNANCE  . . . . . . . . . . . . . . . . . . . . . . . . . . . . . . . . . . . . . . . . . . . . . . . . .</w:t>
      </w:r>
      <w:r>
        <w:rPr>
          <w:sz w:val="20"/>
          <w:szCs w:val="20"/>
          <w:color w:val="auto"/>
        </w:rPr>
        <w:tab/>
      </w:r>
      <w:r>
        <w:rPr>
          <w:rFonts w:ascii="Arial" w:cs="Arial" w:eastAsia="Arial" w:hAnsi="Arial"/>
          <w:sz w:val="20"/>
          <w:szCs w:val="20"/>
          <w:b w:val="1"/>
          <w:bCs w:val="1"/>
          <w:color w:val="231F20"/>
        </w:rPr>
        <w:t>158</w:t>
      </w:r>
    </w:p>
    <w:p>
      <w:pPr>
        <w:spacing w:after="0" w:line="7" w:lineRule="exact"/>
        <w:rPr>
          <w:sz w:val="20"/>
          <w:szCs w:val="20"/>
          <w:color w:val="auto"/>
        </w:rPr>
      </w:pPr>
    </w:p>
    <w:p>
      <w:pPr>
        <w:ind w:left="1520"/>
        <w:spacing w:after="0"/>
        <w:tabs>
          <w:tab w:leader="none" w:pos="3880" w:val="left"/>
          <w:tab w:leader="none" w:pos="8640" w:val="left"/>
        </w:tabs>
        <w:rPr>
          <w:sz w:val="20"/>
          <w:szCs w:val="20"/>
          <w:color w:val="auto"/>
        </w:rPr>
      </w:pPr>
      <w:r>
        <w:rPr>
          <w:rFonts w:ascii="Arial" w:cs="Arial" w:eastAsia="Arial" w:hAnsi="Arial"/>
          <w:sz w:val="20"/>
          <w:szCs w:val="20"/>
          <w:color w:val="231F20"/>
        </w:rPr>
        <w:t>EXECUTIVE OFFICERS</w:t>
        <w:tab/>
        <w:t>. . . . . . . . . . . . . . . . . . . . . . . . . . . . . . . . . . . . . . . . . . .</w:t>
      </w:r>
      <w:r>
        <w:rPr>
          <w:sz w:val="20"/>
          <w:szCs w:val="20"/>
          <w:color w:val="auto"/>
        </w:rPr>
        <w:tab/>
      </w:r>
      <w:r>
        <w:rPr>
          <w:rFonts w:ascii="Arial" w:cs="Arial" w:eastAsia="Arial" w:hAnsi="Arial"/>
          <w:sz w:val="20"/>
          <w:szCs w:val="20"/>
          <w:b w:val="1"/>
          <w:bCs w:val="1"/>
          <w:color w:val="231F20"/>
        </w:rPr>
        <w:t>158</w:t>
      </w:r>
    </w:p>
    <w:p>
      <w:pPr>
        <w:spacing w:after="0" w:line="5" w:lineRule="exact"/>
        <w:rPr>
          <w:sz w:val="20"/>
          <w:szCs w:val="20"/>
          <w:color w:val="auto"/>
        </w:rPr>
      </w:pPr>
    </w:p>
    <w:p>
      <w:pPr>
        <w:ind w:left="400"/>
        <w:spacing w:after="0"/>
        <w:tabs>
          <w:tab w:leader="none" w:pos="1500" w:val="left"/>
          <w:tab w:leader="none" w:pos="8640" w:val="left"/>
        </w:tabs>
        <w:rPr>
          <w:sz w:val="20"/>
          <w:szCs w:val="20"/>
          <w:color w:val="auto"/>
        </w:rPr>
      </w:pPr>
      <w:r>
        <w:rPr>
          <w:rFonts w:ascii="Arial" w:cs="Arial" w:eastAsia="Arial" w:hAnsi="Arial"/>
          <w:sz w:val="20"/>
          <w:szCs w:val="20"/>
          <w:b w:val="1"/>
          <w:bCs w:val="1"/>
          <w:color w:val="231F20"/>
        </w:rPr>
        <w:t>Item 11</w:t>
      </w:r>
      <w:r>
        <w:rPr>
          <w:sz w:val="20"/>
          <w:szCs w:val="20"/>
          <w:color w:val="auto"/>
        </w:rPr>
        <w:tab/>
      </w:r>
      <w:r>
        <w:rPr>
          <w:rFonts w:ascii="Arial" w:cs="Arial" w:eastAsia="Arial" w:hAnsi="Arial"/>
          <w:sz w:val="20"/>
          <w:szCs w:val="20"/>
          <w:color w:val="231F20"/>
        </w:rPr>
        <w:t>EXECUTIVE COMPENSATION  . . . . . . . . . . . . . . . . . . . . . . . . . . . . . . . . . . . . . .</w:t>
      </w:r>
      <w:r>
        <w:rPr>
          <w:sz w:val="20"/>
          <w:szCs w:val="20"/>
          <w:color w:val="auto"/>
        </w:rPr>
        <w:tab/>
      </w:r>
      <w:r>
        <w:rPr>
          <w:rFonts w:ascii="Arial" w:cs="Arial" w:eastAsia="Arial" w:hAnsi="Arial"/>
          <w:sz w:val="20"/>
          <w:szCs w:val="20"/>
          <w:b w:val="1"/>
          <w:bCs w:val="1"/>
          <w:color w:val="231F20"/>
        </w:rPr>
        <w:t>159</w:t>
      </w:r>
    </w:p>
    <w:p>
      <w:pPr>
        <w:spacing w:after="0" w:line="10"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20"/>
          <w:szCs w:val="20"/>
          <w:b w:val="1"/>
          <w:bCs w:val="1"/>
          <w:color w:val="231F20"/>
        </w:rPr>
        <w:t>Item 12</w:t>
      </w:r>
      <w:r>
        <w:rPr>
          <w:sz w:val="20"/>
          <w:szCs w:val="20"/>
          <w:color w:val="auto"/>
        </w:rPr>
        <w:tab/>
      </w:r>
      <w:r>
        <w:rPr>
          <w:rFonts w:ascii="Arial" w:cs="Arial" w:eastAsia="Arial" w:hAnsi="Arial"/>
          <w:sz w:val="19"/>
          <w:szCs w:val="19"/>
          <w:color w:val="231F20"/>
        </w:rPr>
        <w:t>SECURITY OWNERSHIP OF CERTAIN BENEFICIAL OWNERS AND</w:t>
      </w:r>
    </w:p>
    <w:p>
      <w:pPr>
        <w:spacing w:after="0" w:line="5" w:lineRule="exact"/>
        <w:rPr>
          <w:sz w:val="20"/>
          <w:szCs w:val="20"/>
          <w:color w:val="auto"/>
        </w:rPr>
      </w:pPr>
    </w:p>
    <w:p>
      <w:pPr>
        <w:ind w:left="1720"/>
        <w:spacing w:after="0"/>
        <w:tabs>
          <w:tab w:leader="none" w:pos="8640" w:val="left"/>
        </w:tabs>
        <w:rPr>
          <w:sz w:val="20"/>
          <w:szCs w:val="20"/>
          <w:color w:val="auto"/>
        </w:rPr>
      </w:pPr>
      <w:r>
        <w:rPr>
          <w:rFonts w:ascii="Arial" w:cs="Arial" w:eastAsia="Arial" w:hAnsi="Arial"/>
          <w:sz w:val="20"/>
          <w:szCs w:val="20"/>
          <w:color w:val="231F20"/>
        </w:rPr>
        <w:t>MANAGEMENT AND RELATED STOCKHOLDER MATTERS . . . . . . . . . . .</w:t>
      </w:r>
      <w:r>
        <w:rPr>
          <w:sz w:val="20"/>
          <w:szCs w:val="20"/>
          <w:color w:val="auto"/>
        </w:rPr>
        <w:tab/>
      </w:r>
      <w:r>
        <w:rPr>
          <w:rFonts w:ascii="Arial" w:cs="Arial" w:eastAsia="Arial" w:hAnsi="Arial"/>
          <w:sz w:val="20"/>
          <w:szCs w:val="20"/>
          <w:b w:val="1"/>
          <w:bCs w:val="1"/>
          <w:color w:val="231F20"/>
        </w:rPr>
        <w:t>159</w:t>
      </w:r>
    </w:p>
    <w:p>
      <w:pPr>
        <w:spacing w:after="0" w:line="10"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20"/>
          <w:szCs w:val="20"/>
          <w:b w:val="1"/>
          <w:bCs w:val="1"/>
          <w:color w:val="231F20"/>
        </w:rPr>
        <w:t>Item 13</w:t>
      </w:r>
      <w:r>
        <w:rPr>
          <w:sz w:val="20"/>
          <w:szCs w:val="20"/>
          <w:color w:val="auto"/>
        </w:rPr>
        <w:tab/>
      </w:r>
      <w:r>
        <w:rPr>
          <w:rFonts w:ascii="Arial" w:cs="Arial" w:eastAsia="Arial" w:hAnsi="Arial"/>
          <w:sz w:val="19"/>
          <w:szCs w:val="19"/>
          <w:color w:val="231F20"/>
        </w:rPr>
        <w:t>CERTAIN RELATIONSHIPS AND RELATED TRANSACTIONS AND</w:t>
      </w:r>
    </w:p>
    <w:p>
      <w:pPr>
        <w:spacing w:after="0" w:line="5" w:lineRule="exact"/>
        <w:rPr>
          <w:sz w:val="20"/>
          <w:szCs w:val="20"/>
          <w:color w:val="auto"/>
        </w:rPr>
      </w:pPr>
    </w:p>
    <w:p>
      <w:pPr>
        <w:ind w:left="1720"/>
        <w:spacing w:after="0"/>
        <w:tabs>
          <w:tab w:leader="none" w:pos="4520" w:val="left"/>
          <w:tab w:leader="none" w:pos="8640" w:val="left"/>
        </w:tabs>
        <w:rPr>
          <w:sz w:val="20"/>
          <w:szCs w:val="20"/>
          <w:color w:val="auto"/>
        </w:rPr>
      </w:pPr>
      <w:r>
        <w:rPr>
          <w:rFonts w:ascii="Arial" w:cs="Arial" w:eastAsia="Arial" w:hAnsi="Arial"/>
          <w:sz w:val="20"/>
          <w:szCs w:val="20"/>
          <w:color w:val="231F20"/>
        </w:rPr>
        <w:t>DIRECTOR INDEPENDENCE</w:t>
        <w:tab/>
        <w:t>. . . . . . . . . . . . . . . . . . . . . . . . . . . . . . . . . . . . .</w:t>
      </w:r>
      <w:r>
        <w:rPr>
          <w:sz w:val="20"/>
          <w:szCs w:val="20"/>
          <w:color w:val="auto"/>
        </w:rPr>
        <w:tab/>
      </w:r>
      <w:r>
        <w:rPr>
          <w:rFonts w:ascii="Arial" w:cs="Arial" w:eastAsia="Arial" w:hAnsi="Arial"/>
          <w:sz w:val="20"/>
          <w:szCs w:val="20"/>
          <w:b w:val="1"/>
          <w:bCs w:val="1"/>
          <w:color w:val="231F20"/>
        </w:rPr>
        <w:t>159</w:t>
      </w:r>
    </w:p>
    <w:p>
      <w:pPr>
        <w:spacing w:after="0" w:line="5" w:lineRule="exact"/>
        <w:rPr>
          <w:sz w:val="20"/>
          <w:szCs w:val="20"/>
          <w:color w:val="auto"/>
        </w:rPr>
      </w:pPr>
    </w:p>
    <w:p>
      <w:pPr>
        <w:ind w:left="400"/>
        <w:spacing w:after="0"/>
        <w:tabs>
          <w:tab w:leader="none" w:pos="1500" w:val="left"/>
          <w:tab w:leader="none" w:pos="8640" w:val="left"/>
        </w:tabs>
        <w:rPr>
          <w:sz w:val="20"/>
          <w:szCs w:val="20"/>
          <w:color w:val="auto"/>
        </w:rPr>
      </w:pPr>
      <w:r>
        <w:rPr>
          <w:rFonts w:ascii="Arial" w:cs="Arial" w:eastAsia="Arial" w:hAnsi="Arial"/>
          <w:sz w:val="20"/>
          <w:szCs w:val="20"/>
          <w:b w:val="1"/>
          <w:bCs w:val="1"/>
          <w:color w:val="231F20"/>
        </w:rPr>
        <w:t>Item 14</w:t>
      </w:r>
      <w:r>
        <w:rPr>
          <w:sz w:val="20"/>
          <w:szCs w:val="20"/>
          <w:color w:val="auto"/>
        </w:rPr>
        <w:tab/>
      </w:r>
      <w:r>
        <w:rPr>
          <w:rFonts w:ascii="Arial" w:cs="Arial" w:eastAsia="Arial" w:hAnsi="Arial"/>
          <w:sz w:val="20"/>
          <w:szCs w:val="20"/>
          <w:color w:val="231F20"/>
        </w:rPr>
        <w:t>PRINCIPAL ACCOUNTANT FEES AND SERVICES . . . . . . . . . . . . . . . . . . . . .</w:t>
      </w:r>
      <w:r>
        <w:rPr>
          <w:sz w:val="20"/>
          <w:szCs w:val="20"/>
          <w:color w:val="auto"/>
        </w:rPr>
        <w:tab/>
      </w:r>
      <w:r>
        <w:rPr>
          <w:rFonts w:ascii="Arial" w:cs="Arial" w:eastAsia="Arial" w:hAnsi="Arial"/>
          <w:sz w:val="20"/>
          <w:szCs w:val="20"/>
          <w:b w:val="1"/>
          <w:bCs w:val="1"/>
          <w:color w:val="231F20"/>
        </w:rPr>
        <w:t>159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Part IV</w:t>
      </w:r>
    </w:p>
    <w:p>
      <w:pPr>
        <w:spacing w:after="0" w:line="5" w:lineRule="exact"/>
        <w:rPr>
          <w:sz w:val="20"/>
          <w:szCs w:val="20"/>
          <w:color w:val="auto"/>
        </w:rPr>
      </w:pPr>
    </w:p>
    <w:p>
      <w:pPr>
        <w:ind w:left="400"/>
        <w:spacing w:after="0"/>
        <w:tabs>
          <w:tab w:leader="none" w:pos="1500" w:val="left"/>
          <w:tab w:leader="none" w:pos="8640" w:val="left"/>
        </w:tabs>
        <w:rPr>
          <w:sz w:val="20"/>
          <w:szCs w:val="20"/>
          <w:color w:val="auto"/>
        </w:rPr>
      </w:pPr>
      <w:r>
        <w:rPr>
          <w:rFonts w:ascii="Arial" w:cs="Arial" w:eastAsia="Arial" w:hAnsi="Arial"/>
          <w:sz w:val="20"/>
          <w:szCs w:val="20"/>
          <w:b w:val="1"/>
          <w:bCs w:val="1"/>
          <w:color w:val="231F20"/>
        </w:rPr>
        <w:t>Item 15</w:t>
      </w:r>
      <w:r>
        <w:rPr>
          <w:sz w:val="20"/>
          <w:szCs w:val="20"/>
          <w:color w:val="auto"/>
        </w:rPr>
        <w:tab/>
      </w:r>
      <w:r>
        <w:rPr>
          <w:rFonts w:ascii="Arial" w:cs="Arial" w:eastAsia="Arial" w:hAnsi="Arial"/>
          <w:sz w:val="20"/>
          <w:szCs w:val="20"/>
          <w:color w:val="231F20"/>
        </w:rPr>
        <w:t>EXHIBITS . . . . . . . . . . . . . . . . . . . . . . . . . . . . . . . . . . . . . . . . . . . . . . . . . . . . . . . .</w:t>
      </w:r>
      <w:r>
        <w:rPr>
          <w:sz w:val="20"/>
          <w:szCs w:val="20"/>
          <w:color w:val="auto"/>
        </w:rPr>
        <w:tab/>
      </w:r>
      <w:r>
        <w:rPr>
          <w:rFonts w:ascii="Arial" w:cs="Arial" w:eastAsia="Arial" w:hAnsi="Arial"/>
          <w:sz w:val="20"/>
          <w:szCs w:val="20"/>
          <w:b w:val="1"/>
          <w:bCs w:val="1"/>
          <w:color w:val="231F20"/>
        </w:rPr>
        <w:t>160</w:t>
      </w:r>
    </w:p>
    <w:p>
      <w:pPr>
        <w:sectPr>
          <w:pgSz w:w="11880" w:h="15480" w:orient="portrait"/>
          <w:cols w:equalWidth="0" w:num="1">
            <w:col w:w="9060"/>
          </w:cols>
          <w:pgMar w:left="1380" w:top="1268"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3</w:t>
      </w:r>
    </w:p>
    <w:p>
      <w:pPr>
        <w:sectPr>
          <w:pgSz w:w="11880" w:h="15480" w:orient="portrait"/>
          <w:cols w:equalWidth="0" w:num="1">
            <w:col w:w="9060"/>
          </w:cols>
          <w:pgMar w:left="1380" w:top="1268" w:right="1440" w:bottom="653"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231F20"/>
        </w:rPr>
        <w:t>GLOSSARY AND SELECTED ABBREVIATIONS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231F20"/>
        </w:rPr>
        <w:t>The following are abbreviations and definitions of certain terms used within this Form 10-K:</w:t>
      </w:r>
    </w:p>
    <w:p>
      <w:pPr>
        <w:spacing w:after="0" w:line="212" w:lineRule="exact"/>
        <w:rPr>
          <w:sz w:val="20"/>
          <w:szCs w:val="20"/>
          <w:color w:val="auto"/>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AB </w:t>
      </w:r>
      <w:r>
        <w:rPr>
          <w:rFonts w:ascii="Arial" w:cs="Arial" w:eastAsia="Arial" w:hAnsi="Arial"/>
          <w:sz w:val="20"/>
          <w:szCs w:val="20"/>
          <w:color w:val="231F20"/>
        </w:rPr>
        <w:t>- Assembly Bill</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ABR </w:t>
      </w:r>
      <w:r>
        <w:rPr>
          <w:rFonts w:ascii="Arial" w:cs="Arial" w:eastAsia="Arial" w:hAnsi="Arial"/>
          <w:sz w:val="20"/>
          <w:szCs w:val="20"/>
          <w:color w:val="231F20"/>
        </w:rPr>
        <w:t>- Alternate base rate.</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Aera </w:t>
      </w:r>
      <w:r>
        <w:rPr>
          <w:rFonts w:ascii="Arial" w:cs="Arial" w:eastAsia="Arial" w:hAnsi="Arial"/>
          <w:sz w:val="20"/>
          <w:szCs w:val="20"/>
          <w:color w:val="231F20"/>
        </w:rPr>
        <w:t>- Aera Energy LLC.</w:t>
      </w:r>
    </w:p>
    <w:p>
      <w:pPr>
        <w:spacing w:after="0" w:line="10" w:lineRule="exact"/>
        <w:rPr>
          <w:rFonts w:ascii="Arial" w:cs="Arial" w:eastAsia="Arial" w:hAnsi="Arial"/>
          <w:sz w:val="20"/>
          <w:szCs w:val="20"/>
          <w:color w:val="231F20"/>
        </w:rPr>
      </w:pPr>
    </w:p>
    <w:p>
      <w:pPr>
        <w:ind w:left="600" w:right="240" w:hanging="300"/>
        <w:spacing w:after="0" w:line="249" w:lineRule="auto"/>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Aera Merger </w:t>
      </w:r>
      <w:r>
        <w:rPr>
          <w:rFonts w:ascii="Arial" w:cs="Arial" w:eastAsia="Arial" w:hAnsi="Arial"/>
          <w:sz w:val="20"/>
          <w:szCs w:val="20"/>
          <w:color w:val="231F20"/>
        </w:rPr>
        <w:t>- The transactions contemplated by the definitive agreement and plan of merger</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entered into on February 7, 2024 to obtain all the ownership interests in Aera in an all-stock transaction.</w:t>
      </w:r>
    </w:p>
    <w:p>
      <w:pPr>
        <w:spacing w:after="0" w:line="4"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ASC </w:t>
      </w:r>
      <w:r>
        <w:rPr>
          <w:rFonts w:ascii="Arial" w:cs="Arial" w:eastAsia="Arial" w:hAnsi="Arial"/>
          <w:sz w:val="20"/>
          <w:szCs w:val="20"/>
          <w:color w:val="231F20"/>
        </w:rPr>
        <w:t>- Accounting Standards Codification.</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ARO </w:t>
      </w:r>
      <w:r>
        <w:rPr>
          <w:rFonts w:ascii="Arial" w:cs="Arial" w:eastAsia="Arial" w:hAnsi="Arial"/>
          <w:sz w:val="20"/>
          <w:szCs w:val="20"/>
          <w:color w:val="231F20"/>
        </w:rPr>
        <w:t>- Asset retirement obligation.</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Bbl </w:t>
      </w:r>
      <w:r>
        <w:rPr>
          <w:rFonts w:ascii="Arial" w:cs="Arial" w:eastAsia="Arial" w:hAnsi="Arial"/>
          <w:sz w:val="20"/>
          <w:szCs w:val="20"/>
          <w:color w:val="231F20"/>
        </w:rPr>
        <w:t>- Barrel.</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Bbl/d </w:t>
      </w:r>
      <w:r>
        <w:rPr>
          <w:rFonts w:ascii="Arial" w:cs="Arial" w:eastAsia="Arial" w:hAnsi="Arial"/>
          <w:sz w:val="20"/>
          <w:szCs w:val="20"/>
          <w:color w:val="231F20"/>
        </w:rPr>
        <w:t>- Barrels per day.</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Bcf </w:t>
      </w:r>
      <w:r>
        <w:rPr>
          <w:rFonts w:ascii="Arial" w:cs="Arial" w:eastAsia="Arial" w:hAnsi="Arial"/>
          <w:sz w:val="20"/>
          <w:szCs w:val="20"/>
          <w:color w:val="231F20"/>
        </w:rPr>
        <w:t>- Billion cubic feet.</w:t>
      </w:r>
    </w:p>
    <w:p>
      <w:pPr>
        <w:spacing w:after="0" w:line="10" w:lineRule="exact"/>
        <w:rPr>
          <w:rFonts w:ascii="Arial" w:cs="Arial" w:eastAsia="Arial" w:hAnsi="Arial"/>
          <w:sz w:val="20"/>
          <w:szCs w:val="20"/>
          <w:color w:val="231F20"/>
        </w:rPr>
      </w:pPr>
    </w:p>
    <w:p>
      <w:pPr>
        <w:ind w:left="600" w:right="60" w:hanging="300"/>
        <w:spacing w:after="0" w:line="248" w:lineRule="auto"/>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Bcfe </w:t>
      </w:r>
      <w:r>
        <w:rPr>
          <w:rFonts w:ascii="Arial" w:cs="Arial" w:eastAsia="Arial" w:hAnsi="Arial"/>
          <w:sz w:val="20"/>
          <w:szCs w:val="20"/>
          <w:color w:val="231F20"/>
        </w:rPr>
        <w:t>- Billion cubic feet of natural gas equivalent using the ratio of one barrel of oil, condensate,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or NGLs converted to six thousand cubic feet of natural gas.</w:t>
      </w:r>
    </w:p>
    <w:p>
      <w:pPr>
        <w:spacing w:after="0" w:line="4"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Berry </w:t>
      </w:r>
      <w:r>
        <w:rPr>
          <w:rFonts w:ascii="Arial" w:cs="Arial" w:eastAsia="Arial" w:hAnsi="Arial"/>
          <w:sz w:val="20"/>
          <w:szCs w:val="20"/>
          <w:color w:val="231F20"/>
        </w:rPr>
        <w:t>- Berry Corporation (bry).</w:t>
      </w:r>
    </w:p>
    <w:p>
      <w:pPr>
        <w:spacing w:after="0" w:line="10" w:lineRule="exact"/>
        <w:rPr>
          <w:rFonts w:ascii="Arial" w:cs="Arial" w:eastAsia="Arial" w:hAnsi="Arial"/>
          <w:sz w:val="20"/>
          <w:szCs w:val="20"/>
          <w:color w:val="231F20"/>
        </w:rPr>
      </w:pPr>
    </w:p>
    <w:p>
      <w:pPr>
        <w:ind w:left="600" w:right="180" w:hanging="300"/>
        <w:spacing w:after="0" w:line="248" w:lineRule="auto"/>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Berry Merger </w:t>
      </w:r>
      <w:r>
        <w:rPr>
          <w:rFonts w:ascii="Arial" w:cs="Arial" w:eastAsia="Arial" w:hAnsi="Arial"/>
          <w:sz w:val="20"/>
          <w:szCs w:val="20"/>
          <w:color w:val="231F20"/>
        </w:rPr>
        <w:t>- The transactions contemplated by the definitive agreement and plan of merger</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entered into on September 14, 2025 to combine with Berry in an all-stock transaction.</w:t>
      </w:r>
    </w:p>
    <w:p>
      <w:pPr>
        <w:spacing w:after="0" w:line="4" w:lineRule="exact"/>
        <w:rPr>
          <w:rFonts w:ascii="Arial" w:cs="Arial" w:eastAsia="Arial" w:hAnsi="Arial"/>
          <w:sz w:val="20"/>
          <w:szCs w:val="20"/>
          <w:color w:val="231F20"/>
        </w:rPr>
      </w:pPr>
    </w:p>
    <w:p>
      <w:pPr>
        <w:ind w:left="600" w:right="240" w:hanging="300"/>
        <w:spacing w:after="0" w:line="249" w:lineRule="auto"/>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Boe </w:t>
      </w:r>
      <w:r>
        <w:rPr>
          <w:rFonts w:ascii="Arial" w:cs="Arial" w:eastAsia="Arial" w:hAnsi="Arial"/>
          <w:sz w:val="20"/>
          <w:szCs w:val="20"/>
          <w:color w:val="231F20"/>
        </w:rPr>
        <w:t>- We convert natural gas volumes to crude oil equivalents using a ratio of six thousand</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cubic feet (Mcf) to one barrel of crude oil equivalent based on energy content. This is a widely used conversion method in the oil and natural gas industry.</w:t>
      </w:r>
    </w:p>
    <w:p>
      <w:pPr>
        <w:spacing w:after="0" w:line="4"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Boe/d </w:t>
      </w:r>
      <w:r>
        <w:rPr>
          <w:rFonts w:ascii="Arial" w:cs="Arial" w:eastAsia="Arial" w:hAnsi="Arial"/>
          <w:sz w:val="20"/>
          <w:szCs w:val="20"/>
          <w:color w:val="231F20"/>
        </w:rPr>
        <w:t>- Barrel of oil equivalent per day.</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Brookfield </w:t>
      </w:r>
      <w:r>
        <w:rPr>
          <w:rFonts w:ascii="Arial" w:cs="Arial" w:eastAsia="Arial" w:hAnsi="Arial"/>
          <w:sz w:val="20"/>
          <w:szCs w:val="20"/>
          <w:color w:val="231F20"/>
        </w:rPr>
        <w:t>- BGTF Sierra Aggregator LLC.</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Btu </w:t>
      </w:r>
      <w:r>
        <w:rPr>
          <w:rFonts w:ascii="Arial" w:cs="Arial" w:eastAsia="Arial" w:hAnsi="Arial"/>
          <w:sz w:val="20"/>
          <w:szCs w:val="20"/>
          <w:color w:val="231F20"/>
        </w:rPr>
        <w:t>- British thermal unit.</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CalGEM </w:t>
      </w:r>
      <w:r>
        <w:rPr>
          <w:rFonts w:ascii="Arial" w:cs="Arial" w:eastAsia="Arial" w:hAnsi="Arial"/>
          <w:sz w:val="20"/>
          <w:szCs w:val="20"/>
          <w:color w:val="231F20"/>
        </w:rPr>
        <w:t>- California Geologic Energy Management Division.</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CAISO </w:t>
      </w:r>
      <w:r>
        <w:rPr>
          <w:rFonts w:ascii="Arial" w:cs="Arial" w:eastAsia="Arial" w:hAnsi="Arial"/>
          <w:sz w:val="20"/>
          <w:szCs w:val="20"/>
          <w:color w:val="231F20"/>
        </w:rPr>
        <w:t>- California Independent System Operator.</w:t>
      </w:r>
    </w:p>
    <w:p>
      <w:pPr>
        <w:spacing w:after="0" w:line="10" w:lineRule="exact"/>
        <w:rPr>
          <w:rFonts w:ascii="Arial" w:cs="Arial" w:eastAsia="Arial" w:hAnsi="Arial"/>
          <w:sz w:val="20"/>
          <w:szCs w:val="20"/>
          <w:color w:val="231F20"/>
        </w:rPr>
      </w:pPr>
    </w:p>
    <w:p>
      <w:pPr>
        <w:ind w:left="600" w:right="160" w:hanging="300"/>
        <w:spacing w:after="0" w:line="263" w:lineRule="auto"/>
        <w:tabs>
          <w:tab w:leader="none" w:pos="600" w:val="left"/>
        </w:tabs>
        <w:numPr>
          <w:ilvl w:val="0"/>
          <w:numId w:val="6"/>
        </w:numPr>
        <w:rPr>
          <w:rFonts w:ascii="Arial" w:cs="Arial" w:eastAsia="Arial" w:hAnsi="Arial"/>
          <w:sz w:val="19"/>
          <w:szCs w:val="19"/>
          <w:color w:val="231F20"/>
        </w:rPr>
      </w:pPr>
      <w:r>
        <w:rPr>
          <w:rFonts w:ascii="Arial" w:cs="Arial" w:eastAsia="Arial" w:hAnsi="Arial"/>
          <w:sz w:val="19"/>
          <w:szCs w:val="19"/>
          <w:b w:val="1"/>
          <w:bCs w:val="1"/>
          <w:i w:val="1"/>
          <w:iCs w:val="1"/>
          <w:color w:val="231F20"/>
        </w:rPr>
        <w:t xml:space="preserve">Carbon TerraVault JV </w:t>
      </w:r>
      <w:r>
        <w:rPr>
          <w:rFonts w:ascii="Arial" w:cs="Arial" w:eastAsia="Arial" w:hAnsi="Arial"/>
          <w:sz w:val="19"/>
          <w:szCs w:val="19"/>
          <w:color w:val="231F20"/>
        </w:rPr>
        <w:t>- A joint venture between our wholly-owned subsidiary Carbon TerraVault I,</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LLC with Brookfield for the further development of a carbon management business in California.</w:t>
      </w:r>
    </w:p>
    <w:p>
      <w:pPr>
        <w:spacing w:after="0" w:line="1" w:lineRule="exact"/>
        <w:rPr>
          <w:rFonts w:ascii="Arial" w:cs="Arial" w:eastAsia="Arial" w:hAnsi="Arial"/>
          <w:sz w:val="19"/>
          <w:szCs w:val="19"/>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CCS </w:t>
      </w:r>
      <w:r>
        <w:rPr>
          <w:rFonts w:ascii="Arial" w:cs="Arial" w:eastAsia="Arial" w:hAnsi="Arial"/>
          <w:sz w:val="20"/>
          <w:szCs w:val="20"/>
          <w:color w:val="231F20"/>
        </w:rPr>
        <w:t>- Carbon capture and storage.</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CDMA </w:t>
      </w:r>
      <w:r>
        <w:rPr>
          <w:rFonts w:ascii="Arial" w:cs="Arial" w:eastAsia="Arial" w:hAnsi="Arial"/>
          <w:sz w:val="20"/>
          <w:szCs w:val="20"/>
          <w:color w:val="231F20"/>
        </w:rPr>
        <w:t>- Carbon Dioxide Management Agreement.</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CEQA </w:t>
      </w:r>
      <w:r>
        <w:rPr>
          <w:rFonts w:ascii="Arial" w:cs="Arial" w:eastAsia="Arial" w:hAnsi="Arial"/>
          <w:sz w:val="20"/>
          <w:szCs w:val="20"/>
          <w:color w:val="231F20"/>
        </w:rPr>
        <w:t>- California Environmental Quality Act.</w:t>
      </w:r>
    </w:p>
    <w:p>
      <w:pPr>
        <w:spacing w:after="0" w:line="3" w:lineRule="exact"/>
        <w:rPr>
          <w:rFonts w:ascii="Arial" w:cs="Arial" w:eastAsia="Arial" w:hAnsi="Arial"/>
          <w:sz w:val="20"/>
          <w:szCs w:val="20"/>
          <w:color w:val="231F20"/>
        </w:rPr>
      </w:pPr>
    </w:p>
    <w:p>
      <w:pPr>
        <w:ind w:left="600" w:hanging="300"/>
        <w:spacing w:after="0" w:line="211" w:lineRule="auto"/>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CO</w:t>
      </w:r>
      <w:r>
        <w:rPr>
          <w:rFonts w:ascii="Arial" w:cs="Arial" w:eastAsia="Arial" w:hAnsi="Arial"/>
          <w:sz w:val="26"/>
          <w:szCs w:val="26"/>
          <w:b w:val="1"/>
          <w:bCs w:val="1"/>
          <w:i w:val="1"/>
          <w:iCs w:val="1"/>
          <w:color w:val="231F20"/>
          <w:vertAlign w:val="subscript"/>
        </w:rPr>
        <w:t>2</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 Carbon dioxide.</w:t>
      </w:r>
    </w:p>
    <w:p>
      <w:pPr>
        <w:spacing w:after="0" w:line="1" w:lineRule="exact"/>
        <w:rPr>
          <w:rFonts w:ascii="Arial" w:cs="Arial" w:eastAsia="Arial" w:hAnsi="Arial"/>
          <w:sz w:val="20"/>
          <w:szCs w:val="20"/>
          <w:color w:val="231F20"/>
        </w:rPr>
      </w:pPr>
    </w:p>
    <w:p>
      <w:pPr>
        <w:ind w:left="600" w:hanging="300"/>
        <w:spacing w:after="0" w:line="225" w:lineRule="auto"/>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DAC </w:t>
      </w:r>
      <w:r>
        <w:rPr>
          <w:rFonts w:ascii="Arial" w:cs="Arial" w:eastAsia="Arial" w:hAnsi="Arial"/>
          <w:sz w:val="20"/>
          <w:szCs w:val="20"/>
          <w:color w:val="231F20"/>
        </w:rPr>
        <w:t>- Direct air capture.</w:t>
      </w:r>
    </w:p>
    <w:p>
      <w:pPr>
        <w:spacing w:after="0" w:line="6"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DD&amp;A </w:t>
      </w:r>
      <w:r>
        <w:rPr>
          <w:rFonts w:ascii="Arial" w:cs="Arial" w:eastAsia="Arial" w:hAnsi="Arial"/>
          <w:sz w:val="20"/>
          <w:szCs w:val="20"/>
          <w:color w:val="231F20"/>
        </w:rPr>
        <w:t>- Depletion, depreciation, and amortization.</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EOR </w:t>
      </w:r>
      <w:r>
        <w:rPr>
          <w:rFonts w:ascii="Arial" w:cs="Arial" w:eastAsia="Arial" w:hAnsi="Arial"/>
          <w:sz w:val="20"/>
          <w:szCs w:val="20"/>
          <w:color w:val="231F20"/>
        </w:rPr>
        <w:t>- Enhanced oil recovery.</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EPA </w:t>
      </w:r>
      <w:r>
        <w:rPr>
          <w:rFonts w:ascii="Arial" w:cs="Arial" w:eastAsia="Arial" w:hAnsi="Arial"/>
          <w:sz w:val="20"/>
          <w:szCs w:val="20"/>
          <w:color w:val="231F20"/>
        </w:rPr>
        <w:t>- United States Environmental Protection Agency.</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ESG </w:t>
      </w:r>
      <w:r>
        <w:rPr>
          <w:rFonts w:ascii="Arial" w:cs="Arial" w:eastAsia="Arial" w:hAnsi="Arial"/>
          <w:sz w:val="20"/>
          <w:szCs w:val="20"/>
          <w:color w:val="231F20"/>
        </w:rPr>
        <w:t>- Environmental, social and governance.</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E&amp;P </w:t>
      </w:r>
      <w:r>
        <w:rPr>
          <w:rFonts w:ascii="Arial" w:cs="Arial" w:eastAsia="Arial" w:hAnsi="Arial"/>
          <w:sz w:val="20"/>
          <w:szCs w:val="20"/>
          <w:color w:val="231F20"/>
        </w:rPr>
        <w:t>- Exploration and production.</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GAAP </w:t>
      </w:r>
      <w:r>
        <w:rPr>
          <w:rFonts w:ascii="Arial" w:cs="Arial" w:eastAsia="Arial" w:hAnsi="Arial"/>
          <w:sz w:val="20"/>
          <w:szCs w:val="20"/>
          <w:color w:val="231F20"/>
        </w:rPr>
        <w:t>- United States Generally Accepted Accounting Principles.</w:t>
      </w:r>
    </w:p>
    <w:p>
      <w:pPr>
        <w:spacing w:after="0" w:line="7"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color w:val="231F20"/>
        </w:rPr>
        <w:t xml:space="preserve">G&amp;A </w:t>
      </w:r>
      <w:r>
        <w:rPr>
          <w:rFonts w:ascii="Arial" w:cs="Arial" w:eastAsia="Arial" w:hAnsi="Arial"/>
          <w:sz w:val="20"/>
          <w:szCs w:val="20"/>
          <w:color w:val="231F20"/>
        </w:rPr>
        <w:t>- General and administrative expenses.</w:t>
      </w:r>
    </w:p>
    <w:p>
      <w:pPr>
        <w:spacing w:after="0" w:line="12"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GHG </w:t>
      </w:r>
      <w:r>
        <w:rPr>
          <w:rFonts w:ascii="Arial" w:cs="Arial" w:eastAsia="Arial" w:hAnsi="Arial"/>
          <w:sz w:val="20"/>
          <w:szCs w:val="20"/>
          <w:color w:val="231F20"/>
        </w:rPr>
        <w:t>- Greenhouse gases.</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JV </w:t>
      </w:r>
      <w:r>
        <w:rPr>
          <w:rFonts w:ascii="Arial" w:cs="Arial" w:eastAsia="Arial" w:hAnsi="Arial"/>
          <w:sz w:val="20"/>
          <w:szCs w:val="20"/>
          <w:color w:val="231F20"/>
        </w:rPr>
        <w:t>- Joint venture.</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KMTPA </w:t>
      </w:r>
      <w:r>
        <w:rPr>
          <w:rFonts w:ascii="Arial" w:cs="Arial" w:eastAsia="Arial" w:hAnsi="Arial"/>
          <w:sz w:val="20"/>
          <w:szCs w:val="20"/>
          <w:color w:val="231F20"/>
        </w:rPr>
        <w:t>- Thousand metric tons per annum.</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LCFS </w:t>
      </w:r>
      <w:r>
        <w:rPr>
          <w:rFonts w:ascii="Arial" w:cs="Arial" w:eastAsia="Arial" w:hAnsi="Arial"/>
          <w:sz w:val="20"/>
          <w:szCs w:val="20"/>
          <w:color w:val="231F20"/>
        </w:rPr>
        <w:t>- Low Carbon Fuel Standard.</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MBbl </w:t>
      </w:r>
      <w:r>
        <w:rPr>
          <w:rFonts w:ascii="Arial" w:cs="Arial" w:eastAsia="Arial" w:hAnsi="Arial"/>
          <w:sz w:val="20"/>
          <w:szCs w:val="20"/>
          <w:color w:val="231F20"/>
        </w:rPr>
        <w:t>- One thousand barrels of crude oil, condensate or NGLs.</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MBbl/d </w:t>
      </w:r>
      <w:r>
        <w:rPr>
          <w:rFonts w:ascii="Arial" w:cs="Arial" w:eastAsia="Arial" w:hAnsi="Arial"/>
          <w:sz w:val="20"/>
          <w:szCs w:val="20"/>
          <w:color w:val="231F20"/>
        </w:rPr>
        <w:t>- One thousand barrels per day.</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MBoe/d </w:t>
      </w:r>
      <w:r>
        <w:rPr>
          <w:rFonts w:ascii="Arial" w:cs="Arial" w:eastAsia="Arial" w:hAnsi="Arial"/>
          <w:sz w:val="20"/>
          <w:szCs w:val="20"/>
          <w:color w:val="231F20"/>
        </w:rPr>
        <w:t>- One thousand barrels of oil equivalent per day.</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MBw/d </w:t>
      </w:r>
      <w:r>
        <w:rPr>
          <w:rFonts w:ascii="Arial" w:cs="Arial" w:eastAsia="Arial" w:hAnsi="Arial"/>
          <w:sz w:val="20"/>
          <w:szCs w:val="20"/>
          <w:color w:val="231F20"/>
        </w:rPr>
        <w:t>- One thousand barrels of water per day</w:t>
      </w:r>
    </w:p>
    <w:p>
      <w:pPr>
        <w:spacing w:after="0" w:line="10" w:lineRule="exact"/>
        <w:rPr>
          <w:rFonts w:ascii="Arial" w:cs="Arial" w:eastAsia="Arial" w:hAnsi="Arial"/>
          <w:sz w:val="20"/>
          <w:szCs w:val="20"/>
          <w:color w:val="231F20"/>
        </w:rPr>
      </w:pPr>
    </w:p>
    <w:p>
      <w:pPr>
        <w:ind w:left="600" w:hanging="300"/>
        <w:spacing w:after="0" w:line="248" w:lineRule="auto"/>
        <w:tabs>
          <w:tab w:leader="none" w:pos="600" w:val="left"/>
        </w:tabs>
        <w:numPr>
          <w:ilvl w:val="0"/>
          <w:numId w:val="6"/>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Mcf </w:t>
      </w:r>
      <w:r>
        <w:rPr>
          <w:rFonts w:ascii="Arial" w:cs="Arial" w:eastAsia="Arial" w:hAnsi="Arial"/>
          <w:sz w:val="20"/>
          <w:szCs w:val="20"/>
          <w:color w:val="231F20"/>
        </w:rPr>
        <w:t>- One thousand cubic feet of natural gas equivalent, with liquids converted to an equivalent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volume of natural gas using the ratio of one barrel of oil to six thousand cubic feet of natural gas.</w:t>
      </w:r>
    </w:p>
    <w:p>
      <w:pPr>
        <w:sectPr>
          <w:pgSz w:w="11880" w:h="15480" w:orient="portrait"/>
          <w:cols w:equalWidth="0" w:num="1">
            <w:col w:w="9120"/>
          </w:cols>
          <w:pgMar w:left="1380" w:top="1310" w:right="1380" w:bottom="655"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4</w:t>
      </w:r>
    </w:p>
    <w:p>
      <w:pPr>
        <w:sectPr>
          <w:pgSz w:w="11880" w:h="15480" w:orient="portrait"/>
          <w:cols w:equalWidth="0" w:num="1">
            <w:col w:w="9120"/>
          </w:cols>
          <w:pgMar w:left="1380" w:top="1310" w:right="1380" w:bottom="655" w:gutter="0" w:footer="0" w:header="0"/>
          <w:type w:val="continuous"/>
        </w:sectPr>
      </w:pPr>
    </w:p>
    <w:bookmarkStart w:id="8" w:name="page9"/>
    <w:bookmarkEnd w:id="8"/>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MHp </w:t>
      </w:r>
      <w:r>
        <w:rPr>
          <w:rFonts w:ascii="Arial" w:cs="Arial" w:eastAsia="Arial" w:hAnsi="Arial"/>
          <w:sz w:val="20"/>
          <w:szCs w:val="20"/>
          <w:color w:val="231F20"/>
        </w:rPr>
        <w:t>- One thousand horsepower.</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MMBbl </w:t>
      </w:r>
      <w:r>
        <w:rPr>
          <w:rFonts w:ascii="Arial" w:cs="Arial" w:eastAsia="Arial" w:hAnsi="Arial"/>
          <w:sz w:val="20"/>
          <w:szCs w:val="20"/>
          <w:color w:val="231F20"/>
        </w:rPr>
        <w:t>- One million barrels of crude oil, condensate or NGLs.</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MMBoe </w:t>
      </w:r>
      <w:r>
        <w:rPr>
          <w:rFonts w:ascii="Arial" w:cs="Arial" w:eastAsia="Arial" w:hAnsi="Arial"/>
          <w:sz w:val="20"/>
          <w:szCs w:val="20"/>
          <w:color w:val="231F20"/>
        </w:rPr>
        <w:t>- One million barrels of oil equivalent.</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MMBtu </w:t>
      </w:r>
      <w:r>
        <w:rPr>
          <w:rFonts w:ascii="Arial" w:cs="Arial" w:eastAsia="Arial" w:hAnsi="Arial"/>
          <w:sz w:val="20"/>
          <w:szCs w:val="20"/>
          <w:color w:val="231F20"/>
        </w:rPr>
        <w:t>- One million British thermal units.</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MMcf/d </w:t>
      </w:r>
      <w:r>
        <w:rPr>
          <w:rFonts w:ascii="Arial" w:cs="Arial" w:eastAsia="Arial" w:hAnsi="Arial"/>
          <w:sz w:val="20"/>
          <w:szCs w:val="20"/>
          <w:color w:val="231F20"/>
        </w:rPr>
        <w:t>- One million cubic feet of natural gas per day.</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MMT </w:t>
      </w:r>
      <w:r>
        <w:rPr>
          <w:rFonts w:ascii="Arial" w:cs="Arial" w:eastAsia="Arial" w:hAnsi="Arial"/>
          <w:sz w:val="20"/>
          <w:szCs w:val="20"/>
          <w:color w:val="231F20"/>
        </w:rPr>
        <w:t>- Million metric tons.</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MMTPA </w:t>
      </w:r>
      <w:r>
        <w:rPr>
          <w:rFonts w:ascii="Arial" w:cs="Arial" w:eastAsia="Arial" w:hAnsi="Arial"/>
          <w:sz w:val="20"/>
          <w:szCs w:val="20"/>
          <w:color w:val="231F20"/>
        </w:rPr>
        <w:t>- Million metric tons per annum.</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MW </w:t>
      </w:r>
      <w:r>
        <w:rPr>
          <w:rFonts w:ascii="Arial" w:cs="Arial" w:eastAsia="Arial" w:hAnsi="Arial"/>
          <w:sz w:val="20"/>
          <w:szCs w:val="20"/>
          <w:color w:val="231F20"/>
        </w:rPr>
        <w:t>- Megawatts of power.</w:t>
      </w:r>
    </w:p>
    <w:p>
      <w:pPr>
        <w:spacing w:after="0" w:line="10" w:lineRule="exact"/>
        <w:rPr>
          <w:rFonts w:ascii="Arial" w:cs="Arial" w:eastAsia="Arial" w:hAnsi="Arial"/>
          <w:sz w:val="20"/>
          <w:szCs w:val="20"/>
          <w:color w:val="231F20"/>
        </w:rPr>
      </w:pPr>
    </w:p>
    <w:p>
      <w:pPr>
        <w:ind w:left="540" w:right="180" w:hanging="300"/>
        <w:spacing w:after="0" w:line="248"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NGLs </w:t>
      </w:r>
      <w:r>
        <w:rPr>
          <w:rFonts w:ascii="Arial" w:cs="Arial" w:eastAsia="Arial" w:hAnsi="Arial"/>
          <w:sz w:val="20"/>
          <w:szCs w:val="20"/>
          <w:color w:val="231F20"/>
        </w:rPr>
        <w:t>- Natural gas liquids. Hydrocarbons found in natural gas that may be extracted as purity</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products such as ethane, propane, isobutane and normal butane, and natural gasoline.</w:t>
      </w:r>
    </w:p>
    <w:p>
      <w:pPr>
        <w:spacing w:after="0" w:line="4"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NYMEX </w:t>
      </w:r>
      <w:r>
        <w:rPr>
          <w:rFonts w:ascii="Arial" w:cs="Arial" w:eastAsia="Arial" w:hAnsi="Arial"/>
          <w:sz w:val="20"/>
          <w:szCs w:val="20"/>
          <w:color w:val="231F20"/>
        </w:rPr>
        <w:t>- The New York Mercantile Exchange.</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OCTG </w:t>
      </w:r>
      <w:r>
        <w:rPr>
          <w:rFonts w:ascii="Arial" w:cs="Arial" w:eastAsia="Arial" w:hAnsi="Arial"/>
          <w:sz w:val="20"/>
          <w:szCs w:val="20"/>
          <w:color w:val="231F20"/>
        </w:rPr>
        <w:t>- Oil country tubular goods.</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Oil spill prevention rate </w:t>
      </w:r>
      <w:r>
        <w:rPr>
          <w:rFonts w:ascii="Arial" w:cs="Arial" w:eastAsia="Arial" w:hAnsi="Arial"/>
          <w:sz w:val="20"/>
          <w:szCs w:val="20"/>
          <w:color w:val="231F20"/>
        </w:rPr>
        <w:t>- Calculated as total Boe less net barrels lost divided by total Boe.</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OPEC </w:t>
      </w:r>
      <w:r>
        <w:rPr>
          <w:rFonts w:ascii="Arial" w:cs="Arial" w:eastAsia="Arial" w:hAnsi="Arial"/>
          <w:sz w:val="20"/>
          <w:szCs w:val="20"/>
          <w:color w:val="231F20"/>
        </w:rPr>
        <w:t>- Organization of the Petroleum Exporting Countries.</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OPEC+ </w:t>
      </w:r>
      <w:r>
        <w:rPr>
          <w:rFonts w:ascii="Arial" w:cs="Arial" w:eastAsia="Arial" w:hAnsi="Arial"/>
          <w:sz w:val="20"/>
          <w:szCs w:val="20"/>
          <w:color w:val="231F20"/>
        </w:rPr>
        <w:t>- OPEC together with Russia and certain other producing countries.</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PHMSA </w:t>
      </w:r>
      <w:r>
        <w:rPr>
          <w:rFonts w:ascii="Arial" w:cs="Arial" w:eastAsia="Arial" w:hAnsi="Arial"/>
          <w:sz w:val="20"/>
          <w:szCs w:val="20"/>
          <w:color w:val="231F20"/>
        </w:rPr>
        <w:t>- Pipeline and Hazardous Materials Safety Administration.</w:t>
      </w:r>
    </w:p>
    <w:p>
      <w:pPr>
        <w:spacing w:after="0" w:line="10" w:lineRule="exact"/>
        <w:rPr>
          <w:rFonts w:ascii="Arial" w:cs="Arial" w:eastAsia="Arial" w:hAnsi="Arial"/>
          <w:sz w:val="20"/>
          <w:szCs w:val="20"/>
          <w:color w:val="231F20"/>
        </w:rPr>
      </w:pPr>
    </w:p>
    <w:p>
      <w:pPr>
        <w:ind w:left="540" w:right="60" w:hanging="300"/>
        <w:spacing w:after="0" w:line="250"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Proved developed reserves </w:t>
      </w:r>
      <w:r>
        <w:rPr>
          <w:rFonts w:ascii="Arial" w:cs="Arial" w:eastAsia="Arial" w:hAnsi="Arial"/>
          <w:sz w:val="20"/>
          <w:szCs w:val="20"/>
          <w:color w:val="231F20"/>
        </w:rPr>
        <w:t>- Reserves that can be expected to be recovered through existing</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wells with existing equipment and operating methods.</w:t>
      </w:r>
    </w:p>
    <w:p>
      <w:pPr>
        <w:ind w:left="540" w:right="100" w:hanging="300"/>
        <w:spacing w:after="0" w:line="250"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Proved reserves </w:t>
      </w:r>
      <w:r>
        <w:rPr>
          <w:rFonts w:ascii="Arial" w:cs="Arial" w:eastAsia="Arial" w:hAnsi="Arial"/>
          <w:sz w:val="20"/>
          <w:szCs w:val="20"/>
          <w:color w:val="231F20"/>
        </w:rPr>
        <w:t>- The estimated quantities of natural gas, NGLs, and oil that geological and</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engineering data demonstrate with reasonable certainty to be commercially recoverable in future years from known reservoirs under existing economic conditions, operating methods and government regulations.</w:t>
      </w:r>
    </w:p>
    <w:p>
      <w:pPr>
        <w:spacing w:after="0" w:line="1" w:lineRule="exact"/>
        <w:rPr>
          <w:rFonts w:ascii="Arial" w:cs="Arial" w:eastAsia="Arial" w:hAnsi="Arial"/>
          <w:sz w:val="20"/>
          <w:szCs w:val="20"/>
          <w:color w:val="231F20"/>
        </w:rPr>
      </w:pPr>
    </w:p>
    <w:p>
      <w:pPr>
        <w:ind w:left="540" w:hanging="300"/>
        <w:spacing w:after="0" w:line="250"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Proved undeveloped reserves </w:t>
      </w:r>
      <w:r>
        <w:rPr>
          <w:rFonts w:ascii="Arial" w:cs="Arial" w:eastAsia="Arial" w:hAnsi="Arial"/>
          <w:sz w:val="20"/>
          <w:szCs w:val="20"/>
          <w:color w:val="231F20"/>
        </w:rPr>
        <w:t>- Proved reserves that are expected to be recovered from new</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wells on undrilled acreage that are reasonably certain of production when drilled or from existing wells where a relatively major expenditure is required for recompletion.</w:t>
      </w:r>
    </w:p>
    <w:p>
      <w:pPr>
        <w:spacing w:after="0" w:line="1"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PSCs </w:t>
      </w:r>
      <w:r>
        <w:rPr>
          <w:rFonts w:ascii="Arial" w:cs="Arial" w:eastAsia="Arial" w:hAnsi="Arial"/>
          <w:sz w:val="20"/>
          <w:szCs w:val="20"/>
          <w:color w:val="231F20"/>
        </w:rPr>
        <w:t>- Production-sharing contracts.</w:t>
      </w:r>
    </w:p>
    <w:p>
      <w:pPr>
        <w:spacing w:after="0" w:line="10" w:lineRule="exact"/>
        <w:rPr>
          <w:rFonts w:ascii="Arial" w:cs="Arial" w:eastAsia="Arial" w:hAnsi="Arial"/>
          <w:sz w:val="20"/>
          <w:szCs w:val="20"/>
          <w:color w:val="231F20"/>
        </w:rPr>
      </w:pPr>
    </w:p>
    <w:p>
      <w:pPr>
        <w:ind w:left="540" w:right="180" w:hanging="300"/>
        <w:spacing w:after="0" w:line="250"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PV-10 </w:t>
      </w:r>
      <w:r>
        <w:rPr>
          <w:rFonts w:ascii="Arial" w:cs="Arial" w:eastAsia="Arial" w:hAnsi="Arial"/>
          <w:sz w:val="20"/>
          <w:szCs w:val="20"/>
          <w:color w:val="231F20"/>
        </w:rPr>
        <w:t>- Non-GAAP financial measure and represents the year-end present value of estimated</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future cash flows from proved oil and 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20"/>
          <w:szCs w:val="20"/>
          <w:color w:val="231F20"/>
        </w:rPr>
      </w:pPr>
    </w:p>
    <w:p>
      <w:pPr>
        <w:ind w:left="540" w:right="180" w:hanging="300"/>
        <w:spacing w:after="0" w:line="250"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Responsible Net Zero </w:t>
      </w:r>
      <w:r>
        <w:rPr>
          <w:rFonts w:ascii="Arial" w:cs="Arial" w:eastAsia="Arial" w:hAnsi="Arial"/>
          <w:sz w:val="20"/>
          <w:szCs w:val="20"/>
          <w:color w:val="231F20"/>
        </w:rPr>
        <w:t>- Refers to our net zero emissions goal adopted by our Board of</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Directors in May 2025 consisting of achieving at least an 80% reduction of absolute Scope 1 and 2 GHG emissions and neutralizing the remaining Scope 1 and 2 emissions to achieve Net Zero by 2045.</w:t>
      </w:r>
    </w:p>
    <w:p>
      <w:pPr>
        <w:spacing w:after="0" w:line="1"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SB </w:t>
      </w:r>
      <w:r>
        <w:rPr>
          <w:rFonts w:ascii="Arial" w:cs="Arial" w:eastAsia="Arial" w:hAnsi="Arial"/>
          <w:sz w:val="20"/>
          <w:szCs w:val="20"/>
          <w:color w:val="231F20"/>
        </w:rPr>
        <w:t>- Senate Bill</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Scope 1 emissions </w:t>
      </w:r>
      <w:r>
        <w:rPr>
          <w:rFonts w:ascii="Arial" w:cs="Arial" w:eastAsia="Arial" w:hAnsi="Arial"/>
          <w:sz w:val="20"/>
          <w:szCs w:val="20"/>
          <w:color w:val="231F20"/>
        </w:rPr>
        <w:t>- Our direct emissions.</w:t>
      </w:r>
    </w:p>
    <w:p>
      <w:pPr>
        <w:spacing w:after="0" w:line="10" w:lineRule="exact"/>
        <w:rPr>
          <w:rFonts w:ascii="Arial" w:cs="Arial" w:eastAsia="Arial" w:hAnsi="Arial"/>
          <w:sz w:val="20"/>
          <w:szCs w:val="20"/>
          <w:color w:val="231F20"/>
        </w:rPr>
      </w:pPr>
    </w:p>
    <w:p>
      <w:pPr>
        <w:ind w:left="540" w:right="100" w:hanging="300"/>
        <w:spacing w:after="0" w:line="248"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Scope 2 emissions </w:t>
      </w:r>
      <w:r>
        <w:rPr>
          <w:rFonts w:ascii="Arial" w:cs="Arial" w:eastAsia="Arial" w:hAnsi="Arial"/>
          <w:sz w:val="20"/>
          <w:szCs w:val="20"/>
          <w:color w:val="231F20"/>
        </w:rPr>
        <w:t>- Indirect emissions from energy that we use (</w:t>
      </w:r>
      <w:r>
        <w:rPr>
          <w:rFonts w:ascii="Arial" w:cs="Arial" w:eastAsia="Arial" w:hAnsi="Arial"/>
          <w:sz w:val="20"/>
          <w:szCs w:val="20"/>
          <w:i w:val="1"/>
          <w:iCs w:val="1"/>
          <w:color w:val="231F20"/>
        </w:rPr>
        <w:t>e.g.</w:t>
      </w:r>
      <w:r>
        <w:rPr>
          <w:rFonts w:ascii="Arial" w:cs="Arial" w:eastAsia="Arial" w:hAnsi="Arial"/>
          <w:sz w:val="20"/>
          <w:szCs w:val="20"/>
          <w:color w:val="231F20"/>
        </w:rPr>
        <w:t>, electricity, heat, steam,</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cooling) that is produced by others.</w:t>
      </w:r>
    </w:p>
    <w:p>
      <w:pPr>
        <w:spacing w:after="0" w:line="4" w:lineRule="exact"/>
        <w:rPr>
          <w:rFonts w:ascii="Arial" w:cs="Arial" w:eastAsia="Arial" w:hAnsi="Arial"/>
          <w:sz w:val="20"/>
          <w:szCs w:val="20"/>
          <w:color w:val="231F20"/>
        </w:rPr>
      </w:pPr>
    </w:p>
    <w:p>
      <w:pPr>
        <w:ind w:left="540" w:right="20" w:hanging="300"/>
        <w:spacing w:after="0" w:line="248"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Scope 3 emissions </w:t>
      </w:r>
      <w:r>
        <w:rPr>
          <w:rFonts w:ascii="Arial" w:cs="Arial" w:eastAsia="Arial" w:hAnsi="Arial"/>
          <w:sz w:val="20"/>
          <w:szCs w:val="20"/>
          <w:color w:val="231F20"/>
        </w:rPr>
        <w:t>- Indirect emissions from upstream and downstream processing and use of</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our products.</w:t>
      </w:r>
    </w:p>
    <w:p>
      <w:pPr>
        <w:spacing w:after="0" w:line="4"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SDWA </w:t>
      </w:r>
      <w:r>
        <w:rPr>
          <w:rFonts w:ascii="Arial" w:cs="Arial" w:eastAsia="Arial" w:hAnsi="Arial"/>
          <w:sz w:val="20"/>
          <w:szCs w:val="20"/>
          <w:color w:val="231F20"/>
        </w:rPr>
        <w:t>- Safe Drinking Water Act.</w:t>
      </w:r>
    </w:p>
    <w:p>
      <w:pPr>
        <w:spacing w:after="0" w:line="10" w:lineRule="exact"/>
        <w:rPr>
          <w:rFonts w:ascii="Arial" w:cs="Arial" w:eastAsia="Arial" w:hAnsi="Arial"/>
          <w:sz w:val="20"/>
          <w:szCs w:val="20"/>
          <w:color w:val="231F20"/>
        </w:rPr>
      </w:pPr>
    </w:p>
    <w:p>
      <w:pPr>
        <w:ind w:left="540" w:hanging="300"/>
        <w:spacing w:after="0"/>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SEC </w:t>
      </w:r>
      <w:r>
        <w:rPr>
          <w:rFonts w:ascii="Arial" w:cs="Arial" w:eastAsia="Arial" w:hAnsi="Arial"/>
          <w:sz w:val="20"/>
          <w:szCs w:val="20"/>
          <w:color w:val="231F20"/>
        </w:rPr>
        <w:t>- United States Securities and Exchange Commission.</w:t>
      </w:r>
    </w:p>
    <w:p>
      <w:pPr>
        <w:spacing w:after="0" w:line="10" w:lineRule="exact"/>
        <w:rPr>
          <w:rFonts w:ascii="Arial" w:cs="Arial" w:eastAsia="Arial" w:hAnsi="Arial"/>
          <w:sz w:val="20"/>
          <w:szCs w:val="20"/>
          <w:color w:val="231F20"/>
        </w:rPr>
      </w:pPr>
    </w:p>
    <w:p>
      <w:pPr>
        <w:ind w:left="540" w:right="340" w:hanging="300"/>
        <w:spacing w:after="0" w:line="249"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SEC Prices </w:t>
      </w:r>
      <w:r>
        <w:rPr>
          <w:rFonts w:ascii="Arial" w:cs="Arial" w:eastAsia="Arial" w:hAnsi="Arial"/>
          <w:sz w:val="20"/>
          <w:szCs w:val="20"/>
          <w:color w:val="231F20"/>
        </w:rPr>
        <w:t>- The unweighted arithmetic average of the first day-of-the-month price for each</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month within the year used to determine estimated volumes and cash flows for our proved reserves.</w:t>
      </w:r>
    </w:p>
    <w:p>
      <w:pPr>
        <w:spacing w:after="0" w:line="4" w:lineRule="exact"/>
        <w:rPr>
          <w:rFonts w:ascii="Arial" w:cs="Arial" w:eastAsia="Arial" w:hAnsi="Arial"/>
          <w:sz w:val="20"/>
          <w:szCs w:val="20"/>
          <w:color w:val="231F20"/>
        </w:rPr>
      </w:pPr>
    </w:p>
    <w:p>
      <w:pPr>
        <w:ind w:left="540" w:right="100" w:hanging="300"/>
        <w:spacing w:after="0" w:line="248"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SOFR </w:t>
      </w:r>
      <w:r>
        <w:rPr>
          <w:rFonts w:ascii="Arial" w:cs="Arial" w:eastAsia="Arial" w:hAnsi="Arial"/>
          <w:sz w:val="20"/>
          <w:szCs w:val="20"/>
          <w:color w:val="231F20"/>
        </w:rPr>
        <w:t>- Secured overnight financing rate as administered by the Federal Reserve Bank of New</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York.</w:t>
      </w:r>
    </w:p>
    <w:p>
      <w:pPr>
        <w:spacing w:after="0" w:line="4" w:lineRule="exact"/>
        <w:rPr>
          <w:rFonts w:ascii="Arial" w:cs="Arial" w:eastAsia="Arial" w:hAnsi="Arial"/>
          <w:sz w:val="20"/>
          <w:szCs w:val="20"/>
          <w:color w:val="231F20"/>
        </w:rPr>
      </w:pPr>
    </w:p>
    <w:p>
      <w:pPr>
        <w:ind w:left="540" w:right="240" w:hanging="300"/>
        <w:spacing w:after="0" w:line="250" w:lineRule="auto"/>
        <w:tabs>
          <w:tab w:leader="none" w:pos="540" w:val="left"/>
        </w:tabs>
        <w:numPr>
          <w:ilvl w:val="0"/>
          <w:numId w:val="7"/>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Standardized measure </w:t>
      </w:r>
      <w:r>
        <w:rPr>
          <w:rFonts w:ascii="Arial" w:cs="Arial" w:eastAsia="Arial" w:hAnsi="Arial"/>
          <w:sz w:val="20"/>
          <w:szCs w:val="20"/>
          <w:color w:val="231F20"/>
        </w:rPr>
        <w:t>- The year-end present value of after-tax estimated future cash flows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ectPr>
          <w:pgSz w:w="11880" w:h="15480" w:orient="portrait"/>
          <w:cols w:equalWidth="0" w:num="1">
            <w:col w:w="9040"/>
          </w:cols>
          <w:pgMar w:left="1440" w:top="1312" w:right="1400" w:bottom="655" w:gutter="0" w:footer="0" w:header="0"/>
        </w:sect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231F20"/>
        </w:rPr>
        <w:t>5</w:t>
      </w:r>
    </w:p>
    <w:p>
      <w:pPr>
        <w:sectPr>
          <w:pgSz w:w="11880" w:h="15480" w:orient="portrait"/>
          <w:cols w:equalWidth="0" w:num="1">
            <w:col w:w="9040"/>
          </w:cols>
          <w:pgMar w:left="1440" w:top="1312" w:right="1400" w:bottom="655" w:gutter="0" w:footer="0" w:header="0"/>
          <w:type w:val="continuous"/>
        </w:sectPr>
      </w:pPr>
    </w:p>
    <w:bookmarkStart w:id="9" w:name="page10"/>
    <w:bookmarkEnd w:id="9"/>
    <w:p>
      <w:pPr>
        <w:ind w:left="540" w:right="40" w:hanging="300"/>
        <w:spacing w:after="0" w:line="248" w:lineRule="auto"/>
        <w:tabs>
          <w:tab w:leader="none" w:pos="540" w:val="left"/>
        </w:tabs>
        <w:numPr>
          <w:ilvl w:val="0"/>
          <w:numId w:val="8"/>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TRIR </w:t>
      </w:r>
      <w:r>
        <w:rPr>
          <w:rFonts w:ascii="Arial" w:cs="Arial" w:eastAsia="Arial" w:hAnsi="Arial"/>
          <w:sz w:val="20"/>
          <w:szCs w:val="20"/>
          <w:color w:val="231F20"/>
        </w:rPr>
        <w:t>- Total Recordable Incident Rate calculated as recordable incidents per 200,000 hours for</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all workers (employees and contractors).</w:t>
      </w:r>
    </w:p>
    <w:p>
      <w:pPr>
        <w:spacing w:after="0" w:line="4" w:lineRule="exact"/>
        <w:rPr>
          <w:rFonts w:ascii="Arial" w:cs="Arial" w:eastAsia="Arial" w:hAnsi="Arial"/>
          <w:sz w:val="20"/>
          <w:szCs w:val="20"/>
          <w:color w:val="231F20"/>
        </w:rPr>
      </w:pPr>
    </w:p>
    <w:p>
      <w:pPr>
        <w:ind w:left="540" w:hanging="300"/>
        <w:spacing w:after="0" w:line="249" w:lineRule="auto"/>
        <w:tabs>
          <w:tab w:leader="none" w:pos="540" w:val="left"/>
        </w:tabs>
        <w:numPr>
          <w:ilvl w:val="0"/>
          <w:numId w:val="8"/>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Working interest </w:t>
      </w:r>
      <w:r>
        <w:rPr>
          <w:rFonts w:ascii="Arial" w:cs="Arial" w:eastAsia="Arial" w:hAnsi="Arial"/>
          <w:sz w:val="20"/>
          <w:szCs w:val="20"/>
          <w:color w:val="231F20"/>
        </w:rPr>
        <w:t>- The right granted to a lessee of a property to explore for and to produce and</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own oil, natural gas or other minerals in-place. A working interest owner bears the cost of development and operations of the property.</w:t>
      </w:r>
    </w:p>
    <w:p>
      <w:pPr>
        <w:spacing w:after="0" w:line="4" w:lineRule="exact"/>
        <w:rPr>
          <w:rFonts w:ascii="Arial" w:cs="Arial" w:eastAsia="Arial" w:hAnsi="Arial"/>
          <w:sz w:val="20"/>
          <w:szCs w:val="20"/>
          <w:color w:val="231F20"/>
        </w:rPr>
      </w:pPr>
    </w:p>
    <w:p>
      <w:pPr>
        <w:ind w:left="540" w:hanging="300"/>
        <w:spacing w:after="0"/>
        <w:tabs>
          <w:tab w:leader="none" w:pos="540" w:val="left"/>
        </w:tabs>
        <w:numPr>
          <w:ilvl w:val="0"/>
          <w:numId w:val="8"/>
        </w:numPr>
        <w:rPr>
          <w:rFonts w:ascii="Arial" w:cs="Arial" w:eastAsia="Arial" w:hAnsi="Arial"/>
          <w:sz w:val="20"/>
          <w:szCs w:val="20"/>
          <w:color w:val="231F20"/>
        </w:rPr>
      </w:pPr>
      <w:r>
        <w:rPr>
          <w:rFonts w:ascii="Arial" w:cs="Arial" w:eastAsia="Arial" w:hAnsi="Arial"/>
          <w:sz w:val="20"/>
          <w:szCs w:val="20"/>
          <w:b w:val="1"/>
          <w:bCs w:val="1"/>
          <w:i w:val="1"/>
          <w:iCs w:val="1"/>
          <w:color w:val="231F20"/>
        </w:rPr>
        <w:t xml:space="preserve">WTI </w:t>
      </w:r>
      <w:r>
        <w:rPr>
          <w:rFonts w:ascii="Arial" w:cs="Arial" w:eastAsia="Arial" w:hAnsi="Arial"/>
          <w:sz w:val="20"/>
          <w:szCs w:val="20"/>
          <w:color w:val="231F20"/>
        </w:rPr>
        <w:t>- West Texas Intermediate.</w:t>
      </w:r>
    </w:p>
    <w:p>
      <w:pPr>
        <w:sectPr>
          <w:pgSz w:w="11880" w:h="15480" w:orient="portrait"/>
          <w:cols w:equalWidth="0" w:num="1">
            <w:col w:w="9020"/>
          </w:cols>
          <w:pgMar w:left="1440" w:top="1312" w:right="142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231F20"/>
        </w:rPr>
        <w:t>6</w:t>
      </w:r>
    </w:p>
    <w:p>
      <w:pPr>
        <w:sectPr>
          <w:pgSz w:w="11880" w:h="15480" w:orient="portrait"/>
          <w:cols w:equalWidth="0" w:num="1">
            <w:col w:w="9020"/>
          </w:cols>
          <w:pgMar w:left="1440" w:top="1312" w:right="1420" w:bottom="653"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231F20"/>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ITEMS 1 &amp; 2 BUSINESS AND PROPERTIES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Business</w:t>
      </w:r>
    </w:p>
    <w:p>
      <w:pPr>
        <w:spacing w:after="0" w:line="257"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231F20"/>
        </w:rPr>
        <w:t>We are an independent energy and carbon management company advancing the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 reducing projects.</w:t>
      </w:r>
    </w:p>
    <w:p>
      <w:pPr>
        <w:spacing w:after="0" w:line="252"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231F20"/>
        </w:rPr>
        <w:t>Our business is organized into two reporting segments: oil and natural gas and carbon management. Our oil and natural gas segment explores for, develops and produces crude oil and condensate, natural gas liquids and natural gas in major producing basins located in California and Utah. As of December 31, 2025, our proved reserves totaled an estimated 654 MMBoe, of which 541 MMBbl were crude oil and condensate reserves, 37 MMBbl were NGL reserves and 455 Bcf, or 76 MMBoe, were natural gas reserves. As of December 31, 2025, we held approximately 2 million net mineral acres. Our operated asset base spans 68 distinct fields with approximately 22,000 net operated wells. We had average net production of approximately 138 MBoe/d (79% oil) for the year ended December 31, 2025.</w:t>
      </w:r>
    </w:p>
    <w:p>
      <w:pPr>
        <w:spacing w:after="0" w:line="253" w:lineRule="exact"/>
        <w:rPr>
          <w:sz w:val="20"/>
          <w:szCs w:val="20"/>
          <w:color w:val="auto"/>
        </w:rPr>
      </w:pPr>
    </w:p>
    <w:p>
      <w:pPr>
        <w:ind w:firstLine="300"/>
        <w:spacing w:after="0" w:line="238" w:lineRule="auto"/>
        <w:rPr>
          <w:sz w:val="20"/>
          <w:szCs w:val="20"/>
          <w:color w:val="auto"/>
        </w:rPr>
      </w:pPr>
      <w:r>
        <w:rPr>
          <w:rFonts w:ascii="Arial" w:cs="Arial" w:eastAsia="Arial" w:hAnsi="Arial"/>
          <w:sz w:val="20"/>
          <w:szCs w:val="20"/>
          <w:color w:val="231F20"/>
        </w:rPr>
        <w:t>Our carbon management segment, which we refer to as Carbon TerraVault, is focused on building, installing, operating and maintaining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capture equipment, transportation assets and underground storage facilities. Our carbon management segment also owns an investment in the Carbon TerraVault JV. For more information on our segments, refer to </w:t>
      </w:r>
      <w:r>
        <w:rPr>
          <w:rFonts w:ascii="Arial" w:cs="Arial" w:eastAsia="Arial" w:hAnsi="Arial"/>
          <w:sz w:val="20"/>
          <w:szCs w:val="20"/>
          <w:i w:val="1"/>
          <w:iCs w:val="1"/>
          <w:color w:val="231F20"/>
        </w:rPr>
        <w:t>Part II, Item 7 – Management’s Discussion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Analysis of Financial Condition and Results of Operations, Segment Results of Oil and Natural Gas Operations and Results of our Carbon Management Segment, and Part II, Item 8 – Financial Statements and Supplementary Data, Note 16 Segment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Berry Merger</w:t>
      </w:r>
    </w:p>
    <w:p>
      <w:pPr>
        <w:spacing w:after="0" w:line="25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On September 14, 2025, we entered into an agreement to combine with Berry in an all-stock transaction. Berry was an independent energy company that owned oil-weighted, mostly conventional oil and natural gas fields in California and oil and natural gas fields in Utah that have the potential for unconventional development. The Berry fields in California are adjacent to or within the areas in which we operate. Through the Berry Merger, we added 56 MMBoe of proved developed reserves as well as C&amp;J Well Services, one of the largest upstream well servicing and abandonment services businesses in California.</w:t>
      </w:r>
    </w:p>
    <w:p>
      <w:pPr>
        <w:spacing w:after="0" w:line="250"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231F20"/>
        </w:rPr>
        <w:t xml:space="preserve">The Berry Merger closed on December 18, 2025 and we issued 5,572,115 shares of our common stock, which represented 0.0718 shares of our common stock for each outstanding share of Berry stock as of December 17, 2025. Immediately following the closing of the Berry Merger, the former Berry stockholders owned approximately 6% of CRC. In connection with the closing, Berry’s outstanding debt was repaid and the underlying credit agreements were terminated. We repaid a significant portion of this indebtedness with proceeds from the issuance of our 2034 Senior Notes, which closed in October 2025. For more information on the Berry Merger, refer to </w:t>
      </w:r>
      <w:r>
        <w:rPr>
          <w:rFonts w:ascii="Arial" w:cs="Arial" w:eastAsia="Arial" w:hAnsi="Arial"/>
          <w:sz w:val="20"/>
          <w:szCs w:val="20"/>
          <w:i w:val="1"/>
          <w:iCs w:val="1"/>
          <w:color w:val="231F20"/>
        </w:rPr>
        <w:t>Part II, Item 8 –</w:t>
      </w:r>
      <w:r>
        <w:rPr>
          <w:rFonts w:ascii="Arial" w:cs="Arial" w:eastAsia="Arial" w:hAnsi="Arial"/>
          <w:sz w:val="20"/>
          <w:szCs w:val="20"/>
          <w:color w:val="231F20"/>
        </w:rPr>
        <w:t xml:space="preserve"> </w:t>
      </w:r>
      <w:r>
        <w:rPr>
          <w:rFonts w:ascii="Arial" w:cs="Arial" w:eastAsia="Arial" w:hAnsi="Arial"/>
          <w:sz w:val="20"/>
          <w:szCs w:val="20"/>
          <w:i w:val="1"/>
          <w:iCs w:val="1"/>
          <w:color w:val="231F20"/>
        </w:rPr>
        <w:t>Financial Statements and Supplementary Data, Note 2 Business Combinations</w:t>
      </w:r>
      <w:r>
        <w:rPr>
          <w:rFonts w:ascii="Arial" w:cs="Arial" w:eastAsia="Arial" w:hAnsi="Arial"/>
          <w:sz w:val="20"/>
          <w:szCs w:val="20"/>
          <w:color w:val="231F20"/>
        </w:rPr>
        <w:t>.</w:t>
      </w:r>
    </w:p>
    <w:p>
      <w:pPr>
        <w:spacing w:after="0" w:line="251" w:lineRule="exact"/>
        <w:rPr>
          <w:sz w:val="20"/>
          <w:szCs w:val="20"/>
          <w:color w:val="auto"/>
        </w:rPr>
      </w:pPr>
    </w:p>
    <w:p>
      <w:pPr>
        <w:ind w:right="60" w:firstLine="300"/>
        <w:spacing w:after="0" w:line="246" w:lineRule="auto"/>
        <w:rPr>
          <w:sz w:val="20"/>
          <w:szCs w:val="20"/>
          <w:color w:val="auto"/>
        </w:rPr>
      </w:pPr>
      <w:r>
        <w:rPr>
          <w:rFonts w:ascii="Arial" w:cs="Arial" w:eastAsia="Arial" w:hAnsi="Arial"/>
          <w:sz w:val="20"/>
          <w:szCs w:val="20"/>
          <w:color w:val="231F20"/>
        </w:rPr>
        <w:t>Except when the context otherwise requires or where otherwise indicated, all references to ‘‘CRC,’’ the ‘‘Company,’’ ‘‘we,’’ ‘‘us’’ and ‘‘our’’ refer to California Resources Corporation and its consolidated subsidiaries as of the date presented.</w:t>
      </w:r>
    </w:p>
    <w:p>
      <w:pPr>
        <w:sectPr>
          <w:pgSz w:w="11880" w:h="15480" w:orient="portrait"/>
          <w:cols w:equalWidth="0" w:num="1">
            <w:col w:w="9080"/>
          </w:cols>
          <w:pgMar w:left="1380" w:top="1310" w:right="1420" w:bottom="655"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7</w:t>
      </w:r>
    </w:p>
    <w:p>
      <w:pPr>
        <w:sectPr>
          <w:pgSz w:w="11880" w:h="15480" w:orient="portrait"/>
          <w:cols w:equalWidth="0" w:num="1">
            <w:col w:w="9080"/>
          </w:cols>
          <w:pgMar w:left="1380" w:top="1310" w:right="1420" w:bottom="655"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231F20"/>
        </w:rPr>
        <w:t>Business Strategy</w:t>
      </w:r>
    </w:p>
    <w:p>
      <w:pPr>
        <w:spacing w:after="0" w:line="132" w:lineRule="exact"/>
        <w:rPr>
          <w:sz w:val="20"/>
          <w:szCs w:val="20"/>
          <w:color w:val="auto"/>
        </w:rPr>
      </w:pPr>
    </w:p>
    <w:p>
      <w:pPr>
        <w:ind w:left="600" w:right="200" w:hanging="300"/>
        <w:spacing w:after="0" w:line="250" w:lineRule="auto"/>
        <w:tabs>
          <w:tab w:leader="none" w:pos="60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Focus on integrating merger assets to capture synergies and continue reducing costs across our combined business</w:t>
      </w:r>
      <w:r>
        <w:rPr>
          <w:rFonts w:ascii="Arial" w:cs="Arial" w:eastAsia="Arial" w:hAnsi="Arial"/>
          <w:sz w:val="20"/>
          <w:szCs w:val="20"/>
          <w:color w:val="231F20"/>
        </w:rPr>
        <w:t>. We are focused on reducing costs and improving operating</w:t>
      </w:r>
      <w:r>
        <w:rPr>
          <w:rFonts w:ascii="Arial" w:cs="Arial" w:eastAsia="Arial" w:hAnsi="Arial"/>
          <w:sz w:val="20"/>
          <w:szCs w:val="20"/>
          <w:b w:val="1"/>
          <w:bCs w:val="1"/>
          <w:color w:val="231F20"/>
        </w:rPr>
        <w:t xml:space="preserve"> </w:t>
      </w:r>
      <w:r>
        <w:rPr>
          <w:rFonts w:ascii="Arial" w:cs="Arial" w:eastAsia="Arial" w:hAnsi="Arial"/>
          <w:sz w:val="20"/>
          <w:szCs w:val="20"/>
          <w:color w:val="231F20"/>
        </w:rPr>
        <w:t>efficiencies as a result of the Berry Merger. We are targeting annual run-rate synergies in the range of $80 million to $90 million within twelve months of the closing of the Berry Merger. We expect these synergies will come primarily from lower operating costs, general and administrative expenses and financing costs for the combined companies. In addition, we are pursuing other cost reduction efforts as part of our normal business processes.</w:t>
      </w:r>
    </w:p>
    <w:p>
      <w:pPr>
        <w:spacing w:after="0" w:line="3" w:lineRule="exact"/>
        <w:rPr>
          <w:rFonts w:ascii="Arial" w:cs="Arial" w:eastAsia="Arial" w:hAnsi="Arial"/>
          <w:sz w:val="20"/>
          <w:szCs w:val="20"/>
          <w:color w:val="231F20"/>
        </w:rPr>
      </w:pPr>
    </w:p>
    <w:p>
      <w:pPr>
        <w:ind w:left="600" w:right="80" w:hanging="300"/>
        <w:spacing w:after="0" w:line="250" w:lineRule="auto"/>
        <w:tabs>
          <w:tab w:leader="none" w:pos="60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Maintain high standards of operational performance that create sustainable cash flows</w:t>
      </w:r>
      <w:r>
        <w:rPr>
          <w:rFonts w:ascii="Arial" w:cs="Arial" w:eastAsia="Arial" w:hAnsi="Arial"/>
          <w:sz w:val="20"/>
          <w:szCs w:val="20"/>
          <w:color w:val="231F20"/>
        </w:rPr>
        <w:t>.</w:t>
      </w:r>
      <w:r>
        <w:rPr>
          <w:rFonts w:ascii="Arial" w:cs="Arial" w:eastAsia="Arial" w:hAnsi="Arial"/>
          <w:sz w:val="20"/>
          <w:szCs w:val="20"/>
          <w:b w:val="1"/>
          <w:bCs w:val="1"/>
          <w:color w:val="231F20"/>
        </w:rPr>
        <w:t xml:space="preserve"> </w:t>
      </w:r>
      <w:r>
        <w:rPr>
          <w:rFonts w:ascii="Arial" w:cs="Arial" w:eastAsia="Arial" w:hAnsi="Arial"/>
          <w:sz w:val="20"/>
          <w:szCs w:val="20"/>
          <w:color w:val="231F20"/>
        </w:rPr>
        <w:t>We seek to maintain the highest standards of safety and operational integrity in the management of our assets, with the objective of sustaining long-term value and reliable cash flow generation. We believe that the strength and quality of our underlying assets, together with disciplined operational practices, position us to deliver durable financial results. For the year ended December 31, 2025, we generated $363 million of net income and $865 million of net cash provided by operating activities. We intend to continue prioritizing operational improvements in a safe, compliant, and environmentally responsible manner, recognizing that consistent execution is fundamental to financial performance.</w:t>
      </w:r>
    </w:p>
    <w:p>
      <w:pPr>
        <w:spacing w:after="0" w:line="5" w:lineRule="exact"/>
        <w:rPr>
          <w:rFonts w:ascii="Arial" w:cs="Arial" w:eastAsia="Arial" w:hAnsi="Arial"/>
          <w:sz w:val="20"/>
          <w:szCs w:val="20"/>
          <w:color w:val="231F20"/>
        </w:rPr>
      </w:pPr>
    </w:p>
    <w:p>
      <w:pPr>
        <w:ind w:left="600" w:right="60" w:hanging="300"/>
        <w:spacing w:after="0" w:line="250" w:lineRule="auto"/>
        <w:tabs>
          <w:tab w:leader="none" w:pos="60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Focus on core E&amp;P assets and pursue new opportunities</w:t>
      </w:r>
      <w:r>
        <w:rPr>
          <w:rFonts w:ascii="Arial" w:cs="Arial" w:eastAsia="Arial" w:hAnsi="Arial"/>
          <w:sz w:val="20"/>
          <w:szCs w:val="20"/>
          <w:color w:val="231F20"/>
        </w:rPr>
        <w:t>. We are the largest operator in</w:t>
      </w:r>
      <w:r>
        <w:rPr>
          <w:rFonts w:ascii="Arial" w:cs="Arial" w:eastAsia="Arial" w:hAnsi="Arial"/>
          <w:sz w:val="20"/>
          <w:szCs w:val="20"/>
          <w:b w:val="1"/>
          <w:bCs w:val="1"/>
          <w:color w:val="231F20"/>
        </w:rPr>
        <w:t xml:space="preserve"> </w:t>
      </w:r>
      <w:r>
        <w:rPr>
          <w:rFonts w:ascii="Arial" w:cs="Arial" w:eastAsia="Arial" w:hAnsi="Arial"/>
          <w:sz w:val="20"/>
          <w:szCs w:val="20"/>
          <w:color w:val="231F20"/>
        </w:rPr>
        <w:t>California and currently operate all of our core oil and gas fields. We intend to leverage this position and prioritize our strongest assets to simplify our operational structure and lower costs. We may have the opportunity to acquire additional producing assets at attractive valuations and could pursue other acquisitions that meet our financial, operational and regulatory criteria. In addition, we expect that the resumption of new well permitting in early 2026 will enhance our ability to develop our core assets in Kern County, which we believe will further strengthen our cash flows and position as the largest operator in California. Finally, we will continue to review non-core assets for potential divestment or alternative development opportunities where such actions are consistent with our strategic and capital allocation objectives.</w:t>
      </w:r>
    </w:p>
    <w:p>
      <w:pPr>
        <w:spacing w:after="0" w:line="4" w:lineRule="exact"/>
        <w:rPr>
          <w:rFonts w:ascii="Arial" w:cs="Arial" w:eastAsia="Arial" w:hAnsi="Arial"/>
          <w:sz w:val="20"/>
          <w:szCs w:val="20"/>
          <w:color w:val="231F20"/>
        </w:rPr>
      </w:pPr>
    </w:p>
    <w:p>
      <w:pPr>
        <w:ind w:left="600" w:hanging="300"/>
        <w:spacing w:after="0" w:line="250" w:lineRule="auto"/>
        <w:tabs>
          <w:tab w:leader="none" w:pos="60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Maintain a disciplined and flexible capital program</w:t>
      </w:r>
      <w:r>
        <w:rPr>
          <w:rFonts w:ascii="Arial" w:cs="Arial" w:eastAsia="Arial" w:hAnsi="Arial"/>
          <w:sz w:val="20"/>
          <w:szCs w:val="20"/>
          <w:color w:val="231F20"/>
        </w:rPr>
        <w:t>. We intend to maintain a disciplined and</w:t>
      </w:r>
      <w:r>
        <w:rPr>
          <w:rFonts w:ascii="Arial" w:cs="Arial" w:eastAsia="Arial" w:hAnsi="Arial"/>
          <w:sz w:val="20"/>
          <w:szCs w:val="20"/>
          <w:b w:val="1"/>
          <w:bCs w:val="1"/>
          <w:color w:val="231F20"/>
        </w:rPr>
        <w:t xml:space="preserve"> </w:t>
      </w:r>
      <w:r>
        <w:rPr>
          <w:rFonts w:ascii="Arial" w:cs="Arial" w:eastAsia="Arial" w:hAnsi="Arial"/>
          <w:sz w:val="20"/>
          <w:szCs w:val="20"/>
          <w:color w:val="231F20"/>
        </w:rPr>
        <w:t>flexible capital program, allocating capital amongst our assets to maximize value in light of evolving regulatory and market conditions. Following the resumption of permitting for new wells in January of this year, we expanded our drilling program to include new well development in Kern County. We plan to pursue the development of new wells with attractive return profiles and payback periods of approximately three years across our portfolio. We expect to fund our capital program primarily from operating cash flows and maintain a flexible approach to adapt to fluctuations in commodity prices, permitting activity and broader regulatory developments.</w:t>
      </w:r>
    </w:p>
    <w:p>
      <w:pPr>
        <w:spacing w:after="0" w:line="3" w:lineRule="exact"/>
        <w:rPr>
          <w:rFonts w:ascii="Arial" w:cs="Arial" w:eastAsia="Arial" w:hAnsi="Arial"/>
          <w:sz w:val="20"/>
          <w:szCs w:val="20"/>
          <w:color w:val="231F20"/>
        </w:rPr>
      </w:pPr>
    </w:p>
    <w:p>
      <w:pPr>
        <w:ind w:left="600" w:hanging="300"/>
        <w:spacing w:after="0" w:line="249" w:lineRule="auto"/>
        <w:tabs>
          <w:tab w:leader="none" w:pos="60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Preserve balance sheet strength and increase shareholder returns over time</w:t>
      </w:r>
      <w:r>
        <w:rPr>
          <w:rFonts w:ascii="Arial" w:cs="Arial" w:eastAsia="Arial" w:hAnsi="Arial"/>
          <w:sz w:val="20"/>
          <w:szCs w:val="20"/>
          <w:color w:val="231F20"/>
        </w:rPr>
        <w:t>. We maintain</w:t>
      </w:r>
      <w:r>
        <w:rPr>
          <w:rFonts w:ascii="Arial" w:cs="Arial" w:eastAsia="Arial" w:hAnsi="Arial"/>
          <w:sz w:val="20"/>
          <w:szCs w:val="20"/>
          <w:b w:val="1"/>
          <w:bCs w:val="1"/>
          <w:color w:val="231F20"/>
        </w:rPr>
        <w:t xml:space="preserve"> </w:t>
      </w:r>
      <w:r>
        <w:rPr>
          <w:rFonts w:ascii="Arial" w:cs="Arial" w:eastAsia="Arial" w:hAnsi="Arial"/>
          <w:sz w:val="20"/>
          <w:szCs w:val="20"/>
          <w:color w:val="231F20"/>
        </w:rPr>
        <w:t>a strong balance sheet and low leverage and continue to prioritize balance sheet protection. As of December 31, 2025, we had $1,401 million of liquidity, consisting of $1,284 million available for borrowing under the Revolving Credit Facility (after taking into account $176 million of outstanding letters of credit) and $117 million in available cash on hand. We had $1,300 million of long-term indebtedness as of the same date. By maintaining low leverage and ample liquidity, we believe we will be able to ensure a strong financial foundation that we expect will allow us to grow shareholder returns over time.</w:t>
      </w:r>
    </w:p>
    <w:p>
      <w:pPr>
        <w:spacing w:after="0" w:line="11" w:lineRule="exact"/>
        <w:rPr>
          <w:rFonts w:ascii="Arial" w:cs="Arial" w:eastAsia="Arial" w:hAnsi="Arial"/>
          <w:sz w:val="20"/>
          <w:szCs w:val="20"/>
          <w:color w:val="231F20"/>
        </w:rPr>
      </w:pPr>
    </w:p>
    <w:p>
      <w:pPr>
        <w:ind w:left="600" w:right="60" w:hanging="300"/>
        <w:spacing w:after="0" w:line="249" w:lineRule="auto"/>
        <w:tabs>
          <w:tab w:leader="none" w:pos="60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Advance our carbon management solutions to lead the energy transition in California</w:t>
      </w:r>
      <w:r>
        <w:rPr>
          <w:rFonts w:ascii="Arial" w:cs="Arial" w:eastAsia="Arial" w:hAnsi="Arial"/>
          <w:sz w:val="20"/>
          <w:szCs w:val="20"/>
          <w:color w:val="231F20"/>
        </w:rPr>
        <w:t>.</w:t>
      </w:r>
      <w:r>
        <w:rPr>
          <w:rFonts w:ascii="Arial" w:cs="Arial" w:eastAsia="Arial" w:hAnsi="Arial"/>
          <w:sz w:val="20"/>
          <w:szCs w:val="20"/>
          <w:b w:val="1"/>
          <w:bCs w:val="1"/>
          <w:color w:val="231F20"/>
        </w:rPr>
        <w:t xml:space="preserve"> </w:t>
      </w:r>
      <w:r>
        <w:rPr>
          <w:rFonts w:ascii="Arial" w:cs="Arial" w:eastAsia="Arial" w:hAnsi="Arial"/>
          <w:sz w:val="20"/>
          <w:szCs w:val="20"/>
          <w:color w:val="231F20"/>
        </w:rPr>
        <w:t>We are focused on maximizing the value of our land, mineral and technical resources for decarbonization by developing CCS and other emissions reducing projects. In early 2026, we expect to capture emissions at our cryogenic gas plant at Elk Hills field for permanent sequestration. We are well positioned to provide industrial scale projects to help California meet its decarbonization goals and leverage our Carbon TerraVault JV with Brookfield to reduce our capital investments to develop these projects.</w:t>
      </w:r>
    </w:p>
    <w:p>
      <w:pPr>
        <w:sectPr>
          <w:pgSz w:w="11880" w:h="15480" w:orient="portrait"/>
          <w:cols w:equalWidth="0" w:num="1">
            <w:col w:w="9100"/>
          </w:cols>
          <w:pgMar w:left="1380" w:top="1310"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w:t>
      </w:r>
    </w:p>
    <w:p>
      <w:pPr>
        <w:sectPr>
          <w:pgSz w:w="11880" w:h="15480" w:orient="portrait"/>
          <w:cols w:equalWidth="0" w:num="1">
            <w:col w:w="9100"/>
          </w:cols>
          <w:pgMar w:left="1380" w:top="1310" w:right="1400" w:bottom="653" w:gutter="0" w:footer="0" w:header="0"/>
          <w:type w:val="continuous"/>
        </w:sectPr>
      </w:pPr>
    </w:p>
    <w:bookmarkStart w:id="12" w:name="page13"/>
    <w:bookmarkEnd w:id="12"/>
    <w:p>
      <w:pPr>
        <w:ind w:left="600" w:right="260" w:hanging="300"/>
        <w:spacing w:after="0" w:line="249" w:lineRule="auto"/>
        <w:tabs>
          <w:tab w:leader="none" w:pos="600" w:val="left"/>
        </w:tabs>
        <w:numPr>
          <w:ilvl w:val="0"/>
          <w:numId w:val="10"/>
        </w:numPr>
        <w:rPr>
          <w:rFonts w:ascii="Arial" w:cs="Arial" w:eastAsia="Arial" w:hAnsi="Arial"/>
          <w:sz w:val="20"/>
          <w:szCs w:val="20"/>
          <w:color w:val="231F20"/>
        </w:rPr>
      </w:pPr>
      <w:r>
        <w:rPr>
          <w:rFonts w:ascii="Arial" w:cs="Arial" w:eastAsia="Arial" w:hAnsi="Arial"/>
          <w:sz w:val="20"/>
          <w:szCs w:val="20"/>
          <w:b w:val="1"/>
          <w:bCs w:val="1"/>
          <w:color w:val="231F20"/>
        </w:rPr>
        <w:t>Maintain our commitment to safety and environmental stewardship</w:t>
      </w:r>
      <w:r>
        <w:rPr>
          <w:rFonts w:ascii="Arial" w:cs="Arial" w:eastAsia="Arial" w:hAnsi="Arial"/>
          <w:sz w:val="20"/>
          <w:szCs w:val="20"/>
          <w:color w:val="231F20"/>
        </w:rPr>
        <w:t>. Our commitment to</w:t>
      </w:r>
      <w:r>
        <w:rPr>
          <w:rFonts w:ascii="Arial" w:cs="Arial" w:eastAsia="Arial" w:hAnsi="Arial"/>
          <w:sz w:val="20"/>
          <w:szCs w:val="20"/>
          <w:b w:val="1"/>
          <w:bCs w:val="1"/>
          <w:color w:val="231F20"/>
        </w:rPr>
        <w:t xml:space="preserve"> </w:t>
      </w:r>
      <w:r>
        <w:rPr>
          <w:rFonts w:ascii="Arial" w:cs="Arial" w:eastAsia="Arial" w:hAnsi="Arial"/>
          <w:sz w:val="20"/>
          <w:szCs w:val="20"/>
          <w:color w:val="231F20"/>
        </w:rPr>
        <w:t>health, safety and the environment (HSE) defines how we operate our business. We prepare our workforce to work safely through comprehensive training, safe work practices, technology</w:t>
      </w:r>
    </w:p>
    <w:p>
      <w:pPr>
        <w:spacing w:after="0" w:line="8" w:lineRule="exact"/>
        <w:rPr>
          <w:rFonts w:ascii="Arial" w:cs="Arial" w:eastAsia="Arial" w:hAnsi="Arial"/>
          <w:sz w:val="20"/>
          <w:szCs w:val="20"/>
          <w:color w:val="231F20"/>
        </w:rPr>
      </w:pPr>
    </w:p>
    <w:p>
      <w:pPr>
        <w:ind w:left="600" w:right="260"/>
        <w:spacing w:after="0" w:line="238" w:lineRule="auto"/>
        <w:rPr>
          <w:rFonts w:ascii="Arial" w:cs="Arial" w:eastAsia="Arial" w:hAnsi="Arial"/>
          <w:sz w:val="20"/>
          <w:szCs w:val="20"/>
          <w:color w:val="231F20"/>
        </w:rPr>
      </w:pPr>
      <w:r>
        <w:rPr>
          <w:rFonts w:ascii="Arial" w:cs="Arial" w:eastAsia="Arial" w:hAnsi="Arial"/>
          <w:sz w:val="20"/>
          <w:szCs w:val="20"/>
          <w:color w:val="231F20"/>
        </w:rPr>
        <w:t>and rigorous maintenance and asset integrity programs. In addition, we intend to continue efforts to reduce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and methane emissions in our operations, proactively manage our idle wells and reduce our consumption of freshwater in our operations. We previously received MiQ’s certification of methane emissions for certain fields and expect to continue to seek third party certifications of our results and disclosure practices. Our commitment to these efforts is reflected in our management compensation metrics that include safety and environmental targets.</w:t>
      </w:r>
    </w:p>
    <w:p>
      <w:pPr>
        <w:spacing w:after="0" w:line="12" w:lineRule="exact"/>
        <w:rPr>
          <w:rFonts w:ascii="Arial" w:cs="Arial" w:eastAsia="Arial" w:hAnsi="Arial"/>
          <w:sz w:val="20"/>
          <w:szCs w:val="20"/>
          <w:color w:val="231F20"/>
        </w:rPr>
      </w:pPr>
    </w:p>
    <w:p>
      <w:pPr>
        <w:ind w:left="600" w:right="360" w:hanging="300"/>
        <w:spacing w:after="0" w:line="250" w:lineRule="auto"/>
        <w:tabs>
          <w:tab w:leader="none" w:pos="600" w:val="left"/>
        </w:tabs>
        <w:numPr>
          <w:ilvl w:val="0"/>
          <w:numId w:val="10"/>
        </w:numPr>
        <w:rPr>
          <w:rFonts w:ascii="Arial" w:cs="Arial" w:eastAsia="Arial" w:hAnsi="Arial"/>
          <w:sz w:val="20"/>
          <w:szCs w:val="20"/>
          <w:color w:val="231F20"/>
        </w:rPr>
      </w:pPr>
      <w:r>
        <w:rPr>
          <w:rFonts w:ascii="Arial" w:cs="Arial" w:eastAsia="Arial" w:hAnsi="Arial"/>
          <w:sz w:val="20"/>
          <w:szCs w:val="20"/>
          <w:b w:val="1"/>
          <w:bCs w:val="1"/>
          <w:color w:val="231F20"/>
        </w:rPr>
        <w:t>Proactively engage with our legislators, regulators and the communities in which we operate</w:t>
      </w:r>
      <w:r>
        <w:rPr>
          <w:rFonts w:ascii="Arial" w:cs="Arial" w:eastAsia="Arial" w:hAnsi="Arial"/>
          <w:sz w:val="20"/>
          <w:szCs w:val="20"/>
          <w:color w:val="231F20"/>
        </w:rPr>
        <w:t>. We seek to communicate effectively with legislators, regulators and state and local</w:t>
      </w:r>
      <w:r>
        <w:rPr>
          <w:rFonts w:ascii="Arial" w:cs="Arial" w:eastAsia="Arial" w:hAnsi="Arial"/>
          <w:sz w:val="20"/>
          <w:szCs w:val="20"/>
          <w:b w:val="1"/>
          <w:bCs w:val="1"/>
          <w:color w:val="231F20"/>
        </w:rPr>
        <w:t xml:space="preserve"> </w:t>
      </w:r>
      <w:r>
        <w:rPr>
          <w:rFonts w:ascii="Arial" w:cs="Arial" w:eastAsia="Arial" w:hAnsi="Arial"/>
          <w:sz w:val="20"/>
          <w:szCs w:val="20"/>
          <w:color w:val="231F20"/>
        </w:rPr>
        <w:t>government and community leaders to ensure they understand the potential impacts of new legislation and regulations on our business and the state’s energy affordability, reliability and transition objectives. We strive to produce energy in a safe and responsible manner to help support and enhance the quality of life in the communities in which we operate.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Oil and Natural Gas Segment</w:t>
      </w:r>
    </w:p>
    <w:p>
      <w:pPr>
        <w:spacing w:after="0" w:line="217" w:lineRule="exact"/>
        <w:rPr>
          <w:sz w:val="20"/>
          <w:szCs w:val="20"/>
          <w:color w:val="auto"/>
        </w:rPr>
      </w:pPr>
    </w:p>
    <w:p>
      <w:pPr>
        <w:ind w:right="260" w:firstLine="300"/>
        <w:spacing w:after="0" w:line="243" w:lineRule="auto"/>
        <w:rPr>
          <w:sz w:val="20"/>
          <w:szCs w:val="20"/>
          <w:color w:val="auto"/>
        </w:rPr>
      </w:pPr>
      <w:r>
        <w:rPr>
          <w:rFonts w:ascii="Arial" w:cs="Arial" w:eastAsia="Arial" w:hAnsi="Arial"/>
          <w:sz w:val="20"/>
          <w:szCs w:val="20"/>
          <w:color w:val="231F20"/>
        </w:rPr>
        <w:t>The following table highlights key information about our oil and natural gas segment as of and for the year ended December 31,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231F20"/>
              </w:rPr>
              <w:t>San</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231F20"/>
                <w:w w:val="99"/>
              </w:rPr>
              <w:t>Los</w:t>
            </w:r>
          </w:p>
        </w:tc>
        <w:tc>
          <w:tcPr>
            <w:tcW w:w="200" w:type="dxa"/>
            <w:vAlign w:val="bottom"/>
          </w:tcPr>
          <w:p>
            <w:pPr>
              <w:spacing w:after="0"/>
              <w:rPr>
                <w:sz w:val="18"/>
                <w:szCs w:val="18"/>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231F20"/>
              </w:rPr>
              <w:t>Sacramento</w:t>
            </w:r>
          </w:p>
        </w:tc>
        <w:tc>
          <w:tcPr>
            <w:tcW w:w="200" w:type="dxa"/>
            <w:vAlign w:val="bottom"/>
          </w:tcPr>
          <w:p>
            <w:pPr>
              <w:spacing w:after="0"/>
              <w:rPr>
                <w:sz w:val="18"/>
                <w:szCs w:val="18"/>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231F20"/>
              </w:rPr>
              <w:t>Uinta</w:t>
            </w:r>
          </w:p>
        </w:tc>
        <w:tc>
          <w:tcPr>
            <w:tcW w:w="200" w:type="dxa"/>
            <w:vAlign w:val="bottom"/>
          </w:tcPr>
          <w:p>
            <w:pPr>
              <w:spacing w:after="0"/>
              <w:rPr>
                <w:sz w:val="18"/>
                <w:szCs w:val="18"/>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231F20"/>
                <w:w w:val="99"/>
              </w:rPr>
              <w:t>Other</w:t>
            </w: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231F20"/>
              </w:rPr>
              <w:t>Total</w:t>
            </w:r>
          </w:p>
        </w:tc>
        <w:tc>
          <w:tcPr>
            <w:tcW w:w="0" w:type="dxa"/>
            <w:vAlign w:val="bottom"/>
          </w:tcPr>
          <w:p>
            <w:pPr>
              <w:spacing w:after="0"/>
              <w:rPr>
                <w:sz w:val="1"/>
                <w:szCs w:val="1"/>
                <w:color w:val="auto"/>
              </w:rPr>
            </w:pPr>
          </w:p>
        </w:tc>
      </w:tr>
      <w:tr>
        <w:trPr>
          <w:trHeight w:val="150"/>
        </w:trPr>
        <w:tc>
          <w:tcPr>
            <w:tcW w:w="2640" w:type="dxa"/>
            <w:vAlign w:val="bottom"/>
          </w:tcPr>
          <w:p>
            <w:pPr>
              <w:spacing w:after="0"/>
              <w:rPr>
                <w:sz w:val="13"/>
                <w:szCs w:val="13"/>
                <w:color w:val="auto"/>
              </w:rPr>
            </w:pPr>
          </w:p>
        </w:tc>
        <w:tc>
          <w:tcPr>
            <w:tcW w:w="860" w:type="dxa"/>
            <w:vAlign w:val="bottom"/>
          </w:tcPr>
          <w:p>
            <w:pPr>
              <w:jc w:val="center"/>
              <w:spacing w:after="0" w:line="150" w:lineRule="exact"/>
              <w:rPr>
                <w:sz w:val="20"/>
                <w:szCs w:val="20"/>
                <w:color w:val="auto"/>
              </w:rPr>
            </w:pPr>
            <w:r>
              <w:rPr>
                <w:rFonts w:ascii="Arial" w:cs="Arial" w:eastAsia="Arial" w:hAnsi="Arial"/>
                <w:sz w:val="17"/>
                <w:szCs w:val="17"/>
                <w:b w:val="1"/>
                <w:bCs w:val="1"/>
                <w:color w:val="231F20"/>
              </w:rPr>
              <w:t>Joaquin</w:t>
            </w:r>
          </w:p>
        </w:tc>
        <w:tc>
          <w:tcPr>
            <w:tcW w:w="200" w:type="dxa"/>
            <w:vAlign w:val="bottom"/>
          </w:tcPr>
          <w:p>
            <w:pPr>
              <w:spacing w:after="0"/>
              <w:rPr>
                <w:sz w:val="13"/>
                <w:szCs w:val="13"/>
                <w:color w:val="auto"/>
              </w:rPr>
            </w:pPr>
          </w:p>
        </w:tc>
        <w:tc>
          <w:tcPr>
            <w:tcW w:w="880" w:type="dxa"/>
            <w:vAlign w:val="bottom"/>
          </w:tcPr>
          <w:p>
            <w:pPr>
              <w:jc w:val="center"/>
              <w:spacing w:after="0" w:line="150" w:lineRule="exact"/>
              <w:rPr>
                <w:sz w:val="20"/>
                <w:szCs w:val="20"/>
                <w:color w:val="auto"/>
              </w:rPr>
            </w:pPr>
            <w:r>
              <w:rPr>
                <w:rFonts w:ascii="Arial" w:cs="Arial" w:eastAsia="Arial" w:hAnsi="Arial"/>
                <w:sz w:val="17"/>
                <w:szCs w:val="17"/>
                <w:b w:val="1"/>
                <w:bCs w:val="1"/>
                <w:color w:val="231F20"/>
              </w:rPr>
              <w:t>Angeles</w:t>
            </w:r>
          </w:p>
        </w:tc>
        <w:tc>
          <w:tcPr>
            <w:tcW w:w="2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860" w:type="dxa"/>
            <w:vAlign w:val="bottom"/>
          </w:tcPr>
          <w:p>
            <w:pPr>
              <w:jc w:val="center"/>
              <w:spacing w:after="0" w:line="203" w:lineRule="exact"/>
              <w:rPr>
                <w:sz w:val="20"/>
                <w:szCs w:val="20"/>
                <w:color w:val="auto"/>
              </w:rPr>
            </w:pPr>
            <w:r>
              <w:rPr>
                <w:rFonts w:ascii="Arial" w:cs="Arial" w:eastAsia="Arial" w:hAnsi="Arial"/>
                <w:sz w:val="18"/>
                <w:szCs w:val="18"/>
                <w:b w:val="1"/>
                <w:bCs w:val="1"/>
                <w:color w:val="231F20"/>
              </w:rPr>
              <w:t>Basin</w:t>
            </w:r>
          </w:p>
        </w:tc>
        <w:tc>
          <w:tcPr>
            <w:tcW w:w="200" w:type="dxa"/>
            <w:vAlign w:val="bottom"/>
          </w:tcPr>
          <w:p>
            <w:pPr>
              <w:spacing w:after="0"/>
              <w:rPr>
                <w:sz w:val="18"/>
                <w:szCs w:val="18"/>
                <w:color w:val="auto"/>
              </w:rPr>
            </w:pPr>
          </w:p>
        </w:tc>
        <w:tc>
          <w:tcPr>
            <w:tcW w:w="880" w:type="dxa"/>
            <w:vAlign w:val="bottom"/>
          </w:tcPr>
          <w:p>
            <w:pPr>
              <w:jc w:val="center"/>
              <w:spacing w:after="0" w:line="203" w:lineRule="exact"/>
              <w:rPr>
                <w:sz w:val="20"/>
                <w:szCs w:val="20"/>
                <w:color w:val="auto"/>
              </w:rPr>
            </w:pPr>
            <w:r>
              <w:rPr>
                <w:rFonts w:ascii="Arial" w:cs="Arial" w:eastAsia="Arial" w:hAnsi="Arial"/>
                <w:sz w:val="18"/>
                <w:szCs w:val="18"/>
                <w:b w:val="1"/>
                <w:bCs w:val="1"/>
                <w:color w:val="231F20"/>
                <w:w w:val="97"/>
              </w:rPr>
              <w:t>Basin</w:t>
            </w:r>
          </w:p>
        </w:tc>
        <w:tc>
          <w:tcPr>
            <w:tcW w:w="200" w:type="dxa"/>
            <w:vAlign w:val="bottom"/>
          </w:tcPr>
          <w:p>
            <w:pPr>
              <w:spacing w:after="0"/>
              <w:rPr>
                <w:sz w:val="18"/>
                <w:szCs w:val="18"/>
                <w:color w:val="auto"/>
              </w:rPr>
            </w:pPr>
          </w:p>
        </w:tc>
        <w:tc>
          <w:tcPr>
            <w:tcW w:w="1220" w:type="dxa"/>
            <w:vAlign w:val="bottom"/>
          </w:tcPr>
          <w:p>
            <w:pPr>
              <w:jc w:val="right"/>
              <w:ind w:right="270"/>
              <w:spacing w:after="0" w:line="203" w:lineRule="exact"/>
              <w:rPr>
                <w:sz w:val="20"/>
                <w:szCs w:val="20"/>
                <w:color w:val="auto"/>
              </w:rPr>
            </w:pPr>
            <w:r>
              <w:rPr>
                <w:rFonts w:ascii="Arial" w:cs="Arial" w:eastAsia="Arial" w:hAnsi="Arial"/>
                <w:sz w:val="18"/>
                <w:szCs w:val="18"/>
                <w:b w:val="1"/>
                <w:bCs w:val="1"/>
                <w:color w:val="231F20"/>
              </w:rPr>
              <w:t>Basin</w:t>
            </w:r>
          </w:p>
        </w:tc>
        <w:tc>
          <w:tcPr>
            <w:tcW w:w="200" w:type="dxa"/>
            <w:vAlign w:val="bottom"/>
          </w:tcPr>
          <w:p>
            <w:pPr>
              <w:spacing w:after="0"/>
              <w:rPr>
                <w:sz w:val="18"/>
                <w:szCs w:val="18"/>
                <w:color w:val="auto"/>
              </w:rPr>
            </w:pPr>
          </w:p>
        </w:tc>
        <w:tc>
          <w:tcPr>
            <w:tcW w:w="740" w:type="dxa"/>
            <w:vAlign w:val="bottom"/>
          </w:tcPr>
          <w:p>
            <w:pPr>
              <w:jc w:val="right"/>
              <w:ind w:right="50"/>
              <w:spacing w:after="0" w:line="203" w:lineRule="exact"/>
              <w:rPr>
                <w:sz w:val="20"/>
                <w:szCs w:val="20"/>
                <w:color w:val="auto"/>
              </w:rPr>
            </w:pPr>
            <w:r>
              <w:rPr>
                <w:rFonts w:ascii="Arial" w:cs="Arial" w:eastAsia="Arial" w:hAnsi="Arial"/>
                <w:sz w:val="18"/>
                <w:szCs w:val="18"/>
                <w:b w:val="1"/>
                <w:bCs w:val="1"/>
                <w:color w:val="231F20"/>
              </w:rPr>
              <w:t>Basin</w:t>
            </w:r>
          </w:p>
        </w:tc>
        <w:tc>
          <w:tcPr>
            <w:tcW w:w="200" w:type="dxa"/>
            <w:vAlign w:val="bottom"/>
          </w:tcPr>
          <w:p>
            <w:pPr>
              <w:spacing w:after="0"/>
              <w:rPr>
                <w:sz w:val="18"/>
                <w:szCs w:val="18"/>
                <w:color w:val="auto"/>
              </w:rPr>
            </w:pPr>
          </w:p>
        </w:tc>
        <w:tc>
          <w:tcPr>
            <w:tcW w:w="1040" w:type="dxa"/>
            <w:vAlign w:val="bottom"/>
            <w:gridSpan w:val="2"/>
          </w:tcPr>
          <w:p>
            <w:pPr>
              <w:jc w:val="center"/>
              <w:ind w:right="220"/>
              <w:spacing w:after="0" w:line="203" w:lineRule="exact"/>
              <w:rPr>
                <w:sz w:val="20"/>
                <w:szCs w:val="20"/>
                <w:color w:val="auto"/>
              </w:rPr>
            </w:pPr>
            <w:r>
              <w:rPr>
                <w:rFonts w:ascii="Arial" w:cs="Arial" w:eastAsia="Arial" w:hAnsi="Arial"/>
                <w:sz w:val="18"/>
                <w:szCs w:val="18"/>
                <w:b w:val="1"/>
                <w:bCs w:val="1"/>
                <w:color w:val="231F20"/>
                <w:w w:val="98"/>
              </w:rPr>
              <w:t>Basins</w:t>
            </w:r>
          </w:p>
        </w:tc>
        <w:tc>
          <w:tcPr>
            <w:tcW w:w="940" w:type="dxa"/>
            <w:vAlign w:val="bottom"/>
          </w:tcPr>
          <w:p>
            <w:pPr>
              <w:jc w:val="right"/>
              <w:spacing w:after="0" w:line="203" w:lineRule="exact"/>
              <w:rPr>
                <w:sz w:val="20"/>
                <w:szCs w:val="20"/>
                <w:color w:val="auto"/>
              </w:rPr>
            </w:pPr>
            <w:r>
              <w:rPr>
                <w:rFonts w:ascii="Arial" w:cs="Arial" w:eastAsia="Arial" w:hAnsi="Arial"/>
                <w:sz w:val="18"/>
                <w:szCs w:val="18"/>
                <w:b w:val="1"/>
                <w:bCs w:val="1"/>
                <w:color w:val="231F20"/>
                <w:w w:val="96"/>
              </w:rPr>
              <w:t>Operations</w:t>
            </w:r>
          </w:p>
        </w:tc>
        <w:tc>
          <w:tcPr>
            <w:tcW w:w="0" w:type="dxa"/>
            <w:vAlign w:val="bottom"/>
          </w:tcPr>
          <w:p>
            <w:pPr>
              <w:spacing w:after="0"/>
              <w:rPr>
                <w:sz w:val="1"/>
                <w:szCs w:val="1"/>
                <w:color w:val="auto"/>
              </w:rPr>
            </w:pPr>
          </w:p>
        </w:tc>
      </w:tr>
      <w:tr>
        <w:trPr>
          <w:trHeight w:val="215"/>
        </w:trPr>
        <w:tc>
          <w:tcPr>
            <w:tcW w:w="2640" w:type="dxa"/>
            <w:vAlign w:val="bottom"/>
          </w:tcPr>
          <w:p>
            <w:pPr>
              <w:spacing w:after="0"/>
              <w:rPr>
                <w:sz w:val="20"/>
                <w:szCs w:val="20"/>
                <w:color w:val="auto"/>
              </w:rPr>
            </w:pPr>
            <w:r>
              <w:rPr>
                <w:rFonts w:ascii="Arial" w:cs="Arial" w:eastAsia="Arial" w:hAnsi="Arial"/>
                <w:sz w:val="18"/>
                <w:szCs w:val="18"/>
                <w:b w:val="1"/>
                <w:bCs w:val="1"/>
                <w:color w:val="231F20"/>
              </w:rPr>
              <w:t>Mineral Acreage</w:t>
            </w:r>
          </w:p>
        </w:tc>
        <w:tc>
          <w:tcPr>
            <w:tcW w:w="86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color w:val="231F20"/>
              </w:rPr>
              <w:t>Net mineral acreage</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color w:val="231F20"/>
              </w:rPr>
              <w:t>(thousands) . . . . . . . . . . . . . . .</w:t>
            </w:r>
          </w:p>
        </w:tc>
        <w:tc>
          <w:tcPr>
            <w:tcW w:w="860" w:type="dxa"/>
            <w:vAlign w:val="bottom"/>
          </w:tcPr>
          <w:p>
            <w:pPr>
              <w:jc w:val="right"/>
              <w:ind w:right="110"/>
              <w:spacing w:after="0" w:line="190" w:lineRule="exact"/>
              <w:rPr>
                <w:sz w:val="20"/>
                <w:szCs w:val="20"/>
                <w:color w:val="auto"/>
              </w:rPr>
            </w:pPr>
            <w:r>
              <w:rPr>
                <w:rFonts w:ascii="Arial" w:cs="Arial" w:eastAsia="Arial" w:hAnsi="Arial"/>
                <w:sz w:val="18"/>
                <w:szCs w:val="18"/>
                <w:color w:val="231F20"/>
              </w:rPr>
              <w:t>1,304</w:t>
            </w:r>
          </w:p>
        </w:tc>
        <w:tc>
          <w:tcPr>
            <w:tcW w:w="1080" w:type="dxa"/>
            <w:vAlign w:val="bottom"/>
            <w:gridSpan w:val="2"/>
          </w:tcPr>
          <w:p>
            <w:pPr>
              <w:jc w:val="right"/>
              <w:ind w:right="151"/>
              <w:spacing w:after="0" w:line="190" w:lineRule="exact"/>
              <w:rPr>
                <w:sz w:val="20"/>
                <w:szCs w:val="20"/>
                <w:color w:val="auto"/>
              </w:rPr>
            </w:pPr>
            <w:r>
              <w:rPr>
                <w:rFonts w:ascii="Arial" w:cs="Arial" w:eastAsia="Arial" w:hAnsi="Arial"/>
                <w:sz w:val="18"/>
                <w:szCs w:val="18"/>
                <w:color w:val="231F20"/>
              </w:rPr>
              <w:t>36</w:t>
            </w:r>
          </w:p>
        </w:tc>
        <w:tc>
          <w:tcPr>
            <w:tcW w:w="1420" w:type="dxa"/>
            <w:vAlign w:val="bottom"/>
            <w:gridSpan w:val="2"/>
          </w:tcPr>
          <w:p>
            <w:pPr>
              <w:jc w:val="right"/>
              <w:ind w:right="290"/>
              <w:spacing w:after="0" w:line="190" w:lineRule="exact"/>
              <w:rPr>
                <w:sz w:val="20"/>
                <w:szCs w:val="20"/>
                <w:color w:val="auto"/>
              </w:rPr>
            </w:pPr>
            <w:r>
              <w:rPr>
                <w:rFonts w:ascii="Arial" w:cs="Arial" w:eastAsia="Arial" w:hAnsi="Arial"/>
                <w:sz w:val="18"/>
                <w:szCs w:val="18"/>
                <w:color w:val="231F20"/>
              </w:rPr>
              <w:t>418</w:t>
            </w:r>
          </w:p>
        </w:tc>
        <w:tc>
          <w:tcPr>
            <w:tcW w:w="9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231F20"/>
              </w:rPr>
              <w:t>98</w:t>
            </w:r>
          </w:p>
        </w:tc>
        <w:tc>
          <w:tcPr>
            <w:tcW w:w="10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231F20"/>
              </w:rPr>
              <w:t>130</w:t>
            </w:r>
          </w:p>
        </w:tc>
        <w:tc>
          <w:tcPr>
            <w:tcW w:w="200" w:type="dxa"/>
            <w:vAlign w:val="bottom"/>
          </w:tcPr>
          <w:p>
            <w:pPr>
              <w:spacing w:after="0"/>
              <w:rPr>
                <w:sz w:val="16"/>
                <w:szCs w:val="16"/>
                <w:color w:val="auto"/>
              </w:rPr>
            </w:pPr>
          </w:p>
        </w:tc>
        <w:tc>
          <w:tcPr>
            <w:tcW w:w="940" w:type="dxa"/>
            <w:vAlign w:val="bottom"/>
          </w:tcPr>
          <w:p>
            <w:pPr>
              <w:jc w:val="right"/>
              <w:ind w:right="150"/>
              <w:spacing w:after="0" w:line="190" w:lineRule="exact"/>
              <w:rPr>
                <w:sz w:val="20"/>
                <w:szCs w:val="20"/>
                <w:color w:val="auto"/>
              </w:rPr>
            </w:pPr>
            <w:r>
              <w:rPr>
                <w:rFonts w:ascii="Arial" w:cs="Arial" w:eastAsia="Arial" w:hAnsi="Arial"/>
                <w:sz w:val="18"/>
                <w:szCs w:val="18"/>
                <w:color w:val="231F20"/>
              </w:rPr>
              <w:t>1,986</w:t>
            </w: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color w:val="231F20"/>
              </w:rPr>
              <w:t>Average net mineral</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40" w:type="dxa"/>
            <w:vAlign w:val="bottom"/>
          </w:tcPr>
          <w:p>
            <w:pPr>
              <w:spacing w:after="0" w:line="188" w:lineRule="exact"/>
              <w:rPr>
                <w:sz w:val="20"/>
                <w:szCs w:val="20"/>
                <w:color w:val="auto"/>
              </w:rPr>
            </w:pPr>
            <w:r>
              <w:rPr>
                <w:rFonts w:ascii="Arial" w:cs="Arial" w:eastAsia="Arial" w:hAnsi="Arial"/>
                <w:sz w:val="18"/>
                <w:szCs w:val="18"/>
                <w:color w:val="231F20"/>
              </w:rPr>
              <w:t>acreage held in fee (%) . . . . . .</w:t>
            </w:r>
          </w:p>
        </w:tc>
        <w:tc>
          <w:tcPr>
            <w:tcW w:w="860" w:type="dxa"/>
            <w:vAlign w:val="bottom"/>
          </w:tcPr>
          <w:p>
            <w:pPr>
              <w:jc w:val="right"/>
              <w:spacing w:after="0" w:line="188" w:lineRule="exact"/>
              <w:rPr>
                <w:sz w:val="20"/>
                <w:szCs w:val="20"/>
                <w:color w:val="auto"/>
              </w:rPr>
            </w:pPr>
            <w:r>
              <w:rPr>
                <w:rFonts w:ascii="Arial" w:cs="Arial" w:eastAsia="Arial" w:hAnsi="Arial"/>
                <w:sz w:val="18"/>
                <w:szCs w:val="18"/>
                <w:color w:val="231F20"/>
              </w:rPr>
              <w:t>88 %</w:t>
            </w:r>
          </w:p>
        </w:tc>
        <w:tc>
          <w:tcPr>
            <w:tcW w:w="1080" w:type="dxa"/>
            <w:vAlign w:val="bottom"/>
            <w:gridSpan w:val="2"/>
          </w:tcPr>
          <w:p>
            <w:pPr>
              <w:jc w:val="right"/>
              <w:spacing w:after="0" w:line="188" w:lineRule="exact"/>
              <w:rPr>
                <w:sz w:val="20"/>
                <w:szCs w:val="20"/>
                <w:color w:val="auto"/>
              </w:rPr>
            </w:pPr>
            <w:r>
              <w:rPr>
                <w:rFonts w:ascii="Arial" w:cs="Arial" w:eastAsia="Arial" w:hAnsi="Arial"/>
                <w:sz w:val="18"/>
                <w:szCs w:val="18"/>
                <w:color w:val="231F20"/>
              </w:rPr>
              <w:t>58 %</w:t>
            </w:r>
          </w:p>
        </w:tc>
        <w:tc>
          <w:tcPr>
            <w:tcW w:w="1420" w:type="dxa"/>
            <w:vAlign w:val="bottom"/>
            <w:gridSpan w:val="2"/>
          </w:tcPr>
          <w:p>
            <w:pPr>
              <w:jc w:val="right"/>
              <w:ind w:right="150"/>
              <w:spacing w:after="0" w:line="188" w:lineRule="exact"/>
              <w:rPr>
                <w:sz w:val="20"/>
                <w:szCs w:val="20"/>
                <w:color w:val="auto"/>
              </w:rPr>
            </w:pPr>
            <w:r>
              <w:rPr>
                <w:rFonts w:ascii="Arial" w:cs="Arial" w:eastAsia="Arial" w:hAnsi="Arial"/>
                <w:sz w:val="18"/>
                <w:szCs w:val="18"/>
                <w:color w:val="231F20"/>
              </w:rPr>
              <w:t>47%</w:t>
            </w:r>
          </w:p>
        </w:tc>
        <w:tc>
          <w:tcPr>
            <w:tcW w:w="20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8"/>
                <w:szCs w:val="18"/>
                <w:color w:val="231F20"/>
              </w:rPr>
              <w:t>— %</w:t>
            </w:r>
          </w:p>
        </w:tc>
        <w:tc>
          <w:tcPr>
            <w:tcW w:w="1240" w:type="dxa"/>
            <w:vAlign w:val="bottom"/>
            <w:gridSpan w:val="3"/>
          </w:tcPr>
          <w:p>
            <w:pPr>
              <w:jc w:val="right"/>
              <w:ind w:right="200"/>
              <w:spacing w:after="0" w:line="188" w:lineRule="exact"/>
              <w:rPr>
                <w:sz w:val="20"/>
                <w:szCs w:val="20"/>
                <w:color w:val="auto"/>
              </w:rPr>
            </w:pPr>
            <w:r>
              <w:rPr>
                <w:rFonts w:ascii="Arial" w:cs="Arial" w:eastAsia="Arial" w:hAnsi="Arial"/>
                <w:sz w:val="18"/>
                <w:szCs w:val="18"/>
                <w:color w:val="231F20"/>
              </w:rPr>
              <w:t>89%</w:t>
            </w:r>
          </w:p>
        </w:tc>
        <w:tc>
          <w:tcPr>
            <w:tcW w:w="940" w:type="dxa"/>
            <w:vAlign w:val="bottom"/>
          </w:tcPr>
          <w:p>
            <w:pPr>
              <w:jc w:val="right"/>
              <w:spacing w:after="0" w:line="188" w:lineRule="exact"/>
              <w:rPr>
                <w:sz w:val="20"/>
                <w:szCs w:val="20"/>
                <w:color w:val="auto"/>
              </w:rPr>
            </w:pPr>
            <w:r>
              <w:rPr>
                <w:rFonts w:ascii="Arial" w:cs="Arial" w:eastAsia="Arial" w:hAnsi="Arial"/>
                <w:sz w:val="18"/>
                <w:szCs w:val="18"/>
                <w:color w:val="231F20"/>
              </w:rPr>
              <w:t>75 %</w:t>
            </w: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b w:val="1"/>
                <w:bCs w:val="1"/>
                <w:color w:val="231F20"/>
              </w:rPr>
              <w:t>Number of producing</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b w:val="1"/>
                <w:bCs w:val="1"/>
                <w:color w:val="231F20"/>
              </w:rPr>
              <w:t xml:space="preserve">fields we operate </w:t>
            </w:r>
            <w:r>
              <w:rPr>
                <w:rFonts w:ascii="Arial" w:cs="Arial" w:eastAsia="Arial" w:hAnsi="Arial"/>
                <w:sz w:val="18"/>
                <w:szCs w:val="18"/>
                <w:color w:val="231F20"/>
              </w:rPr>
              <w:t>. . . . . . . . . .</w:t>
            </w:r>
          </w:p>
        </w:tc>
        <w:tc>
          <w:tcPr>
            <w:tcW w:w="860" w:type="dxa"/>
            <w:vAlign w:val="bottom"/>
          </w:tcPr>
          <w:p>
            <w:pPr>
              <w:jc w:val="right"/>
              <w:ind w:right="110"/>
              <w:spacing w:after="0" w:line="190" w:lineRule="exact"/>
              <w:rPr>
                <w:sz w:val="20"/>
                <w:szCs w:val="20"/>
                <w:color w:val="auto"/>
              </w:rPr>
            </w:pPr>
            <w:r>
              <w:rPr>
                <w:rFonts w:ascii="Arial" w:cs="Arial" w:eastAsia="Arial" w:hAnsi="Arial"/>
                <w:sz w:val="18"/>
                <w:szCs w:val="18"/>
                <w:color w:val="231F20"/>
              </w:rPr>
              <w:t>38</w:t>
            </w:r>
          </w:p>
        </w:tc>
        <w:tc>
          <w:tcPr>
            <w:tcW w:w="1080" w:type="dxa"/>
            <w:vAlign w:val="bottom"/>
            <w:gridSpan w:val="2"/>
          </w:tcPr>
          <w:p>
            <w:pPr>
              <w:jc w:val="right"/>
              <w:ind w:right="151"/>
              <w:spacing w:after="0" w:line="190" w:lineRule="exact"/>
              <w:rPr>
                <w:sz w:val="20"/>
                <w:szCs w:val="20"/>
                <w:color w:val="auto"/>
              </w:rPr>
            </w:pPr>
            <w:r>
              <w:rPr>
                <w:rFonts w:ascii="Arial" w:cs="Arial" w:eastAsia="Arial" w:hAnsi="Arial"/>
                <w:sz w:val="18"/>
                <w:szCs w:val="18"/>
                <w:color w:val="231F20"/>
              </w:rPr>
              <w:t>4</w:t>
            </w:r>
          </w:p>
        </w:tc>
        <w:tc>
          <w:tcPr>
            <w:tcW w:w="1420" w:type="dxa"/>
            <w:vAlign w:val="bottom"/>
            <w:gridSpan w:val="2"/>
          </w:tcPr>
          <w:p>
            <w:pPr>
              <w:jc w:val="right"/>
              <w:ind w:right="290"/>
              <w:spacing w:after="0" w:line="190" w:lineRule="exact"/>
              <w:rPr>
                <w:sz w:val="20"/>
                <w:szCs w:val="20"/>
                <w:color w:val="auto"/>
              </w:rPr>
            </w:pPr>
            <w:r>
              <w:rPr>
                <w:rFonts w:ascii="Arial" w:cs="Arial" w:eastAsia="Arial" w:hAnsi="Arial"/>
                <w:sz w:val="18"/>
                <w:szCs w:val="18"/>
                <w:color w:val="231F20"/>
              </w:rPr>
              <w:t>20</w:t>
            </w:r>
          </w:p>
        </w:tc>
        <w:tc>
          <w:tcPr>
            <w:tcW w:w="9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231F20"/>
              </w:rPr>
              <w:t>4</w:t>
            </w:r>
          </w:p>
        </w:tc>
        <w:tc>
          <w:tcPr>
            <w:tcW w:w="10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231F20"/>
              </w:rPr>
              <w:t>2</w:t>
            </w:r>
          </w:p>
        </w:tc>
        <w:tc>
          <w:tcPr>
            <w:tcW w:w="200" w:type="dxa"/>
            <w:vAlign w:val="bottom"/>
          </w:tcPr>
          <w:p>
            <w:pPr>
              <w:spacing w:after="0"/>
              <w:rPr>
                <w:sz w:val="16"/>
                <w:szCs w:val="16"/>
                <w:color w:val="auto"/>
              </w:rPr>
            </w:pPr>
          </w:p>
        </w:tc>
        <w:tc>
          <w:tcPr>
            <w:tcW w:w="940" w:type="dxa"/>
            <w:vAlign w:val="bottom"/>
          </w:tcPr>
          <w:p>
            <w:pPr>
              <w:jc w:val="right"/>
              <w:ind w:right="150"/>
              <w:spacing w:after="0" w:line="190" w:lineRule="exact"/>
              <w:rPr>
                <w:sz w:val="20"/>
                <w:szCs w:val="20"/>
                <w:color w:val="auto"/>
              </w:rPr>
            </w:pPr>
            <w:r>
              <w:rPr>
                <w:rFonts w:ascii="Arial" w:cs="Arial" w:eastAsia="Arial" w:hAnsi="Arial"/>
                <w:sz w:val="18"/>
                <w:szCs w:val="18"/>
                <w:color w:val="231F20"/>
              </w:rPr>
              <w:t>68</w:t>
            </w: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b w:val="1"/>
                <w:bCs w:val="1"/>
                <w:color w:val="231F20"/>
              </w:rPr>
              <w:t xml:space="preserve">Average drilling rigs </w:t>
            </w:r>
            <w:r>
              <w:rPr>
                <w:rFonts w:ascii="Arial" w:cs="Arial" w:eastAsia="Arial" w:hAnsi="Arial"/>
                <w:sz w:val="18"/>
                <w:szCs w:val="18"/>
                <w:color w:val="231F20"/>
              </w:rPr>
              <w:t>. . . . . . .</w:t>
            </w:r>
          </w:p>
        </w:tc>
        <w:tc>
          <w:tcPr>
            <w:tcW w:w="860" w:type="dxa"/>
            <w:vAlign w:val="bottom"/>
          </w:tcPr>
          <w:p>
            <w:pPr>
              <w:jc w:val="right"/>
              <w:ind w:right="110"/>
              <w:spacing w:after="0" w:line="190" w:lineRule="exact"/>
              <w:rPr>
                <w:sz w:val="20"/>
                <w:szCs w:val="20"/>
                <w:color w:val="auto"/>
              </w:rPr>
            </w:pPr>
            <w:r>
              <w:rPr>
                <w:rFonts w:ascii="Arial" w:cs="Arial" w:eastAsia="Arial" w:hAnsi="Arial"/>
                <w:sz w:val="18"/>
                <w:szCs w:val="18"/>
                <w:color w:val="231F20"/>
              </w:rPr>
              <w:t>2</w:t>
            </w:r>
          </w:p>
        </w:tc>
        <w:tc>
          <w:tcPr>
            <w:tcW w:w="200" w:type="dxa"/>
            <w:vAlign w:val="bottom"/>
          </w:tcPr>
          <w:p>
            <w:pPr>
              <w:spacing w:after="0"/>
              <w:rPr>
                <w:sz w:val="16"/>
                <w:szCs w:val="16"/>
                <w:color w:val="auto"/>
              </w:rPr>
            </w:pPr>
          </w:p>
        </w:tc>
        <w:tc>
          <w:tcPr>
            <w:tcW w:w="880" w:type="dxa"/>
            <w:vAlign w:val="bottom"/>
          </w:tcPr>
          <w:p>
            <w:pPr>
              <w:jc w:val="right"/>
              <w:ind w:right="151"/>
              <w:spacing w:after="0" w:line="190" w:lineRule="exact"/>
              <w:rPr>
                <w:sz w:val="20"/>
                <w:szCs w:val="20"/>
                <w:color w:val="auto"/>
              </w:rPr>
            </w:pPr>
            <w:r>
              <w:rPr>
                <w:rFonts w:ascii="Arial" w:cs="Arial" w:eastAsia="Arial" w:hAnsi="Arial"/>
                <w:sz w:val="18"/>
                <w:szCs w:val="18"/>
                <w:color w:val="231F20"/>
              </w:rPr>
              <w:t>—</w:t>
            </w:r>
          </w:p>
        </w:tc>
        <w:tc>
          <w:tcPr>
            <w:tcW w:w="200" w:type="dxa"/>
            <w:vAlign w:val="bottom"/>
          </w:tcPr>
          <w:p>
            <w:pPr>
              <w:spacing w:after="0"/>
              <w:rPr>
                <w:sz w:val="16"/>
                <w:szCs w:val="16"/>
                <w:color w:val="auto"/>
              </w:rPr>
            </w:pPr>
          </w:p>
        </w:tc>
        <w:tc>
          <w:tcPr>
            <w:tcW w:w="1220" w:type="dxa"/>
            <w:vAlign w:val="bottom"/>
          </w:tcPr>
          <w:p>
            <w:pPr>
              <w:jc w:val="right"/>
              <w:ind w:right="290"/>
              <w:spacing w:after="0" w:line="190" w:lineRule="exact"/>
              <w:rPr>
                <w:sz w:val="20"/>
                <w:szCs w:val="20"/>
                <w:color w:val="auto"/>
              </w:rPr>
            </w:pPr>
            <w:r>
              <w:rPr>
                <w:rFonts w:ascii="Arial" w:cs="Arial" w:eastAsia="Arial" w:hAnsi="Arial"/>
                <w:sz w:val="18"/>
                <w:szCs w:val="18"/>
                <w:color w:val="231F20"/>
              </w:rPr>
              <w:t>—</w:t>
            </w:r>
          </w:p>
        </w:tc>
        <w:tc>
          <w:tcPr>
            <w:tcW w:w="200" w:type="dxa"/>
            <w:vAlign w:val="bottom"/>
          </w:tcPr>
          <w:p>
            <w:pPr>
              <w:spacing w:after="0"/>
              <w:rPr>
                <w:sz w:val="16"/>
                <w:szCs w:val="16"/>
                <w:color w:val="auto"/>
              </w:rPr>
            </w:pPr>
          </w:p>
        </w:tc>
        <w:tc>
          <w:tcPr>
            <w:tcW w:w="740" w:type="dxa"/>
            <w:vAlign w:val="bottom"/>
          </w:tcPr>
          <w:p>
            <w:pPr>
              <w:jc w:val="right"/>
              <w:ind w:right="90"/>
              <w:spacing w:after="0" w:line="190" w:lineRule="exact"/>
              <w:rPr>
                <w:sz w:val="20"/>
                <w:szCs w:val="20"/>
                <w:color w:val="auto"/>
              </w:rPr>
            </w:pPr>
            <w:r>
              <w:rPr>
                <w:rFonts w:ascii="Arial" w:cs="Arial" w:eastAsia="Arial" w:hAnsi="Arial"/>
                <w:sz w:val="18"/>
                <w:szCs w:val="18"/>
                <w:color w:val="231F20"/>
              </w:rPr>
              <w:t>—</w:t>
            </w:r>
          </w:p>
        </w:tc>
        <w:tc>
          <w:tcPr>
            <w:tcW w:w="200" w:type="dxa"/>
            <w:vAlign w:val="bottom"/>
          </w:tcPr>
          <w:p>
            <w:pPr>
              <w:spacing w:after="0"/>
              <w:rPr>
                <w:sz w:val="16"/>
                <w:szCs w:val="16"/>
                <w:color w:val="auto"/>
              </w:rPr>
            </w:pPr>
          </w:p>
        </w:tc>
        <w:tc>
          <w:tcPr>
            <w:tcW w:w="1040" w:type="dxa"/>
            <w:vAlign w:val="bottom"/>
            <w:gridSpan w:val="2"/>
          </w:tcPr>
          <w:p>
            <w:pPr>
              <w:jc w:val="right"/>
              <w:ind w:right="380"/>
              <w:spacing w:after="0" w:line="190" w:lineRule="exact"/>
              <w:rPr>
                <w:sz w:val="20"/>
                <w:szCs w:val="20"/>
                <w:color w:val="auto"/>
              </w:rPr>
            </w:pPr>
            <w:r>
              <w:rPr>
                <w:rFonts w:ascii="Arial" w:cs="Arial" w:eastAsia="Arial" w:hAnsi="Arial"/>
                <w:sz w:val="18"/>
                <w:szCs w:val="18"/>
                <w:color w:val="231F20"/>
              </w:rPr>
              <w:t>—</w:t>
            </w:r>
          </w:p>
        </w:tc>
        <w:tc>
          <w:tcPr>
            <w:tcW w:w="940" w:type="dxa"/>
            <w:vAlign w:val="bottom"/>
          </w:tcPr>
          <w:p>
            <w:pPr>
              <w:jc w:val="right"/>
              <w:ind w:right="150"/>
              <w:spacing w:after="0" w:line="190" w:lineRule="exact"/>
              <w:rPr>
                <w:sz w:val="20"/>
                <w:szCs w:val="20"/>
                <w:color w:val="auto"/>
              </w:rPr>
            </w:pPr>
            <w:r>
              <w:rPr>
                <w:rFonts w:ascii="Arial" w:cs="Arial" w:eastAsia="Arial" w:hAnsi="Arial"/>
                <w:sz w:val="18"/>
                <w:szCs w:val="18"/>
                <w:color w:val="231F20"/>
              </w:rPr>
              <w:t>2</w:t>
            </w: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b w:val="1"/>
                <w:bCs w:val="1"/>
                <w:color w:val="231F20"/>
              </w:rPr>
              <w:t>Net wells drilled and</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Arial" w:cs="Arial" w:eastAsia="Arial" w:hAnsi="Arial"/>
                <w:sz w:val="18"/>
                <w:szCs w:val="18"/>
                <w:b w:val="1"/>
                <w:bCs w:val="1"/>
                <w:color w:val="231F20"/>
              </w:rPr>
              <w:t xml:space="preserve">completed </w:t>
            </w:r>
            <w:r>
              <w:rPr>
                <w:rFonts w:ascii="Arial" w:cs="Arial" w:eastAsia="Arial" w:hAnsi="Arial"/>
                <w:sz w:val="18"/>
                <w:szCs w:val="18"/>
                <w:color w:val="231F20"/>
              </w:rPr>
              <w:t>. . . . . . . . . . . . . . . .</w:t>
            </w:r>
          </w:p>
        </w:tc>
        <w:tc>
          <w:tcPr>
            <w:tcW w:w="860" w:type="dxa"/>
            <w:vAlign w:val="bottom"/>
          </w:tcPr>
          <w:p>
            <w:pPr>
              <w:jc w:val="right"/>
              <w:ind w:right="110"/>
              <w:spacing w:after="0" w:line="203" w:lineRule="exact"/>
              <w:rPr>
                <w:sz w:val="20"/>
                <w:szCs w:val="20"/>
                <w:color w:val="auto"/>
              </w:rPr>
            </w:pPr>
            <w:r>
              <w:rPr>
                <w:rFonts w:ascii="Arial" w:cs="Arial" w:eastAsia="Arial" w:hAnsi="Arial"/>
                <w:sz w:val="18"/>
                <w:szCs w:val="18"/>
                <w:color w:val="231F20"/>
              </w:rPr>
              <w:t>43.0</w:t>
            </w:r>
          </w:p>
        </w:tc>
        <w:tc>
          <w:tcPr>
            <w:tcW w:w="200" w:type="dxa"/>
            <w:vAlign w:val="bottom"/>
          </w:tcPr>
          <w:p>
            <w:pPr>
              <w:spacing w:after="0"/>
              <w:rPr>
                <w:sz w:val="17"/>
                <w:szCs w:val="17"/>
                <w:color w:val="auto"/>
              </w:rPr>
            </w:pPr>
          </w:p>
        </w:tc>
        <w:tc>
          <w:tcPr>
            <w:tcW w:w="880" w:type="dxa"/>
            <w:vAlign w:val="bottom"/>
          </w:tcPr>
          <w:p>
            <w:pPr>
              <w:jc w:val="right"/>
              <w:ind w:right="151"/>
              <w:spacing w:after="0" w:line="203" w:lineRule="exact"/>
              <w:rPr>
                <w:sz w:val="20"/>
                <w:szCs w:val="20"/>
                <w:color w:val="auto"/>
              </w:rPr>
            </w:pPr>
            <w:r>
              <w:rPr>
                <w:rFonts w:ascii="Arial" w:cs="Arial" w:eastAsia="Arial" w:hAnsi="Arial"/>
                <w:sz w:val="18"/>
                <w:szCs w:val="18"/>
                <w:color w:val="231F20"/>
              </w:rPr>
              <w:t>—</w:t>
            </w:r>
          </w:p>
        </w:tc>
        <w:tc>
          <w:tcPr>
            <w:tcW w:w="200" w:type="dxa"/>
            <w:vAlign w:val="bottom"/>
          </w:tcPr>
          <w:p>
            <w:pPr>
              <w:spacing w:after="0"/>
              <w:rPr>
                <w:sz w:val="17"/>
                <w:szCs w:val="17"/>
                <w:color w:val="auto"/>
              </w:rPr>
            </w:pPr>
          </w:p>
        </w:tc>
        <w:tc>
          <w:tcPr>
            <w:tcW w:w="1220" w:type="dxa"/>
            <w:vAlign w:val="bottom"/>
          </w:tcPr>
          <w:p>
            <w:pPr>
              <w:jc w:val="right"/>
              <w:ind w:right="290"/>
              <w:spacing w:after="0" w:line="203" w:lineRule="exact"/>
              <w:rPr>
                <w:sz w:val="20"/>
                <w:szCs w:val="20"/>
                <w:color w:val="auto"/>
              </w:rPr>
            </w:pPr>
            <w:r>
              <w:rPr>
                <w:rFonts w:ascii="Arial" w:cs="Arial" w:eastAsia="Arial" w:hAnsi="Arial"/>
                <w:sz w:val="18"/>
                <w:szCs w:val="18"/>
                <w:color w:val="231F20"/>
              </w:rPr>
              <w:t>—</w:t>
            </w:r>
          </w:p>
        </w:tc>
        <w:tc>
          <w:tcPr>
            <w:tcW w:w="200" w:type="dxa"/>
            <w:vAlign w:val="bottom"/>
          </w:tcPr>
          <w:p>
            <w:pPr>
              <w:spacing w:after="0"/>
              <w:rPr>
                <w:sz w:val="17"/>
                <w:szCs w:val="17"/>
                <w:color w:val="auto"/>
              </w:rPr>
            </w:pPr>
          </w:p>
        </w:tc>
        <w:tc>
          <w:tcPr>
            <w:tcW w:w="740" w:type="dxa"/>
            <w:vAlign w:val="bottom"/>
          </w:tcPr>
          <w:p>
            <w:pPr>
              <w:jc w:val="right"/>
              <w:ind w:right="90"/>
              <w:spacing w:after="0" w:line="203" w:lineRule="exact"/>
              <w:rPr>
                <w:sz w:val="20"/>
                <w:szCs w:val="20"/>
                <w:color w:val="auto"/>
              </w:rPr>
            </w:pPr>
            <w:r>
              <w:rPr>
                <w:rFonts w:ascii="Arial" w:cs="Arial" w:eastAsia="Arial" w:hAnsi="Arial"/>
                <w:sz w:val="18"/>
                <w:szCs w:val="18"/>
                <w:color w:val="231F20"/>
              </w:rPr>
              <w:t>—</w:t>
            </w:r>
          </w:p>
        </w:tc>
        <w:tc>
          <w:tcPr>
            <w:tcW w:w="200" w:type="dxa"/>
            <w:vAlign w:val="bottom"/>
          </w:tcPr>
          <w:p>
            <w:pPr>
              <w:spacing w:after="0"/>
              <w:rPr>
                <w:sz w:val="17"/>
                <w:szCs w:val="17"/>
                <w:color w:val="auto"/>
              </w:rPr>
            </w:pPr>
          </w:p>
        </w:tc>
        <w:tc>
          <w:tcPr>
            <w:tcW w:w="104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231F20"/>
              </w:rPr>
              <w:t>—</w:t>
            </w:r>
          </w:p>
        </w:tc>
        <w:tc>
          <w:tcPr>
            <w:tcW w:w="940" w:type="dxa"/>
            <w:vAlign w:val="bottom"/>
          </w:tcPr>
          <w:p>
            <w:pPr>
              <w:jc w:val="right"/>
              <w:ind w:right="150"/>
              <w:spacing w:after="0" w:line="203" w:lineRule="exact"/>
              <w:rPr>
                <w:sz w:val="20"/>
                <w:szCs w:val="20"/>
                <w:color w:val="auto"/>
              </w:rPr>
            </w:pPr>
            <w:r>
              <w:rPr>
                <w:rFonts w:ascii="Arial" w:cs="Arial" w:eastAsia="Arial" w:hAnsi="Arial"/>
                <w:sz w:val="18"/>
                <w:szCs w:val="18"/>
                <w:color w:val="231F20"/>
              </w:rPr>
              <w:t>43.0</w:t>
            </w:r>
          </w:p>
        </w:tc>
        <w:tc>
          <w:tcPr>
            <w:tcW w:w="0" w:type="dxa"/>
            <w:vAlign w:val="bottom"/>
          </w:tcPr>
          <w:p>
            <w:pPr>
              <w:spacing w:after="0"/>
              <w:rPr>
                <w:sz w:val="1"/>
                <w:szCs w:val="1"/>
                <w:color w:val="auto"/>
              </w:rPr>
            </w:pPr>
          </w:p>
        </w:tc>
      </w:tr>
      <w:tr>
        <w:trPr>
          <w:trHeight w:val="379"/>
        </w:trPr>
        <w:tc>
          <w:tcPr>
            <w:tcW w:w="2640" w:type="dxa"/>
            <w:vAlign w:val="bottom"/>
          </w:tcPr>
          <w:p>
            <w:pPr>
              <w:spacing w:after="0"/>
              <w:rPr>
                <w:sz w:val="20"/>
                <w:szCs w:val="20"/>
                <w:color w:val="auto"/>
              </w:rPr>
            </w:pPr>
            <w:r>
              <w:rPr>
                <w:rFonts w:ascii="Arial" w:cs="Arial" w:eastAsia="Arial" w:hAnsi="Arial"/>
                <w:sz w:val="18"/>
                <w:szCs w:val="18"/>
                <w:b w:val="1"/>
                <w:bCs w:val="1"/>
                <w:color w:val="231F20"/>
              </w:rPr>
              <w:t>Proved reserves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color w:val="231F20"/>
              </w:rPr>
              <w:t>Oil (MMBbl) . . . . . . . . . . . . . . .</w:t>
            </w:r>
          </w:p>
        </w:tc>
        <w:tc>
          <w:tcPr>
            <w:tcW w:w="860" w:type="dxa"/>
            <w:vAlign w:val="bottom"/>
          </w:tcPr>
          <w:p>
            <w:pPr>
              <w:jc w:val="right"/>
              <w:ind w:right="110"/>
              <w:spacing w:after="0" w:line="190" w:lineRule="exact"/>
              <w:rPr>
                <w:sz w:val="20"/>
                <w:szCs w:val="20"/>
                <w:color w:val="auto"/>
              </w:rPr>
            </w:pPr>
            <w:r>
              <w:rPr>
                <w:rFonts w:ascii="Arial" w:cs="Arial" w:eastAsia="Arial" w:hAnsi="Arial"/>
                <w:sz w:val="18"/>
                <w:szCs w:val="18"/>
                <w:color w:val="231F20"/>
              </w:rPr>
              <w:t>426</w:t>
            </w:r>
          </w:p>
        </w:tc>
        <w:tc>
          <w:tcPr>
            <w:tcW w:w="1080" w:type="dxa"/>
            <w:vAlign w:val="bottom"/>
            <w:gridSpan w:val="2"/>
          </w:tcPr>
          <w:p>
            <w:pPr>
              <w:jc w:val="right"/>
              <w:ind w:right="151"/>
              <w:spacing w:after="0" w:line="190" w:lineRule="exact"/>
              <w:rPr>
                <w:sz w:val="20"/>
                <w:szCs w:val="20"/>
                <w:color w:val="auto"/>
              </w:rPr>
            </w:pPr>
            <w:r>
              <w:rPr>
                <w:rFonts w:ascii="Arial" w:cs="Arial" w:eastAsia="Arial" w:hAnsi="Arial"/>
                <w:sz w:val="18"/>
                <w:szCs w:val="18"/>
                <w:color w:val="231F20"/>
              </w:rPr>
              <w:t>64</w:t>
            </w:r>
          </w:p>
        </w:tc>
        <w:tc>
          <w:tcPr>
            <w:tcW w:w="200" w:type="dxa"/>
            <w:vAlign w:val="bottom"/>
          </w:tcPr>
          <w:p>
            <w:pPr>
              <w:spacing w:after="0"/>
              <w:rPr>
                <w:sz w:val="16"/>
                <w:szCs w:val="16"/>
                <w:color w:val="auto"/>
              </w:rPr>
            </w:pPr>
          </w:p>
        </w:tc>
        <w:tc>
          <w:tcPr>
            <w:tcW w:w="1220" w:type="dxa"/>
            <w:vAlign w:val="bottom"/>
          </w:tcPr>
          <w:p>
            <w:pPr>
              <w:jc w:val="right"/>
              <w:ind w:right="290"/>
              <w:spacing w:after="0" w:line="190" w:lineRule="exact"/>
              <w:rPr>
                <w:sz w:val="20"/>
                <w:szCs w:val="20"/>
                <w:color w:val="auto"/>
              </w:rPr>
            </w:pPr>
            <w:r>
              <w:rPr>
                <w:rFonts w:ascii="Arial" w:cs="Arial" w:eastAsia="Arial" w:hAnsi="Arial"/>
                <w:sz w:val="18"/>
                <w:szCs w:val="18"/>
                <w:color w:val="231F20"/>
              </w:rPr>
              <w:t>—</w:t>
            </w:r>
          </w:p>
        </w:tc>
        <w:tc>
          <w:tcPr>
            <w:tcW w:w="9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231F20"/>
              </w:rPr>
              <w:t>26</w:t>
            </w:r>
          </w:p>
        </w:tc>
        <w:tc>
          <w:tcPr>
            <w:tcW w:w="10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231F20"/>
              </w:rPr>
              <w:t>25</w:t>
            </w:r>
          </w:p>
        </w:tc>
        <w:tc>
          <w:tcPr>
            <w:tcW w:w="200" w:type="dxa"/>
            <w:vAlign w:val="bottom"/>
          </w:tcPr>
          <w:p>
            <w:pPr>
              <w:spacing w:after="0"/>
              <w:rPr>
                <w:sz w:val="16"/>
                <w:szCs w:val="16"/>
                <w:color w:val="auto"/>
              </w:rPr>
            </w:pPr>
          </w:p>
        </w:tc>
        <w:tc>
          <w:tcPr>
            <w:tcW w:w="940" w:type="dxa"/>
            <w:vAlign w:val="bottom"/>
          </w:tcPr>
          <w:p>
            <w:pPr>
              <w:jc w:val="right"/>
              <w:ind w:right="150"/>
              <w:spacing w:after="0" w:line="190" w:lineRule="exact"/>
              <w:rPr>
                <w:sz w:val="20"/>
                <w:szCs w:val="20"/>
                <w:color w:val="auto"/>
              </w:rPr>
            </w:pPr>
            <w:r>
              <w:rPr>
                <w:rFonts w:ascii="Arial" w:cs="Arial" w:eastAsia="Arial" w:hAnsi="Arial"/>
                <w:sz w:val="18"/>
                <w:szCs w:val="18"/>
                <w:color w:val="231F20"/>
              </w:rPr>
              <w:t>541</w:t>
            </w: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color w:val="231F20"/>
              </w:rPr>
              <w:t>NGLs (MMBbl) . . . . . . . . . . . . .</w:t>
            </w:r>
          </w:p>
        </w:tc>
        <w:tc>
          <w:tcPr>
            <w:tcW w:w="860" w:type="dxa"/>
            <w:vAlign w:val="bottom"/>
          </w:tcPr>
          <w:p>
            <w:pPr>
              <w:jc w:val="right"/>
              <w:ind w:right="110"/>
              <w:spacing w:after="0" w:line="190" w:lineRule="exact"/>
              <w:rPr>
                <w:sz w:val="20"/>
                <w:szCs w:val="20"/>
                <w:color w:val="auto"/>
              </w:rPr>
            </w:pPr>
            <w:r>
              <w:rPr>
                <w:rFonts w:ascii="Arial" w:cs="Arial" w:eastAsia="Arial" w:hAnsi="Arial"/>
                <w:sz w:val="18"/>
                <w:szCs w:val="18"/>
                <w:color w:val="231F20"/>
              </w:rPr>
              <w:t>35</w:t>
            </w:r>
          </w:p>
        </w:tc>
        <w:tc>
          <w:tcPr>
            <w:tcW w:w="200" w:type="dxa"/>
            <w:vAlign w:val="bottom"/>
          </w:tcPr>
          <w:p>
            <w:pPr>
              <w:spacing w:after="0"/>
              <w:rPr>
                <w:sz w:val="16"/>
                <w:szCs w:val="16"/>
                <w:color w:val="auto"/>
              </w:rPr>
            </w:pPr>
          </w:p>
        </w:tc>
        <w:tc>
          <w:tcPr>
            <w:tcW w:w="880" w:type="dxa"/>
            <w:vAlign w:val="bottom"/>
          </w:tcPr>
          <w:p>
            <w:pPr>
              <w:jc w:val="right"/>
              <w:ind w:right="151"/>
              <w:spacing w:after="0" w:line="190" w:lineRule="exact"/>
              <w:rPr>
                <w:sz w:val="20"/>
                <w:szCs w:val="20"/>
                <w:color w:val="auto"/>
              </w:rPr>
            </w:pPr>
            <w:r>
              <w:rPr>
                <w:rFonts w:ascii="Arial" w:cs="Arial" w:eastAsia="Arial" w:hAnsi="Arial"/>
                <w:sz w:val="18"/>
                <w:szCs w:val="18"/>
                <w:color w:val="231F20"/>
              </w:rPr>
              <w:t>—</w:t>
            </w:r>
          </w:p>
        </w:tc>
        <w:tc>
          <w:tcPr>
            <w:tcW w:w="200" w:type="dxa"/>
            <w:vAlign w:val="bottom"/>
          </w:tcPr>
          <w:p>
            <w:pPr>
              <w:spacing w:after="0"/>
              <w:rPr>
                <w:sz w:val="16"/>
                <w:szCs w:val="16"/>
                <w:color w:val="auto"/>
              </w:rPr>
            </w:pPr>
          </w:p>
        </w:tc>
        <w:tc>
          <w:tcPr>
            <w:tcW w:w="1220" w:type="dxa"/>
            <w:vAlign w:val="bottom"/>
          </w:tcPr>
          <w:p>
            <w:pPr>
              <w:jc w:val="right"/>
              <w:ind w:right="290"/>
              <w:spacing w:after="0" w:line="190" w:lineRule="exact"/>
              <w:rPr>
                <w:sz w:val="20"/>
                <w:szCs w:val="20"/>
                <w:color w:val="auto"/>
              </w:rPr>
            </w:pPr>
            <w:r>
              <w:rPr>
                <w:rFonts w:ascii="Arial" w:cs="Arial" w:eastAsia="Arial" w:hAnsi="Arial"/>
                <w:sz w:val="18"/>
                <w:szCs w:val="18"/>
                <w:color w:val="231F20"/>
              </w:rPr>
              <w:t>—</w:t>
            </w:r>
          </w:p>
        </w:tc>
        <w:tc>
          <w:tcPr>
            <w:tcW w:w="9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231F20"/>
              </w:rPr>
              <w:t>1</w:t>
            </w:r>
          </w:p>
        </w:tc>
        <w:tc>
          <w:tcPr>
            <w:tcW w:w="10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231F20"/>
              </w:rPr>
              <w:t>1</w:t>
            </w:r>
          </w:p>
        </w:tc>
        <w:tc>
          <w:tcPr>
            <w:tcW w:w="200" w:type="dxa"/>
            <w:vAlign w:val="bottom"/>
          </w:tcPr>
          <w:p>
            <w:pPr>
              <w:spacing w:after="0"/>
              <w:rPr>
                <w:sz w:val="16"/>
                <w:szCs w:val="16"/>
                <w:color w:val="auto"/>
              </w:rPr>
            </w:pPr>
          </w:p>
        </w:tc>
        <w:tc>
          <w:tcPr>
            <w:tcW w:w="940" w:type="dxa"/>
            <w:vAlign w:val="bottom"/>
          </w:tcPr>
          <w:p>
            <w:pPr>
              <w:jc w:val="right"/>
              <w:ind w:right="150"/>
              <w:spacing w:after="0" w:line="190" w:lineRule="exact"/>
              <w:rPr>
                <w:sz w:val="20"/>
                <w:szCs w:val="20"/>
                <w:color w:val="auto"/>
              </w:rPr>
            </w:pPr>
            <w:r>
              <w:rPr>
                <w:rFonts w:ascii="Arial" w:cs="Arial" w:eastAsia="Arial" w:hAnsi="Arial"/>
                <w:sz w:val="18"/>
                <w:szCs w:val="18"/>
                <w:color w:val="231F20"/>
              </w:rPr>
              <w:t>37</w:t>
            </w:r>
          </w:p>
        </w:tc>
        <w:tc>
          <w:tcPr>
            <w:tcW w:w="0" w:type="dxa"/>
            <w:vAlign w:val="bottom"/>
          </w:tcPr>
          <w:p>
            <w:pPr>
              <w:spacing w:after="0"/>
              <w:rPr>
                <w:sz w:val="1"/>
                <w:szCs w:val="1"/>
                <w:color w:val="auto"/>
              </w:rPr>
            </w:pPr>
          </w:p>
        </w:tc>
      </w:tr>
      <w:tr>
        <w:trPr>
          <w:trHeight w:val="201"/>
        </w:trPr>
        <w:tc>
          <w:tcPr>
            <w:tcW w:w="2640" w:type="dxa"/>
            <w:vAlign w:val="bottom"/>
          </w:tcPr>
          <w:p>
            <w:pPr>
              <w:spacing w:after="0" w:line="201" w:lineRule="exact"/>
              <w:rPr>
                <w:sz w:val="20"/>
                <w:szCs w:val="20"/>
                <w:color w:val="auto"/>
              </w:rPr>
            </w:pPr>
            <w:r>
              <w:rPr>
                <w:rFonts w:ascii="Arial" w:cs="Arial" w:eastAsia="Arial" w:hAnsi="Arial"/>
                <w:sz w:val="18"/>
                <w:szCs w:val="18"/>
                <w:color w:val="231F20"/>
              </w:rPr>
              <w:t>Natural gas (Bcf) . . . . . . . . . . .</w:t>
            </w:r>
          </w:p>
        </w:tc>
        <w:tc>
          <w:tcPr>
            <w:tcW w:w="860" w:type="dxa"/>
            <w:vAlign w:val="bottom"/>
          </w:tcPr>
          <w:p>
            <w:pPr>
              <w:jc w:val="right"/>
              <w:ind w:right="110"/>
              <w:spacing w:after="0" w:line="201" w:lineRule="exact"/>
              <w:rPr>
                <w:sz w:val="20"/>
                <w:szCs w:val="20"/>
                <w:color w:val="auto"/>
              </w:rPr>
            </w:pPr>
            <w:r>
              <w:rPr>
                <w:rFonts w:ascii="Arial" w:cs="Arial" w:eastAsia="Arial" w:hAnsi="Arial"/>
                <w:sz w:val="18"/>
                <w:szCs w:val="18"/>
                <w:color w:val="231F20"/>
              </w:rPr>
              <w:t>407</w:t>
            </w:r>
          </w:p>
        </w:tc>
        <w:tc>
          <w:tcPr>
            <w:tcW w:w="1080" w:type="dxa"/>
            <w:vAlign w:val="bottom"/>
            <w:gridSpan w:val="2"/>
          </w:tcPr>
          <w:p>
            <w:pPr>
              <w:jc w:val="right"/>
              <w:ind w:right="151"/>
              <w:spacing w:after="0" w:line="201" w:lineRule="exact"/>
              <w:rPr>
                <w:sz w:val="20"/>
                <w:szCs w:val="20"/>
                <w:color w:val="auto"/>
              </w:rPr>
            </w:pPr>
            <w:r>
              <w:rPr>
                <w:rFonts w:ascii="Arial" w:cs="Arial" w:eastAsia="Arial" w:hAnsi="Arial"/>
                <w:sz w:val="18"/>
                <w:szCs w:val="18"/>
                <w:color w:val="231F20"/>
              </w:rPr>
              <w:t>4</w:t>
            </w:r>
          </w:p>
        </w:tc>
        <w:tc>
          <w:tcPr>
            <w:tcW w:w="14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231F20"/>
              </w:rPr>
              <w:t>8</w:t>
            </w:r>
          </w:p>
        </w:tc>
        <w:tc>
          <w:tcPr>
            <w:tcW w:w="94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231F20"/>
              </w:rPr>
              <w:t>30</w:t>
            </w:r>
          </w:p>
        </w:tc>
        <w:tc>
          <w:tcPr>
            <w:tcW w:w="104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231F20"/>
              </w:rPr>
              <w:t>6</w:t>
            </w:r>
          </w:p>
        </w:tc>
        <w:tc>
          <w:tcPr>
            <w:tcW w:w="200" w:type="dxa"/>
            <w:vAlign w:val="bottom"/>
          </w:tcPr>
          <w:p>
            <w:pPr>
              <w:spacing w:after="0"/>
              <w:rPr>
                <w:sz w:val="17"/>
                <w:szCs w:val="17"/>
                <w:color w:val="auto"/>
              </w:rPr>
            </w:pPr>
          </w:p>
        </w:tc>
        <w:tc>
          <w:tcPr>
            <w:tcW w:w="940" w:type="dxa"/>
            <w:vAlign w:val="bottom"/>
          </w:tcPr>
          <w:p>
            <w:pPr>
              <w:jc w:val="right"/>
              <w:ind w:right="150"/>
              <w:spacing w:after="0" w:line="201" w:lineRule="exact"/>
              <w:rPr>
                <w:sz w:val="20"/>
                <w:szCs w:val="20"/>
                <w:color w:val="auto"/>
              </w:rPr>
            </w:pPr>
            <w:r>
              <w:rPr>
                <w:rFonts w:ascii="Arial" w:cs="Arial" w:eastAsia="Arial" w:hAnsi="Arial"/>
                <w:sz w:val="18"/>
                <w:szCs w:val="18"/>
                <w:color w:val="231F20"/>
              </w:rPr>
              <w:t>455</w:t>
            </w:r>
          </w:p>
        </w:tc>
        <w:tc>
          <w:tcPr>
            <w:tcW w:w="0" w:type="dxa"/>
            <w:vAlign w:val="bottom"/>
          </w:tcPr>
          <w:p>
            <w:pPr>
              <w:spacing w:after="0"/>
              <w:rPr>
                <w:sz w:val="1"/>
                <w:szCs w:val="1"/>
                <w:color w:val="auto"/>
              </w:rPr>
            </w:pPr>
          </w:p>
        </w:tc>
      </w:tr>
      <w:tr>
        <w:trPr>
          <w:trHeight w:val="34"/>
        </w:trPr>
        <w:tc>
          <w:tcPr>
            <w:tcW w:w="264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231F20"/>
              </w:rPr>
              <w:t>Total (MMBoe) . . . . . . . . . . . . .</w:t>
            </w:r>
          </w:p>
        </w:tc>
        <w:tc>
          <w:tcPr>
            <w:tcW w:w="860" w:type="dxa"/>
            <w:vAlign w:val="bottom"/>
          </w:tcPr>
          <w:p>
            <w:pPr>
              <w:jc w:val="right"/>
              <w:ind w:right="110"/>
              <w:spacing w:after="0"/>
              <w:rPr>
                <w:sz w:val="20"/>
                <w:szCs w:val="20"/>
                <w:color w:val="auto"/>
              </w:rPr>
            </w:pPr>
            <w:r>
              <w:rPr>
                <w:rFonts w:ascii="Arial" w:cs="Arial" w:eastAsia="Arial" w:hAnsi="Arial"/>
                <w:sz w:val="18"/>
                <w:szCs w:val="18"/>
                <w:color w:val="231F20"/>
              </w:rPr>
              <w:t>529</w:t>
            </w:r>
          </w:p>
        </w:tc>
        <w:tc>
          <w:tcPr>
            <w:tcW w:w="1080" w:type="dxa"/>
            <w:vAlign w:val="bottom"/>
            <w:gridSpan w:val="2"/>
          </w:tcPr>
          <w:p>
            <w:pPr>
              <w:jc w:val="right"/>
              <w:ind w:right="151"/>
              <w:spacing w:after="0"/>
              <w:rPr>
                <w:sz w:val="20"/>
                <w:szCs w:val="20"/>
                <w:color w:val="auto"/>
              </w:rPr>
            </w:pPr>
            <w:r>
              <w:rPr>
                <w:rFonts w:ascii="Arial" w:cs="Arial" w:eastAsia="Arial" w:hAnsi="Arial"/>
                <w:sz w:val="18"/>
                <w:szCs w:val="18"/>
                <w:color w:val="231F20"/>
              </w:rPr>
              <w:t>65</w:t>
            </w:r>
          </w:p>
        </w:tc>
        <w:tc>
          <w:tcPr>
            <w:tcW w:w="1420" w:type="dxa"/>
            <w:vAlign w:val="bottom"/>
            <w:gridSpan w:val="2"/>
          </w:tcPr>
          <w:p>
            <w:pPr>
              <w:jc w:val="right"/>
              <w:ind w:right="290"/>
              <w:spacing w:after="0"/>
              <w:rPr>
                <w:sz w:val="20"/>
                <w:szCs w:val="20"/>
                <w:color w:val="auto"/>
              </w:rPr>
            </w:pPr>
            <w:r>
              <w:rPr>
                <w:rFonts w:ascii="Arial" w:cs="Arial" w:eastAsia="Arial" w:hAnsi="Arial"/>
                <w:sz w:val="18"/>
                <w:szCs w:val="18"/>
                <w:color w:val="231F20"/>
              </w:rPr>
              <w:t>1</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231F20"/>
              </w:rPr>
              <w:t>32</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231F20"/>
              </w:rPr>
              <w:t>27</w:t>
            </w:r>
          </w:p>
        </w:tc>
        <w:tc>
          <w:tcPr>
            <w:tcW w:w="20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231F20"/>
              </w:rPr>
              <w:t>654</w:t>
            </w:r>
          </w:p>
        </w:tc>
        <w:tc>
          <w:tcPr>
            <w:tcW w:w="0" w:type="dxa"/>
            <w:vAlign w:val="bottom"/>
          </w:tcPr>
          <w:p>
            <w:pPr>
              <w:spacing w:after="0"/>
              <w:rPr>
                <w:sz w:val="1"/>
                <w:szCs w:val="1"/>
                <w:color w:val="auto"/>
              </w:rPr>
            </w:pPr>
          </w:p>
        </w:tc>
      </w:tr>
      <w:tr>
        <w:trPr>
          <w:trHeight w:val="34"/>
        </w:trPr>
        <w:tc>
          <w:tcPr>
            <w:tcW w:w="2640" w:type="dxa"/>
            <w:vAlign w:val="bottom"/>
            <w:vMerge w:val="restart"/>
          </w:tcPr>
          <w:p>
            <w:pPr>
              <w:spacing w:after="0"/>
              <w:rPr>
                <w:sz w:val="20"/>
                <w:szCs w:val="20"/>
                <w:color w:val="auto"/>
              </w:rPr>
            </w:pPr>
            <w:r>
              <w:rPr>
                <w:rFonts w:ascii="Arial" w:cs="Arial" w:eastAsia="Arial" w:hAnsi="Arial"/>
                <w:sz w:val="18"/>
                <w:szCs w:val="18"/>
                <w:color w:val="231F20"/>
              </w:rPr>
              <w:t>Oil percentage of proved</w:t>
            </w:r>
          </w:p>
        </w:tc>
        <w:tc>
          <w:tcPr>
            <w:tcW w:w="8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vMerge w:val="continue"/>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40" w:type="dxa"/>
            <w:vAlign w:val="bottom"/>
          </w:tcPr>
          <w:p>
            <w:pPr>
              <w:spacing w:after="0" w:line="201" w:lineRule="exact"/>
              <w:rPr>
                <w:sz w:val="20"/>
                <w:szCs w:val="20"/>
                <w:color w:val="auto"/>
              </w:rPr>
            </w:pPr>
            <w:r>
              <w:rPr>
                <w:rFonts w:ascii="Arial" w:cs="Arial" w:eastAsia="Arial" w:hAnsi="Arial"/>
                <w:sz w:val="18"/>
                <w:szCs w:val="18"/>
                <w:color w:val="231F20"/>
              </w:rPr>
              <w:t>reserves . . . . . . . . . . . . . . . . . .</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231F20"/>
              </w:rPr>
              <w:t>81 %</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231F20"/>
              </w:rPr>
              <w:t>98%</w:t>
            </w:r>
          </w:p>
        </w:tc>
        <w:tc>
          <w:tcPr>
            <w:tcW w:w="200" w:type="dxa"/>
            <w:vAlign w:val="bottom"/>
          </w:tcPr>
          <w:p>
            <w:pPr>
              <w:spacing w:after="0"/>
              <w:rPr>
                <w:sz w:val="17"/>
                <w:szCs w:val="17"/>
                <w:color w:val="auto"/>
              </w:rPr>
            </w:pPr>
          </w:p>
        </w:tc>
        <w:tc>
          <w:tcPr>
            <w:tcW w:w="1220" w:type="dxa"/>
            <w:vAlign w:val="bottom"/>
          </w:tcPr>
          <w:p>
            <w:pPr>
              <w:jc w:val="right"/>
              <w:ind w:right="110"/>
              <w:spacing w:after="0" w:line="201" w:lineRule="exact"/>
              <w:rPr>
                <w:sz w:val="20"/>
                <w:szCs w:val="20"/>
                <w:color w:val="auto"/>
              </w:rPr>
            </w:pPr>
            <w:r>
              <w:rPr>
                <w:rFonts w:ascii="Arial" w:cs="Arial" w:eastAsia="Arial" w:hAnsi="Arial"/>
                <w:sz w:val="18"/>
                <w:szCs w:val="18"/>
                <w:color w:val="231F20"/>
              </w:rPr>
              <w:t>— %</w:t>
            </w: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231F20"/>
              </w:rPr>
              <w:t>81 %</w:t>
            </w:r>
          </w:p>
        </w:tc>
        <w:tc>
          <w:tcPr>
            <w:tcW w:w="12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231F20"/>
              </w:rPr>
              <w:t>93 %</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231F20"/>
              </w:rPr>
              <w:t>83 %</w:t>
            </w:r>
          </w:p>
        </w:tc>
        <w:tc>
          <w:tcPr>
            <w:tcW w:w="0" w:type="dxa"/>
            <w:vAlign w:val="bottom"/>
          </w:tcPr>
          <w:p>
            <w:pPr>
              <w:spacing w:after="0"/>
              <w:rPr>
                <w:sz w:val="1"/>
                <w:szCs w:val="1"/>
                <w:color w:val="auto"/>
              </w:rPr>
            </w:pPr>
          </w:p>
        </w:tc>
      </w:tr>
      <w:tr>
        <w:trPr>
          <w:trHeight w:val="379"/>
        </w:trPr>
        <w:tc>
          <w:tcPr>
            <w:tcW w:w="2640" w:type="dxa"/>
            <w:vAlign w:val="bottom"/>
          </w:tcPr>
          <w:p>
            <w:pPr>
              <w:spacing w:after="0"/>
              <w:rPr>
                <w:sz w:val="20"/>
                <w:szCs w:val="20"/>
                <w:color w:val="auto"/>
              </w:rPr>
            </w:pPr>
            <w:r>
              <w:rPr>
                <w:rFonts w:ascii="Arial" w:cs="Arial" w:eastAsia="Arial" w:hAnsi="Arial"/>
                <w:sz w:val="18"/>
                <w:szCs w:val="18"/>
                <w:b w:val="1"/>
                <w:bCs w:val="1"/>
                <w:color w:val="231F20"/>
              </w:rPr>
              <w:t>Production</w:t>
            </w:r>
            <w:r>
              <w:rPr>
                <w:rFonts w:ascii="Arial" w:cs="Arial" w:eastAsia="Arial" w:hAnsi="Arial"/>
                <w:sz w:val="23"/>
                <w:szCs w:val="23"/>
                <w:b w:val="1"/>
                <w:bCs w:val="1"/>
                <w:color w:val="231F20"/>
                <w:vertAlign w:val="superscript"/>
              </w:rPr>
              <w:t>(a)</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color w:val="231F20"/>
              </w:rPr>
              <w:t>Total net production</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color w:val="231F20"/>
              </w:rPr>
              <w:t>(MMBoe)  . . . . . . . . . . . . . . . . .</w:t>
            </w:r>
          </w:p>
        </w:tc>
        <w:tc>
          <w:tcPr>
            <w:tcW w:w="860" w:type="dxa"/>
            <w:vAlign w:val="bottom"/>
          </w:tcPr>
          <w:p>
            <w:pPr>
              <w:jc w:val="right"/>
              <w:ind w:right="110"/>
              <w:spacing w:after="0" w:line="190" w:lineRule="exact"/>
              <w:rPr>
                <w:sz w:val="20"/>
                <w:szCs w:val="20"/>
                <w:color w:val="auto"/>
              </w:rPr>
            </w:pPr>
            <w:r>
              <w:rPr>
                <w:rFonts w:ascii="Arial" w:cs="Arial" w:eastAsia="Arial" w:hAnsi="Arial"/>
                <w:sz w:val="18"/>
                <w:szCs w:val="18"/>
                <w:color w:val="231F20"/>
              </w:rPr>
              <w:t>40</w:t>
            </w:r>
          </w:p>
        </w:tc>
        <w:tc>
          <w:tcPr>
            <w:tcW w:w="1080" w:type="dxa"/>
            <w:vAlign w:val="bottom"/>
            <w:gridSpan w:val="2"/>
          </w:tcPr>
          <w:p>
            <w:pPr>
              <w:jc w:val="right"/>
              <w:ind w:right="151"/>
              <w:spacing w:after="0" w:line="190" w:lineRule="exact"/>
              <w:rPr>
                <w:sz w:val="20"/>
                <w:szCs w:val="20"/>
                <w:color w:val="auto"/>
              </w:rPr>
            </w:pPr>
            <w:r>
              <w:rPr>
                <w:rFonts w:ascii="Arial" w:cs="Arial" w:eastAsia="Arial" w:hAnsi="Arial"/>
                <w:sz w:val="18"/>
                <w:szCs w:val="18"/>
                <w:color w:val="231F20"/>
              </w:rPr>
              <w:t>6</w:t>
            </w:r>
          </w:p>
        </w:tc>
        <w:tc>
          <w:tcPr>
            <w:tcW w:w="1420" w:type="dxa"/>
            <w:vAlign w:val="bottom"/>
            <w:gridSpan w:val="2"/>
          </w:tcPr>
          <w:p>
            <w:pPr>
              <w:jc w:val="right"/>
              <w:ind w:right="290"/>
              <w:spacing w:after="0" w:line="190" w:lineRule="exact"/>
              <w:rPr>
                <w:sz w:val="20"/>
                <w:szCs w:val="20"/>
                <w:color w:val="auto"/>
              </w:rPr>
            </w:pPr>
            <w:r>
              <w:rPr>
                <w:rFonts w:ascii="Arial" w:cs="Arial" w:eastAsia="Arial" w:hAnsi="Arial"/>
                <w:sz w:val="18"/>
                <w:szCs w:val="18"/>
                <w:color w:val="231F20"/>
              </w:rPr>
              <w:t>1</w:t>
            </w:r>
          </w:p>
        </w:tc>
        <w:tc>
          <w:tcPr>
            <w:tcW w:w="200" w:type="dxa"/>
            <w:vAlign w:val="bottom"/>
          </w:tcPr>
          <w:p>
            <w:pPr>
              <w:spacing w:after="0"/>
              <w:rPr>
                <w:sz w:val="16"/>
                <w:szCs w:val="16"/>
                <w:color w:val="auto"/>
              </w:rPr>
            </w:pPr>
          </w:p>
        </w:tc>
        <w:tc>
          <w:tcPr>
            <w:tcW w:w="740" w:type="dxa"/>
            <w:vAlign w:val="bottom"/>
          </w:tcPr>
          <w:p>
            <w:pPr>
              <w:jc w:val="right"/>
              <w:ind w:right="90"/>
              <w:spacing w:after="0" w:line="190" w:lineRule="exact"/>
              <w:rPr>
                <w:sz w:val="20"/>
                <w:szCs w:val="20"/>
                <w:color w:val="auto"/>
              </w:rPr>
            </w:pPr>
            <w:r>
              <w:rPr>
                <w:rFonts w:ascii="Arial" w:cs="Arial" w:eastAsia="Arial" w:hAnsi="Arial"/>
                <w:sz w:val="18"/>
                <w:szCs w:val="18"/>
                <w:color w:val="231F20"/>
              </w:rPr>
              <w:t>—</w:t>
            </w:r>
          </w:p>
        </w:tc>
        <w:tc>
          <w:tcPr>
            <w:tcW w:w="1040" w:type="dxa"/>
            <w:vAlign w:val="bottom"/>
            <w:gridSpan w:val="2"/>
          </w:tcPr>
          <w:p>
            <w:pPr>
              <w:jc w:val="right"/>
              <w:ind w:right="90"/>
              <w:spacing w:after="0" w:line="190" w:lineRule="exact"/>
              <w:rPr>
                <w:sz w:val="20"/>
                <w:szCs w:val="20"/>
                <w:color w:val="auto"/>
              </w:rPr>
            </w:pPr>
            <w:r>
              <w:rPr>
                <w:rFonts w:ascii="Arial" w:cs="Arial" w:eastAsia="Arial" w:hAnsi="Arial"/>
                <w:sz w:val="18"/>
                <w:szCs w:val="18"/>
                <w:color w:val="231F20"/>
              </w:rPr>
              <w:t>3</w:t>
            </w:r>
          </w:p>
        </w:tc>
        <w:tc>
          <w:tcPr>
            <w:tcW w:w="200" w:type="dxa"/>
            <w:vAlign w:val="bottom"/>
          </w:tcPr>
          <w:p>
            <w:pPr>
              <w:spacing w:after="0"/>
              <w:rPr>
                <w:sz w:val="16"/>
                <w:szCs w:val="16"/>
                <w:color w:val="auto"/>
              </w:rPr>
            </w:pPr>
          </w:p>
        </w:tc>
        <w:tc>
          <w:tcPr>
            <w:tcW w:w="940" w:type="dxa"/>
            <w:vAlign w:val="bottom"/>
          </w:tcPr>
          <w:p>
            <w:pPr>
              <w:jc w:val="right"/>
              <w:ind w:right="150"/>
              <w:spacing w:after="0" w:line="190" w:lineRule="exact"/>
              <w:rPr>
                <w:sz w:val="20"/>
                <w:szCs w:val="20"/>
                <w:color w:val="auto"/>
              </w:rPr>
            </w:pPr>
            <w:r>
              <w:rPr>
                <w:rFonts w:ascii="Arial" w:cs="Arial" w:eastAsia="Arial" w:hAnsi="Arial"/>
                <w:sz w:val="18"/>
                <w:szCs w:val="18"/>
                <w:color w:val="231F20"/>
              </w:rPr>
              <w:t>50</w:t>
            </w:r>
          </w:p>
        </w:tc>
        <w:tc>
          <w:tcPr>
            <w:tcW w:w="0" w:type="dxa"/>
            <w:vAlign w:val="bottom"/>
          </w:tcPr>
          <w:p>
            <w:pPr>
              <w:spacing w:after="0"/>
              <w:rPr>
                <w:sz w:val="1"/>
                <w:szCs w:val="1"/>
                <w:color w:val="auto"/>
              </w:rPr>
            </w:pP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8"/>
                <w:szCs w:val="18"/>
                <w:color w:val="231F20"/>
              </w:rPr>
              <w:t>Average daily net</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40" w:type="dxa"/>
            <w:vAlign w:val="bottom"/>
          </w:tcPr>
          <w:p>
            <w:pPr>
              <w:spacing w:after="0" w:line="201" w:lineRule="exact"/>
              <w:rPr>
                <w:sz w:val="20"/>
                <w:szCs w:val="20"/>
                <w:color w:val="auto"/>
              </w:rPr>
            </w:pPr>
            <w:r>
              <w:rPr>
                <w:rFonts w:ascii="Arial" w:cs="Arial" w:eastAsia="Arial" w:hAnsi="Arial"/>
                <w:sz w:val="18"/>
                <w:szCs w:val="18"/>
                <w:color w:val="231F20"/>
              </w:rPr>
              <w:t>production (MBoe/d) . . . . . . . .</w:t>
            </w:r>
          </w:p>
        </w:tc>
        <w:tc>
          <w:tcPr>
            <w:tcW w:w="860" w:type="dxa"/>
            <w:vAlign w:val="bottom"/>
          </w:tcPr>
          <w:p>
            <w:pPr>
              <w:jc w:val="right"/>
              <w:ind w:right="110"/>
              <w:spacing w:after="0" w:line="201" w:lineRule="exact"/>
              <w:rPr>
                <w:sz w:val="20"/>
                <w:szCs w:val="20"/>
                <w:color w:val="auto"/>
              </w:rPr>
            </w:pPr>
            <w:r>
              <w:rPr>
                <w:rFonts w:ascii="Arial" w:cs="Arial" w:eastAsia="Arial" w:hAnsi="Arial"/>
                <w:sz w:val="18"/>
                <w:szCs w:val="18"/>
                <w:color w:val="231F20"/>
              </w:rPr>
              <w:t>110</w:t>
            </w:r>
          </w:p>
        </w:tc>
        <w:tc>
          <w:tcPr>
            <w:tcW w:w="1080" w:type="dxa"/>
            <w:vAlign w:val="bottom"/>
            <w:gridSpan w:val="2"/>
          </w:tcPr>
          <w:p>
            <w:pPr>
              <w:jc w:val="right"/>
              <w:ind w:right="151"/>
              <w:spacing w:after="0" w:line="201" w:lineRule="exact"/>
              <w:rPr>
                <w:sz w:val="20"/>
                <w:szCs w:val="20"/>
                <w:color w:val="auto"/>
              </w:rPr>
            </w:pPr>
            <w:r>
              <w:rPr>
                <w:rFonts w:ascii="Arial" w:cs="Arial" w:eastAsia="Arial" w:hAnsi="Arial"/>
                <w:sz w:val="18"/>
                <w:szCs w:val="18"/>
                <w:color w:val="231F20"/>
              </w:rPr>
              <w:t>17</w:t>
            </w:r>
          </w:p>
        </w:tc>
        <w:tc>
          <w:tcPr>
            <w:tcW w:w="142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231F20"/>
              </w:rPr>
              <w:t>2</w:t>
            </w:r>
          </w:p>
        </w:tc>
        <w:tc>
          <w:tcPr>
            <w:tcW w:w="200" w:type="dxa"/>
            <w:vAlign w:val="bottom"/>
          </w:tcPr>
          <w:p>
            <w:pPr>
              <w:spacing w:after="0"/>
              <w:rPr>
                <w:sz w:val="17"/>
                <w:szCs w:val="17"/>
                <w:color w:val="auto"/>
              </w:rPr>
            </w:pPr>
          </w:p>
        </w:tc>
        <w:tc>
          <w:tcPr>
            <w:tcW w:w="740" w:type="dxa"/>
            <w:vAlign w:val="bottom"/>
          </w:tcPr>
          <w:p>
            <w:pPr>
              <w:jc w:val="right"/>
              <w:ind w:right="90"/>
              <w:spacing w:after="0" w:line="201" w:lineRule="exact"/>
              <w:rPr>
                <w:sz w:val="20"/>
                <w:szCs w:val="20"/>
                <w:color w:val="auto"/>
              </w:rPr>
            </w:pPr>
            <w:r>
              <w:rPr>
                <w:rFonts w:ascii="Arial" w:cs="Arial" w:eastAsia="Arial" w:hAnsi="Arial"/>
                <w:sz w:val="18"/>
                <w:szCs w:val="18"/>
                <w:color w:val="231F20"/>
              </w:rPr>
              <w:t>—</w:t>
            </w:r>
          </w:p>
        </w:tc>
        <w:tc>
          <w:tcPr>
            <w:tcW w:w="104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231F20"/>
              </w:rPr>
              <w:t>9</w:t>
            </w:r>
          </w:p>
        </w:tc>
        <w:tc>
          <w:tcPr>
            <w:tcW w:w="200" w:type="dxa"/>
            <w:vAlign w:val="bottom"/>
          </w:tcPr>
          <w:p>
            <w:pPr>
              <w:spacing w:after="0"/>
              <w:rPr>
                <w:sz w:val="17"/>
                <w:szCs w:val="17"/>
                <w:color w:val="auto"/>
              </w:rPr>
            </w:pPr>
          </w:p>
        </w:tc>
        <w:tc>
          <w:tcPr>
            <w:tcW w:w="940" w:type="dxa"/>
            <w:vAlign w:val="bottom"/>
          </w:tcPr>
          <w:p>
            <w:pPr>
              <w:jc w:val="right"/>
              <w:ind w:right="150"/>
              <w:spacing w:after="0" w:line="201" w:lineRule="exact"/>
              <w:rPr>
                <w:sz w:val="20"/>
                <w:szCs w:val="20"/>
                <w:color w:val="auto"/>
              </w:rPr>
            </w:pPr>
            <w:r>
              <w:rPr>
                <w:rFonts w:ascii="Arial" w:cs="Arial" w:eastAsia="Arial" w:hAnsi="Arial"/>
                <w:sz w:val="18"/>
                <w:szCs w:val="18"/>
                <w:color w:val="231F20"/>
              </w:rPr>
              <w:t>138</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20" w:right="1020" w:hanging="320"/>
        <w:spacing w:after="0" w:line="253" w:lineRule="auto"/>
        <w:tabs>
          <w:tab w:leader="none" w:pos="32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Our production includes oil, natural gas and NGL sales from fields added in the Berry Merger, which closed on December 18, 2025.</w:t>
      </w:r>
    </w:p>
    <w:p>
      <w:pPr>
        <w:spacing w:after="0" w:line="255" w:lineRule="exact"/>
        <w:rPr>
          <w:sz w:val="20"/>
          <w:szCs w:val="20"/>
          <w:color w:val="auto"/>
        </w:rPr>
      </w:pPr>
    </w:p>
    <w:p>
      <w:pPr>
        <w:jc w:val="both"/>
        <w:ind w:right="620" w:firstLine="300"/>
        <w:spacing w:after="0" w:line="247" w:lineRule="auto"/>
        <w:rPr>
          <w:sz w:val="20"/>
          <w:szCs w:val="20"/>
          <w:color w:val="auto"/>
        </w:rPr>
      </w:pPr>
      <w:r>
        <w:rPr>
          <w:rFonts w:ascii="Arial" w:cs="Arial" w:eastAsia="Arial" w:hAnsi="Arial"/>
          <w:sz w:val="20"/>
          <w:szCs w:val="20"/>
          <w:color w:val="231F20"/>
        </w:rPr>
        <w:t xml:space="preserve">For a discussion of the regulatory issues affecting the development of our oil and natural gas properties, see </w:t>
      </w:r>
      <w:r>
        <w:rPr>
          <w:rFonts w:ascii="Arial" w:cs="Arial" w:eastAsia="Arial" w:hAnsi="Arial"/>
          <w:sz w:val="20"/>
          <w:szCs w:val="20"/>
          <w:i w:val="1"/>
          <w:iCs w:val="1"/>
          <w:color w:val="231F20"/>
        </w:rPr>
        <w:t>Regulation of the Industries in Which We Operate, Regulation of Exploration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Production Activities.</w:t>
      </w:r>
    </w:p>
    <w:p>
      <w:pPr>
        <w:sectPr>
          <w:pgSz w:w="11880" w:h="15480" w:orient="portrait"/>
          <w:cols w:equalWidth="0" w:num="1">
            <w:col w:w="9120"/>
          </w:cols>
          <w:pgMar w:left="1380" w:top="1312"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w:t>
      </w:r>
    </w:p>
    <w:p>
      <w:pPr>
        <w:sectPr>
          <w:pgSz w:w="11880" w:h="15480" w:orient="portrait"/>
          <w:cols w:equalWidth="0" w:num="1">
            <w:col w:w="9120"/>
          </w:cols>
          <w:pgMar w:left="1380" w:top="1312" w:right="1380" w:bottom="655"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i w:val="1"/>
          <w:iCs w:val="1"/>
          <w:color w:val="231F20"/>
        </w:rPr>
        <w:t>Basins in Which We Operate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San Joaquin Basin</w:t>
      </w:r>
    </w:p>
    <w:p>
      <w:pPr>
        <w:spacing w:after="0" w:line="20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Commercial petroleum development in the San Joaquin basin began in the 1800s. This resource rich basin in California contains multiple stacked formations throughout its areal extent, and we believe that this basin provides appealing opportunities for re-development of existing wells, as well as new discoveries and unconventional play potential. The geology of the San Joaquin basin continues to yield stratigraphic and structural trap discoveries.</w:t>
      </w:r>
    </w:p>
    <w:p>
      <w:pPr>
        <w:spacing w:after="0" w:line="199"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231F20"/>
        </w:rPr>
        <w:t>The California oil fields added through the Berry Merger are located in the San Joaquin basin, including extensions of our existing Midway-Sunset, South Belridge and McKittrick fields, as well as additions adjacent to existing operations in Poso Creek and Round Mountain. Our largest fields in the San Joaquin basin include the Belridge and Elk Hills fields.</w:t>
      </w:r>
    </w:p>
    <w:p>
      <w:pPr>
        <w:spacing w:after="0" w:line="197" w:lineRule="exact"/>
        <w:rPr>
          <w:sz w:val="20"/>
          <w:szCs w:val="20"/>
          <w:color w:val="auto"/>
        </w:rPr>
      </w:pPr>
    </w:p>
    <w:p>
      <w:pPr>
        <w:ind w:right="40" w:firstLine="300"/>
        <w:spacing w:after="0" w:line="266" w:lineRule="auto"/>
        <w:rPr>
          <w:sz w:val="20"/>
          <w:szCs w:val="20"/>
          <w:color w:val="auto"/>
        </w:rPr>
      </w:pPr>
      <w:r>
        <w:rPr>
          <w:rFonts w:ascii="Arial" w:cs="Arial" w:eastAsia="Arial" w:hAnsi="Arial"/>
          <w:sz w:val="19"/>
          <w:szCs w:val="19"/>
          <w:i w:val="1"/>
          <w:iCs w:val="1"/>
          <w:color w:val="231F20"/>
        </w:rPr>
        <w:t>Belridge field</w:t>
      </w:r>
      <w:r>
        <w:rPr>
          <w:rFonts w:ascii="Arial" w:cs="Arial" w:eastAsia="Arial" w:hAnsi="Arial"/>
          <w:sz w:val="19"/>
          <w:szCs w:val="19"/>
          <w:color w:val="231F20"/>
        </w:rPr>
        <w:t>: We operate and hold substantially all of the working, surface and mineral interests in</w:t>
      </w:r>
      <w:r>
        <w:rPr>
          <w:rFonts w:ascii="Arial" w:cs="Arial" w:eastAsia="Arial" w:hAnsi="Arial"/>
          <w:sz w:val="19"/>
          <w:szCs w:val="19"/>
          <w:i w:val="1"/>
          <w:iCs w:val="1"/>
          <w:color w:val="231F20"/>
        </w:rPr>
        <w:t xml:space="preserve"> </w:t>
      </w:r>
      <w:r>
        <w:rPr>
          <w:rFonts w:ascii="Arial" w:cs="Arial" w:eastAsia="Arial" w:hAnsi="Arial"/>
          <w:sz w:val="19"/>
          <w:szCs w:val="19"/>
          <w:color w:val="231F20"/>
        </w:rPr>
        <w:t>the Belridge field, which consists of the North Belridge and South Belridge fields. The Belridge field consists of waterflood and steamflood operations. For the steamflood operations, we utilize natural gas that is both purchased from third parties and produced from our other fields. Our operations at Belridge include a central control facility with remote automation control on over 95% of the producing wells.</w:t>
      </w:r>
    </w:p>
    <w:p>
      <w:pPr>
        <w:spacing w:after="0" w:line="183"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i w:val="1"/>
          <w:iCs w:val="1"/>
          <w:color w:val="231F20"/>
        </w:rPr>
        <w:t>Elk Hills field</w:t>
      </w:r>
      <w:r>
        <w:rPr>
          <w:rFonts w:ascii="Arial" w:cs="Arial" w:eastAsia="Arial" w:hAnsi="Arial"/>
          <w:sz w:val="20"/>
          <w:szCs w:val="20"/>
          <w:color w:val="231F20"/>
        </w:rPr>
        <w:t>: We operate and hold substantially all the working, surface and mineral interests in the</w:t>
      </w:r>
      <w:r>
        <w:rPr>
          <w:rFonts w:ascii="Arial" w:cs="Arial" w:eastAsia="Arial" w:hAnsi="Arial"/>
          <w:sz w:val="20"/>
          <w:szCs w:val="20"/>
          <w:i w:val="1"/>
          <w:iCs w:val="1"/>
          <w:color w:val="231F20"/>
        </w:rPr>
        <w:t xml:space="preserve"> </w:t>
      </w:r>
      <w:r>
        <w:rPr>
          <w:rFonts w:ascii="Arial" w:cs="Arial" w:eastAsia="Arial" w:hAnsi="Arial"/>
          <w:sz w:val="20"/>
          <w:szCs w:val="20"/>
          <w:color w:val="231F20"/>
        </w:rPr>
        <w:t>Elk Hills field. Infrastructure includes efficient natural gas processing facilities, including a cryogenic gas plant, with a combined gas processing capacity of 330 MMcf/d, and a 550 MW cogeneration power plant that generates electricity to power our oil and gas operations at Elk Hills and other nearby producing fields. Our operations at Elk Hills also include a central control facility and remote automation control on over 95% of the producing wells.</w:t>
      </w:r>
    </w:p>
    <w:p>
      <w:pPr>
        <w:spacing w:after="0" w:line="200"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231F20"/>
        </w:rPr>
        <w:t>Midway-Sunset field</w:t>
      </w:r>
      <w:r>
        <w:rPr>
          <w:rFonts w:ascii="Arial" w:cs="Arial" w:eastAsia="Arial" w:hAnsi="Arial"/>
          <w:sz w:val="20"/>
          <w:szCs w:val="20"/>
          <w:color w:val="231F20"/>
        </w:rPr>
        <w:t>: We are a major operator and hold a significant portion of the working, surface</w:t>
      </w:r>
      <w:r>
        <w:rPr>
          <w:rFonts w:ascii="Arial" w:cs="Arial" w:eastAsia="Arial" w:hAnsi="Arial"/>
          <w:sz w:val="20"/>
          <w:szCs w:val="20"/>
          <w:i w:val="1"/>
          <w:iCs w:val="1"/>
          <w:color w:val="231F20"/>
        </w:rPr>
        <w:t xml:space="preserve"> </w:t>
      </w:r>
      <w:r>
        <w:rPr>
          <w:rFonts w:ascii="Arial" w:cs="Arial" w:eastAsia="Arial" w:hAnsi="Arial"/>
          <w:sz w:val="20"/>
          <w:szCs w:val="20"/>
          <w:color w:val="231F20"/>
        </w:rPr>
        <w:t>and mineral interests in the Midway-Sunset field. The Midway-Sunset field consists of steamflood operations, in which we utilize natural gas that is both purchased from third parties and produced from our other fields.</w:t>
      </w:r>
    </w:p>
    <w:p>
      <w:pPr>
        <w:spacing w:after="0" w:line="200" w:lineRule="exact"/>
        <w:rPr>
          <w:sz w:val="20"/>
          <w:szCs w:val="20"/>
          <w:color w:val="auto"/>
        </w:rPr>
      </w:pPr>
    </w:p>
    <w:p>
      <w:pPr>
        <w:ind w:right="40" w:firstLine="300"/>
        <w:spacing w:after="0" w:line="247" w:lineRule="auto"/>
        <w:rPr>
          <w:sz w:val="20"/>
          <w:szCs w:val="20"/>
          <w:color w:val="auto"/>
        </w:rPr>
      </w:pPr>
      <w:r>
        <w:rPr>
          <w:rFonts w:ascii="Arial" w:cs="Arial" w:eastAsia="Arial" w:hAnsi="Arial"/>
          <w:sz w:val="20"/>
          <w:szCs w:val="20"/>
          <w:color w:val="231F20"/>
        </w:rPr>
        <w:t>We believe our extensive 3D seismic library, which covers over 900,000 acres in the San Joaquin basin, or over 60% of our gross mineral acreage in this basin, gives us a competitive advantage in field development.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Los Angeles Basin</w:t>
      </w:r>
    </w:p>
    <w:p>
      <w:pPr>
        <w:spacing w:after="0" w:line="207"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231F20"/>
        </w:rPr>
        <w:t>This basin is a northwest-trending plain about 50 miles long and 20 miles wide located in California. Most of the significant discoveries in the Los Angeles basin date back to the 1920s. The Los Angeles basin has one of the highest concentrations per acre of crude oil in the world. We have significant operations in the Wilmington field, which is a large active oil field in this basin.</w:t>
      </w:r>
    </w:p>
    <w:p>
      <w:pPr>
        <w:spacing w:after="0" w:line="201"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Most of our Wilmington production is subject to a set of contracts similar to production-sharing contracts (PSCs)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certain capital and operating costs that we incur, (ii) for our share of contractually defined base production where applicable,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w:t>
      </w:r>
    </w:p>
    <w:p>
      <w:pPr>
        <w:sectPr>
          <w:pgSz w:w="11880" w:h="15480" w:orient="portrait"/>
          <w:cols w:equalWidth="0" w:num="1">
            <w:col w:w="9120"/>
          </w:cols>
          <w:pgMar w:left="1380" w:top="1312" w:right="1380" w:bottom="653"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10</w:t>
      </w:r>
    </w:p>
    <w:p>
      <w:pPr>
        <w:sectPr>
          <w:pgSz w:w="11880" w:h="15480" w:orient="portrait"/>
          <w:cols w:equalWidth="0" w:num="1">
            <w:col w:w="9120"/>
          </w:cols>
          <w:pgMar w:left="1380" w:top="1312" w:right="1380" w:bottom="653" w:gutter="0" w:footer="0" w:header="0"/>
          <w:type w:val="continuous"/>
        </w:sectPr>
      </w:pPr>
    </w:p>
    <w:bookmarkStart w:id="14" w:name="page15"/>
    <w:bookmarkEnd w:id="14"/>
    <w:p>
      <w:pPr>
        <w:spacing w:after="0" w:line="246" w:lineRule="auto"/>
        <w:rPr>
          <w:sz w:val="20"/>
          <w:szCs w:val="20"/>
          <w:color w:val="auto"/>
        </w:rPr>
      </w:pPr>
      <w:r>
        <w:rPr>
          <w:rFonts w:ascii="Arial" w:cs="Arial" w:eastAsia="Arial" w:hAnsi="Arial"/>
          <w:sz w:val="20"/>
          <w:szCs w:val="20"/>
          <w:color w:val="231F20"/>
        </w:rPr>
        <w:t>comparable capital investment and operating costs. However, our net economic benefit is greater when product prices are higher. These PSCs represented 3% of our total production for the year ended December 31, 2025.</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Sacramento Basin</w:t>
      </w:r>
    </w:p>
    <w:p>
      <w:pPr>
        <w:spacing w:after="0" w:line="166" w:lineRule="exact"/>
        <w:rPr>
          <w:sz w:val="20"/>
          <w:szCs w:val="20"/>
          <w:color w:val="auto"/>
        </w:rPr>
      </w:pPr>
    </w:p>
    <w:p>
      <w:pPr>
        <w:ind w:right="140" w:firstLine="300"/>
        <w:spacing w:after="0" w:line="246" w:lineRule="auto"/>
        <w:rPr>
          <w:sz w:val="20"/>
          <w:szCs w:val="20"/>
          <w:color w:val="auto"/>
        </w:rPr>
      </w:pPr>
      <w:r>
        <w:rPr>
          <w:rFonts w:ascii="Arial" w:cs="Arial" w:eastAsia="Arial" w:hAnsi="Arial"/>
          <w:sz w:val="20"/>
          <w:szCs w:val="20"/>
          <w:color w:val="231F20"/>
        </w:rPr>
        <w:t>California’s Sacramento basin is a deep, thick sequence of sedimentary deposits of natural gas within an elongated northwest-trending structural feature covering about 7.7 million acres. Exploration and development in the basin began in 1918.</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Uinta Basin</w:t>
      </w:r>
    </w:p>
    <w:p>
      <w:pPr>
        <w:spacing w:after="0" w:line="166" w:lineRule="exact"/>
        <w:rPr>
          <w:sz w:val="20"/>
          <w:szCs w:val="20"/>
          <w:color w:val="auto"/>
        </w:rPr>
      </w:pPr>
    </w:p>
    <w:p>
      <w:pPr>
        <w:ind w:right="40" w:firstLine="300"/>
        <w:spacing w:after="0" w:line="266" w:lineRule="auto"/>
        <w:rPr>
          <w:sz w:val="20"/>
          <w:szCs w:val="20"/>
          <w:color w:val="auto"/>
        </w:rPr>
      </w:pPr>
      <w:r>
        <w:rPr>
          <w:rFonts w:ascii="Arial" w:cs="Arial" w:eastAsia="Arial" w:hAnsi="Arial"/>
          <w:sz w:val="19"/>
          <w:szCs w:val="19"/>
          <w:color w:val="231F20"/>
        </w:rPr>
        <w:t>The Uinta basin consists mostly of mature light oil and natural gas fields covering more than 15,000 square miles with significant undeveloped resources. Exploration efforts immediately after the Second World War led to the first commercial oil discoveries in the Uinta basin. The application of improved hydraulic stimulation techniques in the mid-2000s greatly increased production from the Uinta basin.</w:t>
      </w:r>
    </w:p>
    <w:p>
      <w:pPr>
        <w:spacing w:after="0" w:line="142"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We obtained approximately 100,000 net mineral acres in the Uinta basin in connection with the Berry Merger. We have an average working interest greater than 95% in these assets, and operations in the Brundage Canyon, Ashley Forest, Lake Canyon and Antelope Creek areas. A majority of our Utah acreage is on tribal lands and substantially all of it is held by production. The Uinta basin assets include both conventional and unconventional reserves. In addition to vertical well development, Berry completed four horizontal wells in 2025 and we are considering additional unconventional development.</w:t>
      </w:r>
    </w:p>
    <w:p>
      <w:pPr>
        <w:spacing w:after="0" w:line="161"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We also have extensive gas infrastructure and available takeaway capacity in place to support additional development along with existing gas transportation contracts. We have natural gas gathering systems consisting of approximately 500 miles of pipeline and associated compression and metering facilities that connect to numerous sales outlets in the area. We also own a natural gas processing plant in the Brundage Canyon area located in Duchesne County, Utah with processing capacity of approximately 25 mmcf/d.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Other Basins</w:t>
      </w:r>
    </w:p>
    <w:p>
      <w:pPr>
        <w:spacing w:after="0" w:line="166" w:lineRule="exact"/>
        <w:rPr>
          <w:sz w:val="20"/>
          <w:szCs w:val="20"/>
          <w:color w:val="auto"/>
        </w:rPr>
      </w:pPr>
    </w:p>
    <w:p>
      <w:pPr>
        <w:ind w:right="500" w:firstLine="300"/>
        <w:spacing w:after="0" w:line="248" w:lineRule="auto"/>
        <w:rPr>
          <w:sz w:val="20"/>
          <w:szCs w:val="20"/>
          <w:color w:val="auto"/>
        </w:rPr>
      </w:pPr>
      <w:r>
        <w:rPr>
          <w:rFonts w:ascii="Arial" w:cs="Arial" w:eastAsia="Arial" w:hAnsi="Arial"/>
          <w:sz w:val="20"/>
          <w:szCs w:val="20"/>
          <w:color w:val="231F20"/>
        </w:rPr>
        <w:t>We have oil and natural gas operations in other basins in California, including the Ventura and Salinas basins. We also have mineral interests in undeveloped acreage throughout California, including the Santa Maria basin which is located in San Luis Obispo County and Santa Barbara County.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Mineral Acreage</w:t>
      </w:r>
    </w:p>
    <w:p>
      <w:pPr>
        <w:spacing w:after="0" w:line="166" w:lineRule="exact"/>
        <w:rPr>
          <w:sz w:val="20"/>
          <w:szCs w:val="20"/>
          <w:color w:val="auto"/>
        </w:rPr>
      </w:pPr>
    </w:p>
    <w:p>
      <w:pPr>
        <w:ind w:right="80" w:firstLine="300"/>
        <w:spacing w:after="0" w:line="243" w:lineRule="auto"/>
        <w:rPr>
          <w:sz w:val="20"/>
          <w:szCs w:val="20"/>
          <w:color w:val="auto"/>
        </w:rPr>
      </w:pPr>
      <w:r>
        <w:rPr>
          <w:rFonts w:ascii="Arial" w:cs="Arial" w:eastAsia="Arial" w:hAnsi="Arial"/>
          <w:sz w:val="20"/>
          <w:szCs w:val="20"/>
          <w:color w:val="231F20"/>
        </w:rPr>
        <w:t>The following table summarizes our gross and net developed and undeveloped mineral acreage as of December 31,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20"/>
                <w:szCs w:val="20"/>
                <w:b w:val="1"/>
                <w:bCs w:val="1"/>
                <w:color w:val="231F20"/>
              </w:rPr>
              <w:t>San Joaquin</w:t>
            </w:r>
          </w:p>
        </w:tc>
        <w:tc>
          <w:tcPr>
            <w:tcW w:w="1360" w:type="dxa"/>
            <w:vAlign w:val="bottom"/>
            <w:gridSpan w:val="3"/>
          </w:tcPr>
          <w:p>
            <w:pPr>
              <w:jc w:val="center"/>
              <w:spacing w:after="0"/>
              <w:rPr>
                <w:sz w:val="20"/>
                <w:szCs w:val="20"/>
                <w:color w:val="auto"/>
              </w:rPr>
            </w:pPr>
            <w:r>
              <w:rPr>
                <w:rFonts w:ascii="Arial" w:cs="Arial" w:eastAsia="Arial" w:hAnsi="Arial"/>
                <w:sz w:val="20"/>
                <w:szCs w:val="20"/>
                <w:b w:val="1"/>
                <w:bCs w:val="1"/>
                <w:color w:val="231F20"/>
              </w:rPr>
              <w:t>Los Angeles</w:t>
            </w:r>
          </w:p>
        </w:tc>
        <w:tc>
          <w:tcPr>
            <w:tcW w:w="1300" w:type="dxa"/>
            <w:vAlign w:val="bottom"/>
            <w:gridSpan w:val="3"/>
          </w:tcPr>
          <w:p>
            <w:pPr>
              <w:jc w:val="center"/>
              <w:spacing w:after="0"/>
              <w:rPr>
                <w:sz w:val="20"/>
                <w:szCs w:val="20"/>
                <w:color w:val="auto"/>
              </w:rPr>
            </w:pPr>
            <w:r>
              <w:rPr>
                <w:rFonts w:ascii="Arial" w:cs="Arial" w:eastAsia="Arial" w:hAnsi="Arial"/>
                <w:sz w:val="20"/>
                <w:szCs w:val="20"/>
                <w:b w:val="1"/>
                <w:bCs w:val="1"/>
                <w:color w:val="231F20"/>
                <w:w w:val="99"/>
              </w:rPr>
              <w:t>Sacramento</w:t>
            </w:r>
          </w:p>
        </w:tc>
        <w:tc>
          <w:tcPr>
            <w:tcW w:w="8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20"/>
                <w:szCs w:val="20"/>
                <w:b w:val="1"/>
                <w:bCs w:val="1"/>
                <w:color w:val="231F20"/>
              </w:rPr>
              <w:t>Uinta</w:t>
            </w:r>
          </w:p>
        </w:tc>
        <w:tc>
          <w:tcPr>
            <w:tcW w:w="80" w:type="dxa"/>
            <w:vAlign w:val="bottom"/>
          </w:tcPr>
          <w:p>
            <w:pPr>
              <w:spacing w:after="0"/>
              <w:rPr>
                <w:sz w:val="19"/>
                <w:szCs w:val="19"/>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231F20"/>
              </w:rPr>
              <w:t>Other</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9"/>
        </w:trPr>
        <w:tc>
          <w:tcPr>
            <w:tcW w:w="3100" w:type="dxa"/>
            <w:vAlign w:val="bottom"/>
          </w:tcPr>
          <w:p>
            <w:pPr>
              <w:spacing w:after="0"/>
              <w:rPr>
                <w:sz w:val="20"/>
                <w:szCs w:val="20"/>
                <w:color w:val="auto"/>
              </w:rPr>
            </w:pPr>
          </w:p>
        </w:tc>
        <w:tc>
          <w:tcPr>
            <w:tcW w:w="1180" w:type="dxa"/>
            <w:vAlign w:val="bottom"/>
          </w:tcPr>
          <w:p>
            <w:pPr>
              <w:jc w:val="right"/>
              <w:ind w:right="220"/>
              <w:spacing w:after="0"/>
              <w:rPr>
                <w:sz w:val="20"/>
                <w:szCs w:val="20"/>
                <w:color w:val="auto"/>
              </w:rPr>
            </w:pPr>
            <w:r>
              <w:rPr>
                <w:rFonts w:ascii="Arial" w:cs="Arial" w:eastAsia="Arial" w:hAnsi="Arial"/>
                <w:sz w:val="20"/>
                <w:szCs w:val="20"/>
                <w:b w:val="1"/>
                <w:bCs w:val="1"/>
                <w:color w:val="231F20"/>
              </w:rPr>
              <w:t>Basin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center"/>
              <w:spacing w:after="0" w:line="228" w:lineRule="exact"/>
              <w:rPr>
                <w:sz w:val="20"/>
                <w:szCs w:val="20"/>
                <w:color w:val="auto"/>
              </w:rPr>
            </w:pPr>
            <w:r>
              <w:rPr>
                <w:rFonts w:ascii="Arial" w:cs="Arial" w:eastAsia="Arial" w:hAnsi="Arial"/>
                <w:sz w:val="20"/>
                <w:szCs w:val="20"/>
                <w:b w:val="1"/>
                <w:bCs w:val="1"/>
                <w:color w:val="231F20"/>
                <w:w w:val="99"/>
              </w:rPr>
              <w:t>Basin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line="228" w:lineRule="exact"/>
              <w:rPr>
                <w:sz w:val="20"/>
                <w:szCs w:val="20"/>
                <w:color w:val="auto"/>
              </w:rPr>
            </w:pPr>
            <w:r>
              <w:rPr>
                <w:rFonts w:ascii="Arial" w:cs="Arial" w:eastAsia="Arial" w:hAnsi="Arial"/>
                <w:sz w:val="20"/>
                <w:szCs w:val="20"/>
                <w:b w:val="1"/>
                <w:bCs w:val="1"/>
                <w:color w:val="231F20"/>
                <w:w w:val="99"/>
              </w:rPr>
              <w:t>Basin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spacing w:after="0" w:line="228" w:lineRule="exact"/>
              <w:rPr>
                <w:sz w:val="20"/>
                <w:szCs w:val="20"/>
                <w:color w:val="auto"/>
              </w:rPr>
            </w:pPr>
            <w:r>
              <w:rPr>
                <w:rFonts w:ascii="Arial" w:cs="Arial" w:eastAsia="Arial" w:hAnsi="Arial"/>
                <w:sz w:val="20"/>
                <w:szCs w:val="20"/>
                <w:b w:val="1"/>
                <w:bCs w:val="1"/>
                <w:color w:val="231F20"/>
              </w:rPr>
              <w:t>Basin</w:t>
            </w:r>
          </w:p>
        </w:tc>
        <w:tc>
          <w:tcPr>
            <w:tcW w:w="82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231F20"/>
              </w:rPr>
              <w:t>Basins</w:t>
            </w:r>
          </w:p>
        </w:tc>
        <w:tc>
          <w:tcPr>
            <w:tcW w:w="80" w:type="dxa"/>
            <w:vAlign w:val="bottom"/>
          </w:tcPr>
          <w:p>
            <w:pPr>
              <w:spacing w:after="0"/>
              <w:rPr>
                <w:sz w:val="20"/>
                <w:szCs w:val="20"/>
                <w:color w:val="auto"/>
              </w:rPr>
            </w:pPr>
          </w:p>
        </w:tc>
        <w:tc>
          <w:tcPr>
            <w:tcW w:w="500" w:type="dxa"/>
            <w:vAlign w:val="bottom"/>
          </w:tcPr>
          <w:p>
            <w:pPr>
              <w:jc w:val="right"/>
              <w:spacing w:after="0" w:line="228" w:lineRule="exact"/>
              <w:rPr>
                <w:sz w:val="20"/>
                <w:szCs w:val="20"/>
                <w:color w:val="auto"/>
              </w:rPr>
            </w:pPr>
            <w:r>
              <w:rPr>
                <w:rFonts w:ascii="Arial" w:cs="Arial" w:eastAsia="Arial" w:hAnsi="Arial"/>
                <w:sz w:val="20"/>
                <w:szCs w:val="20"/>
                <w:b w:val="1"/>
                <w:bCs w:val="1"/>
                <w:color w:val="231F20"/>
                <w:w w:val="96"/>
              </w:rPr>
              <w:t>Total</w:t>
            </w:r>
          </w:p>
        </w:tc>
      </w:tr>
      <w:tr>
        <w:trPr>
          <w:trHeight w:val="29"/>
        </w:trPr>
        <w:tc>
          <w:tcPr>
            <w:tcW w:w="3100" w:type="dxa"/>
            <w:vAlign w:val="bottom"/>
          </w:tcPr>
          <w:p>
            <w:pPr>
              <w:spacing w:after="0"/>
              <w:rPr>
                <w:sz w:val="2"/>
                <w:szCs w:val="2"/>
                <w:color w:val="auto"/>
              </w:rPr>
            </w:pPr>
          </w:p>
        </w:tc>
        <w:tc>
          <w:tcPr>
            <w:tcW w:w="1180" w:type="dxa"/>
            <w:vAlign w:val="bottom"/>
            <w:shd w:val="clear" w:color="auto" w:fill="231F2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shd w:val="clear" w:color="auto" w:fill="231F20"/>
          </w:tcPr>
          <w:p>
            <w:pPr>
              <w:spacing w:after="0"/>
              <w:rPr>
                <w:sz w:val="2"/>
                <w:szCs w:val="2"/>
                <w:color w:val="auto"/>
              </w:rPr>
            </w:pPr>
          </w:p>
        </w:tc>
        <w:tc>
          <w:tcPr>
            <w:tcW w:w="160" w:type="dxa"/>
            <w:vAlign w:val="bottom"/>
            <w:gridSpan w:val="2"/>
          </w:tcPr>
          <w:p>
            <w:pPr>
              <w:spacing w:after="0"/>
              <w:rPr>
                <w:sz w:val="2"/>
                <w:szCs w:val="2"/>
                <w:color w:val="auto"/>
              </w:rPr>
            </w:pPr>
          </w:p>
        </w:tc>
        <w:tc>
          <w:tcPr>
            <w:tcW w:w="1140" w:type="dxa"/>
            <w:vAlign w:val="bottom"/>
            <w:shd w:val="clear" w:color="auto" w:fill="231F2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231F2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231F2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231F20"/>
          </w:tcPr>
          <w:p>
            <w:pPr>
              <w:spacing w:after="0"/>
              <w:rPr>
                <w:sz w:val="2"/>
                <w:szCs w:val="2"/>
                <w:color w:val="auto"/>
              </w:rPr>
            </w:pPr>
          </w:p>
        </w:tc>
      </w:tr>
      <w:tr>
        <w:trPr>
          <w:trHeight w:val="192"/>
        </w:trPr>
        <w:tc>
          <w:tcPr>
            <w:tcW w:w="3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5"/>
          </w:tcPr>
          <w:p>
            <w:pPr>
              <w:ind w:left="1120"/>
              <w:spacing w:after="0"/>
              <w:rPr>
                <w:sz w:val="20"/>
                <w:szCs w:val="20"/>
                <w:color w:val="auto"/>
              </w:rPr>
            </w:pPr>
            <w:r>
              <w:rPr>
                <w:rFonts w:ascii="Arial" w:cs="Arial" w:eastAsia="Arial" w:hAnsi="Arial"/>
                <w:sz w:val="16"/>
                <w:szCs w:val="16"/>
                <w:b w:val="1"/>
                <w:bCs w:val="1"/>
                <w:color w:val="231F20"/>
              </w:rPr>
              <w:t>(in thousands)</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5"/>
        </w:trPr>
        <w:tc>
          <w:tcPr>
            <w:tcW w:w="3100" w:type="dxa"/>
            <w:vAlign w:val="bottom"/>
          </w:tcPr>
          <w:p>
            <w:pPr>
              <w:spacing w:after="0" w:line="235" w:lineRule="exact"/>
              <w:rPr>
                <w:sz w:val="20"/>
                <w:szCs w:val="20"/>
                <w:color w:val="auto"/>
              </w:rPr>
            </w:pPr>
            <w:r>
              <w:rPr>
                <w:rFonts w:ascii="Arial" w:cs="Arial" w:eastAsia="Arial" w:hAnsi="Arial"/>
                <w:sz w:val="20"/>
                <w:szCs w:val="20"/>
                <w:color w:val="231F20"/>
              </w:rPr>
              <w:t>Developed</w:t>
            </w:r>
            <w:r>
              <w:rPr>
                <w:rFonts w:ascii="Arial" w:cs="Arial" w:eastAsia="Arial" w:hAnsi="Arial"/>
                <w:sz w:val="26"/>
                <w:szCs w:val="26"/>
                <w:color w:val="231F20"/>
                <w:vertAlign w:val="superscript"/>
              </w:rPr>
              <w:t>(a)</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25"/>
        </w:trPr>
        <w:tc>
          <w:tcPr>
            <w:tcW w:w="3100" w:type="dxa"/>
            <w:vAlign w:val="bottom"/>
          </w:tcPr>
          <w:p>
            <w:pPr>
              <w:ind w:left="200"/>
              <w:spacing w:after="0" w:line="225" w:lineRule="exact"/>
              <w:rPr>
                <w:sz w:val="20"/>
                <w:szCs w:val="20"/>
                <w:color w:val="auto"/>
              </w:rPr>
            </w:pPr>
            <w:r>
              <w:rPr>
                <w:rFonts w:ascii="Arial" w:cs="Arial" w:eastAsia="Arial" w:hAnsi="Arial"/>
                <w:sz w:val="20"/>
                <w:szCs w:val="20"/>
                <w:color w:val="231F20"/>
                <w:w w:val="98"/>
              </w:rPr>
              <w:t>Gross</w:t>
            </w:r>
            <w:r>
              <w:rPr>
                <w:rFonts w:ascii="Arial" w:cs="Arial" w:eastAsia="Arial" w:hAnsi="Arial"/>
                <w:sz w:val="26"/>
                <w:szCs w:val="26"/>
                <w:color w:val="231F20"/>
                <w:w w:val="98"/>
                <w:vertAlign w:val="superscript"/>
              </w:rPr>
              <w:t>(b)</w:t>
            </w:r>
            <w:r>
              <w:rPr>
                <w:rFonts w:ascii="Arial" w:cs="Arial" w:eastAsia="Arial" w:hAnsi="Arial"/>
                <w:sz w:val="20"/>
                <w:szCs w:val="20"/>
                <w:color w:val="231F20"/>
                <w:w w:val="98"/>
              </w:rPr>
              <w:t xml:space="preserve">  . . . . . . . . . . . . . . . . . . .</w:t>
            </w:r>
          </w:p>
        </w:tc>
        <w:tc>
          <w:tcPr>
            <w:tcW w:w="1180" w:type="dxa"/>
            <w:vAlign w:val="bottom"/>
          </w:tcPr>
          <w:p>
            <w:pPr>
              <w:jc w:val="right"/>
              <w:ind w:right="240"/>
              <w:spacing w:after="0" w:line="223" w:lineRule="exact"/>
              <w:rPr>
                <w:sz w:val="20"/>
                <w:szCs w:val="20"/>
                <w:color w:val="auto"/>
              </w:rPr>
            </w:pPr>
            <w:r>
              <w:rPr>
                <w:rFonts w:ascii="Arial" w:cs="Arial" w:eastAsia="Arial" w:hAnsi="Arial"/>
                <w:sz w:val="20"/>
                <w:szCs w:val="20"/>
                <w:color w:val="231F20"/>
              </w:rPr>
              <w:t>544</w:t>
            </w:r>
          </w:p>
        </w:tc>
        <w:tc>
          <w:tcPr>
            <w:tcW w:w="80" w:type="dxa"/>
            <w:vAlign w:val="bottom"/>
          </w:tcPr>
          <w:p>
            <w:pPr>
              <w:spacing w:after="0"/>
              <w:rPr>
                <w:sz w:val="19"/>
                <w:szCs w:val="19"/>
                <w:color w:val="auto"/>
              </w:rPr>
            </w:pPr>
          </w:p>
        </w:tc>
        <w:tc>
          <w:tcPr>
            <w:tcW w:w="1280" w:type="dxa"/>
            <w:vAlign w:val="bottom"/>
            <w:gridSpan w:val="2"/>
          </w:tcPr>
          <w:p>
            <w:pPr>
              <w:jc w:val="center"/>
              <w:spacing w:after="0" w:line="223" w:lineRule="exact"/>
              <w:rPr>
                <w:sz w:val="20"/>
                <w:szCs w:val="20"/>
                <w:color w:val="auto"/>
              </w:rPr>
            </w:pPr>
            <w:r>
              <w:rPr>
                <w:rFonts w:ascii="Arial" w:cs="Arial" w:eastAsia="Arial" w:hAnsi="Arial"/>
                <w:sz w:val="20"/>
                <w:szCs w:val="20"/>
                <w:color w:val="231F20"/>
                <w:w w:val="98"/>
              </w:rPr>
              <w:t>21</w:t>
            </w:r>
          </w:p>
        </w:tc>
        <w:tc>
          <w:tcPr>
            <w:tcW w:w="80" w:type="dxa"/>
            <w:vAlign w:val="bottom"/>
          </w:tcPr>
          <w:p>
            <w:pPr>
              <w:spacing w:after="0"/>
              <w:rPr>
                <w:sz w:val="19"/>
                <w:szCs w:val="19"/>
                <w:color w:val="auto"/>
              </w:rPr>
            </w:pPr>
          </w:p>
        </w:tc>
        <w:tc>
          <w:tcPr>
            <w:tcW w:w="1220" w:type="dxa"/>
            <w:vAlign w:val="bottom"/>
            <w:gridSpan w:val="2"/>
          </w:tcPr>
          <w:p>
            <w:pPr>
              <w:jc w:val="center"/>
              <w:spacing w:after="0" w:line="223" w:lineRule="exact"/>
              <w:rPr>
                <w:sz w:val="20"/>
                <w:szCs w:val="20"/>
                <w:color w:val="auto"/>
              </w:rPr>
            </w:pPr>
            <w:r>
              <w:rPr>
                <w:rFonts w:ascii="Arial" w:cs="Arial" w:eastAsia="Arial" w:hAnsi="Arial"/>
                <w:sz w:val="20"/>
                <w:szCs w:val="20"/>
                <w:color w:val="231F20"/>
              </w:rPr>
              <w:t>241</w:t>
            </w:r>
          </w:p>
        </w:tc>
        <w:tc>
          <w:tcPr>
            <w:tcW w:w="80" w:type="dxa"/>
            <w:vAlign w:val="bottom"/>
          </w:tcPr>
          <w:p>
            <w:pPr>
              <w:spacing w:after="0"/>
              <w:rPr>
                <w:sz w:val="19"/>
                <w:szCs w:val="19"/>
                <w:color w:val="auto"/>
              </w:rPr>
            </w:pPr>
          </w:p>
        </w:tc>
        <w:tc>
          <w:tcPr>
            <w:tcW w:w="620" w:type="dxa"/>
            <w:vAlign w:val="bottom"/>
            <w:gridSpan w:val="2"/>
          </w:tcPr>
          <w:p>
            <w:pPr>
              <w:jc w:val="right"/>
              <w:spacing w:after="0" w:line="223" w:lineRule="exact"/>
              <w:rPr>
                <w:sz w:val="20"/>
                <w:szCs w:val="20"/>
                <w:color w:val="auto"/>
              </w:rPr>
            </w:pPr>
            <w:r>
              <w:rPr>
                <w:rFonts w:ascii="Arial" w:cs="Arial" w:eastAsia="Arial" w:hAnsi="Arial"/>
                <w:sz w:val="20"/>
                <w:szCs w:val="20"/>
                <w:color w:val="231F20"/>
              </w:rPr>
              <w:t>47</w:t>
            </w:r>
          </w:p>
        </w:tc>
        <w:tc>
          <w:tcPr>
            <w:tcW w:w="80" w:type="dxa"/>
            <w:vAlign w:val="bottom"/>
          </w:tcPr>
          <w:p>
            <w:pPr>
              <w:spacing w:after="0"/>
              <w:rPr>
                <w:sz w:val="19"/>
                <w:szCs w:val="19"/>
                <w:color w:val="auto"/>
              </w:rPr>
            </w:pPr>
          </w:p>
        </w:tc>
        <w:tc>
          <w:tcPr>
            <w:tcW w:w="74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231F20"/>
              </w:rPr>
              <w:t>14</w:t>
            </w:r>
          </w:p>
        </w:tc>
        <w:tc>
          <w:tcPr>
            <w:tcW w:w="80" w:type="dxa"/>
            <w:vAlign w:val="bottom"/>
          </w:tcPr>
          <w:p>
            <w:pPr>
              <w:spacing w:after="0"/>
              <w:rPr>
                <w:sz w:val="19"/>
                <w:szCs w:val="19"/>
                <w:color w:val="auto"/>
              </w:rPr>
            </w:pPr>
          </w:p>
        </w:tc>
        <w:tc>
          <w:tcPr>
            <w:tcW w:w="580" w:type="dxa"/>
            <w:vAlign w:val="bottom"/>
            <w:gridSpan w:val="2"/>
          </w:tcPr>
          <w:p>
            <w:pPr>
              <w:jc w:val="right"/>
              <w:spacing w:after="0" w:line="223" w:lineRule="exact"/>
              <w:rPr>
                <w:sz w:val="20"/>
                <w:szCs w:val="20"/>
                <w:color w:val="auto"/>
              </w:rPr>
            </w:pPr>
            <w:r>
              <w:rPr>
                <w:rFonts w:ascii="Arial" w:cs="Arial" w:eastAsia="Arial" w:hAnsi="Arial"/>
                <w:sz w:val="20"/>
                <w:szCs w:val="20"/>
                <w:color w:val="231F20"/>
              </w:rPr>
              <w:t>867</w:t>
            </w:r>
          </w:p>
        </w:tc>
      </w:tr>
      <w:tr>
        <w:trPr>
          <w:trHeight w:val="225"/>
        </w:trPr>
        <w:tc>
          <w:tcPr>
            <w:tcW w:w="3100" w:type="dxa"/>
            <w:vAlign w:val="bottom"/>
          </w:tcPr>
          <w:p>
            <w:pPr>
              <w:ind w:left="200"/>
              <w:spacing w:after="0" w:line="225" w:lineRule="exact"/>
              <w:rPr>
                <w:sz w:val="20"/>
                <w:szCs w:val="20"/>
                <w:color w:val="auto"/>
              </w:rPr>
            </w:pPr>
            <w:r>
              <w:rPr>
                <w:rFonts w:ascii="Arial" w:cs="Arial" w:eastAsia="Arial" w:hAnsi="Arial"/>
                <w:sz w:val="20"/>
                <w:szCs w:val="20"/>
                <w:color w:val="231F20"/>
                <w:w w:val="99"/>
              </w:rPr>
              <w:t>Net</w:t>
            </w:r>
            <w:r>
              <w:rPr>
                <w:rFonts w:ascii="Arial" w:cs="Arial" w:eastAsia="Arial" w:hAnsi="Arial"/>
                <w:sz w:val="26"/>
                <w:szCs w:val="26"/>
                <w:color w:val="231F20"/>
                <w:w w:val="99"/>
                <w:vertAlign w:val="superscript"/>
              </w:rPr>
              <w:t>(c)</w:t>
            </w:r>
            <w:r>
              <w:rPr>
                <w:rFonts w:ascii="Arial" w:cs="Arial" w:eastAsia="Arial" w:hAnsi="Arial"/>
                <w:sz w:val="20"/>
                <w:szCs w:val="20"/>
                <w:color w:val="231F20"/>
                <w:w w:val="99"/>
              </w:rPr>
              <w:t xml:space="preserve">  . . . . . . . . . . . . . . . . . . . . .</w:t>
            </w:r>
          </w:p>
        </w:tc>
        <w:tc>
          <w:tcPr>
            <w:tcW w:w="1180" w:type="dxa"/>
            <w:vAlign w:val="bottom"/>
          </w:tcPr>
          <w:p>
            <w:pPr>
              <w:jc w:val="right"/>
              <w:ind w:right="240"/>
              <w:spacing w:after="0" w:line="225" w:lineRule="exact"/>
              <w:rPr>
                <w:sz w:val="20"/>
                <w:szCs w:val="20"/>
                <w:color w:val="auto"/>
              </w:rPr>
            </w:pPr>
            <w:r>
              <w:rPr>
                <w:rFonts w:ascii="Arial" w:cs="Arial" w:eastAsia="Arial" w:hAnsi="Arial"/>
                <w:sz w:val="20"/>
                <w:szCs w:val="20"/>
                <w:color w:val="231F20"/>
              </w:rPr>
              <w:t>498</w:t>
            </w:r>
          </w:p>
        </w:tc>
        <w:tc>
          <w:tcPr>
            <w:tcW w:w="80" w:type="dxa"/>
            <w:vAlign w:val="bottom"/>
          </w:tcPr>
          <w:p>
            <w:pPr>
              <w:spacing w:after="0"/>
              <w:rPr>
                <w:sz w:val="19"/>
                <w:szCs w:val="19"/>
                <w:color w:val="auto"/>
              </w:rPr>
            </w:pPr>
          </w:p>
        </w:tc>
        <w:tc>
          <w:tcPr>
            <w:tcW w:w="1280" w:type="dxa"/>
            <w:vAlign w:val="bottom"/>
            <w:gridSpan w:val="2"/>
          </w:tcPr>
          <w:p>
            <w:pPr>
              <w:jc w:val="center"/>
              <w:spacing w:after="0" w:line="225" w:lineRule="exact"/>
              <w:rPr>
                <w:sz w:val="20"/>
                <w:szCs w:val="20"/>
                <w:color w:val="auto"/>
              </w:rPr>
            </w:pPr>
            <w:r>
              <w:rPr>
                <w:rFonts w:ascii="Arial" w:cs="Arial" w:eastAsia="Arial" w:hAnsi="Arial"/>
                <w:sz w:val="20"/>
                <w:szCs w:val="20"/>
                <w:color w:val="231F20"/>
                <w:w w:val="98"/>
              </w:rPr>
              <w:t>16</w:t>
            </w:r>
          </w:p>
        </w:tc>
        <w:tc>
          <w:tcPr>
            <w:tcW w:w="80" w:type="dxa"/>
            <w:vAlign w:val="bottom"/>
          </w:tcPr>
          <w:p>
            <w:pPr>
              <w:spacing w:after="0"/>
              <w:rPr>
                <w:sz w:val="19"/>
                <w:szCs w:val="19"/>
                <w:color w:val="auto"/>
              </w:rPr>
            </w:pPr>
          </w:p>
        </w:tc>
        <w:tc>
          <w:tcPr>
            <w:tcW w:w="1220" w:type="dxa"/>
            <w:vAlign w:val="bottom"/>
            <w:gridSpan w:val="2"/>
          </w:tcPr>
          <w:p>
            <w:pPr>
              <w:jc w:val="center"/>
              <w:spacing w:after="0" w:line="225" w:lineRule="exact"/>
              <w:rPr>
                <w:sz w:val="20"/>
                <w:szCs w:val="20"/>
                <w:color w:val="auto"/>
              </w:rPr>
            </w:pPr>
            <w:r>
              <w:rPr>
                <w:rFonts w:ascii="Arial" w:cs="Arial" w:eastAsia="Arial" w:hAnsi="Arial"/>
                <w:sz w:val="20"/>
                <w:szCs w:val="20"/>
                <w:color w:val="231F20"/>
              </w:rPr>
              <w:t>230</w:t>
            </w:r>
          </w:p>
        </w:tc>
        <w:tc>
          <w:tcPr>
            <w:tcW w:w="80" w:type="dxa"/>
            <w:vAlign w:val="bottom"/>
          </w:tcPr>
          <w:p>
            <w:pPr>
              <w:spacing w:after="0"/>
              <w:rPr>
                <w:sz w:val="19"/>
                <w:szCs w:val="19"/>
                <w:color w:val="auto"/>
              </w:rPr>
            </w:pPr>
          </w:p>
        </w:tc>
        <w:tc>
          <w:tcPr>
            <w:tcW w:w="620" w:type="dxa"/>
            <w:vAlign w:val="bottom"/>
            <w:gridSpan w:val="2"/>
          </w:tcPr>
          <w:p>
            <w:pPr>
              <w:jc w:val="right"/>
              <w:spacing w:after="0" w:line="225" w:lineRule="exact"/>
              <w:rPr>
                <w:sz w:val="20"/>
                <w:szCs w:val="20"/>
                <w:color w:val="auto"/>
              </w:rPr>
            </w:pPr>
            <w:r>
              <w:rPr>
                <w:rFonts w:ascii="Arial" w:cs="Arial" w:eastAsia="Arial" w:hAnsi="Arial"/>
                <w:sz w:val="20"/>
                <w:szCs w:val="20"/>
                <w:color w:val="231F20"/>
              </w:rPr>
              <w:t>45</w:t>
            </w:r>
          </w:p>
        </w:tc>
        <w:tc>
          <w:tcPr>
            <w:tcW w:w="80" w:type="dxa"/>
            <w:vAlign w:val="bottom"/>
          </w:tcPr>
          <w:p>
            <w:pPr>
              <w:spacing w:after="0"/>
              <w:rPr>
                <w:sz w:val="19"/>
                <w:szCs w:val="19"/>
                <w:color w:val="auto"/>
              </w:rPr>
            </w:pP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231F20"/>
              </w:rPr>
              <w:t>13</w:t>
            </w:r>
          </w:p>
        </w:tc>
        <w:tc>
          <w:tcPr>
            <w:tcW w:w="80" w:type="dxa"/>
            <w:vAlign w:val="bottom"/>
          </w:tcPr>
          <w:p>
            <w:pPr>
              <w:spacing w:after="0"/>
              <w:rPr>
                <w:sz w:val="19"/>
                <w:szCs w:val="19"/>
                <w:color w:val="auto"/>
              </w:rPr>
            </w:pPr>
          </w:p>
        </w:tc>
        <w:tc>
          <w:tcPr>
            <w:tcW w:w="580" w:type="dxa"/>
            <w:vAlign w:val="bottom"/>
            <w:gridSpan w:val="2"/>
          </w:tcPr>
          <w:p>
            <w:pPr>
              <w:jc w:val="right"/>
              <w:spacing w:after="0" w:line="225" w:lineRule="exact"/>
              <w:rPr>
                <w:sz w:val="20"/>
                <w:szCs w:val="20"/>
                <w:color w:val="auto"/>
              </w:rPr>
            </w:pPr>
            <w:r>
              <w:rPr>
                <w:rFonts w:ascii="Arial" w:cs="Arial" w:eastAsia="Arial" w:hAnsi="Arial"/>
                <w:sz w:val="20"/>
                <w:szCs w:val="20"/>
                <w:color w:val="231F20"/>
              </w:rPr>
              <w:t>802</w:t>
            </w:r>
          </w:p>
        </w:tc>
      </w:tr>
      <w:tr>
        <w:trPr>
          <w:trHeight w:val="225"/>
        </w:trPr>
        <w:tc>
          <w:tcPr>
            <w:tcW w:w="3100" w:type="dxa"/>
            <w:vAlign w:val="bottom"/>
          </w:tcPr>
          <w:p>
            <w:pPr>
              <w:spacing w:after="0" w:line="225" w:lineRule="exact"/>
              <w:rPr>
                <w:sz w:val="20"/>
                <w:szCs w:val="20"/>
                <w:color w:val="auto"/>
              </w:rPr>
            </w:pPr>
            <w:r>
              <w:rPr>
                <w:rFonts w:ascii="Arial" w:cs="Arial" w:eastAsia="Arial" w:hAnsi="Arial"/>
                <w:sz w:val="20"/>
                <w:szCs w:val="20"/>
                <w:color w:val="231F20"/>
              </w:rPr>
              <w:t>Undeveloped</w:t>
            </w:r>
            <w:r>
              <w:rPr>
                <w:rFonts w:ascii="Arial" w:cs="Arial" w:eastAsia="Arial" w:hAnsi="Arial"/>
                <w:sz w:val="26"/>
                <w:szCs w:val="26"/>
                <w:color w:val="231F20"/>
                <w:vertAlign w:val="superscript"/>
              </w:rPr>
              <w:t>(d)</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5"/>
        </w:trPr>
        <w:tc>
          <w:tcPr>
            <w:tcW w:w="3100" w:type="dxa"/>
            <w:vAlign w:val="bottom"/>
          </w:tcPr>
          <w:p>
            <w:pPr>
              <w:ind w:left="200"/>
              <w:spacing w:after="0" w:line="225" w:lineRule="exact"/>
              <w:rPr>
                <w:sz w:val="20"/>
                <w:szCs w:val="20"/>
                <w:color w:val="auto"/>
              </w:rPr>
            </w:pPr>
            <w:r>
              <w:rPr>
                <w:rFonts w:ascii="Arial" w:cs="Arial" w:eastAsia="Arial" w:hAnsi="Arial"/>
                <w:sz w:val="20"/>
                <w:szCs w:val="20"/>
                <w:color w:val="231F20"/>
                <w:w w:val="98"/>
              </w:rPr>
              <w:t>Gross</w:t>
            </w:r>
            <w:r>
              <w:rPr>
                <w:rFonts w:ascii="Arial" w:cs="Arial" w:eastAsia="Arial" w:hAnsi="Arial"/>
                <w:sz w:val="26"/>
                <w:szCs w:val="26"/>
                <w:color w:val="231F20"/>
                <w:w w:val="98"/>
                <w:vertAlign w:val="superscript"/>
              </w:rPr>
              <w:t>(b)</w:t>
            </w:r>
            <w:r>
              <w:rPr>
                <w:rFonts w:ascii="Arial" w:cs="Arial" w:eastAsia="Arial" w:hAnsi="Arial"/>
                <w:sz w:val="20"/>
                <w:szCs w:val="20"/>
                <w:color w:val="231F20"/>
                <w:w w:val="98"/>
              </w:rPr>
              <w:t xml:space="preserve">  . . . . . . . . . . . . . . . . . . .</w:t>
            </w:r>
          </w:p>
        </w:tc>
        <w:tc>
          <w:tcPr>
            <w:tcW w:w="1180" w:type="dxa"/>
            <w:vAlign w:val="bottom"/>
          </w:tcPr>
          <w:p>
            <w:pPr>
              <w:jc w:val="right"/>
              <w:ind w:right="240"/>
              <w:spacing w:after="0" w:line="225" w:lineRule="exact"/>
              <w:rPr>
                <w:sz w:val="20"/>
                <w:szCs w:val="20"/>
                <w:color w:val="auto"/>
              </w:rPr>
            </w:pPr>
            <w:r>
              <w:rPr>
                <w:rFonts w:ascii="Arial" w:cs="Arial" w:eastAsia="Arial" w:hAnsi="Arial"/>
                <w:sz w:val="20"/>
                <w:szCs w:val="20"/>
                <w:color w:val="231F20"/>
              </w:rPr>
              <w:t>938</w:t>
            </w:r>
          </w:p>
        </w:tc>
        <w:tc>
          <w:tcPr>
            <w:tcW w:w="80" w:type="dxa"/>
            <w:vAlign w:val="bottom"/>
          </w:tcPr>
          <w:p>
            <w:pPr>
              <w:spacing w:after="0"/>
              <w:rPr>
                <w:sz w:val="19"/>
                <w:szCs w:val="19"/>
                <w:color w:val="auto"/>
              </w:rPr>
            </w:pPr>
          </w:p>
        </w:tc>
        <w:tc>
          <w:tcPr>
            <w:tcW w:w="1280" w:type="dxa"/>
            <w:vAlign w:val="bottom"/>
            <w:gridSpan w:val="2"/>
          </w:tcPr>
          <w:p>
            <w:pPr>
              <w:jc w:val="center"/>
              <w:spacing w:after="0" w:line="225" w:lineRule="exact"/>
              <w:rPr>
                <w:sz w:val="20"/>
                <w:szCs w:val="20"/>
                <w:color w:val="auto"/>
              </w:rPr>
            </w:pPr>
            <w:r>
              <w:rPr>
                <w:rFonts w:ascii="Arial" w:cs="Arial" w:eastAsia="Arial" w:hAnsi="Arial"/>
                <w:sz w:val="20"/>
                <w:szCs w:val="20"/>
                <w:color w:val="231F20"/>
                <w:w w:val="98"/>
              </w:rPr>
              <w:t>22</w:t>
            </w:r>
          </w:p>
        </w:tc>
        <w:tc>
          <w:tcPr>
            <w:tcW w:w="80" w:type="dxa"/>
            <w:vAlign w:val="bottom"/>
          </w:tcPr>
          <w:p>
            <w:pPr>
              <w:spacing w:after="0"/>
              <w:rPr>
                <w:sz w:val="19"/>
                <w:szCs w:val="19"/>
                <w:color w:val="auto"/>
              </w:rPr>
            </w:pPr>
          </w:p>
        </w:tc>
        <w:tc>
          <w:tcPr>
            <w:tcW w:w="1220" w:type="dxa"/>
            <w:vAlign w:val="bottom"/>
            <w:gridSpan w:val="2"/>
          </w:tcPr>
          <w:p>
            <w:pPr>
              <w:jc w:val="center"/>
              <w:spacing w:after="0" w:line="225" w:lineRule="exact"/>
              <w:rPr>
                <w:sz w:val="20"/>
                <w:szCs w:val="20"/>
                <w:color w:val="auto"/>
              </w:rPr>
            </w:pPr>
            <w:r>
              <w:rPr>
                <w:rFonts w:ascii="Arial" w:cs="Arial" w:eastAsia="Arial" w:hAnsi="Arial"/>
                <w:sz w:val="20"/>
                <w:szCs w:val="20"/>
                <w:color w:val="231F20"/>
              </w:rPr>
              <w:t>222</w:t>
            </w:r>
          </w:p>
        </w:tc>
        <w:tc>
          <w:tcPr>
            <w:tcW w:w="80" w:type="dxa"/>
            <w:vAlign w:val="bottom"/>
          </w:tcPr>
          <w:p>
            <w:pPr>
              <w:spacing w:after="0"/>
              <w:rPr>
                <w:sz w:val="19"/>
                <w:szCs w:val="19"/>
                <w:color w:val="auto"/>
              </w:rPr>
            </w:pPr>
          </w:p>
        </w:tc>
        <w:tc>
          <w:tcPr>
            <w:tcW w:w="620" w:type="dxa"/>
            <w:vAlign w:val="bottom"/>
            <w:gridSpan w:val="2"/>
          </w:tcPr>
          <w:p>
            <w:pPr>
              <w:jc w:val="right"/>
              <w:spacing w:after="0" w:line="225" w:lineRule="exact"/>
              <w:rPr>
                <w:sz w:val="20"/>
                <w:szCs w:val="20"/>
                <w:color w:val="auto"/>
              </w:rPr>
            </w:pPr>
            <w:r>
              <w:rPr>
                <w:rFonts w:ascii="Arial" w:cs="Arial" w:eastAsia="Arial" w:hAnsi="Arial"/>
                <w:sz w:val="20"/>
                <w:szCs w:val="20"/>
                <w:color w:val="231F20"/>
              </w:rPr>
              <w:t>62</w:t>
            </w:r>
          </w:p>
        </w:tc>
        <w:tc>
          <w:tcPr>
            <w:tcW w:w="80" w:type="dxa"/>
            <w:vAlign w:val="bottom"/>
          </w:tcPr>
          <w:p>
            <w:pPr>
              <w:spacing w:after="0"/>
              <w:rPr>
                <w:sz w:val="19"/>
                <w:szCs w:val="19"/>
                <w:color w:val="auto"/>
              </w:rPr>
            </w:pP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231F20"/>
              </w:rPr>
              <w:t>143</w:t>
            </w:r>
          </w:p>
        </w:tc>
        <w:tc>
          <w:tcPr>
            <w:tcW w:w="80" w:type="dxa"/>
            <w:vAlign w:val="bottom"/>
          </w:tcPr>
          <w:p>
            <w:pPr>
              <w:spacing w:after="0"/>
              <w:rPr>
                <w:sz w:val="19"/>
                <w:szCs w:val="19"/>
                <w:color w:val="auto"/>
              </w:rPr>
            </w:pPr>
          </w:p>
        </w:tc>
        <w:tc>
          <w:tcPr>
            <w:tcW w:w="580" w:type="dxa"/>
            <w:vAlign w:val="bottom"/>
            <w:gridSpan w:val="2"/>
          </w:tcPr>
          <w:p>
            <w:pPr>
              <w:jc w:val="right"/>
              <w:spacing w:after="0" w:line="225" w:lineRule="exact"/>
              <w:rPr>
                <w:sz w:val="20"/>
                <w:szCs w:val="20"/>
                <w:color w:val="auto"/>
              </w:rPr>
            </w:pPr>
            <w:r>
              <w:rPr>
                <w:rFonts w:ascii="Arial" w:cs="Arial" w:eastAsia="Arial" w:hAnsi="Arial"/>
                <w:sz w:val="20"/>
                <w:szCs w:val="20"/>
                <w:color w:val="231F20"/>
              </w:rPr>
              <w:t>1,387</w:t>
            </w:r>
          </w:p>
        </w:tc>
      </w:tr>
      <w:tr>
        <w:trPr>
          <w:trHeight w:val="225"/>
        </w:trPr>
        <w:tc>
          <w:tcPr>
            <w:tcW w:w="3100" w:type="dxa"/>
            <w:vAlign w:val="bottom"/>
          </w:tcPr>
          <w:p>
            <w:pPr>
              <w:ind w:left="200"/>
              <w:spacing w:after="0" w:line="225" w:lineRule="exact"/>
              <w:rPr>
                <w:sz w:val="20"/>
                <w:szCs w:val="20"/>
                <w:color w:val="auto"/>
              </w:rPr>
            </w:pPr>
            <w:r>
              <w:rPr>
                <w:rFonts w:ascii="Arial" w:cs="Arial" w:eastAsia="Arial" w:hAnsi="Arial"/>
                <w:sz w:val="20"/>
                <w:szCs w:val="20"/>
                <w:color w:val="231F20"/>
                <w:w w:val="99"/>
              </w:rPr>
              <w:t>Net</w:t>
            </w:r>
            <w:r>
              <w:rPr>
                <w:rFonts w:ascii="Arial" w:cs="Arial" w:eastAsia="Arial" w:hAnsi="Arial"/>
                <w:sz w:val="26"/>
                <w:szCs w:val="26"/>
                <w:color w:val="231F20"/>
                <w:w w:val="99"/>
                <w:vertAlign w:val="superscript"/>
              </w:rPr>
              <w:t>(c)</w:t>
            </w:r>
            <w:r>
              <w:rPr>
                <w:rFonts w:ascii="Arial" w:cs="Arial" w:eastAsia="Arial" w:hAnsi="Arial"/>
                <w:sz w:val="20"/>
                <w:szCs w:val="20"/>
                <w:color w:val="231F20"/>
                <w:w w:val="99"/>
              </w:rPr>
              <w:t xml:space="preserve">  . . . . . . . . . . . . . . . . . . . . .</w:t>
            </w:r>
          </w:p>
        </w:tc>
        <w:tc>
          <w:tcPr>
            <w:tcW w:w="1180" w:type="dxa"/>
            <w:vAlign w:val="bottom"/>
          </w:tcPr>
          <w:p>
            <w:pPr>
              <w:jc w:val="right"/>
              <w:ind w:right="240"/>
              <w:spacing w:after="0" w:line="225" w:lineRule="exact"/>
              <w:rPr>
                <w:sz w:val="20"/>
                <w:szCs w:val="20"/>
                <w:color w:val="auto"/>
              </w:rPr>
            </w:pPr>
            <w:r>
              <w:rPr>
                <w:rFonts w:ascii="Arial" w:cs="Arial" w:eastAsia="Arial" w:hAnsi="Arial"/>
                <w:sz w:val="20"/>
                <w:szCs w:val="20"/>
                <w:color w:val="231F20"/>
              </w:rPr>
              <w:t>806</w:t>
            </w:r>
          </w:p>
        </w:tc>
        <w:tc>
          <w:tcPr>
            <w:tcW w:w="80" w:type="dxa"/>
            <w:vAlign w:val="bottom"/>
          </w:tcPr>
          <w:p>
            <w:pPr>
              <w:spacing w:after="0"/>
              <w:rPr>
                <w:sz w:val="19"/>
                <w:szCs w:val="19"/>
                <w:color w:val="auto"/>
              </w:rPr>
            </w:pPr>
          </w:p>
        </w:tc>
        <w:tc>
          <w:tcPr>
            <w:tcW w:w="1280" w:type="dxa"/>
            <w:vAlign w:val="bottom"/>
            <w:gridSpan w:val="2"/>
          </w:tcPr>
          <w:p>
            <w:pPr>
              <w:jc w:val="center"/>
              <w:spacing w:after="0" w:line="225" w:lineRule="exact"/>
              <w:rPr>
                <w:sz w:val="20"/>
                <w:szCs w:val="20"/>
                <w:color w:val="auto"/>
              </w:rPr>
            </w:pPr>
            <w:r>
              <w:rPr>
                <w:rFonts w:ascii="Arial" w:cs="Arial" w:eastAsia="Arial" w:hAnsi="Arial"/>
                <w:sz w:val="20"/>
                <w:szCs w:val="20"/>
                <w:color w:val="231F20"/>
                <w:w w:val="98"/>
              </w:rPr>
              <w:t>20</w:t>
            </w:r>
          </w:p>
        </w:tc>
        <w:tc>
          <w:tcPr>
            <w:tcW w:w="80" w:type="dxa"/>
            <w:vAlign w:val="bottom"/>
          </w:tcPr>
          <w:p>
            <w:pPr>
              <w:spacing w:after="0"/>
              <w:rPr>
                <w:sz w:val="19"/>
                <w:szCs w:val="19"/>
                <w:color w:val="auto"/>
              </w:rPr>
            </w:pPr>
          </w:p>
        </w:tc>
        <w:tc>
          <w:tcPr>
            <w:tcW w:w="1220" w:type="dxa"/>
            <w:vAlign w:val="bottom"/>
            <w:gridSpan w:val="2"/>
          </w:tcPr>
          <w:p>
            <w:pPr>
              <w:jc w:val="center"/>
              <w:spacing w:after="0" w:line="225" w:lineRule="exact"/>
              <w:rPr>
                <w:sz w:val="20"/>
                <w:szCs w:val="20"/>
                <w:color w:val="auto"/>
              </w:rPr>
            </w:pPr>
            <w:r>
              <w:rPr>
                <w:rFonts w:ascii="Arial" w:cs="Arial" w:eastAsia="Arial" w:hAnsi="Arial"/>
                <w:sz w:val="20"/>
                <w:szCs w:val="20"/>
                <w:color w:val="231F20"/>
              </w:rPr>
              <w:t>188</w:t>
            </w:r>
          </w:p>
        </w:tc>
        <w:tc>
          <w:tcPr>
            <w:tcW w:w="80" w:type="dxa"/>
            <w:vAlign w:val="bottom"/>
          </w:tcPr>
          <w:p>
            <w:pPr>
              <w:spacing w:after="0"/>
              <w:rPr>
                <w:sz w:val="19"/>
                <w:szCs w:val="19"/>
                <w:color w:val="auto"/>
              </w:rPr>
            </w:pPr>
          </w:p>
        </w:tc>
        <w:tc>
          <w:tcPr>
            <w:tcW w:w="620" w:type="dxa"/>
            <w:vAlign w:val="bottom"/>
            <w:gridSpan w:val="2"/>
          </w:tcPr>
          <w:p>
            <w:pPr>
              <w:jc w:val="right"/>
              <w:spacing w:after="0" w:line="225" w:lineRule="exact"/>
              <w:rPr>
                <w:sz w:val="20"/>
                <w:szCs w:val="20"/>
                <w:color w:val="auto"/>
              </w:rPr>
            </w:pPr>
            <w:r>
              <w:rPr>
                <w:rFonts w:ascii="Arial" w:cs="Arial" w:eastAsia="Arial" w:hAnsi="Arial"/>
                <w:sz w:val="20"/>
                <w:szCs w:val="20"/>
                <w:color w:val="231F20"/>
              </w:rPr>
              <w:t>53</w:t>
            </w:r>
          </w:p>
        </w:tc>
        <w:tc>
          <w:tcPr>
            <w:tcW w:w="80" w:type="dxa"/>
            <w:vAlign w:val="bottom"/>
          </w:tcPr>
          <w:p>
            <w:pPr>
              <w:spacing w:after="0"/>
              <w:rPr>
                <w:sz w:val="19"/>
                <w:szCs w:val="19"/>
                <w:color w:val="auto"/>
              </w:rPr>
            </w:pP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231F20"/>
              </w:rPr>
              <w:t>117</w:t>
            </w:r>
          </w:p>
        </w:tc>
        <w:tc>
          <w:tcPr>
            <w:tcW w:w="80" w:type="dxa"/>
            <w:vAlign w:val="bottom"/>
          </w:tcPr>
          <w:p>
            <w:pPr>
              <w:spacing w:after="0"/>
              <w:rPr>
                <w:sz w:val="19"/>
                <w:szCs w:val="19"/>
                <w:color w:val="auto"/>
              </w:rPr>
            </w:pPr>
          </w:p>
        </w:tc>
        <w:tc>
          <w:tcPr>
            <w:tcW w:w="580" w:type="dxa"/>
            <w:vAlign w:val="bottom"/>
            <w:gridSpan w:val="2"/>
          </w:tcPr>
          <w:p>
            <w:pPr>
              <w:jc w:val="right"/>
              <w:spacing w:after="0" w:line="225" w:lineRule="exact"/>
              <w:rPr>
                <w:sz w:val="20"/>
                <w:szCs w:val="20"/>
                <w:color w:val="auto"/>
              </w:rPr>
            </w:pPr>
            <w:r>
              <w:rPr>
                <w:rFonts w:ascii="Arial" w:cs="Arial" w:eastAsia="Arial" w:hAnsi="Arial"/>
                <w:sz w:val="20"/>
                <w:szCs w:val="20"/>
                <w:color w:val="231F20"/>
              </w:rPr>
              <w:t>1,184</w:t>
            </w:r>
          </w:p>
        </w:tc>
      </w:tr>
      <w:tr>
        <w:trPr>
          <w:trHeight w:val="223"/>
        </w:trPr>
        <w:tc>
          <w:tcPr>
            <w:tcW w:w="3100" w:type="dxa"/>
            <w:vAlign w:val="bottom"/>
          </w:tcPr>
          <w:p>
            <w:pPr>
              <w:spacing w:after="0" w:line="223" w:lineRule="exact"/>
              <w:rPr>
                <w:sz w:val="20"/>
                <w:szCs w:val="20"/>
                <w:color w:val="auto"/>
              </w:rPr>
            </w:pPr>
            <w:r>
              <w:rPr>
                <w:rFonts w:ascii="Arial" w:cs="Arial" w:eastAsia="Arial" w:hAnsi="Arial"/>
                <w:sz w:val="20"/>
                <w:szCs w:val="20"/>
                <w:color w:val="231F20"/>
              </w:rPr>
              <w:t>Total</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7"/>
        </w:trPr>
        <w:tc>
          <w:tcPr>
            <w:tcW w:w="3100" w:type="dxa"/>
            <w:vAlign w:val="bottom"/>
          </w:tcPr>
          <w:p>
            <w:pPr>
              <w:ind w:left="200"/>
              <w:spacing w:after="0" w:line="227" w:lineRule="exact"/>
              <w:rPr>
                <w:sz w:val="20"/>
                <w:szCs w:val="20"/>
                <w:color w:val="auto"/>
              </w:rPr>
            </w:pPr>
            <w:r>
              <w:rPr>
                <w:rFonts w:ascii="Arial" w:cs="Arial" w:eastAsia="Arial" w:hAnsi="Arial"/>
                <w:sz w:val="20"/>
                <w:szCs w:val="20"/>
                <w:color w:val="231F20"/>
                <w:w w:val="98"/>
              </w:rPr>
              <w:t>Gross</w:t>
            </w:r>
            <w:r>
              <w:rPr>
                <w:rFonts w:ascii="Arial" w:cs="Arial" w:eastAsia="Arial" w:hAnsi="Arial"/>
                <w:sz w:val="26"/>
                <w:szCs w:val="26"/>
                <w:color w:val="231F20"/>
                <w:w w:val="98"/>
                <w:vertAlign w:val="superscript"/>
              </w:rPr>
              <w:t>(b)</w:t>
            </w:r>
            <w:r>
              <w:rPr>
                <w:rFonts w:ascii="Arial" w:cs="Arial" w:eastAsia="Arial" w:hAnsi="Arial"/>
                <w:sz w:val="20"/>
                <w:szCs w:val="20"/>
                <w:color w:val="231F20"/>
                <w:w w:val="98"/>
              </w:rPr>
              <w:t xml:space="preserve">  . . . . . . . . . . . . . . . . . . .</w:t>
            </w:r>
          </w:p>
        </w:tc>
        <w:tc>
          <w:tcPr>
            <w:tcW w:w="1180" w:type="dxa"/>
            <w:vAlign w:val="bottom"/>
          </w:tcPr>
          <w:p>
            <w:pPr>
              <w:jc w:val="right"/>
              <w:ind w:right="240"/>
              <w:spacing w:after="0" w:line="225" w:lineRule="exact"/>
              <w:rPr>
                <w:sz w:val="20"/>
                <w:szCs w:val="20"/>
                <w:color w:val="auto"/>
              </w:rPr>
            </w:pPr>
            <w:r>
              <w:rPr>
                <w:rFonts w:ascii="Arial" w:cs="Arial" w:eastAsia="Arial" w:hAnsi="Arial"/>
                <w:sz w:val="20"/>
                <w:szCs w:val="20"/>
                <w:color w:val="231F20"/>
              </w:rPr>
              <w:t>1,482</w:t>
            </w:r>
          </w:p>
        </w:tc>
        <w:tc>
          <w:tcPr>
            <w:tcW w:w="80" w:type="dxa"/>
            <w:vAlign w:val="bottom"/>
          </w:tcPr>
          <w:p>
            <w:pPr>
              <w:spacing w:after="0"/>
              <w:rPr>
                <w:sz w:val="19"/>
                <w:szCs w:val="19"/>
                <w:color w:val="auto"/>
              </w:rPr>
            </w:pPr>
          </w:p>
        </w:tc>
        <w:tc>
          <w:tcPr>
            <w:tcW w:w="1280" w:type="dxa"/>
            <w:vAlign w:val="bottom"/>
            <w:gridSpan w:val="2"/>
          </w:tcPr>
          <w:p>
            <w:pPr>
              <w:jc w:val="center"/>
              <w:spacing w:after="0" w:line="225" w:lineRule="exact"/>
              <w:rPr>
                <w:sz w:val="20"/>
                <w:szCs w:val="20"/>
                <w:color w:val="auto"/>
              </w:rPr>
            </w:pPr>
            <w:r>
              <w:rPr>
                <w:rFonts w:ascii="Arial" w:cs="Arial" w:eastAsia="Arial" w:hAnsi="Arial"/>
                <w:sz w:val="20"/>
                <w:szCs w:val="20"/>
                <w:color w:val="231F20"/>
                <w:w w:val="98"/>
              </w:rPr>
              <w:t>43</w:t>
            </w:r>
          </w:p>
        </w:tc>
        <w:tc>
          <w:tcPr>
            <w:tcW w:w="80" w:type="dxa"/>
            <w:vAlign w:val="bottom"/>
          </w:tcPr>
          <w:p>
            <w:pPr>
              <w:spacing w:after="0"/>
              <w:rPr>
                <w:sz w:val="19"/>
                <w:szCs w:val="19"/>
                <w:color w:val="auto"/>
              </w:rPr>
            </w:pPr>
          </w:p>
        </w:tc>
        <w:tc>
          <w:tcPr>
            <w:tcW w:w="1220" w:type="dxa"/>
            <w:vAlign w:val="bottom"/>
            <w:gridSpan w:val="2"/>
          </w:tcPr>
          <w:p>
            <w:pPr>
              <w:jc w:val="center"/>
              <w:spacing w:after="0" w:line="225" w:lineRule="exact"/>
              <w:rPr>
                <w:sz w:val="20"/>
                <w:szCs w:val="20"/>
                <w:color w:val="auto"/>
              </w:rPr>
            </w:pPr>
            <w:r>
              <w:rPr>
                <w:rFonts w:ascii="Arial" w:cs="Arial" w:eastAsia="Arial" w:hAnsi="Arial"/>
                <w:sz w:val="20"/>
                <w:szCs w:val="20"/>
                <w:color w:val="231F20"/>
              </w:rPr>
              <w:t>463</w:t>
            </w:r>
          </w:p>
        </w:tc>
        <w:tc>
          <w:tcPr>
            <w:tcW w:w="80" w:type="dxa"/>
            <w:vAlign w:val="bottom"/>
          </w:tcPr>
          <w:p>
            <w:pPr>
              <w:spacing w:after="0"/>
              <w:rPr>
                <w:sz w:val="19"/>
                <w:szCs w:val="19"/>
                <w:color w:val="auto"/>
              </w:rPr>
            </w:pPr>
          </w:p>
        </w:tc>
        <w:tc>
          <w:tcPr>
            <w:tcW w:w="620" w:type="dxa"/>
            <w:vAlign w:val="bottom"/>
            <w:gridSpan w:val="2"/>
          </w:tcPr>
          <w:p>
            <w:pPr>
              <w:jc w:val="right"/>
              <w:spacing w:after="0" w:line="225" w:lineRule="exact"/>
              <w:rPr>
                <w:sz w:val="20"/>
                <w:szCs w:val="20"/>
                <w:color w:val="auto"/>
              </w:rPr>
            </w:pPr>
            <w:r>
              <w:rPr>
                <w:rFonts w:ascii="Arial" w:cs="Arial" w:eastAsia="Arial" w:hAnsi="Arial"/>
                <w:sz w:val="20"/>
                <w:szCs w:val="20"/>
                <w:color w:val="231F20"/>
              </w:rPr>
              <w:t>109</w:t>
            </w:r>
          </w:p>
        </w:tc>
        <w:tc>
          <w:tcPr>
            <w:tcW w:w="80" w:type="dxa"/>
            <w:vAlign w:val="bottom"/>
          </w:tcPr>
          <w:p>
            <w:pPr>
              <w:spacing w:after="0"/>
              <w:rPr>
                <w:sz w:val="19"/>
                <w:szCs w:val="19"/>
                <w:color w:val="auto"/>
              </w:rPr>
            </w:pPr>
          </w:p>
        </w:tc>
        <w:tc>
          <w:tcPr>
            <w:tcW w:w="740" w:type="dxa"/>
            <w:vAlign w:val="bottom"/>
            <w:gridSpan w:val="2"/>
          </w:tcPr>
          <w:p>
            <w:pPr>
              <w:jc w:val="right"/>
              <w:ind w:right="60"/>
              <w:spacing w:after="0" w:line="225" w:lineRule="exact"/>
              <w:rPr>
                <w:sz w:val="20"/>
                <w:szCs w:val="20"/>
                <w:color w:val="auto"/>
              </w:rPr>
            </w:pPr>
            <w:r>
              <w:rPr>
                <w:rFonts w:ascii="Arial" w:cs="Arial" w:eastAsia="Arial" w:hAnsi="Arial"/>
                <w:sz w:val="20"/>
                <w:szCs w:val="20"/>
                <w:color w:val="231F20"/>
              </w:rPr>
              <w:t>157</w:t>
            </w:r>
          </w:p>
        </w:tc>
        <w:tc>
          <w:tcPr>
            <w:tcW w:w="80" w:type="dxa"/>
            <w:vAlign w:val="bottom"/>
          </w:tcPr>
          <w:p>
            <w:pPr>
              <w:spacing w:after="0"/>
              <w:rPr>
                <w:sz w:val="19"/>
                <w:szCs w:val="19"/>
                <w:color w:val="auto"/>
              </w:rPr>
            </w:pPr>
          </w:p>
        </w:tc>
        <w:tc>
          <w:tcPr>
            <w:tcW w:w="580" w:type="dxa"/>
            <w:vAlign w:val="bottom"/>
            <w:gridSpan w:val="2"/>
          </w:tcPr>
          <w:p>
            <w:pPr>
              <w:jc w:val="right"/>
              <w:spacing w:after="0" w:line="225" w:lineRule="exact"/>
              <w:rPr>
                <w:sz w:val="20"/>
                <w:szCs w:val="20"/>
                <w:color w:val="auto"/>
              </w:rPr>
            </w:pPr>
            <w:r>
              <w:rPr>
                <w:rFonts w:ascii="Arial" w:cs="Arial" w:eastAsia="Arial" w:hAnsi="Arial"/>
                <w:sz w:val="20"/>
                <w:szCs w:val="20"/>
                <w:color w:val="231F20"/>
              </w:rPr>
              <w:t>2,254</w:t>
            </w:r>
          </w:p>
        </w:tc>
      </w:tr>
      <w:tr>
        <w:trPr>
          <w:trHeight w:val="299"/>
        </w:trPr>
        <w:tc>
          <w:tcPr>
            <w:tcW w:w="3100" w:type="dxa"/>
            <w:vAlign w:val="bottom"/>
          </w:tcPr>
          <w:p>
            <w:pPr>
              <w:ind w:left="200"/>
              <w:spacing w:after="0"/>
              <w:rPr>
                <w:sz w:val="20"/>
                <w:szCs w:val="20"/>
                <w:color w:val="auto"/>
              </w:rPr>
            </w:pPr>
            <w:r>
              <w:rPr>
                <w:rFonts w:ascii="Arial" w:cs="Arial" w:eastAsia="Arial" w:hAnsi="Arial"/>
                <w:sz w:val="20"/>
                <w:szCs w:val="20"/>
                <w:color w:val="231F20"/>
                <w:w w:val="99"/>
              </w:rPr>
              <w:t>Net</w:t>
            </w:r>
            <w:r>
              <w:rPr>
                <w:rFonts w:ascii="Arial" w:cs="Arial" w:eastAsia="Arial" w:hAnsi="Arial"/>
                <w:sz w:val="26"/>
                <w:szCs w:val="26"/>
                <w:color w:val="231F20"/>
                <w:w w:val="99"/>
                <w:vertAlign w:val="superscript"/>
              </w:rPr>
              <w:t>(c)</w:t>
            </w:r>
            <w:r>
              <w:rPr>
                <w:rFonts w:ascii="Arial" w:cs="Arial" w:eastAsia="Arial" w:hAnsi="Arial"/>
                <w:sz w:val="20"/>
                <w:szCs w:val="20"/>
                <w:color w:val="231F20"/>
                <w:w w:val="99"/>
              </w:rPr>
              <w:t xml:space="preserve">  . . . . . . . . . . . . . . . . . . . . .</w:t>
            </w:r>
          </w:p>
        </w:tc>
        <w:tc>
          <w:tcPr>
            <w:tcW w:w="1180" w:type="dxa"/>
            <w:vAlign w:val="bottom"/>
          </w:tcPr>
          <w:p>
            <w:pPr>
              <w:jc w:val="right"/>
              <w:ind w:right="240"/>
              <w:spacing w:after="0" w:line="223" w:lineRule="exact"/>
              <w:rPr>
                <w:sz w:val="20"/>
                <w:szCs w:val="20"/>
                <w:color w:val="auto"/>
              </w:rPr>
            </w:pPr>
            <w:r>
              <w:rPr>
                <w:rFonts w:ascii="Arial" w:cs="Arial" w:eastAsia="Arial" w:hAnsi="Arial"/>
                <w:sz w:val="20"/>
                <w:szCs w:val="20"/>
                <w:color w:val="231F20"/>
              </w:rPr>
              <w:t>1,304</w:t>
            </w:r>
          </w:p>
        </w:tc>
        <w:tc>
          <w:tcPr>
            <w:tcW w:w="80" w:type="dxa"/>
            <w:vAlign w:val="bottom"/>
          </w:tcPr>
          <w:p>
            <w:pPr>
              <w:spacing w:after="0"/>
              <w:rPr>
                <w:sz w:val="24"/>
                <w:szCs w:val="24"/>
                <w:color w:val="auto"/>
              </w:rPr>
            </w:pPr>
          </w:p>
        </w:tc>
        <w:tc>
          <w:tcPr>
            <w:tcW w:w="1280" w:type="dxa"/>
            <w:vAlign w:val="bottom"/>
            <w:gridSpan w:val="2"/>
          </w:tcPr>
          <w:p>
            <w:pPr>
              <w:jc w:val="center"/>
              <w:spacing w:after="0" w:line="223" w:lineRule="exact"/>
              <w:rPr>
                <w:sz w:val="20"/>
                <w:szCs w:val="20"/>
                <w:color w:val="auto"/>
              </w:rPr>
            </w:pPr>
            <w:r>
              <w:rPr>
                <w:rFonts w:ascii="Arial" w:cs="Arial" w:eastAsia="Arial" w:hAnsi="Arial"/>
                <w:sz w:val="20"/>
                <w:szCs w:val="20"/>
                <w:color w:val="231F20"/>
                <w:w w:val="98"/>
              </w:rPr>
              <w:t>36</w:t>
            </w:r>
          </w:p>
        </w:tc>
        <w:tc>
          <w:tcPr>
            <w:tcW w:w="80" w:type="dxa"/>
            <w:vAlign w:val="bottom"/>
          </w:tcPr>
          <w:p>
            <w:pPr>
              <w:spacing w:after="0"/>
              <w:rPr>
                <w:sz w:val="24"/>
                <w:szCs w:val="24"/>
                <w:color w:val="auto"/>
              </w:rPr>
            </w:pPr>
          </w:p>
        </w:tc>
        <w:tc>
          <w:tcPr>
            <w:tcW w:w="1220" w:type="dxa"/>
            <w:vAlign w:val="bottom"/>
            <w:gridSpan w:val="2"/>
          </w:tcPr>
          <w:p>
            <w:pPr>
              <w:jc w:val="center"/>
              <w:spacing w:after="0" w:line="223" w:lineRule="exact"/>
              <w:rPr>
                <w:sz w:val="20"/>
                <w:szCs w:val="20"/>
                <w:color w:val="auto"/>
              </w:rPr>
            </w:pPr>
            <w:r>
              <w:rPr>
                <w:rFonts w:ascii="Arial" w:cs="Arial" w:eastAsia="Arial" w:hAnsi="Arial"/>
                <w:sz w:val="20"/>
                <w:szCs w:val="20"/>
                <w:color w:val="231F20"/>
              </w:rPr>
              <w:t>418</w:t>
            </w:r>
          </w:p>
        </w:tc>
        <w:tc>
          <w:tcPr>
            <w:tcW w:w="80" w:type="dxa"/>
            <w:vAlign w:val="bottom"/>
          </w:tcPr>
          <w:p>
            <w:pPr>
              <w:spacing w:after="0"/>
              <w:rPr>
                <w:sz w:val="24"/>
                <w:szCs w:val="24"/>
                <w:color w:val="auto"/>
              </w:rPr>
            </w:pPr>
          </w:p>
        </w:tc>
        <w:tc>
          <w:tcPr>
            <w:tcW w:w="620" w:type="dxa"/>
            <w:vAlign w:val="bottom"/>
            <w:gridSpan w:val="2"/>
          </w:tcPr>
          <w:p>
            <w:pPr>
              <w:jc w:val="right"/>
              <w:spacing w:after="0" w:line="223" w:lineRule="exact"/>
              <w:rPr>
                <w:sz w:val="20"/>
                <w:szCs w:val="20"/>
                <w:color w:val="auto"/>
              </w:rPr>
            </w:pPr>
            <w:r>
              <w:rPr>
                <w:rFonts w:ascii="Arial" w:cs="Arial" w:eastAsia="Arial" w:hAnsi="Arial"/>
                <w:sz w:val="20"/>
                <w:szCs w:val="20"/>
                <w:color w:val="231F20"/>
              </w:rPr>
              <w:t>98</w:t>
            </w:r>
          </w:p>
        </w:tc>
        <w:tc>
          <w:tcPr>
            <w:tcW w:w="80" w:type="dxa"/>
            <w:vAlign w:val="bottom"/>
          </w:tcPr>
          <w:p>
            <w:pPr>
              <w:spacing w:after="0"/>
              <w:rPr>
                <w:sz w:val="24"/>
                <w:szCs w:val="24"/>
                <w:color w:val="auto"/>
              </w:rPr>
            </w:pPr>
          </w:p>
        </w:tc>
        <w:tc>
          <w:tcPr>
            <w:tcW w:w="74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231F20"/>
              </w:rPr>
              <w:t>130</w:t>
            </w:r>
          </w:p>
        </w:tc>
        <w:tc>
          <w:tcPr>
            <w:tcW w:w="80" w:type="dxa"/>
            <w:vAlign w:val="bottom"/>
          </w:tcPr>
          <w:p>
            <w:pPr>
              <w:spacing w:after="0"/>
              <w:rPr>
                <w:sz w:val="24"/>
                <w:szCs w:val="24"/>
                <w:color w:val="auto"/>
              </w:rPr>
            </w:pPr>
          </w:p>
        </w:tc>
        <w:tc>
          <w:tcPr>
            <w:tcW w:w="580" w:type="dxa"/>
            <w:vAlign w:val="bottom"/>
            <w:gridSpan w:val="2"/>
          </w:tcPr>
          <w:p>
            <w:pPr>
              <w:jc w:val="right"/>
              <w:spacing w:after="0" w:line="223" w:lineRule="exact"/>
              <w:rPr>
                <w:sz w:val="20"/>
                <w:szCs w:val="20"/>
                <w:color w:val="auto"/>
              </w:rPr>
            </w:pPr>
            <w:r>
              <w:rPr>
                <w:rFonts w:ascii="Arial" w:cs="Arial" w:eastAsia="Arial" w:hAnsi="Arial"/>
                <w:sz w:val="20"/>
                <w:szCs w:val="20"/>
                <w:color w:val="231F20"/>
              </w:rPr>
              <w:t>1,986</w:t>
            </w:r>
          </w:p>
        </w:tc>
      </w:tr>
    </w:tbl>
    <w:p>
      <w:pPr>
        <w:spacing w:after="0" w:line="191" w:lineRule="auto"/>
        <w:tabs>
          <w:tab w:leader="none" w:pos="300" w:val="left"/>
        </w:tabs>
        <w:rPr>
          <w:sz w:val="20"/>
          <w:szCs w:val="20"/>
          <w:color w:val="auto"/>
        </w:rPr>
      </w:pPr>
      <w:r>
        <w:rPr>
          <w:rFonts w:ascii="Arial" w:cs="Arial" w:eastAsia="Arial" w:hAnsi="Arial"/>
          <w:sz w:val="16"/>
          <w:szCs w:val="16"/>
          <w:color w:val="231F20"/>
        </w:rPr>
        <w:t>(a)</w:t>
        <w:tab/>
        <w:t>Mineral acres spaced or assigned to productive wells.</w:t>
      </w:r>
    </w:p>
    <w:p>
      <w:pPr>
        <w:sectPr>
          <w:pgSz w:w="11880" w:h="15480" w:orient="portrait"/>
          <w:cols w:equalWidth="0" w:num="1">
            <w:col w:w="9120"/>
          </w:cols>
          <w:pgMar w:left="1380" w:top="1316" w:right="1380" w:bottom="655"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11</w:t>
      </w:r>
    </w:p>
    <w:p>
      <w:pPr>
        <w:sectPr>
          <w:pgSz w:w="11880" w:h="15480" w:orient="portrait"/>
          <w:cols w:equalWidth="0" w:num="1">
            <w:col w:w="9120"/>
          </w:cols>
          <w:pgMar w:left="1380" w:top="1316" w:right="1380" w:bottom="655" w:gutter="0" w:footer="0" w:header="0"/>
          <w:type w:val="continuous"/>
        </w:sectPr>
      </w:pPr>
    </w:p>
    <w:bookmarkStart w:id="15" w:name="page16"/>
    <w:bookmarkEnd w:id="15"/>
    <w:p>
      <w:pPr>
        <w:ind w:left="320" w:hanging="320"/>
        <w:spacing w:after="0"/>
        <w:tabs>
          <w:tab w:leader="none" w:pos="32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Total number of mineral acres in which interests are owned.</w:t>
      </w:r>
    </w:p>
    <w:p>
      <w:pPr>
        <w:spacing w:after="0" w:line="16" w:lineRule="exact"/>
        <w:rPr>
          <w:rFonts w:ascii="Arial" w:cs="Arial" w:eastAsia="Arial" w:hAnsi="Arial"/>
          <w:sz w:val="16"/>
          <w:szCs w:val="16"/>
          <w:color w:val="231F20"/>
        </w:rPr>
      </w:pPr>
    </w:p>
    <w:p>
      <w:pPr>
        <w:ind w:left="320" w:hanging="320"/>
        <w:spacing w:after="0"/>
        <w:tabs>
          <w:tab w:leader="none" w:pos="32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Net mineral acreage includes acreage reduced to our fractional ownership interest and interests under our PSCs.</w:t>
      </w:r>
    </w:p>
    <w:p>
      <w:pPr>
        <w:spacing w:after="0" w:line="21" w:lineRule="exact"/>
        <w:rPr>
          <w:rFonts w:ascii="Arial" w:cs="Arial" w:eastAsia="Arial" w:hAnsi="Arial"/>
          <w:sz w:val="16"/>
          <w:szCs w:val="16"/>
          <w:color w:val="231F20"/>
        </w:rPr>
      </w:pPr>
    </w:p>
    <w:p>
      <w:pPr>
        <w:ind w:left="320" w:right="160" w:hanging="320"/>
        <w:spacing w:after="0" w:line="253" w:lineRule="auto"/>
        <w:tabs>
          <w:tab w:leader="none" w:pos="32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Mineral acres on which wells have not been drilled or completed to a point that would permit the production of commercial quantities of oil and natural gas, regardless of whether the mineral acreage contains proved reserves.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At December 31, 2025, 75% of our total net mineral interest position was held in fee and the remainder was leased. Of our leased acreage, approximately 77% is held by production and the remainder is subject to lease expiration if initial wells are not drilled within a specified period of time. The primary terms of our leases range from one to twenty years. The terms of these leases are typically extended upon achieving commercial production for so long as such production is maintained. Work programs are designed to ensure that the economic potential of any leased property is evaluated before expiration. In some instances, we may relinquish leased acreage in advance of the contractual expiration date if the evaluation process is complete and there is no longer a commercial reason for retaining the lease. In cases where we determine we want to take the additional time required to fully evaluate undeveloped acreage, we have generally been successful in obtaining extensions.</w:t>
      </w:r>
    </w:p>
    <w:p>
      <w:pPr>
        <w:spacing w:after="0" w:line="21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If we are not able to establish production or otherwise extend lease terms, approximately 6,000 net mineral acres will expire in 2026, 7,000 net mineral acres will expire in 2027 and 11,000 net mineral acres will expire in 2028. These leases represent 2% of our total net undeveloped acreage and 1% of our total net acreage as of December 31, 2025 and these expirations, should they occur, would not have a material adverse effect on us. Historically, we have not dedicated any significant portion of our capital program to prevent lease expirations and do not expect to do so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Title to Properties</w:t>
      </w:r>
    </w:p>
    <w:p>
      <w:pPr>
        <w:spacing w:after="0" w:line="21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 xml:space="preserve">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For additional information on properties that secure our debt, see </w:t>
      </w:r>
      <w:r>
        <w:rPr>
          <w:rFonts w:ascii="Arial" w:cs="Arial" w:eastAsia="Arial" w:hAnsi="Arial"/>
          <w:sz w:val="20"/>
          <w:szCs w:val="20"/>
          <w:i w:val="1"/>
          <w:iCs w:val="1"/>
          <w:color w:val="231F20"/>
        </w:rPr>
        <w:t>Part II, Item 8 – Financial Statements</w:t>
      </w:r>
      <w:r>
        <w:rPr>
          <w:rFonts w:ascii="Arial" w:cs="Arial" w:eastAsia="Arial" w:hAnsi="Arial"/>
          <w:sz w:val="20"/>
          <w:szCs w:val="20"/>
          <w:color w:val="231F20"/>
        </w:rPr>
        <w:t xml:space="preserve"> </w:t>
      </w:r>
      <w:r>
        <w:rPr>
          <w:rFonts w:ascii="Arial" w:cs="Arial" w:eastAsia="Arial" w:hAnsi="Arial"/>
          <w:sz w:val="20"/>
          <w:szCs w:val="20"/>
          <w:i w:val="1"/>
          <w:iCs w:val="1"/>
          <w:color w:val="231F20"/>
        </w:rPr>
        <w:t>and Supplementary Data, Note 5 Debt.</w:t>
      </w:r>
    </w:p>
    <w:p>
      <w:pPr>
        <w:sectPr>
          <w:pgSz w:w="11880" w:h="15480" w:orient="portrait"/>
          <w:cols w:equalWidth="0" w:num="1">
            <w:col w:w="9080"/>
          </w:cols>
          <w:pgMar w:left="1380" w:top="1308" w:right="142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12</w:t>
      </w:r>
    </w:p>
    <w:p>
      <w:pPr>
        <w:sectPr>
          <w:pgSz w:w="11880" w:h="15480" w:orient="portrait"/>
          <w:cols w:equalWidth="0" w:num="1">
            <w:col w:w="9080"/>
          </w:cols>
          <w:pgMar w:left="1380" w:top="1308" w:right="1420" w:bottom="653"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231F20"/>
        </w:rPr>
        <w:t>Production, Price and Cost History</w:t>
      </w:r>
    </w:p>
    <w:p>
      <w:pPr>
        <w:spacing w:after="0" w:line="217"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 xml:space="preserve">The following table sets forth information regarding our production volumes, average realized and benchmark prices and operating costs per Boe (presented before and after hedges) for the periods presented. See </w:t>
      </w:r>
      <w:r>
        <w:rPr>
          <w:rFonts w:ascii="Arial" w:cs="Arial" w:eastAsia="Arial" w:hAnsi="Arial"/>
          <w:sz w:val="20"/>
          <w:szCs w:val="20"/>
          <w:i w:val="1"/>
          <w:iCs w:val="1"/>
          <w:color w:val="231F20"/>
        </w:rPr>
        <w:t>Part II, Item 7 – Management’s Discussion and Analysis of Financial Condition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Results of Operations </w:t>
      </w:r>
      <w:r>
        <w:rPr>
          <w:rFonts w:ascii="Arial" w:cs="Arial" w:eastAsia="Arial" w:hAnsi="Arial"/>
          <w:sz w:val="20"/>
          <w:szCs w:val="20"/>
          <w:color w:val="231F20"/>
        </w:rPr>
        <w:t>for more information on our production and commodity prices. The Berry Merger</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and Aera Merger affect comparability of our production results between periods. For more information on the Berry Merger and the Aera Merger, see </w:t>
      </w:r>
      <w:r>
        <w:rPr>
          <w:rFonts w:ascii="Arial" w:cs="Arial" w:eastAsia="Arial" w:hAnsi="Arial"/>
          <w:sz w:val="20"/>
          <w:szCs w:val="20"/>
          <w:i w:val="1"/>
          <w:iCs w:val="1"/>
          <w:color w:val="231F20"/>
        </w:rPr>
        <w:t>Part II, Item 8 – Financial Statements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Supplementary Data, Note 2 Business Combinations.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3780" w:type="dxa"/>
            <w:vAlign w:val="bottom"/>
            <w:tcBorders>
              <w:bottom w:val="single" w:sz="8" w:color="231F20"/>
            </w:tcBorders>
            <w:gridSpan w:val="9"/>
          </w:tcPr>
          <w:p>
            <w:pPr>
              <w:jc w:val="center"/>
              <w:ind w:right="140"/>
              <w:spacing w:after="0"/>
              <w:rPr>
                <w:sz w:val="20"/>
                <w:szCs w:val="20"/>
                <w:color w:val="auto"/>
              </w:rPr>
            </w:pPr>
            <w:r>
              <w:rPr>
                <w:rFonts w:ascii="Arial" w:cs="Arial" w:eastAsia="Arial" w:hAnsi="Arial"/>
                <w:sz w:val="20"/>
                <w:szCs w:val="20"/>
                <w:b w:val="1"/>
                <w:bCs w:val="1"/>
                <w:color w:val="231F20"/>
              </w:rPr>
              <w:t>Year Ended December 31,</w:t>
            </w:r>
          </w:p>
        </w:tc>
      </w:tr>
      <w:tr>
        <w:trPr>
          <w:trHeight w:val="260"/>
        </w:trPr>
        <w:tc>
          <w:tcPr>
            <w:tcW w:w="4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0"/>
              <w:spacing w:after="0"/>
              <w:rPr>
                <w:sz w:val="20"/>
                <w:szCs w:val="20"/>
                <w:color w:val="auto"/>
              </w:rPr>
            </w:pPr>
            <w:r>
              <w:rPr>
                <w:rFonts w:ascii="Arial" w:cs="Arial" w:eastAsia="Arial" w:hAnsi="Arial"/>
                <w:sz w:val="20"/>
                <w:szCs w:val="20"/>
                <w:b w:val="1"/>
                <w:bCs w:val="1"/>
                <w:color w:val="231F20"/>
              </w:rPr>
              <w:t>2025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0"/>
              <w:spacing w:after="0"/>
              <w:rPr>
                <w:sz w:val="20"/>
                <w:szCs w:val="20"/>
                <w:color w:val="auto"/>
              </w:rPr>
            </w:pPr>
            <w:r>
              <w:rPr>
                <w:rFonts w:ascii="Arial" w:cs="Arial" w:eastAsia="Arial" w:hAnsi="Arial"/>
                <w:sz w:val="20"/>
                <w:szCs w:val="20"/>
                <w:b w:val="1"/>
                <w:bCs w:val="1"/>
                <w:color w:val="231F20"/>
              </w:rPr>
              <w:t>2024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0"/>
              <w:spacing w:after="0"/>
              <w:rPr>
                <w:sz w:val="20"/>
                <w:szCs w:val="20"/>
                <w:color w:val="auto"/>
              </w:rPr>
            </w:pPr>
            <w:r>
              <w:rPr>
                <w:rFonts w:ascii="Arial" w:cs="Arial" w:eastAsia="Arial" w:hAnsi="Arial"/>
                <w:sz w:val="20"/>
                <w:szCs w:val="20"/>
                <w:b w:val="1"/>
                <w:bCs w:val="1"/>
                <w:color w:val="231F20"/>
              </w:rPr>
              <w:t>2023</w:t>
            </w:r>
          </w:p>
        </w:tc>
      </w:tr>
      <w:tr>
        <w:trPr>
          <w:trHeight w:val="280"/>
        </w:trPr>
        <w:tc>
          <w:tcPr>
            <w:tcW w:w="4980" w:type="dxa"/>
            <w:vAlign w:val="bottom"/>
          </w:tcPr>
          <w:p>
            <w:pPr>
              <w:spacing w:after="0"/>
              <w:rPr>
                <w:sz w:val="20"/>
                <w:szCs w:val="20"/>
                <w:color w:val="auto"/>
              </w:rPr>
            </w:pPr>
            <w:r>
              <w:rPr>
                <w:rFonts w:ascii="Arial" w:cs="Arial" w:eastAsia="Arial" w:hAnsi="Arial"/>
                <w:sz w:val="20"/>
                <w:szCs w:val="20"/>
                <w:b w:val="1"/>
                <w:bCs w:val="1"/>
                <w:color w:val="231F20"/>
              </w:rPr>
              <w:t>Average daily net production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8"/>
              </w:rPr>
              <w:t>Oil (MBbl/d) . . . . . . . . . . . . . . . . . . . . . . . . . . . . . . . . . . .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109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52</w:t>
            </w: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8"/>
              </w:rPr>
              <w:t>NGLs (MBbl/d)  . . . . . . . . . . . . . . . . . . . . . . . . . . . . . . . .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11</w:t>
            </w: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9"/>
              </w:rPr>
              <w:t>Natural gas (MMcf/d) . . . . . . . . . . . . . . . . . . . . . . . . . . .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114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117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135</w:t>
            </w: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231F20"/>
              </w:rPr>
              <w:t>Total daily net production (MBoe/d)  . . . . . . . . . . . . . . .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86</w:t>
            </w:r>
          </w:p>
        </w:tc>
      </w:tr>
      <w:tr>
        <w:trPr>
          <w:trHeight w:val="480"/>
        </w:trPr>
        <w:tc>
          <w:tcPr>
            <w:tcW w:w="4980" w:type="dxa"/>
            <w:vAlign w:val="bottom"/>
          </w:tcPr>
          <w:p>
            <w:pPr>
              <w:spacing w:after="0"/>
              <w:rPr>
                <w:sz w:val="20"/>
                <w:szCs w:val="20"/>
                <w:color w:val="auto"/>
              </w:rPr>
            </w:pPr>
            <w:r>
              <w:rPr>
                <w:rFonts w:ascii="Arial" w:cs="Arial" w:eastAsia="Arial" w:hAnsi="Arial"/>
                <w:sz w:val="20"/>
                <w:szCs w:val="20"/>
                <w:b w:val="1"/>
                <w:bCs w:val="1"/>
                <w:color w:val="231F20"/>
                <w:w w:val="99"/>
              </w:rPr>
              <w:t xml:space="preserve">Total production (MMBoe)  </w:t>
            </w:r>
            <w:r>
              <w:rPr>
                <w:rFonts w:ascii="Arial" w:cs="Arial" w:eastAsia="Arial" w:hAnsi="Arial"/>
                <w:sz w:val="20"/>
                <w:szCs w:val="20"/>
                <w:color w:val="231F20"/>
                <w:w w:val="99"/>
              </w:rPr>
              <w:t>. . . . . . . . . . . . . . . . . . . . .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50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40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31</w:t>
            </w:r>
          </w:p>
        </w:tc>
      </w:tr>
      <w:tr>
        <w:trPr>
          <w:trHeight w:val="480"/>
        </w:trPr>
        <w:tc>
          <w:tcPr>
            <w:tcW w:w="4980" w:type="dxa"/>
            <w:vAlign w:val="bottom"/>
          </w:tcPr>
          <w:p>
            <w:pPr>
              <w:spacing w:after="0"/>
              <w:rPr>
                <w:sz w:val="20"/>
                <w:szCs w:val="20"/>
                <w:color w:val="auto"/>
              </w:rPr>
            </w:pPr>
            <w:r>
              <w:rPr>
                <w:rFonts w:ascii="Arial" w:cs="Arial" w:eastAsia="Arial" w:hAnsi="Arial"/>
                <w:sz w:val="20"/>
                <w:szCs w:val="20"/>
                <w:b w:val="1"/>
                <w:bCs w:val="1"/>
                <w:color w:val="231F20"/>
              </w:rPr>
              <w:t>Average realized prices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rPr>
              <w:t>Oil with derivative settlements ($/Bbl) . . . . . . . . . . . . . . .</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67.51</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75.66</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65.97</w:t>
            </w: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rPr>
              <w:t>Oil without derivative settlements ($/Bbl) . . . . . . . . . . . .</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66.52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76.92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80.41</w:t>
            </w: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8"/>
              </w:rPr>
              <w:t>NGLs ($/Bbl) . . . . . . . . . . . . . . . . . . . . . . . . . . . . . . . . . . .</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45.30</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48.93</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48.94</w:t>
            </w: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8"/>
              </w:rPr>
              <w:t>Natural gas ($/Mcf) . . . . . . . . . . . . . . . . . . . . . . . . . . . . . .</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3.57</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2.99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8.59</w:t>
            </w:r>
          </w:p>
        </w:tc>
      </w:tr>
      <w:tr>
        <w:trPr>
          <w:trHeight w:val="480"/>
        </w:trPr>
        <w:tc>
          <w:tcPr>
            <w:tcW w:w="4980" w:type="dxa"/>
            <w:vAlign w:val="bottom"/>
          </w:tcPr>
          <w:p>
            <w:pPr>
              <w:spacing w:after="0"/>
              <w:rPr>
                <w:sz w:val="20"/>
                <w:szCs w:val="20"/>
                <w:color w:val="auto"/>
              </w:rPr>
            </w:pPr>
            <w:r>
              <w:rPr>
                <w:rFonts w:ascii="Arial" w:cs="Arial" w:eastAsia="Arial" w:hAnsi="Arial"/>
                <w:sz w:val="20"/>
                <w:szCs w:val="20"/>
                <w:b w:val="1"/>
                <w:bCs w:val="1"/>
                <w:color w:val="231F20"/>
              </w:rPr>
              <w:t>Average benchmark prices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8"/>
              </w:rPr>
              <w:t>Brent oil ($/Bbl) . . . . . . . . . . . . . . . . . . . . . . . . . . . . . . . . .</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68.22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79.84</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82.22</w:t>
            </w: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8"/>
              </w:rPr>
              <w:t>WTI oil ($/Bbl) . . . . . . . . . . . . . . . . . . . . . . . . . . . . . . . . . .</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64.81</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75.72</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77.62</w:t>
            </w: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9"/>
              </w:rPr>
              <w:t>NYMEX gas ($/MMBtu) . . . . . . . . . . . . . . . . . . . . . . . . . .</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3.43</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2.27</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2.74</w:t>
            </w:r>
          </w:p>
        </w:tc>
      </w:tr>
      <w:tr>
        <w:trPr>
          <w:trHeight w:val="480"/>
        </w:trPr>
        <w:tc>
          <w:tcPr>
            <w:tcW w:w="4980" w:type="dxa"/>
            <w:vAlign w:val="bottom"/>
          </w:tcPr>
          <w:p>
            <w:pPr>
              <w:spacing w:after="0"/>
              <w:rPr>
                <w:sz w:val="20"/>
                <w:szCs w:val="20"/>
                <w:color w:val="auto"/>
              </w:rPr>
            </w:pPr>
            <w:r>
              <w:rPr>
                <w:rFonts w:ascii="Arial" w:cs="Arial" w:eastAsia="Arial" w:hAnsi="Arial"/>
                <w:sz w:val="20"/>
                <w:szCs w:val="20"/>
                <w:b w:val="1"/>
                <w:bCs w:val="1"/>
                <w:color w:val="231F20"/>
              </w:rPr>
              <w:t>Operating costs per Boe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8"/>
              </w:rPr>
              <w:t>Operating costs  . . . . . . . . . . . . . . . . . . . . . . . . . . . . . . . .</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25.42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24.51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26.24</w:t>
            </w: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rPr>
              <w:t>Operating costs, after hedges on purchased natural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4980" w:type="dxa"/>
            <w:vAlign w:val="bottom"/>
          </w:tcPr>
          <w:p>
            <w:pPr>
              <w:spacing w:after="0"/>
              <w:rPr>
                <w:sz w:val="20"/>
                <w:szCs w:val="20"/>
                <w:color w:val="auto"/>
              </w:rPr>
            </w:pPr>
            <w:r>
              <w:rPr>
                <w:rFonts w:ascii="Arial" w:cs="Arial" w:eastAsia="Arial" w:hAnsi="Arial"/>
                <w:sz w:val="20"/>
                <w:szCs w:val="20"/>
                <w:color w:val="231F20"/>
                <w:w w:val="97"/>
              </w:rPr>
              <w:t>gas . . . . . . . . . . . . . . . . . . . . . . . . . . . . . . . . . . . . . . . . . . .</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25.94</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25.31</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26.24</w:t>
            </w:r>
          </w:p>
        </w:tc>
      </w:tr>
    </w:tbl>
    <w:p>
      <w:pPr>
        <w:spacing w:after="0" w:line="215" w:lineRule="exact"/>
        <w:rPr>
          <w:sz w:val="20"/>
          <w:szCs w:val="20"/>
          <w:color w:val="auto"/>
        </w:rPr>
      </w:pPr>
    </w:p>
    <w:p>
      <w:pPr>
        <w:ind w:right="360" w:firstLine="300"/>
        <w:spacing w:after="0" w:line="245" w:lineRule="auto"/>
        <w:rPr>
          <w:sz w:val="20"/>
          <w:szCs w:val="20"/>
          <w:color w:val="auto"/>
        </w:rPr>
      </w:pPr>
      <w:r>
        <w:rPr>
          <w:rFonts w:ascii="Arial" w:cs="Arial" w:eastAsia="Arial" w:hAnsi="Arial"/>
          <w:sz w:val="20"/>
          <w:szCs w:val="20"/>
          <w:color w:val="231F20"/>
        </w:rPr>
        <w:t>Oil, natural gas and NGL production for our two largest fields for the years ended December 31, 2025 and 2024 are presented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7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231F20"/>
              </w:rPr>
              <w:t>Belridge</w:t>
            </w:r>
          </w:p>
        </w:tc>
        <w:tc>
          <w:tcPr>
            <w:tcW w:w="200" w:type="dxa"/>
            <w:vAlign w:val="bottom"/>
          </w:tcPr>
          <w:p>
            <w:pPr>
              <w:spacing w:after="0"/>
              <w:rPr>
                <w:sz w:val="18"/>
                <w:szCs w:val="18"/>
                <w:color w:val="auto"/>
              </w:rPr>
            </w:pPr>
          </w:p>
        </w:tc>
        <w:tc>
          <w:tcPr>
            <w:tcW w:w="17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231F20"/>
              </w:rPr>
              <w:t>Elk Hills</w:t>
            </w:r>
          </w:p>
        </w:tc>
        <w:tc>
          <w:tcPr>
            <w:tcW w:w="0" w:type="dxa"/>
            <w:vAlign w:val="bottom"/>
          </w:tcPr>
          <w:p>
            <w:pPr>
              <w:spacing w:after="0"/>
              <w:rPr>
                <w:sz w:val="1"/>
                <w:szCs w:val="1"/>
                <w:color w:val="auto"/>
              </w:rPr>
            </w:pPr>
          </w:p>
        </w:tc>
      </w:tr>
      <w:tr>
        <w:trPr>
          <w:trHeight w:val="24"/>
        </w:trPr>
        <w:tc>
          <w:tcPr>
            <w:tcW w:w="54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231F20"/>
              </w:rPr>
              <w:t>2025</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231F20"/>
              </w:rPr>
              <w:t>2024</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231F20"/>
              </w:rPr>
              <w:t>2025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2024</w:t>
            </w:r>
          </w:p>
        </w:tc>
        <w:tc>
          <w:tcPr>
            <w:tcW w:w="0" w:type="dxa"/>
            <w:vAlign w:val="bottom"/>
          </w:tcPr>
          <w:p>
            <w:pPr>
              <w:spacing w:after="0"/>
              <w:rPr>
                <w:sz w:val="1"/>
                <w:szCs w:val="1"/>
                <w:color w:val="auto"/>
              </w:rPr>
            </w:pPr>
          </w:p>
        </w:tc>
      </w:tr>
      <w:tr>
        <w:trPr>
          <w:trHeight w:val="24"/>
        </w:trPr>
        <w:tc>
          <w:tcPr>
            <w:tcW w:w="5480" w:type="dxa"/>
            <w:vAlign w:val="bottom"/>
            <w:vMerge w:val="restart"/>
          </w:tcPr>
          <w:p>
            <w:pPr>
              <w:spacing w:after="0"/>
              <w:rPr>
                <w:sz w:val="20"/>
                <w:szCs w:val="20"/>
                <w:color w:val="auto"/>
              </w:rPr>
            </w:pPr>
            <w:r>
              <w:rPr>
                <w:rFonts w:ascii="Arial" w:cs="Arial" w:eastAsia="Arial" w:hAnsi="Arial"/>
                <w:sz w:val="18"/>
                <w:szCs w:val="18"/>
                <w:b w:val="1"/>
                <w:bCs w:val="1"/>
                <w:color w:val="231F20"/>
              </w:rPr>
              <w:t>Average daily net production</w:t>
            </w: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480" w:type="dxa"/>
            <w:vAlign w:val="bottom"/>
            <w:vMerge w:val="continue"/>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480" w:type="dxa"/>
            <w:vAlign w:val="bottom"/>
          </w:tcPr>
          <w:p>
            <w:pPr>
              <w:ind w:left="180"/>
              <w:spacing w:after="0"/>
              <w:rPr>
                <w:sz w:val="20"/>
                <w:szCs w:val="20"/>
                <w:color w:val="auto"/>
              </w:rPr>
            </w:pPr>
            <w:r>
              <w:rPr>
                <w:rFonts w:ascii="Arial" w:cs="Arial" w:eastAsia="Arial" w:hAnsi="Arial"/>
                <w:sz w:val="18"/>
                <w:szCs w:val="18"/>
                <w:color w:val="231F20"/>
                <w:w w:val="99"/>
              </w:rPr>
              <w:t>Oil (MBbl/d)  . . . . . . . . . . . . . . . . . . . .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231F20"/>
              </w:rPr>
              <w:t>32</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231F20"/>
              </w:rPr>
              <w:t>34</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231F20"/>
              </w:rPr>
              <w:t>14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231F20"/>
              </w:rPr>
              <w:t>14</w:t>
            </w:r>
          </w:p>
        </w:tc>
        <w:tc>
          <w:tcPr>
            <w:tcW w:w="0" w:type="dxa"/>
            <w:vAlign w:val="bottom"/>
          </w:tcPr>
          <w:p>
            <w:pPr>
              <w:spacing w:after="0"/>
              <w:rPr>
                <w:sz w:val="1"/>
                <w:szCs w:val="1"/>
                <w:color w:val="auto"/>
              </w:rPr>
            </w:pPr>
          </w:p>
        </w:tc>
      </w:tr>
      <w:tr>
        <w:trPr>
          <w:trHeight w:val="220"/>
        </w:trPr>
        <w:tc>
          <w:tcPr>
            <w:tcW w:w="5480" w:type="dxa"/>
            <w:vAlign w:val="bottom"/>
          </w:tcPr>
          <w:p>
            <w:pPr>
              <w:ind w:left="180"/>
              <w:spacing w:after="0"/>
              <w:rPr>
                <w:sz w:val="20"/>
                <w:szCs w:val="20"/>
                <w:color w:val="auto"/>
              </w:rPr>
            </w:pPr>
            <w:r>
              <w:rPr>
                <w:rFonts w:ascii="Arial" w:cs="Arial" w:eastAsia="Arial" w:hAnsi="Arial"/>
                <w:sz w:val="18"/>
                <w:szCs w:val="18"/>
                <w:color w:val="231F20"/>
                <w:w w:val="99"/>
              </w:rPr>
              <w:t>NGLs (MBbl/d) . . . . . . . . . . . . . . . . . .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231F20"/>
              </w:rPr>
              <w:t>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231F20"/>
              </w:rPr>
              <w:t>7</w:t>
            </w:r>
          </w:p>
        </w:tc>
        <w:tc>
          <w:tcPr>
            <w:tcW w:w="0" w:type="dxa"/>
            <w:vAlign w:val="bottom"/>
          </w:tcPr>
          <w:p>
            <w:pPr>
              <w:spacing w:after="0"/>
              <w:rPr>
                <w:sz w:val="1"/>
                <w:szCs w:val="1"/>
                <w:color w:val="auto"/>
              </w:rPr>
            </w:pPr>
          </w:p>
        </w:tc>
      </w:tr>
      <w:tr>
        <w:trPr>
          <w:trHeight w:val="220"/>
        </w:trPr>
        <w:tc>
          <w:tcPr>
            <w:tcW w:w="5480" w:type="dxa"/>
            <w:vAlign w:val="bottom"/>
          </w:tcPr>
          <w:p>
            <w:pPr>
              <w:ind w:left="180"/>
              <w:spacing w:after="0"/>
              <w:rPr>
                <w:sz w:val="20"/>
                <w:szCs w:val="20"/>
                <w:color w:val="auto"/>
              </w:rPr>
            </w:pPr>
            <w:r>
              <w:rPr>
                <w:rFonts w:ascii="Arial" w:cs="Arial" w:eastAsia="Arial" w:hAnsi="Arial"/>
                <w:sz w:val="18"/>
                <w:szCs w:val="18"/>
                <w:color w:val="231F20"/>
                <w:w w:val="99"/>
              </w:rPr>
              <w:t>Natural gas (MMcf/d) . . . . . . . . . . . . .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231F20"/>
              </w:rPr>
              <w:t>56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231F20"/>
              </w:rPr>
              <w:t>59</w:t>
            </w:r>
          </w:p>
        </w:tc>
        <w:tc>
          <w:tcPr>
            <w:tcW w:w="0" w:type="dxa"/>
            <w:vAlign w:val="bottom"/>
          </w:tcPr>
          <w:p>
            <w:pPr>
              <w:spacing w:after="0"/>
              <w:rPr>
                <w:sz w:val="1"/>
                <w:szCs w:val="1"/>
                <w:color w:val="auto"/>
              </w:rPr>
            </w:pPr>
          </w:p>
        </w:tc>
      </w:tr>
      <w:tr>
        <w:trPr>
          <w:trHeight w:val="34"/>
        </w:trPr>
        <w:tc>
          <w:tcPr>
            <w:tcW w:w="54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480" w:type="dxa"/>
            <w:vAlign w:val="bottom"/>
          </w:tcPr>
          <w:p>
            <w:pPr>
              <w:ind w:left="180"/>
              <w:spacing w:after="0"/>
              <w:rPr>
                <w:sz w:val="20"/>
                <w:szCs w:val="20"/>
                <w:color w:val="auto"/>
              </w:rPr>
            </w:pPr>
            <w:r>
              <w:rPr>
                <w:rFonts w:ascii="Arial" w:cs="Arial" w:eastAsia="Arial" w:hAnsi="Arial"/>
                <w:sz w:val="18"/>
                <w:szCs w:val="18"/>
                <w:color w:val="231F20"/>
              </w:rPr>
              <w:t>Total daily net production (MBoe/d) . . . . . . . . . . . . . . . . . . . . . . . .</w:t>
            </w:r>
          </w:p>
        </w:tc>
        <w:tc>
          <w:tcPr>
            <w:tcW w:w="760" w:type="dxa"/>
            <w:vAlign w:val="bottom"/>
          </w:tcPr>
          <w:p>
            <w:pPr>
              <w:jc w:val="right"/>
              <w:ind w:right="10"/>
              <w:spacing w:after="0"/>
              <w:rPr>
                <w:sz w:val="20"/>
                <w:szCs w:val="20"/>
                <w:color w:val="auto"/>
              </w:rPr>
            </w:pPr>
            <w:r>
              <w:rPr>
                <w:rFonts w:ascii="Arial" w:cs="Arial" w:eastAsia="Arial" w:hAnsi="Arial"/>
                <w:sz w:val="18"/>
                <w:szCs w:val="18"/>
                <w:color w:val="231F20"/>
              </w:rPr>
              <w:t>32</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231F20"/>
              </w:rPr>
              <w:t>34</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231F20"/>
              </w:rPr>
              <w:t>30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231F20"/>
              </w:rPr>
              <w:t>31</w:t>
            </w:r>
          </w:p>
        </w:tc>
        <w:tc>
          <w:tcPr>
            <w:tcW w:w="0" w:type="dxa"/>
            <w:vAlign w:val="bottom"/>
          </w:tcPr>
          <w:p>
            <w:pPr>
              <w:spacing w:after="0"/>
              <w:rPr>
                <w:sz w:val="1"/>
                <w:szCs w:val="1"/>
                <w:color w:val="auto"/>
              </w:rPr>
            </w:pPr>
          </w:p>
        </w:tc>
      </w:tr>
      <w:tr>
        <w:trPr>
          <w:trHeight w:val="34"/>
        </w:trPr>
        <w:tc>
          <w:tcPr>
            <w:tcW w:w="548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13</w:t>
      </w:r>
    </w:p>
    <w:p>
      <w:pPr>
        <w:sectPr>
          <w:pgSz w:w="11880" w:h="15480" w:orient="portrait"/>
          <w:cols w:equalWidth="0" w:num="1">
            <w:col w:w="9120"/>
          </w:cols>
          <w:pgMar w:left="1380" w:top="1310" w:right="1380" w:bottom="655" w:gutter="0" w:footer="0" w:header="0"/>
          <w:type w:val="continuous"/>
        </w:sectPr>
      </w:pPr>
    </w:p>
    <w:bookmarkStart w:id="17" w:name="page18"/>
    <w:bookmarkEnd w:id="17"/>
    <w:p>
      <w:pPr>
        <w:ind w:right="460" w:firstLine="300"/>
        <w:spacing w:after="0" w:line="243" w:lineRule="auto"/>
        <w:rPr>
          <w:sz w:val="20"/>
          <w:szCs w:val="20"/>
          <w:color w:val="auto"/>
        </w:rPr>
      </w:pPr>
      <w:r>
        <w:rPr>
          <w:rFonts w:ascii="Arial" w:cs="Arial" w:eastAsia="Arial" w:hAnsi="Arial"/>
          <w:sz w:val="20"/>
          <w:szCs w:val="20"/>
          <w:color w:val="231F20"/>
        </w:rPr>
        <w:t>Oil, natural gas and NGL production for our two largest fields for the year ended December 31, 2023 is presented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spacing w:after="0"/>
              <w:rPr>
                <w:sz w:val="21"/>
                <w:szCs w:val="21"/>
                <w:color w:val="auto"/>
              </w:rPr>
            </w:pPr>
          </w:p>
        </w:tc>
        <w:tc>
          <w:tcPr>
            <w:tcW w:w="1180" w:type="dxa"/>
            <w:vAlign w:val="bottom"/>
            <w:tcBorders>
              <w:bottom w:val="single" w:sz="8" w:color="231F20"/>
            </w:tcBorders>
          </w:tcPr>
          <w:p>
            <w:pPr>
              <w:jc w:val="right"/>
              <w:ind w:right="127"/>
              <w:spacing w:after="0"/>
              <w:rPr>
                <w:sz w:val="20"/>
                <w:szCs w:val="20"/>
                <w:color w:val="auto"/>
              </w:rPr>
            </w:pPr>
            <w:r>
              <w:rPr>
                <w:rFonts w:ascii="Arial" w:cs="Arial" w:eastAsia="Arial" w:hAnsi="Arial"/>
                <w:sz w:val="20"/>
                <w:szCs w:val="20"/>
                <w:b w:val="1"/>
                <w:bCs w:val="1"/>
                <w:color w:val="231F20"/>
              </w:rPr>
              <w:t>Elk Hills</w:t>
            </w:r>
          </w:p>
        </w:tc>
        <w:tc>
          <w:tcPr>
            <w:tcW w:w="200" w:type="dxa"/>
            <w:vAlign w:val="bottom"/>
          </w:tcPr>
          <w:p>
            <w:pPr>
              <w:spacing w:after="0"/>
              <w:rPr>
                <w:sz w:val="21"/>
                <w:szCs w:val="21"/>
                <w:color w:val="auto"/>
              </w:rPr>
            </w:pPr>
          </w:p>
        </w:tc>
        <w:tc>
          <w:tcPr>
            <w:tcW w:w="1480" w:type="dxa"/>
            <w:vAlign w:val="bottom"/>
            <w:tcBorders>
              <w:bottom w:val="single" w:sz="8" w:color="231F20"/>
            </w:tcBorders>
          </w:tcPr>
          <w:p>
            <w:pPr>
              <w:jc w:val="right"/>
              <w:ind w:right="107"/>
              <w:spacing w:after="0"/>
              <w:rPr>
                <w:sz w:val="20"/>
                <w:szCs w:val="20"/>
                <w:color w:val="auto"/>
              </w:rPr>
            </w:pPr>
            <w:r>
              <w:rPr>
                <w:rFonts w:ascii="Arial" w:cs="Arial" w:eastAsia="Arial" w:hAnsi="Arial"/>
                <w:sz w:val="20"/>
                <w:szCs w:val="20"/>
                <w:b w:val="1"/>
                <w:bCs w:val="1"/>
                <w:color w:val="231F20"/>
              </w:rPr>
              <w:t>Wilmington</w:t>
            </w:r>
          </w:p>
        </w:tc>
      </w:tr>
      <w:tr>
        <w:trPr>
          <w:trHeight w:val="260"/>
        </w:trPr>
        <w:tc>
          <w:tcPr>
            <w:tcW w:w="6260" w:type="dxa"/>
            <w:vAlign w:val="bottom"/>
          </w:tcPr>
          <w:p>
            <w:pPr>
              <w:spacing w:after="0"/>
              <w:rPr>
                <w:sz w:val="22"/>
                <w:szCs w:val="22"/>
                <w:color w:val="auto"/>
              </w:rPr>
            </w:pPr>
          </w:p>
        </w:tc>
        <w:tc>
          <w:tcPr>
            <w:tcW w:w="1180" w:type="dxa"/>
            <w:vAlign w:val="bottom"/>
          </w:tcPr>
          <w:p>
            <w:pPr>
              <w:jc w:val="right"/>
              <w:ind w:right="287"/>
              <w:spacing w:after="0"/>
              <w:rPr>
                <w:sz w:val="20"/>
                <w:szCs w:val="20"/>
                <w:color w:val="auto"/>
              </w:rPr>
            </w:pPr>
            <w:r>
              <w:rPr>
                <w:rFonts w:ascii="Arial" w:cs="Arial" w:eastAsia="Arial" w:hAnsi="Arial"/>
                <w:sz w:val="20"/>
                <w:szCs w:val="20"/>
                <w:b w:val="1"/>
                <w:bCs w:val="1"/>
                <w:color w:val="231F20"/>
              </w:rPr>
              <w:t>2023</w:t>
            </w:r>
          </w:p>
        </w:tc>
        <w:tc>
          <w:tcPr>
            <w:tcW w:w="1680" w:type="dxa"/>
            <w:vAlign w:val="bottom"/>
            <w:gridSpan w:val="2"/>
          </w:tcPr>
          <w:p>
            <w:pPr>
              <w:jc w:val="right"/>
              <w:ind w:right="427"/>
              <w:spacing w:after="0"/>
              <w:rPr>
                <w:sz w:val="20"/>
                <w:szCs w:val="20"/>
                <w:color w:val="auto"/>
              </w:rPr>
            </w:pPr>
            <w:r>
              <w:rPr>
                <w:rFonts w:ascii="Arial" w:cs="Arial" w:eastAsia="Arial" w:hAnsi="Arial"/>
                <w:sz w:val="20"/>
                <w:szCs w:val="20"/>
                <w:b w:val="1"/>
                <w:bCs w:val="1"/>
                <w:color w:val="231F20"/>
              </w:rPr>
              <w:t>2023</w:t>
            </w:r>
          </w:p>
        </w:tc>
      </w:tr>
      <w:tr>
        <w:trPr>
          <w:trHeight w:val="256"/>
        </w:trPr>
        <w:tc>
          <w:tcPr>
            <w:tcW w:w="6260" w:type="dxa"/>
            <w:vAlign w:val="bottom"/>
          </w:tcPr>
          <w:p>
            <w:pPr>
              <w:spacing w:after="0"/>
              <w:rPr>
                <w:sz w:val="20"/>
                <w:szCs w:val="20"/>
                <w:color w:val="auto"/>
              </w:rPr>
            </w:pPr>
            <w:r>
              <w:rPr>
                <w:rFonts w:ascii="Arial" w:cs="Arial" w:eastAsia="Arial" w:hAnsi="Arial"/>
                <w:sz w:val="18"/>
                <w:szCs w:val="18"/>
                <w:b w:val="1"/>
                <w:bCs w:val="1"/>
                <w:color w:val="231F20"/>
              </w:rPr>
              <w:t>Average daily net production</w:t>
            </w:r>
          </w:p>
        </w:tc>
        <w:tc>
          <w:tcPr>
            <w:tcW w:w="1180" w:type="dxa"/>
            <w:vAlign w:val="bottom"/>
            <w:tcBorders>
              <w:top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Borders>
              <w:top w:val="single" w:sz="8" w:color="231F20"/>
            </w:tcBorders>
          </w:tcPr>
          <w:p>
            <w:pPr>
              <w:spacing w:after="0"/>
              <w:rPr>
                <w:sz w:val="22"/>
                <w:szCs w:val="22"/>
                <w:color w:val="auto"/>
              </w:rPr>
            </w:pPr>
          </w:p>
        </w:tc>
      </w:tr>
      <w:tr>
        <w:trPr>
          <w:trHeight w:val="220"/>
        </w:trPr>
        <w:tc>
          <w:tcPr>
            <w:tcW w:w="6260" w:type="dxa"/>
            <w:vAlign w:val="bottom"/>
          </w:tcPr>
          <w:p>
            <w:pPr>
              <w:ind w:left="360"/>
              <w:spacing w:after="0"/>
              <w:rPr>
                <w:sz w:val="20"/>
                <w:szCs w:val="20"/>
                <w:color w:val="auto"/>
              </w:rPr>
            </w:pPr>
            <w:r>
              <w:rPr>
                <w:rFonts w:ascii="Arial" w:cs="Arial" w:eastAsia="Arial" w:hAnsi="Arial"/>
                <w:sz w:val="18"/>
                <w:szCs w:val="18"/>
                <w:color w:val="231F20"/>
                <w:w w:val="99"/>
              </w:rPr>
              <w:t>Oil (MBbl/d)  . . . . . . . . . . . . . . . . . . . . . . . . . . . . . . . . . . . . . . . . . . . . . . . . .</w:t>
            </w:r>
          </w:p>
        </w:tc>
        <w:tc>
          <w:tcPr>
            <w:tcW w:w="1180" w:type="dxa"/>
            <w:vAlign w:val="bottom"/>
          </w:tcPr>
          <w:p>
            <w:pPr>
              <w:jc w:val="right"/>
              <w:ind w:right="227"/>
              <w:spacing w:after="0"/>
              <w:rPr>
                <w:sz w:val="20"/>
                <w:szCs w:val="20"/>
                <w:color w:val="auto"/>
              </w:rPr>
            </w:pPr>
            <w:r>
              <w:rPr>
                <w:rFonts w:ascii="Arial" w:cs="Arial" w:eastAsia="Arial" w:hAnsi="Arial"/>
                <w:sz w:val="18"/>
                <w:szCs w:val="18"/>
                <w:color w:val="231F20"/>
              </w:rPr>
              <w:t>16</w:t>
            </w:r>
          </w:p>
        </w:tc>
        <w:tc>
          <w:tcPr>
            <w:tcW w:w="1680" w:type="dxa"/>
            <w:vAlign w:val="bottom"/>
            <w:gridSpan w:val="2"/>
          </w:tcPr>
          <w:p>
            <w:pPr>
              <w:jc w:val="right"/>
              <w:ind w:right="367"/>
              <w:spacing w:after="0"/>
              <w:rPr>
                <w:sz w:val="20"/>
                <w:szCs w:val="20"/>
                <w:color w:val="auto"/>
              </w:rPr>
            </w:pPr>
            <w:r>
              <w:rPr>
                <w:rFonts w:ascii="Arial" w:cs="Arial" w:eastAsia="Arial" w:hAnsi="Arial"/>
                <w:sz w:val="18"/>
                <w:szCs w:val="18"/>
                <w:color w:val="231F20"/>
              </w:rPr>
              <w:t>16</w:t>
            </w:r>
          </w:p>
        </w:tc>
      </w:tr>
      <w:tr>
        <w:trPr>
          <w:trHeight w:val="220"/>
        </w:trPr>
        <w:tc>
          <w:tcPr>
            <w:tcW w:w="6260" w:type="dxa"/>
            <w:vAlign w:val="bottom"/>
          </w:tcPr>
          <w:p>
            <w:pPr>
              <w:ind w:left="360"/>
              <w:spacing w:after="0"/>
              <w:rPr>
                <w:sz w:val="20"/>
                <w:szCs w:val="20"/>
                <w:color w:val="auto"/>
              </w:rPr>
            </w:pPr>
            <w:r>
              <w:rPr>
                <w:rFonts w:ascii="Arial" w:cs="Arial" w:eastAsia="Arial" w:hAnsi="Arial"/>
                <w:sz w:val="18"/>
                <w:szCs w:val="18"/>
                <w:color w:val="231F20"/>
                <w:w w:val="99"/>
              </w:rPr>
              <w:t>NGLs (MBbl/d) . . . . . . . . . . . . . . . . . . . . . . . . . . . . . . . . . . . . . . . . . . . . . . .</w:t>
            </w:r>
          </w:p>
        </w:tc>
        <w:tc>
          <w:tcPr>
            <w:tcW w:w="1180" w:type="dxa"/>
            <w:vAlign w:val="bottom"/>
          </w:tcPr>
          <w:p>
            <w:pPr>
              <w:jc w:val="right"/>
              <w:ind w:right="227"/>
              <w:spacing w:after="0"/>
              <w:rPr>
                <w:sz w:val="20"/>
                <w:szCs w:val="20"/>
                <w:color w:val="auto"/>
              </w:rPr>
            </w:pPr>
            <w:r>
              <w:rPr>
                <w:rFonts w:ascii="Arial" w:cs="Arial" w:eastAsia="Arial" w:hAnsi="Arial"/>
                <w:sz w:val="18"/>
                <w:szCs w:val="18"/>
                <w:color w:val="231F20"/>
              </w:rPr>
              <w:t>8</w:t>
            </w:r>
          </w:p>
        </w:tc>
        <w:tc>
          <w:tcPr>
            <w:tcW w:w="200" w:type="dxa"/>
            <w:vAlign w:val="bottom"/>
          </w:tcPr>
          <w:p>
            <w:pPr>
              <w:spacing w:after="0"/>
              <w:rPr>
                <w:sz w:val="19"/>
                <w:szCs w:val="19"/>
                <w:color w:val="auto"/>
              </w:rPr>
            </w:pPr>
          </w:p>
        </w:tc>
        <w:tc>
          <w:tcPr>
            <w:tcW w:w="1480" w:type="dxa"/>
            <w:vAlign w:val="bottom"/>
          </w:tcPr>
          <w:p>
            <w:pPr>
              <w:jc w:val="right"/>
              <w:ind w:right="367"/>
              <w:spacing w:after="0"/>
              <w:rPr>
                <w:sz w:val="20"/>
                <w:szCs w:val="20"/>
                <w:color w:val="auto"/>
              </w:rPr>
            </w:pPr>
            <w:r>
              <w:rPr>
                <w:rFonts w:ascii="Arial" w:cs="Arial" w:eastAsia="Arial" w:hAnsi="Arial"/>
                <w:sz w:val="18"/>
                <w:szCs w:val="18"/>
                <w:color w:val="231F20"/>
              </w:rPr>
              <w:t>—</w:t>
            </w:r>
          </w:p>
        </w:tc>
      </w:tr>
      <w:tr>
        <w:trPr>
          <w:trHeight w:val="220"/>
        </w:trPr>
        <w:tc>
          <w:tcPr>
            <w:tcW w:w="6260" w:type="dxa"/>
            <w:vAlign w:val="bottom"/>
          </w:tcPr>
          <w:p>
            <w:pPr>
              <w:ind w:left="360"/>
              <w:spacing w:after="0"/>
              <w:rPr>
                <w:sz w:val="20"/>
                <w:szCs w:val="20"/>
                <w:color w:val="auto"/>
              </w:rPr>
            </w:pPr>
            <w:r>
              <w:rPr>
                <w:rFonts w:ascii="Arial" w:cs="Arial" w:eastAsia="Arial" w:hAnsi="Arial"/>
                <w:sz w:val="18"/>
                <w:szCs w:val="18"/>
                <w:color w:val="231F20"/>
                <w:w w:val="99"/>
              </w:rPr>
              <w:t>Natural gas (MMcf/d) . . . . . . . . . . . . . . . . . . . . . . . . . . . . . . . . . . . . . . . . . .</w:t>
            </w:r>
          </w:p>
        </w:tc>
        <w:tc>
          <w:tcPr>
            <w:tcW w:w="1180" w:type="dxa"/>
            <w:vAlign w:val="bottom"/>
          </w:tcPr>
          <w:p>
            <w:pPr>
              <w:jc w:val="right"/>
              <w:ind w:right="227"/>
              <w:spacing w:after="0"/>
              <w:rPr>
                <w:sz w:val="20"/>
                <w:szCs w:val="20"/>
                <w:color w:val="auto"/>
              </w:rPr>
            </w:pPr>
            <w:r>
              <w:rPr>
                <w:rFonts w:ascii="Arial" w:cs="Arial" w:eastAsia="Arial" w:hAnsi="Arial"/>
                <w:sz w:val="18"/>
                <w:szCs w:val="18"/>
                <w:color w:val="231F20"/>
              </w:rPr>
              <w:t>68</w:t>
            </w:r>
          </w:p>
        </w:tc>
        <w:tc>
          <w:tcPr>
            <w:tcW w:w="200" w:type="dxa"/>
            <w:vAlign w:val="bottom"/>
          </w:tcPr>
          <w:p>
            <w:pPr>
              <w:spacing w:after="0"/>
              <w:rPr>
                <w:sz w:val="19"/>
                <w:szCs w:val="19"/>
                <w:color w:val="auto"/>
              </w:rPr>
            </w:pPr>
          </w:p>
        </w:tc>
        <w:tc>
          <w:tcPr>
            <w:tcW w:w="1480" w:type="dxa"/>
            <w:vAlign w:val="bottom"/>
          </w:tcPr>
          <w:p>
            <w:pPr>
              <w:jc w:val="right"/>
              <w:ind w:right="367"/>
              <w:spacing w:after="0"/>
              <w:rPr>
                <w:sz w:val="20"/>
                <w:szCs w:val="20"/>
                <w:color w:val="auto"/>
              </w:rPr>
            </w:pPr>
            <w:r>
              <w:rPr>
                <w:rFonts w:ascii="Arial" w:cs="Arial" w:eastAsia="Arial" w:hAnsi="Arial"/>
                <w:sz w:val="18"/>
                <w:szCs w:val="18"/>
                <w:color w:val="231F20"/>
              </w:rPr>
              <w:t>—</w:t>
            </w:r>
          </w:p>
        </w:tc>
      </w:tr>
      <w:tr>
        <w:trPr>
          <w:trHeight w:val="34"/>
        </w:trPr>
        <w:tc>
          <w:tcPr>
            <w:tcW w:w="6260" w:type="dxa"/>
            <w:vAlign w:val="bottom"/>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231F20"/>
            </w:tcBorders>
          </w:tcPr>
          <w:p>
            <w:pPr>
              <w:spacing w:after="0"/>
              <w:rPr>
                <w:sz w:val="2"/>
                <w:szCs w:val="2"/>
                <w:color w:val="auto"/>
              </w:rPr>
            </w:pPr>
          </w:p>
        </w:tc>
      </w:tr>
      <w:tr>
        <w:trPr>
          <w:trHeight w:val="246"/>
        </w:trPr>
        <w:tc>
          <w:tcPr>
            <w:tcW w:w="6260" w:type="dxa"/>
            <w:vAlign w:val="bottom"/>
          </w:tcPr>
          <w:p>
            <w:pPr>
              <w:ind w:left="360"/>
              <w:spacing w:after="0"/>
              <w:rPr>
                <w:sz w:val="20"/>
                <w:szCs w:val="20"/>
                <w:color w:val="auto"/>
              </w:rPr>
            </w:pPr>
            <w:r>
              <w:rPr>
                <w:rFonts w:ascii="Arial" w:cs="Arial" w:eastAsia="Arial" w:hAnsi="Arial"/>
                <w:sz w:val="18"/>
                <w:szCs w:val="18"/>
                <w:color w:val="231F20"/>
              </w:rPr>
              <w:t>Total daily net production (MBoe/d) . . . . . . . . . . . . . . . . . . . . . . . . . . . . . .</w:t>
            </w:r>
          </w:p>
        </w:tc>
        <w:tc>
          <w:tcPr>
            <w:tcW w:w="1180" w:type="dxa"/>
            <w:vAlign w:val="bottom"/>
          </w:tcPr>
          <w:p>
            <w:pPr>
              <w:jc w:val="right"/>
              <w:ind w:right="227"/>
              <w:spacing w:after="0"/>
              <w:rPr>
                <w:sz w:val="20"/>
                <w:szCs w:val="20"/>
                <w:color w:val="auto"/>
              </w:rPr>
            </w:pPr>
            <w:r>
              <w:rPr>
                <w:rFonts w:ascii="Arial" w:cs="Arial" w:eastAsia="Arial" w:hAnsi="Arial"/>
                <w:sz w:val="18"/>
                <w:szCs w:val="18"/>
                <w:color w:val="231F20"/>
              </w:rPr>
              <w:t>35</w:t>
            </w:r>
          </w:p>
        </w:tc>
        <w:tc>
          <w:tcPr>
            <w:tcW w:w="1680" w:type="dxa"/>
            <w:vAlign w:val="bottom"/>
            <w:gridSpan w:val="2"/>
          </w:tcPr>
          <w:p>
            <w:pPr>
              <w:jc w:val="right"/>
              <w:ind w:right="367"/>
              <w:spacing w:after="0"/>
              <w:rPr>
                <w:sz w:val="20"/>
                <w:szCs w:val="20"/>
                <w:color w:val="auto"/>
              </w:rPr>
            </w:pPr>
            <w:r>
              <w:rPr>
                <w:rFonts w:ascii="Arial" w:cs="Arial" w:eastAsia="Arial" w:hAnsi="Arial"/>
                <w:sz w:val="18"/>
                <w:szCs w:val="18"/>
                <w:color w:val="231F20"/>
              </w:rPr>
              <w:t>16</w:t>
            </w:r>
          </w:p>
        </w:tc>
      </w:tr>
      <w:tr>
        <w:trPr>
          <w:trHeight w:val="34"/>
        </w:trPr>
        <w:tc>
          <w:tcPr>
            <w:tcW w:w="6260" w:type="dxa"/>
            <w:vAlign w:val="bottom"/>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231F20"/>
            </w:tcBorders>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r>
    </w:tbl>
    <w:p>
      <w:pPr>
        <w:spacing w:after="0" w:line="292"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231F20"/>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We can quickly scale our operating costs in response to prevailing market conditions. We believe that a significant portion of our operating costs is variable over the lifecycle of our fields.</w:t>
      </w:r>
    </w:p>
    <w:p>
      <w:pPr>
        <w:spacing w:after="0" w:line="242"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In line with industry practice for reporting PSCs, we report 100% of operating costs under such contracts in operating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following table presents our operating costs after adjustment for excess costs attributable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PSCs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3180" w:type="dxa"/>
            <w:vAlign w:val="bottom"/>
            <w:tcBorders>
              <w:bottom w:val="single" w:sz="8" w:color="231F20"/>
            </w:tcBorders>
            <w:gridSpan w:val="13"/>
          </w:tcPr>
          <w:p>
            <w:pPr>
              <w:jc w:val="right"/>
              <w:ind w:right="200"/>
              <w:spacing w:after="0"/>
              <w:rPr>
                <w:sz w:val="20"/>
                <w:szCs w:val="20"/>
                <w:color w:val="auto"/>
              </w:rPr>
            </w:pPr>
            <w:r>
              <w:rPr>
                <w:rFonts w:ascii="Arial" w:cs="Arial" w:eastAsia="Arial" w:hAnsi="Arial"/>
                <w:sz w:val="20"/>
                <w:szCs w:val="20"/>
                <w:b w:val="1"/>
                <w:bCs w:val="1"/>
                <w:color w:val="231F20"/>
              </w:rPr>
              <w:t>Year ended December 31,</w:t>
            </w:r>
          </w:p>
        </w:tc>
        <w:tc>
          <w:tcPr>
            <w:tcW w:w="50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060" w:type="dxa"/>
            <w:vAlign w:val="bottom"/>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gridSpan w:val="3"/>
          </w:tcPr>
          <w:p>
            <w:pPr>
              <w:jc w:val="right"/>
              <w:ind w:right="13"/>
              <w:spacing w:after="0"/>
              <w:rPr>
                <w:sz w:val="20"/>
                <w:szCs w:val="20"/>
                <w:color w:val="auto"/>
              </w:rPr>
            </w:pPr>
            <w:r>
              <w:rPr>
                <w:rFonts w:ascii="Arial" w:cs="Arial" w:eastAsia="Arial" w:hAnsi="Arial"/>
                <w:sz w:val="20"/>
                <w:szCs w:val="20"/>
                <w:b w:val="1"/>
                <w:bCs w:val="1"/>
                <w:color w:val="231F20"/>
              </w:rPr>
              <w:t>2025</w:t>
            </w:r>
          </w:p>
        </w:tc>
        <w:tc>
          <w:tcPr>
            <w:tcW w:w="620" w:type="dxa"/>
            <w:vAlign w:val="bottom"/>
            <w:tcBorders>
              <w:bottom w:val="single" w:sz="8" w:color="231F20"/>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gridSpan w:val="3"/>
          </w:tcPr>
          <w:p>
            <w:pPr>
              <w:jc w:val="right"/>
              <w:ind w:right="33"/>
              <w:spacing w:after="0"/>
              <w:rPr>
                <w:sz w:val="20"/>
                <w:szCs w:val="20"/>
                <w:color w:val="auto"/>
              </w:rPr>
            </w:pPr>
            <w:r>
              <w:rPr>
                <w:rFonts w:ascii="Arial" w:cs="Arial" w:eastAsia="Arial" w:hAnsi="Arial"/>
                <w:sz w:val="20"/>
                <w:szCs w:val="20"/>
                <w:b w:val="1"/>
                <w:bCs w:val="1"/>
                <w:color w:val="231F20"/>
              </w:rPr>
              <w:t>2024</w:t>
            </w:r>
          </w:p>
        </w:tc>
        <w:tc>
          <w:tcPr>
            <w:tcW w:w="620" w:type="dxa"/>
            <w:vAlign w:val="bottom"/>
            <w:tcBorders>
              <w:bottom w:val="single" w:sz="8" w:color="231F20"/>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gridSpan w:val="3"/>
          </w:tcPr>
          <w:p>
            <w:pPr>
              <w:jc w:val="right"/>
              <w:ind w:right="13"/>
              <w:spacing w:after="0"/>
              <w:rPr>
                <w:sz w:val="20"/>
                <w:szCs w:val="20"/>
                <w:color w:val="auto"/>
              </w:rPr>
            </w:pPr>
            <w:r>
              <w:rPr>
                <w:rFonts w:ascii="Arial" w:cs="Arial" w:eastAsia="Arial" w:hAnsi="Arial"/>
                <w:sz w:val="20"/>
                <w:szCs w:val="20"/>
                <w:b w:val="1"/>
                <w:bCs w:val="1"/>
                <w:color w:val="231F20"/>
              </w:rPr>
              <w:t>2023</w:t>
            </w:r>
          </w:p>
        </w:tc>
        <w:tc>
          <w:tcPr>
            <w:tcW w:w="62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231F20"/>
              </w:rPr>
              <w:t>(in millions)</w:t>
            </w: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231F20"/>
              </w:rPr>
              <w:t>($ per Boe)</w:t>
            </w:r>
          </w:p>
        </w:tc>
        <w:tc>
          <w:tcPr>
            <w:tcW w:w="1120" w:type="dxa"/>
            <w:vAlign w:val="bottom"/>
            <w:gridSpan w:val="5"/>
          </w:tcPr>
          <w:p>
            <w:pPr>
              <w:ind w:left="100"/>
              <w:spacing w:after="0"/>
              <w:rPr>
                <w:sz w:val="20"/>
                <w:szCs w:val="20"/>
                <w:color w:val="auto"/>
              </w:rPr>
            </w:pPr>
            <w:r>
              <w:rPr>
                <w:rFonts w:ascii="Arial" w:cs="Arial" w:eastAsia="Arial" w:hAnsi="Arial"/>
                <w:sz w:val="16"/>
                <w:szCs w:val="16"/>
                <w:color w:val="231F20"/>
              </w:rPr>
              <w:t>(in millions)</w:t>
            </w:r>
          </w:p>
        </w:tc>
        <w:tc>
          <w:tcPr>
            <w:tcW w:w="980" w:type="dxa"/>
            <w:vAlign w:val="bottom"/>
            <w:gridSpan w:val="3"/>
          </w:tcPr>
          <w:p>
            <w:pPr>
              <w:ind w:left="40"/>
              <w:spacing w:after="0"/>
              <w:rPr>
                <w:sz w:val="20"/>
                <w:szCs w:val="20"/>
                <w:color w:val="auto"/>
              </w:rPr>
            </w:pPr>
            <w:r>
              <w:rPr>
                <w:rFonts w:ascii="Arial" w:cs="Arial" w:eastAsia="Arial" w:hAnsi="Arial"/>
                <w:sz w:val="16"/>
                <w:szCs w:val="16"/>
                <w:color w:val="231F20"/>
              </w:rPr>
              <w:t>($ per Boe)</w:t>
            </w:r>
          </w:p>
        </w:tc>
        <w:tc>
          <w:tcPr>
            <w:tcW w:w="1100" w:type="dxa"/>
            <w:vAlign w:val="bottom"/>
            <w:gridSpan w:val="5"/>
          </w:tcPr>
          <w:p>
            <w:pPr>
              <w:ind w:left="100"/>
              <w:spacing w:after="0"/>
              <w:rPr>
                <w:sz w:val="20"/>
                <w:szCs w:val="20"/>
                <w:color w:val="auto"/>
              </w:rPr>
            </w:pPr>
            <w:r>
              <w:rPr>
                <w:rFonts w:ascii="Arial" w:cs="Arial" w:eastAsia="Arial" w:hAnsi="Arial"/>
                <w:sz w:val="16"/>
                <w:szCs w:val="16"/>
                <w:color w:val="231F20"/>
              </w:rPr>
              <w:t>(in millions)</w:t>
            </w:r>
          </w:p>
        </w:tc>
        <w:tc>
          <w:tcPr>
            <w:tcW w:w="880" w:type="dxa"/>
            <w:vAlign w:val="bottom"/>
            <w:gridSpan w:val="2"/>
          </w:tcPr>
          <w:p>
            <w:pPr>
              <w:jc w:val="right"/>
              <w:spacing w:after="0"/>
              <w:rPr>
                <w:sz w:val="20"/>
                <w:szCs w:val="20"/>
                <w:color w:val="auto"/>
              </w:rPr>
            </w:pPr>
            <w:r>
              <w:rPr>
                <w:rFonts w:ascii="Arial" w:cs="Arial" w:eastAsia="Arial" w:hAnsi="Arial"/>
                <w:sz w:val="16"/>
                <w:szCs w:val="16"/>
                <w:color w:val="231F20"/>
              </w:rPr>
              <w:t>($ per Boe)</w:t>
            </w:r>
          </w:p>
        </w:tc>
        <w:tc>
          <w:tcPr>
            <w:tcW w:w="0" w:type="dxa"/>
            <w:vAlign w:val="bottom"/>
          </w:tcPr>
          <w:p>
            <w:pPr>
              <w:spacing w:after="0"/>
              <w:rPr>
                <w:sz w:val="1"/>
                <w:szCs w:val="1"/>
                <w:color w:val="auto"/>
              </w:rPr>
            </w:pP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231F20"/>
              </w:rPr>
              <w:t>Operating costs  . . . . . . . . . . . . . . . .</w:t>
            </w:r>
          </w:p>
        </w:tc>
        <w:tc>
          <w:tcPr>
            <w:tcW w:w="200" w:type="dxa"/>
            <w:vAlign w:val="bottom"/>
          </w:tcPr>
          <w:p>
            <w:pPr>
              <w:spacing w:after="0"/>
              <w:rPr>
                <w:sz w:val="20"/>
                <w:szCs w:val="20"/>
                <w:color w:val="auto"/>
              </w:rPr>
            </w:pPr>
            <w:r>
              <w:rPr>
                <w:rFonts w:ascii="Arial" w:cs="Arial" w:eastAsia="Arial" w:hAnsi="Arial"/>
                <w:sz w:val="18"/>
                <w:szCs w:val="18"/>
                <w:color w:val="231F20"/>
              </w:rPr>
              <w:t>$</w:t>
            </w:r>
          </w:p>
        </w:tc>
        <w:tc>
          <w:tcPr>
            <w:tcW w:w="580" w:type="dxa"/>
            <w:vAlign w:val="bottom"/>
          </w:tcPr>
          <w:p>
            <w:pPr>
              <w:jc w:val="right"/>
              <w:spacing w:after="0"/>
              <w:rPr>
                <w:sz w:val="20"/>
                <w:szCs w:val="20"/>
                <w:color w:val="auto"/>
              </w:rPr>
            </w:pPr>
            <w:r>
              <w:rPr>
                <w:rFonts w:ascii="Arial" w:cs="Arial" w:eastAsia="Arial" w:hAnsi="Arial"/>
                <w:sz w:val="18"/>
                <w:szCs w:val="18"/>
                <w:color w:val="231F20"/>
              </w:rPr>
              <w:t>1,280</w:t>
            </w:r>
          </w:p>
        </w:tc>
        <w:tc>
          <w:tcPr>
            <w:tcW w:w="2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231F20"/>
                <w:w w:val="79"/>
              </w:rPr>
              <w:t>$</w:t>
            </w:r>
          </w:p>
        </w:tc>
        <w:tc>
          <w:tcPr>
            <w:tcW w:w="620" w:type="dxa"/>
            <w:vAlign w:val="bottom"/>
          </w:tcPr>
          <w:p>
            <w:pPr>
              <w:jc w:val="right"/>
              <w:spacing w:after="0"/>
              <w:rPr>
                <w:sz w:val="20"/>
                <w:szCs w:val="20"/>
                <w:color w:val="auto"/>
              </w:rPr>
            </w:pPr>
            <w:r>
              <w:rPr>
                <w:rFonts w:ascii="Arial" w:cs="Arial" w:eastAsia="Arial" w:hAnsi="Arial"/>
                <w:sz w:val="18"/>
                <w:szCs w:val="18"/>
                <w:color w:val="231F20"/>
              </w:rPr>
              <w:t>25.42</w:t>
            </w:r>
          </w:p>
        </w:tc>
        <w:tc>
          <w:tcPr>
            <w:tcW w:w="100" w:type="dxa"/>
            <w:vAlign w:val="bottom"/>
          </w:tcPr>
          <w:p>
            <w:pPr>
              <w:spacing w:after="0"/>
              <w:rPr>
                <w:sz w:val="19"/>
                <w:szCs w:val="19"/>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231F20"/>
              </w:rPr>
              <w:t>$</w:t>
            </w:r>
          </w:p>
        </w:tc>
        <w:tc>
          <w:tcPr>
            <w:tcW w:w="500" w:type="dxa"/>
            <w:vAlign w:val="bottom"/>
          </w:tcPr>
          <w:p>
            <w:pPr>
              <w:jc w:val="right"/>
              <w:spacing w:after="0"/>
              <w:rPr>
                <w:sz w:val="20"/>
                <w:szCs w:val="20"/>
                <w:color w:val="auto"/>
              </w:rPr>
            </w:pPr>
            <w:r>
              <w:rPr>
                <w:rFonts w:ascii="Arial" w:cs="Arial" w:eastAsia="Arial" w:hAnsi="Arial"/>
                <w:sz w:val="18"/>
                <w:szCs w:val="18"/>
                <w:color w:val="231F20"/>
              </w:rPr>
              <w:t>983</w:t>
            </w:r>
          </w:p>
        </w:tc>
        <w:tc>
          <w:tcPr>
            <w:tcW w:w="2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231F20"/>
                <w:w w:val="79"/>
              </w:rPr>
              <w:t>$</w:t>
            </w:r>
          </w:p>
        </w:tc>
        <w:tc>
          <w:tcPr>
            <w:tcW w:w="620" w:type="dxa"/>
            <w:vAlign w:val="bottom"/>
          </w:tcPr>
          <w:p>
            <w:pPr>
              <w:jc w:val="right"/>
              <w:spacing w:after="0"/>
              <w:rPr>
                <w:sz w:val="20"/>
                <w:szCs w:val="20"/>
                <w:color w:val="auto"/>
              </w:rPr>
            </w:pPr>
            <w:r>
              <w:rPr>
                <w:rFonts w:ascii="Arial" w:cs="Arial" w:eastAsia="Arial" w:hAnsi="Arial"/>
                <w:sz w:val="18"/>
                <w:szCs w:val="18"/>
                <w:color w:val="231F20"/>
              </w:rPr>
              <w:t>24.51</w:t>
            </w:r>
          </w:p>
        </w:tc>
        <w:tc>
          <w:tcPr>
            <w:tcW w:w="100" w:type="dxa"/>
            <w:vAlign w:val="bottom"/>
          </w:tcPr>
          <w:p>
            <w:pPr>
              <w:spacing w:after="0"/>
              <w:rPr>
                <w:sz w:val="19"/>
                <w:szCs w:val="19"/>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231F20"/>
              </w:rPr>
              <w:t>$</w:t>
            </w:r>
          </w:p>
        </w:tc>
        <w:tc>
          <w:tcPr>
            <w:tcW w:w="500" w:type="dxa"/>
            <w:vAlign w:val="bottom"/>
          </w:tcPr>
          <w:p>
            <w:pPr>
              <w:jc w:val="right"/>
              <w:spacing w:after="0"/>
              <w:rPr>
                <w:sz w:val="20"/>
                <w:szCs w:val="20"/>
                <w:color w:val="auto"/>
              </w:rPr>
            </w:pPr>
            <w:r>
              <w:rPr>
                <w:rFonts w:ascii="Arial" w:cs="Arial" w:eastAsia="Arial" w:hAnsi="Arial"/>
                <w:sz w:val="18"/>
                <w:szCs w:val="18"/>
                <w:color w:val="231F20"/>
              </w:rPr>
              <w:t>822</w:t>
            </w:r>
          </w:p>
        </w:tc>
        <w:tc>
          <w:tcPr>
            <w:tcW w:w="2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231F20"/>
                <w:w w:val="79"/>
              </w:rPr>
              <w:t>$</w:t>
            </w:r>
          </w:p>
        </w:tc>
        <w:tc>
          <w:tcPr>
            <w:tcW w:w="620" w:type="dxa"/>
            <w:vAlign w:val="bottom"/>
          </w:tcPr>
          <w:p>
            <w:pPr>
              <w:jc w:val="right"/>
              <w:spacing w:after="0"/>
              <w:rPr>
                <w:sz w:val="20"/>
                <w:szCs w:val="20"/>
                <w:color w:val="auto"/>
              </w:rPr>
            </w:pPr>
            <w:r>
              <w:rPr>
                <w:rFonts w:ascii="Arial" w:cs="Arial" w:eastAsia="Arial" w:hAnsi="Arial"/>
                <w:sz w:val="18"/>
                <w:szCs w:val="18"/>
                <w:color w:val="231F20"/>
              </w:rPr>
              <w:t>26.24</w:t>
            </w:r>
          </w:p>
        </w:tc>
        <w:tc>
          <w:tcPr>
            <w:tcW w:w="0" w:type="dxa"/>
            <w:vAlign w:val="bottom"/>
          </w:tcPr>
          <w:p>
            <w:pPr>
              <w:spacing w:after="0"/>
              <w:rPr>
                <w:sz w:val="1"/>
                <w:szCs w:val="1"/>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8"/>
                <w:szCs w:val="18"/>
                <w:color w:val="231F20"/>
              </w:rPr>
              <w:t>Excess costs attributable to</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8"/>
                <w:szCs w:val="18"/>
                <w:color w:val="231F20"/>
              </w:rPr>
              <w:t>PSCs . . . . . . . . . . . . . . . . . . . . . . . . .</w:t>
            </w:r>
          </w:p>
        </w:tc>
        <w:tc>
          <w:tcPr>
            <w:tcW w:w="200" w:type="dxa"/>
            <w:vAlign w:val="bottom"/>
          </w:tcPr>
          <w:p>
            <w:pPr>
              <w:spacing w:after="0"/>
              <w:rPr>
                <w:sz w:val="20"/>
                <w:szCs w:val="20"/>
                <w:color w:val="auto"/>
              </w:rPr>
            </w:pPr>
            <w:r>
              <w:rPr>
                <w:rFonts w:ascii="Arial" w:cs="Arial" w:eastAsia="Arial" w:hAnsi="Arial"/>
                <w:sz w:val="18"/>
                <w:szCs w:val="18"/>
                <w:color w:val="231F20"/>
              </w:rPr>
              <w:t>$</w:t>
            </w:r>
          </w:p>
        </w:tc>
        <w:tc>
          <w:tcPr>
            <w:tcW w:w="580" w:type="dxa"/>
            <w:vAlign w:val="bottom"/>
          </w:tcPr>
          <w:p>
            <w:pPr>
              <w:jc w:val="right"/>
              <w:spacing w:after="0"/>
              <w:rPr>
                <w:sz w:val="20"/>
                <w:szCs w:val="20"/>
                <w:color w:val="auto"/>
              </w:rPr>
            </w:pPr>
            <w:r>
              <w:rPr>
                <w:rFonts w:ascii="Arial" w:cs="Arial" w:eastAsia="Arial" w:hAnsi="Arial"/>
                <w:sz w:val="18"/>
                <w:szCs w:val="18"/>
                <w:color w:val="231F20"/>
              </w:rPr>
              <w:t>(47)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231F20"/>
              </w:rPr>
              <w:t>(0.92)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rPr>
              <w:t>(67)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231F20"/>
              </w:rPr>
              <w:t>(1.67)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231F20"/>
              </w:rPr>
              <w:t>(71)</w:t>
            </w:r>
          </w:p>
        </w:tc>
        <w:tc>
          <w:tcPr>
            <w:tcW w:w="2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231F20"/>
                <w:w w:val="79"/>
              </w:rPr>
              <w:t>$</w:t>
            </w:r>
          </w:p>
        </w:tc>
        <w:tc>
          <w:tcPr>
            <w:tcW w:w="620" w:type="dxa"/>
            <w:vAlign w:val="bottom"/>
          </w:tcPr>
          <w:p>
            <w:pPr>
              <w:jc w:val="right"/>
              <w:spacing w:after="0"/>
              <w:rPr>
                <w:sz w:val="20"/>
                <w:szCs w:val="20"/>
                <w:color w:val="auto"/>
              </w:rPr>
            </w:pPr>
            <w:r>
              <w:rPr>
                <w:rFonts w:ascii="Arial" w:cs="Arial" w:eastAsia="Arial" w:hAnsi="Arial"/>
                <w:sz w:val="18"/>
                <w:szCs w:val="18"/>
                <w:color w:val="231F20"/>
              </w:rPr>
              <w:t>(2.25)</w:t>
            </w:r>
          </w:p>
        </w:tc>
        <w:tc>
          <w:tcPr>
            <w:tcW w:w="0" w:type="dxa"/>
            <w:vAlign w:val="bottom"/>
          </w:tcPr>
          <w:p>
            <w:pPr>
              <w:spacing w:after="0"/>
              <w:rPr>
                <w:sz w:val="1"/>
                <w:szCs w:val="1"/>
                <w:color w:val="auto"/>
              </w:rPr>
            </w:pPr>
          </w:p>
        </w:tc>
      </w:tr>
      <w:tr>
        <w:trPr>
          <w:trHeight w:val="34"/>
        </w:trPr>
        <w:tc>
          <w:tcPr>
            <w:tcW w:w="3060" w:type="dxa"/>
            <w:vAlign w:val="bottom"/>
            <w:vMerge w:val="restart"/>
          </w:tcPr>
          <w:p>
            <w:pPr>
              <w:spacing w:after="0"/>
              <w:rPr>
                <w:sz w:val="20"/>
                <w:szCs w:val="20"/>
                <w:color w:val="auto"/>
              </w:rPr>
            </w:pPr>
            <w:r>
              <w:rPr>
                <w:rFonts w:ascii="Arial" w:cs="Arial" w:eastAsia="Arial" w:hAnsi="Arial"/>
                <w:sz w:val="18"/>
                <w:szCs w:val="18"/>
                <w:color w:val="231F20"/>
              </w:rPr>
              <w:t>Operating costs, excluding effects</w:t>
            </w:r>
          </w:p>
        </w:tc>
        <w:tc>
          <w:tcPr>
            <w:tcW w:w="2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060" w:type="dxa"/>
            <w:vAlign w:val="bottom"/>
          </w:tcPr>
          <w:p>
            <w:pPr>
              <w:spacing w:after="0" w:line="254" w:lineRule="exact"/>
              <w:rPr>
                <w:sz w:val="20"/>
                <w:szCs w:val="20"/>
                <w:color w:val="auto"/>
              </w:rPr>
            </w:pPr>
            <w:r>
              <w:rPr>
                <w:rFonts w:ascii="Arial" w:cs="Arial" w:eastAsia="Arial" w:hAnsi="Arial"/>
                <w:sz w:val="18"/>
                <w:szCs w:val="18"/>
                <w:color w:val="231F20"/>
              </w:rPr>
              <w:t>of PSCs</w:t>
            </w:r>
            <w:r>
              <w:rPr>
                <w:rFonts w:ascii="Arial" w:cs="Arial" w:eastAsia="Arial" w:hAnsi="Arial"/>
                <w:sz w:val="23"/>
                <w:szCs w:val="23"/>
                <w:color w:val="231F20"/>
                <w:vertAlign w:val="superscript"/>
              </w:rPr>
              <w:t>(a)</w:t>
            </w:r>
            <w:r>
              <w:rPr>
                <w:rFonts w:ascii="Arial" w:cs="Arial" w:eastAsia="Arial" w:hAnsi="Arial"/>
                <w:sz w:val="18"/>
                <w:szCs w:val="18"/>
                <w:color w:val="231F20"/>
              </w:rPr>
              <w:t xml:space="preserve">  . . . . . . . . . . . . . . . . . . . . .</w:t>
            </w:r>
          </w:p>
        </w:tc>
        <w:tc>
          <w:tcPr>
            <w:tcW w:w="200" w:type="dxa"/>
            <w:vAlign w:val="bottom"/>
          </w:tcPr>
          <w:p>
            <w:pPr>
              <w:spacing w:after="0"/>
              <w:rPr>
                <w:sz w:val="20"/>
                <w:szCs w:val="20"/>
                <w:color w:val="auto"/>
              </w:rPr>
            </w:pPr>
            <w:r>
              <w:rPr>
                <w:rFonts w:ascii="Arial" w:cs="Arial" w:eastAsia="Arial" w:hAnsi="Arial"/>
                <w:sz w:val="18"/>
                <w:szCs w:val="18"/>
                <w:color w:val="231F20"/>
              </w:rPr>
              <w:t>$</w:t>
            </w:r>
          </w:p>
        </w:tc>
        <w:tc>
          <w:tcPr>
            <w:tcW w:w="580" w:type="dxa"/>
            <w:vAlign w:val="bottom"/>
          </w:tcPr>
          <w:p>
            <w:pPr>
              <w:jc w:val="right"/>
              <w:spacing w:after="0"/>
              <w:rPr>
                <w:sz w:val="20"/>
                <w:szCs w:val="20"/>
                <w:color w:val="auto"/>
              </w:rPr>
            </w:pPr>
            <w:r>
              <w:rPr>
                <w:rFonts w:ascii="Arial" w:cs="Arial" w:eastAsia="Arial" w:hAnsi="Arial"/>
                <w:sz w:val="18"/>
                <w:szCs w:val="18"/>
                <w:color w:val="231F20"/>
              </w:rPr>
              <w:t>1,233</w:t>
            </w:r>
          </w:p>
        </w:tc>
        <w:tc>
          <w:tcPr>
            <w:tcW w:w="220" w:type="dxa"/>
            <w:vAlign w:val="bottom"/>
          </w:tcPr>
          <w:p>
            <w:pPr>
              <w:spacing w:after="0"/>
              <w:rPr>
                <w:sz w:val="22"/>
                <w:szCs w:val="22"/>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231F20"/>
                <w:w w:val="79"/>
              </w:rPr>
              <w:t>$</w:t>
            </w:r>
          </w:p>
        </w:tc>
        <w:tc>
          <w:tcPr>
            <w:tcW w:w="620" w:type="dxa"/>
            <w:vAlign w:val="bottom"/>
          </w:tcPr>
          <w:p>
            <w:pPr>
              <w:jc w:val="right"/>
              <w:spacing w:after="0"/>
              <w:rPr>
                <w:sz w:val="20"/>
                <w:szCs w:val="20"/>
                <w:color w:val="auto"/>
              </w:rPr>
            </w:pPr>
            <w:r>
              <w:rPr>
                <w:rFonts w:ascii="Arial" w:cs="Arial" w:eastAsia="Arial" w:hAnsi="Arial"/>
                <w:sz w:val="18"/>
                <w:szCs w:val="18"/>
                <w:color w:val="231F20"/>
              </w:rPr>
              <w:t>24.50</w:t>
            </w:r>
          </w:p>
        </w:tc>
        <w:tc>
          <w:tcPr>
            <w:tcW w:w="100" w:type="dxa"/>
            <w:vAlign w:val="bottom"/>
          </w:tcPr>
          <w:p>
            <w:pPr>
              <w:spacing w:after="0"/>
              <w:rPr>
                <w:sz w:val="22"/>
                <w:szCs w:val="22"/>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231F20"/>
              </w:rPr>
              <w:t>$</w:t>
            </w:r>
          </w:p>
        </w:tc>
        <w:tc>
          <w:tcPr>
            <w:tcW w:w="500" w:type="dxa"/>
            <w:vAlign w:val="bottom"/>
          </w:tcPr>
          <w:p>
            <w:pPr>
              <w:jc w:val="right"/>
              <w:spacing w:after="0"/>
              <w:rPr>
                <w:sz w:val="20"/>
                <w:szCs w:val="20"/>
                <w:color w:val="auto"/>
              </w:rPr>
            </w:pPr>
            <w:r>
              <w:rPr>
                <w:rFonts w:ascii="Arial" w:cs="Arial" w:eastAsia="Arial" w:hAnsi="Arial"/>
                <w:sz w:val="18"/>
                <w:szCs w:val="18"/>
                <w:color w:val="231F20"/>
              </w:rPr>
              <w:t>916</w:t>
            </w:r>
          </w:p>
        </w:tc>
        <w:tc>
          <w:tcPr>
            <w:tcW w:w="240" w:type="dxa"/>
            <w:vAlign w:val="bottom"/>
          </w:tcPr>
          <w:p>
            <w:pPr>
              <w:spacing w:after="0"/>
              <w:rPr>
                <w:sz w:val="22"/>
                <w:szCs w:val="22"/>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231F20"/>
                <w:w w:val="79"/>
              </w:rPr>
              <w:t>$</w:t>
            </w:r>
          </w:p>
        </w:tc>
        <w:tc>
          <w:tcPr>
            <w:tcW w:w="620" w:type="dxa"/>
            <w:vAlign w:val="bottom"/>
          </w:tcPr>
          <w:p>
            <w:pPr>
              <w:jc w:val="right"/>
              <w:spacing w:after="0"/>
              <w:rPr>
                <w:sz w:val="20"/>
                <w:szCs w:val="20"/>
                <w:color w:val="auto"/>
              </w:rPr>
            </w:pPr>
            <w:r>
              <w:rPr>
                <w:rFonts w:ascii="Arial" w:cs="Arial" w:eastAsia="Arial" w:hAnsi="Arial"/>
                <w:sz w:val="18"/>
                <w:szCs w:val="18"/>
                <w:color w:val="231F20"/>
              </w:rPr>
              <w:t>22.84</w:t>
            </w:r>
          </w:p>
        </w:tc>
        <w:tc>
          <w:tcPr>
            <w:tcW w:w="100" w:type="dxa"/>
            <w:vAlign w:val="bottom"/>
          </w:tcPr>
          <w:p>
            <w:pPr>
              <w:spacing w:after="0"/>
              <w:rPr>
                <w:sz w:val="22"/>
                <w:szCs w:val="22"/>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231F20"/>
              </w:rPr>
              <w:t>$</w:t>
            </w:r>
          </w:p>
        </w:tc>
        <w:tc>
          <w:tcPr>
            <w:tcW w:w="500" w:type="dxa"/>
            <w:vAlign w:val="bottom"/>
          </w:tcPr>
          <w:p>
            <w:pPr>
              <w:jc w:val="right"/>
              <w:spacing w:after="0"/>
              <w:rPr>
                <w:sz w:val="20"/>
                <w:szCs w:val="20"/>
                <w:color w:val="auto"/>
              </w:rPr>
            </w:pPr>
            <w:r>
              <w:rPr>
                <w:rFonts w:ascii="Arial" w:cs="Arial" w:eastAsia="Arial" w:hAnsi="Arial"/>
                <w:sz w:val="18"/>
                <w:szCs w:val="18"/>
                <w:color w:val="231F20"/>
              </w:rPr>
              <w:t>751</w:t>
            </w:r>
          </w:p>
        </w:tc>
        <w:tc>
          <w:tcPr>
            <w:tcW w:w="240" w:type="dxa"/>
            <w:vAlign w:val="bottom"/>
          </w:tcPr>
          <w:p>
            <w:pPr>
              <w:spacing w:after="0"/>
              <w:rPr>
                <w:sz w:val="22"/>
                <w:szCs w:val="22"/>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231F20"/>
                <w:w w:val="79"/>
              </w:rPr>
              <w:t>$</w:t>
            </w:r>
          </w:p>
        </w:tc>
        <w:tc>
          <w:tcPr>
            <w:tcW w:w="620" w:type="dxa"/>
            <w:vAlign w:val="bottom"/>
          </w:tcPr>
          <w:p>
            <w:pPr>
              <w:jc w:val="right"/>
              <w:spacing w:after="0"/>
              <w:rPr>
                <w:sz w:val="20"/>
                <w:szCs w:val="20"/>
                <w:color w:val="auto"/>
              </w:rPr>
            </w:pPr>
            <w:r>
              <w:rPr>
                <w:rFonts w:ascii="Arial" w:cs="Arial" w:eastAsia="Arial" w:hAnsi="Arial"/>
                <w:sz w:val="18"/>
                <w:szCs w:val="18"/>
                <w:color w:val="231F20"/>
              </w:rPr>
              <w:t>23.99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60" w:hanging="320"/>
        <w:spacing w:after="0" w:line="258" w:lineRule="auto"/>
        <w:tabs>
          <w:tab w:leader="none" w:pos="320" w:val="left"/>
        </w:tabs>
        <w:numPr>
          <w:ilvl w:val="0"/>
          <w:numId w:val="13"/>
        </w:numPr>
        <w:rPr>
          <w:rFonts w:ascii="Arial" w:cs="Arial" w:eastAsia="Arial" w:hAnsi="Arial"/>
          <w:sz w:val="16"/>
          <w:szCs w:val="16"/>
          <w:color w:val="231F20"/>
        </w:rPr>
      </w:pPr>
      <w:r>
        <w:rPr>
          <w:rFonts w:ascii="Arial" w:cs="Arial" w:eastAsia="Arial" w:hAnsi="Arial"/>
          <w:sz w:val="16"/>
          <w:szCs w:val="16"/>
          <w:color w:val="231F20"/>
        </w:rPr>
        <w:t>Operating costs, excluding effects of PSCs is a non-GAAP measure. As described above, the reporting of our PSCs creates a difference between reported operating costs, which are for the full field, and reported volumes, which are only our net share, inflating the per barrel operating costs. These amounts represent our operating costs after adjusting for this difference.</w:t>
      </w:r>
    </w:p>
    <w:p>
      <w:pPr>
        <w:sectPr>
          <w:pgSz w:w="11880" w:h="15480" w:orient="portrait"/>
          <w:cols w:equalWidth="0" w:num="1">
            <w:col w:w="9120"/>
          </w:cols>
          <w:pgMar w:left="1380" w:top="1316" w:right="1380" w:bottom="655"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14</w:t>
      </w:r>
    </w:p>
    <w:p>
      <w:pPr>
        <w:sectPr>
          <w:pgSz w:w="11880" w:h="15480" w:orient="portrait"/>
          <w:cols w:equalWidth="0" w:num="1">
            <w:col w:w="9120"/>
          </w:cols>
          <w:pgMar w:left="1380" w:top="1316" w:right="1380" w:bottom="655"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i w:val="1"/>
          <w:iCs w:val="1"/>
          <w:color w:val="231F20"/>
        </w:rPr>
        <w:t>Estimated Proved Reserves and Future Net Cash Flows</w:t>
      </w:r>
    </w:p>
    <w:p>
      <w:pPr>
        <w:spacing w:after="0" w:line="21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The following tables summarize our estimated proved oil (including condensate), NGLs and natural gas reserves and PV-10 as of December 31, 2025. Our estimated volumes and cash flows were calculated using the unweighted arithmetic average of the first-day-of-the-month price for each month within the year (SEC Prices), unless prices were defined by contractual arrangements. For oil volumes, the average Brent spot price of $69.38 per barrel and WTI price of $65.34 per barrel were adjusted for gravity, quality and transportation costs. For natural gas volumes, the average NYMEX gas price of $3.39 per MMBtu was adjusted for energy content, transportation fees and market differentials. All prices are held constant throughout the lives of the properties. The average realized prices for estimating our proved reserves as of December 31, 2025 were $67.21 per barrel for oil, $45.81 per barrel for NGLs and $3.44 per Mcf for natural gas.</w:t>
      </w:r>
    </w:p>
    <w:p>
      <w:pPr>
        <w:spacing w:after="0" w:line="214" w:lineRule="exact"/>
        <w:rPr>
          <w:sz w:val="20"/>
          <w:szCs w:val="20"/>
          <w:color w:val="auto"/>
        </w:rPr>
      </w:pPr>
    </w:p>
    <w:p>
      <w:pPr>
        <w:jc w:val="both"/>
        <w:ind w:firstLine="300"/>
        <w:spacing w:after="0" w:line="246" w:lineRule="auto"/>
        <w:rPr>
          <w:sz w:val="20"/>
          <w:szCs w:val="20"/>
          <w:color w:val="auto"/>
        </w:rPr>
      </w:pPr>
      <w:r>
        <w:rPr>
          <w:rFonts w:ascii="Arial" w:cs="Arial" w:eastAsia="Arial" w:hAnsi="Arial"/>
          <w:sz w:val="20"/>
          <w:szCs w:val="20"/>
          <w:color w:val="231F20"/>
        </w:rPr>
        <w:t xml:space="preserve">Estimated reserves include our economic interests under PSCs in our Long Beach operations in the Wilmington field. Refer to </w:t>
      </w:r>
      <w:r>
        <w:rPr>
          <w:rFonts w:ascii="Arial" w:cs="Arial" w:eastAsia="Arial" w:hAnsi="Arial"/>
          <w:sz w:val="20"/>
          <w:szCs w:val="20"/>
          <w:i w:val="1"/>
          <w:iCs w:val="1"/>
          <w:color w:val="231F20"/>
        </w:rPr>
        <w:t>Part II, Item 8 – Financial Statements, Supplemental Oil and Gas Information</w:t>
      </w:r>
      <w:r>
        <w:rPr>
          <w:rFonts w:ascii="Arial" w:cs="Arial" w:eastAsia="Arial" w:hAnsi="Arial"/>
          <w:sz w:val="20"/>
          <w:szCs w:val="20"/>
          <w:color w:val="231F20"/>
        </w:rPr>
        <w:t xml:space="preserve"> for additional information on our proved reserves.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gridSpan w:val="5"/>
          </w:tcPr>
          <w:p>
            <w:pPr>
              <w:jc w:val="right"/>
              <w:ind w:right="137"/>
              <w:spacing w:after="0"/>
              <w:rPr>
                <w:sz w:val="20"/>
                <w:szCs w:val="20"/>
                <w:color w:val="auto"/>
              </w:rPr>
            </w:pPr>
            <w:r>
              <w:rPr>
                <w:rFonts w:ascii="Arial" w:cs="Arial" w:eastAsia="Arial" w:hAnsi="Arial"/>
                <w:sz w:val="18"/>
                <w:szCs w:val="18"/>
                <w:b w:val="1"/>
                <w:bCs w:val="1"/>
                <w:color w:val="231F20"/>
              </w:rPr>
              <w:t>As of December 31, 2025</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100" w:type="dxa"/>
            <w:vAlign w:val="bottom"/>
          </w:tcPr>
          <w:p>
            <w:pPr>
              <w:jc w:val="right"/>
              <w:spacing w:after="0" w:line="171" w:lineRule="exact"/>
              <w:rPr>
                <w:sz w:val="20"/>
                <w:szCs w:val="20"/>
                <w:color w:val="auto"/>
              </w:rPr>
            </w:pPr>
            <w:r>
              <w:rPr>
                <w:rFonts w:ascii="Arial" w:cs="Arial" w:eastAsia="Arial" w:hAnsi="Arial"/>
                <w:sz w:val="16"/>
                <w:szCs w:val="16"/>
                <w:b w:val="1"/>
                <w:bCs w:val="1"/>
                <w:color w:val="231F20"/>
              </w:rPr>
              <w:t>San Joaquin</w:t>
            </w:r>
          </w:p>
        </w:tc>
        <w:tc>
          <w:tcPr>
            <w:tcW w:w="20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6"/>
                <w:szCs w:val="16"/>
                <w:b w:val="1"/>
                <w:bCs w:val="1"/>
                <w:color w:val="231F20"/>
              </w:rPr>
              <w:t>Los Angeles</w:t>
            </w:r>
          </w:p>
        </w:tc>
        <w:tc>
          <w:tcPr>
            <w:tcW w:w="200" w:type="dxa"/>
            <w:vAlign w:val="bottom"/>
          </w:tcPr>
          <w:p>
            <w:pPr>
              <w:spacing w:after="0"/>
              <w:rPr>
                <w:sz w:val="14"/>
                <w:szCs w:val="14"/>
                <w:color w:val="auto"/>
              </w:rPr>
            </w:pPr>
          </w:p>
        </w:tc>
        <w:tc>
          <w:tcPr>
            <w:tcW w:w="1000" w:type="dxa"/>
            <w:vAlign w:val="bottom"/>
          </w:tcPr>
          <w:p>
            <w:pPr>
              <w:jc w:val="right"/>
              <w:spacing w:after="0" w:line="171" w:lineRule="exact"/>
              <w:rPr>
                <w:sz w:val="20"/>
                <w:szCs w:val="20"/>
                <w:color w:val="auto"/>
              </w:rPr>
            </w:pPr>
            <w:r>
              <w:rPr>
                <w:rFonts w:ascii="Arial" w:cs="Arial" w:eastAsia="Arial" w:hAnsi="Arial"/>
                <w:sz w:val="16"/>
                <w:szCs w:val="16"/>
                <w:b w:val="1"/>
                <w:bCs w:val="1"/>
                <w:color w:val="231F20"/>
              </w:rPr>
              <w:t>Sacramento</w:t>
            </w:r>
          </w:p>
        </w:tc>
        <w:tc>
          <w:tcPr>
            <w:tcW w:w="200" w:type="dxa"/>
            <w:vAlign w:val="bottom"/>
          </w:tcPr>
          <w:p>
            <w:pPr>
              <w:spacing w:after="0"/>
              <w:rPr>
                <w:sz w:val="14"/>
                <w:szCs w:val="14"/>
                <w:color w:val="auto"/>
              </w:rPr>
            </w:pPr>
          </w:p>
        </w:tc>
        <w:tc>
          <w:tcPr>
            <w:tcW w:w="560" w:type="dxa"/>
            <w:vAlign w:val="bottom"/>
          </w:tcPr>
          <w:p>
            <w:pPr>
              <w:jc w:val="right"/>
              <w:spacing w:after="0" w:line="171" w:lineRule="exact"/>
              <w:rPr>
                <w:sz w:val="20"/>
                <w:szCs w:val="20"/>
                <w:color w:val="auto"/>
              </w:rPr>
            </w:pPr>
            <w:r>
              <w:rPr>
                <w:rFonts w:ascii="Arial" w:cs="Arial" w:eastAsia="Arial" w:hAnsi="Arial"/>
                <w:sz w:val="16"/>
                <w:szCs w:val="16"/>
                <w:b w:val="1"/>
                <w:bCs w:val="1"/>
                <w:color w:val="231F20"/>
              </w:rPr>
              <w:t>Uinta</w:t>
            </w:r>
          </w:p>
        </w:tc>
        <w:tc>
          <w:tcPr>
            <w:tcW w:w="200" w:type="dxa"/>
            <w:vAlign w:val="bottom"/>
          </w:tcPr>
          <w:p>
            <w:pPr>
              <w:spacing w:after="0"/>
              <w:rPr>
                <w:sz w:val="14"/>
                <w:szCs w:val="14"/>
                <w:color w:val="auto"/>
              </w:rPr>
            </w:pPr>
          </w:p>
        </w:tc>
        <w:tc>
          <w:tcPr>
            <w:tcW w:w="580" w:type="dxa"/>
            <w:vAlign w:val="bottom"/>
          </w:tcPr>
          <w:p>
            <w:pPr>
              <w:jc w:val="right"/>
              <w:spacing w:after="0" w:line="171" w:lineRule="exact"/>
              <w:rPr>
                <w:sz w:val="20"/>
                <w:szCs w:val="20"/>
                <w:color w:val="auto"/>
              </w:rPr>
            </w:pPr>
            <w:r>
              <w:rPr>
                <w:rFonts w:ascii="Arial" w:cs="Arial" w:eastAsia="Arial" w:hAnsi="Arial"/>
                <w:sz w:val="16"/>
                <w:szCs w:val="16"/>
                <w:b w:val="1"/>
                <w:bCs w:val="1"/>
                <w:color w:val="231F20"/>
              </w:rPr>
              <w:t>Other</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tcPr>
          <w:p>
            <w:pPr>
              <w:spacing w:after="0"/>
              <w:rPr>
                <w:sz w:val="15"/>
                <w:szCs w:val="15"/>
                <w:color w:val="auto"/>
              </w:rPr>
            </w:pPr>
          </w:p>
        </w:tc>
        <w:tc>
          <w:tcPr>
            <w:tcW w:w="1100" w:type="dxa"/>
            <w:vAlign w:val="bottom"/>
          </w:tcPr>
          <w:p>
            <w:pPr>
              <w:jc w:val="right"/>
              <w:ind w:right="251"/>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5"/>
                <w:szCs w:val="15"/>
                <w:color w:val="auto"/>
              </w:rPr>
            </w:pPr>
          </w:p>
        </w:tc>
        <w:tc>
          <w:tcPr>
            <w:tcW w:w="1120" w:type="dxa"/>
            <w:vAlign w:val="bottom"/>
          </w:tcPr>
          <w:p>
            <w:pPr>
              <w:jc w:val="right"/>
              <w:ind w:right="253"/>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5"/>
                <w:szCs w:val="15"/>
                <w:color w:val="auto"/>
              </w:rPr>
            </w:pPr>
          </w:p>
        </w:tc>
        <w:tc>
          <w:tcPr>
            <w:tcW w:w="1000" w:type="dxa"/>
            <w:vAlign w:val="bottom"/>
          </w:tcPr>
          <w:p>
            <w:pPr>
              <w:jc w:val="right"/>
              <w:ind w:right="192"/>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w w:val="99"/>
              </w:rPr>
              <w:t>Basins</w:t>
            </w:r>
          </w:p>
        </w:tc>
        <w:tc>
          <w:tcPr>
            <w:tcW w:w="200" w:type="dxa"/>
            <w:vAlign w:val="bottom"/>
          </w:tcPr>
          <w:p>
            <w:pPr>
              <w:spacing w:after="0"/>
              <w:rPr>
                <w:sz w:val="15"/>
                <w:szCs w:val="15"/>
                <w:color w:val="auto"/>
              </w:rPr>
            </w:pPr>
          </w:p>
        </w:tc>
        <w:tc>
          <w:tcPr>
            <w:tcW w:w="860" w:type="dxa"/>
            <w:vAlign w:val="bottom"/>
          </w:tcPr>
          <w:p>
            <w:pPr>
              <w:jc w:val="right"/>
              <w:ind w:right="160"/>
              <w:spacing w:after="0" w:line="181" w:lineRule="exact"/>
              <w:rPr>
                <w:sz w:val="20"/>
                <w:szCs w:val="20"/>
                <w:color w:val="auto"/>
              </w:rPr>
            </w:pPr>
            <w:r>
              <w:rPr>
                <w:rFonts w:ascii="Arial" w:cs="Arial" w:eastAsia="Arial" w:hAnsi="Arial"/>
                <w:sz w:val="16"/>
                <w:szCs w:val="16"/>
                <w:b w:val="1"/>
                <w:bCs w:val="1"/>
                <w:color w:val="231F20"/>
              </w:rPr>
              <w:t>Total</w:t>
            </w:r>
          </w:p>
        </w:tc>
        <w:tc>
          <w:tcPr>
            <w:tcW w:w="0" w:type="dxa"/>
            <w:vAlign w:val="bottom"/>
          </w:tcPr>
          <w:p>
            <w:pPr>
              <w:spacing w:after="0"/>
              <w:rPr>
                <w:sz w:val="1"/>
                <w:szCs w:val="1"/>
                <w:color w:val="auto"/>
              </w:rPr>
            </w:pPr>
          </w:p>
        </w:tc>
      </w:tr>
      <w:tr>
        <w:trPr>
          <w:trHeight w:val="28"/>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231F20"/>
              </w:rPr>
              <w:t>Proved developed reserves</w:t>
            </w: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900" w:type="dxa"/>
            <w:vAlign w:val="bottom"/>
            <w:vMerge w:val="continue"/>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Oil (MMBbl) . . . . .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363</w:t>
            </w:r>
          </w:p>
        </w:tc>
        <w:tc>
          <w:tcPr>
            <w:tcW w:w="1320" w:type="dxa"/>
            <w:vAlign w:val="bottom"/>
            <w:gridSpan w:val="2"/>
          </w:tcPr>
          <w:p>
            <w:pPr>
              <w:jc w:val="right"/>
              <w:ind w:right="193"/>
              <w:spacing w:after="0"/>
              <w:rPr>
                <w:sz w:val="20"/>
                <w:szCs w:val="20"/>
                <w:color w:val="auto"/>
              </w:rPr>
            </w:pPr>
            <w:r>
              <w:rPr>
                <w:rFonts w:ascii="Arial" w:cs="Arial" w:eastAsia="Arial" w:hAnsi="Arial"/>
                <w:sz w:val="18"/>
                <w:szCs w:val="18"/>
                <w:color w:val="231F20"/>
              </w:rPr>
              <w:t>63</w:t>
            </w: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5</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21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452</w:t>
            </w:r>
          </w:p>
        </w:tc>
        <w:tc>
          <w:tcPr>
            <w:tcW w:w="0" w:type="dxa"/>
            <w:vAlign w:val="bottom"/>
          </w:tcPr>
          <w:p>
            <w:pPr>
              <w:spacing w:after="0"/>
              <w:rPr>
                <w:sz w:val="1"/>
                <w:szCs w:val="1"/>
                <w:color w:val="auto"/>
              </w:rPr>
            </w:pPr>
          </w:p>
        </w:tc>
      </w:tr>
      <w:tr>
        <w:trPr>
          <w:trHeight w:val="22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NGLs (MMBbl)  . .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29</w:t>
            </w:r>
          </w:p>
        </w:tc>
        <w:tc>
          <w:tcPr>
            <w:tcW w:w="200" w:type="dxa"/>
            <w:vAlign w:val="bottom"/>
          </w:tcPr>
          <w:p>
            <w:pPr>
              <w:spacing w:after="0"/>
              <w:rPr>
                <w:sz w:val="19"/>
                <w:szCs w:val="19"/>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231F20"/>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30</w:t>
            </w:r>
          </w:p>
        </w:tc>
        <w:tc>
          <w:tcPr>
            <w:tcW w:w="0" w:type="dxa"/>
            <w:vAlign w:val="bottom"/>
          </w:tcPr>
          <w:p>
            <w:pPr>
              <w:spacing w:after="0"/>
              <w:rPr>
                <w:sz w:val="1"/>
                <w:szCs w:val="1"/>
                <w:color w:val="auto"/>
              </w:rPr>
            </w:pPr>
          </w:p>
        </w:tc>
      </w:tr>
      <w:tr>
        <w:trPr>
          <w:trHeight w:val="22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Natural Gas (Bcf)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324</w:t>
            </w:r>
          </w:p>
        </w:tc>
        <w:tc>
          <w:tcPr>
            <w:tcW w:w="1320" w:type="dxa"/>
            <w:vAlign w:val="bottom"/>
            <w:gridSpan w:val="2"/>
          </w:tcPr>
          <w:p>
            <w:pPr>
              <w:jc w:val="right"/>
              <w:ind w:right="193"/>
              <w:spacing w:after="0"/>
              <w:rPr>
                <w:sz w:val="20"/>
                <w:szCs w:val="20"/>
                <w:color w:val="auto"/>
              </w:rPr>
            </w:pPr>
            <w:r>
              <w:rPr>
                <w:rFonts w:ascii="Arial" w:cs="Arial" w:eastAsia="Arial" w:hAnsi="Arial"/>
                <w:sz w:val="18"/>
                <w:szCs w:val="18"/>
                <w:color w:val="231F20"/>
              </w:rPr>
              <w:t>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231F20"/>
              </w:rPr>
              <w:t>8</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9</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351</w:t>
            </w:r>
          </w:p>
        </w:tc>
        <w:tc>
          <w:tcPr>
            <w:tcW w:w="0" w:type="dxa"/>
            <w:vAlign w:val="bottom"/>
          </w:tcPr>
          <w:p>
            <w:pPr>
              <w:spacing w:after="0"/>
              <w:rPr>
                <w:sz w:val="1"/>
                <w:szCs w:val="1"/>
                <w:color w:val="auto"/>
              </w:rPr>
            </w:pPr>
          </w:p>
        </w:tc>
      </w:tr>
      <w:tr>
        <w:trPr>
          <w:trHeight w:val="34"/>
        </w:trPr>
        <w:tc>
          <w:tcPr>
            <w:tcW w:w="29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Total (MMBoe)</w:t>
            </w:r>
            <w:r>
              <w:rPr>
                <w:rFonts w:ascii="Arial" w:cs="Arial" w:eastAsia="Arial" w:hAnsi="Arial"/>
                <w:sz w:val="23"/>
                <w:szCs w:val="23"/>
                <w:color w:val="231F20"/>
                <w:vertAlign w:val="superscript"/>
              </w:rPr>
              <w:t>(a)</w:t>
            </w:r>
            <w:r>
              <w:rPr>
                <w:rFonts w:ascii="Arial" w:cs="Arial" w:eastAsia="Arial" w:hAnsi="Arial"/>
                <w:sz w:val="18"/>
                <w:szCs w:val="18"/>
                <w:color w:val="231F20"/>
              </w:rPr>
              <w:t xml:space="preserve">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446</w:t>
            </w:r>
          </w:p>
        </w:tc>
        <w:tc>
          <w:tcPr>
            <w:tcW w:w="1320" w:type="dxa"/>
            <w:vAlign w:val="bottom"/>
            <w:gridSpan w:val="2"/>
          </w:tcPr>
          <w:p>
            <w:pPr>
              <w:jc w:val="right"/>
              <w:ind w:right="193"/>
              <w:spacing w:after="0"/>
              <w:rPr>
                <w:sz w:val="20"/>
                <w:szCs w:val="20"/>
                <w:color w:val="auto"/>
              </w:rPr>
            </w:pPr>
            <w:r>
              <w:rPr>
                <w:rFonts w:ascii="Arial" w:cs="Arial" w:eastAsia="Arial" w:hAnsi="Arial"/>
                <w:sz w:val="18"/>
                <w:szCs w:val="18"/>
                <w:color w:val="231F20"/>
              </w:rPr>
              <w:t>64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231F20"/>
              </w:rPr>
              <w:t>1</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7</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541</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0"/>
                <w:szCs w:val="20"/>
                <w:color w:val="auto"/>
              </w:rPr>
            </w:pPr>
            <w:r>
              <w:rPr>
                <w:rFonts w:ascii="Arial" w:cs="Arial" w:eastAsia="Arial" w:hAnsi="Arial"/>
                <w:sz w:val="18"/>
                <w:szCs w:val="18"/>
                <w:b w:val="1"/>
                <w:bCs w:val="1"/>
                <w:color w:val="231F20"/>
              </w:rPr>
              <w:t>Proved undeveloped reserves</w:t>
            </w:r>
          </w:p>
        </w:tc>
        <w:tc>
          <w:tcPr>
            <w:tcW w:w="1100" w:type="dxa"/>
            <w:vAlign w:val="bottom"/>
            <w:tcBorders>
              <w:top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top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Borders>
              <w:top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Borders>
              <w:top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top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Borders>
              <w:top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Oil (MMBbl) . . . . .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63</w:t>
            </w:r>
          </w:p>
        </w:tc>
        <w:tc>
          <w:tcPr>
            <w:tcW w:w="1320" w:type="dxa"/>
            <w:vAlign w:val="bottom"/>
            <w:gridSpan w:val="2"/>
          </w:tcPr>
          <w:p>
            <w:pPr>
              <w:jc w:val="right"/>
              <w:ind w:right="193"/>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21</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89</w:t>
            </w:r>
          </w:p>
        </w:tc>
        <w:tc>
          <w:tcPr>
            <w:tcW w:w="0" w:type="dxa"/>
            <w:vAlign w:val="bottom"/>
          </w:tcPr>
          <w:p>
            <w:pPr>
              <w:spacing w:after="0"/>
              <w:rPr>
                <w:sz w:val="1"/>
                <w:szCs w:val="1"/>
                <w:color w:val="auto"/>
              </w:rPr>
            </w:pPr>
          </w:p>
        </w:tc>
      </w:tr>
      <w:tr>
        <w:trPr>
          <w:trHeight w:val="22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NGLs (MMBbl)  . .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6</w:t>
            </w:r>
          </w:p>
        </w:tc>
        <w:tc>
          <w:tcPr>
            <w:tcW w:w="200" w:type="dxa"/>
            <w:vAlign w:val="bottom"/>
          </w:tcPr>
          <w:p>
            <w:pPr>
              <w:spacing w:after="0"/>
              <w:rPr>
                <w:sz w:val="19"/>
                <w:szCs w:val="19"/>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7</w:t>
            </w:r>
          </w:p>
        </w:tc>
        <w:tc>
          <w:tcPr>
            <w:tcW w:w="0" w:type="dxa"/>
            <w:vAlign w:val="bottom"/>
          </w:tcPr>
          <w:p>
            <w:pPr>
              <w:spacing w:after="0"/>
              <w:rPr>
                <w:sz w:val="1"/>
                <w:szCs w:val="1"/>
                <w:color w:val="auto"/>
              </w:rPr>
            </w:pPr>
          </w:p>
        </w:tc>
      </w:tr>
      <w:tr>
        <w:trPr>
          <w:trHeight w:val="22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Natural Gas (Bcf)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83</w:t>
            </w:r>
          </w:p>
        </w:tc>
        <w:tc>
          <w:tcPr>
            <w:tcW w:w="200" w:type="dxa"/>
            <w:vAlign w:val="bottom"/>
          </w:tcPr>
          <w:p>
            <w:pPr>
              <w:spacing w:after="0"/>
              <w:rPr>
                <w:sz w:val="19"/>
                <w:szCs w:val="19"/>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21</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104</w:t>
            </w:r>
          </w:p>
        </w:tc>
        <w:tc>
          <w:tcPr>
            <w:tcW w:w="0" w:type="dxa"/>
            <w:vAlign w:val="bottom"/>
          </w:tcPr>
          <w:p>
            <w:pPr>
              <w:spacing w:after="0"/>
              <w:rPr>
                <w:sz w:val="1"/>
                <w:szCs w:val="1"/>
                <w:color w:val="auto"/>
              </w:rPr>
            </w:pPr>
          </w:p>
        </w:tc>
      </w:tr>
      <w:tr>
        <w:trPr>
          <w:trHeight w:val="34"/>
        </w:trPr>
        <w:tc>
          <w:tcPr>
            <w:tcW w:w="29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Total (MMBoe) .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83</w:t>
            </w:r>
          </w:p>
        </w:tc>
        <w:tc>
          <w:tcPr>
            <w:tcW w:w="1320" w:type="dxa"/>
            <w:vAlign w:val="bottom"/>
            <w:gridSpan w:val="2"/>
          </w:tcPr>
          <w:p>
            <w:pPr>
              <w:jc w:val="right"/>
              <w:ind w:right="193"/>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21"/>
                <w:szCs w:val="21"/>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25</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113</w:t>
            </w:r>
          </w:p>
        </w:tc>
        <w:tc>
          <w:tcPr>
            <w:tcW w:w="0" w:type="dxa"/>
            <w:vAlign w:val="bottom"/>
          </w:tcPr>
          <w:p>
            <w:pPr>
              <w:spacing w:after="0"/>
              <w:rPr>
                <w:sz w:val="1"/>
                <w:szCs w:val="1"/>
                <w:color w:val="auto"/>
              </w:rPr>
            </w:pPr>
          </w:p>
        </w:tc>
      </w:tr>
      <w:tr>
        <w:trPr>
          <w:trHeight w:val="34"/>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231F20"/>
              </w:rPr>
              <w:t>Total proved reserves</w:t>
            </w: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900" w:type="dxa"/>
            <w:vAlign w:val="bottom"/>
            <w:vMerge w:val="continue"/>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Oil (MMBbl) . . . . .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426</w:t>
            </w:r>
          </w:p>
        </w:tc>
        <w:tc>
          <w:tcPr>
            <w:tcW w:w="1320" w:type="dxa"/>
            <w:vAlign w:val="bottom"/>
            <w:gridSpan w:val="2"/>
          </w:tcPr>
          <w:p>
            <w:pPr>
              <w:jc w:val="right"/>
              <w:ind w:right="193"/>
              <w:spacing w:after="0"/>
              <w:rPr>
                <w:sz w:val="20"/>
                <w:szCs w:val="20"/>
                <w:color w:val="auto"/>
              </w:rPr>
            </w:pPr>
            <w:r>
              <w:rPr>
                <w:rFonts w:ascii="Arial" w:cs="Arial" w:eastAsia="Arial" w:hAnsi="Arial"/>
                <w:sz w:val="18"/>
                <w:szCs w:val="18"/>
                <w:color w:val="231F20"/>
              </w:rPr>
              <w:t>64</w:t>
            </w: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26</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25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541</w:t>
            </w:r>
          </w:p>
        </w:tc>
        <w:tc>
          <w:tcPr>
            <w:tcW w:w="0" w:type="dxa"/>
            <w:vAlign w:val="bottom"/>
          </w:tcPr>
          <w:p>
            <w:pPr>
              <w:spacing w:after="0"/>
              <w:rPr>
                <w:sz w:val="1"/>
                <w:szCs w:val="1"/>
                <w:color w:val="auto"/>
              </w:rPr>
            </w:pPr>
          </w:p>
        </w:tc>
      </w:tr>
      <w:tr>
        <w:trPr>
          <w:trHeight w:val="22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NGLs (MMBbl)  . .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35</w:t>
            </w:r>
          </w:p>
        </w:tc>
        <w:tc>
          <w:tcPr>
            <w:tcW w:w="200" w:type="dxa"/>
            <w:vAlign w:val="bottom"/>
          </w:tcPr>
          <w:p>
            <w:pPr>
              <w:spacing w:after="0"/>
              <w:rPr>
                <w:sz w:val="19"/>
                <w:szCs w:val="19"/>
                <w:color w:val="auto"/>
              </w:rPr>
            </w:pPr>
          </w:p>
        </w:tc>
        <w:tc>
          <w:tcPr>
            <w:tcW w:w="1120" w:type="dxa"/>
            <w:vAlign w:val="bottom"/>
          </w:tcPr>
          <w:p>
            <w:pPr>
              <w:jc w:val="right"/>
              <w:ind w:right="19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231F20"/>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37</w:t>
            </w:r>
          </w:p>
        </w:tc>
        <w:tc>
          <w:tcPr>
            <w:tcW w:w="0" w:type="dxa"/>
            <w:vAlign w:val="bottom"/>
          </w:tcPr>
          <w:p>
            <w:pPr>
              <w:spacing w:after="0"/>
              <w:rPr>
                <w:sz w:val="1"/>
                <w:szCs w:val="1"/>
                <w:color w:val="auto"/>
              </w:rPr>
            </w:pPr>
          </w:p>
        </w:tc>
      </w:tr>
      <w:tr>
        <w:trPr>
          <w:trHeight w:val="220"/>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Natural Gas (Bcf)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407</w:t>
            </w:r>
          </w:p>
        </w:tc>
        <w:tc>
          <w:tcPr>
            <w:tcW w:w="1320" w:type="dxa"/>
            <w:vAlign w:val="bottom"/>
            <w:gridSpan w:val="2"/>
          </w:tcPr>
          <w:p>
            <w:pPr>
              <w:jc w:val="right"/>
              <w:ind w:right="193"/>
              <w:spacing w:after="0"/>
              <w:rPr>
                <w:sz w:val="20"/>
                <w:szCs w:val="20"/>
                <w:color w:val="auto"/>
              </w:rPr>
            </w:pPr>
            <w:r>
              <w:rPr>
                <w:rFonts w:ascii="Arial" w:cs="Arial" w:eastAsia="Arial" w:hAnsi="Arial"/>
                <w:sz w:val="18"/>
                <w:szCs w:val="18"/>
                <w:color w:val="231F20"/>
              </w:rPr>
              <w:t>4</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231F20"/>
              </w:rPr>
              <w:t>8</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30</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455</w:t>
            </w:r>
          </w:p>
        </w:tc>
        <w:tc>
          <w:tcPr>
            <w:tcW w:w="0" w:type="dxa"/>
            <w:vAlign w:val="bottom"/>
          </w:tcPr>
          <w:p>
            <w:pPr>
              <w:spacing w:after="0"/>
              <w:rPr>
                <w:sz w:val="1"/>
                <w:szCs w:val="1"/>
                <w:color w:val="auto"/>
              </w:rPr>
            </w:pPr>
          </w:p>
        </w:tc>
      </w:tr>
      <w:tr>
        <w:trPr>
          <w:trHeight w:val="34"/>
        </w:trPr>
        <w:tc>
          <w:tcPr>
            <w:tcW w:w="29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900" w:type="dxa"/>
            <w:vAlign w:val="bottom"/>
          </w:tcPr>
          <w:p>
            <w:pPr>
              <w:jc w:val="right"/>
              <w:ind w:right="110"/>
              <w:spacing w:after="0"/>
              <w:rPr>
                <w:sz w:val="20"/>
                <w:szCs w:val="20"/>
                <w:color w:val="auto"/>
              </w:rPr>
            </w:pPr>
            <w:r>
              <w:rPr>
                <w:rFonts w:ascii="Arial" w:cs="Arial" w:eastAsia="Arial" w:hAnsi="Arial"/>
                <w:sz w:val="18"/>
                <w:szCs w:val="18"/>
                <w:color w:val="231F20"/>
              </w:rPr>
              <w:t>Total (MMBoe) . . . . . . . . . . . .</w:t>
            </w:r>
          </w:p>
        </w:tc>
        <w:tc>
          <w:tcPr>
            <w:tcW w:w="1100" w:type="dxa"/>
            <w:vAlign w:val="bottom"/>
          </w:tcPr>
          <w:p>
            <w:pPr>
              <w:jc w:val="right"/>
              <w:ind w:right="131"/>
              <w:spacing w:after="0"/>
              <w:rPr>
                <w:sz w:val="20"/>
                <w:szCs w:val="20"/>
                <w:color w:val="auto"/>
              </w:rPr>
            </w:pPr>
            <w:r>
              <w:rPr>
                <w:rFonts w:ascii="Arial" w:cs="Arial" w:eastAsia="Arial" w:hAnsi="Arial"/>
                <w:sz w:val="18"/>
                <w:szCs w:val="18"/>
                <w:color w:val="231F20"/>
              </w:rPr>
              <w:t>529</w:t>
            </w:r>
          </w:p>
        </w:tc>
        <w:tc>
          <w:tcPr>
            <w:tcW w:w="1320" w:type="dxa"/>
            <w:vAlign w:val="bottom"/>
            <w:gridSpan w:val="2"/>
          </w:tcPr>
          <w:p>
            <w:pPr>
              <w:jc w:val="right"/>
              <w:ind w:right="193"/>
              <w:spacing w:after="0"/>
              <w:rPr>
                <w:sz w:val="20"/>
                <w:szCs w:val="20"/>
                <w:color w:val="auto"/>
              </w:rPr>
            </w:pPr>
            <w:r>
              <w:rPr>
                <w:rFonts w:ascii="Arial" w:cs="Arial" w:eastAsia="Arial" w:hAnsi="Arial"/>
                <w:sz w:val="18"/>
                <w:szCs w:val="18"/>
                <w:color w:val="231F20"/>
              </w:rPr>
              <w:t>65</w:t>
            </w: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231F20"/>
              </w:rPr>
              <w:t>1</w:t>
            </w:r>
          </w:p>
        </w:tc>
        <w:tc>
          <w:tcPr>
            <w:tcW w:w="760" w:type="dxa"/>
            <w:vAlign w:val="bottom"/>
            <w:gridSpan w:val="2"/>
          </w:tcPr>
          <w:p>
            <w:pPr>
              <w:jc w:val="right"/>
              <w:spacing w:after="0"/>
              <w:rPr>
                <w:sz w:val="20"/>
                <w:szCs w:val="20"/>
                <w:color w:val="auto"/>
              </w:rPr>
            </w:pPr>
            <w:r>
              <w:rPr>
                <w:rFonts w:ascii="Arial" w:cs="Arial" w:eastAsia="Arial" w:hAnsi="Arial"/>
                <w:sz w:val="18"/>
                <w:szCs w:val="18"/>
                <w:color w:val="231F20"/>
              </w:rPr>
              <w:t>32</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27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231F20"/>
              </w:rPr>
              <w:t>654</w:t>
            </w:r>
          </w:p>
        </w:tc>
        <w:tc>
          <w:tcPr>
            <w:tcW w:w="0" w:type="dxa"/>
            <w:vAlign w:val="bottom"/>
          </w:tcPr>
          <w:p>
            <w:pPr>
              <w:spacing w:after="0"/>
              <w:rPr>
                <w:sz w:val="1"/>
                <w:szCs w:val="1"/>
                <w:color w:val="auto"/>
              </w:rPr>
            </w:pPr>
          </w:p>
        </w:tc>
      </w:tr>
      <w:tr>
        <w:trPr>
          <w:trHeight w:val="34"/>
        </w:trPr>
        <w:tc>
          <w:tcPr>
            <w:tcW w:w="29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20" w:right="220" w:hanging="320"/>
        <w:spacing w:after="0" w:line="258" w:lineRule="auto"/>
        <w:tabs>
          <w:tab w:leader="none" w:pos="320"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As of December 31, 2025, approximately 10% of proved developed oil reserves, 6% of proved developed NGLs reserves, 7% of proved developed natural gas reserves and, overall, 10% of total proved developed reserves are non-producing. A majority of our non-producing reserves relate to steamfloods and waterfloods where full production response has not yet occurred due to the nature of such projects.</w:t>
      </w:r>
    </w:p>
    <w:p>
      <w:pPr>
        <w:sectPr>
          <w:pgSz w:w="11880" w:h="15480" w:orient="portrait"/>
          <w:cols w:equalWidth="0" w:num="1">
            <w:col w:w="9120"/>
          </w:cols>
          <w:pgMar w:left="1380" w:top="1312"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15</w:t>
      </w:r>
    </w:p>
    <w:p>
      <w:pPr>
        <w:sectPr>
          <w:pgSz w:w="11880" w:h="15480" w:orient="portrait"/>
          <w:cols w:equalWidth="0" w:num="1">
            <w:col w:w="9120"/>
          </w:cols>
          <w:pgMar w:left="1380" w:top="1312" w:right="1380" w:bottom="655"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i w:val="1"/>
          <w:iCs w:val="1"/>
          <w:color w:val="231F20"/>
        </w:rPr>
        <w:t>Changes to Proved Reserves</w:t>
      </w:r>
    </w:p>
    <w:p>
      <w:pPr>
        <w:spacing w:after="0" w:line="215" w:lineRule="exact"/>
        <w:rPr>
          <w:sz w:val="20"/>
          <w:szCs w:val="20"/>
          <w:color w:val="auto"/>
        </w:rPr>
      </w:pPr>
    </w:p>
    <w:p>
      <w:pPr>
        <w:jc w:val="both"/>
        <w:ind w:right="160" w:firstLine="300"/>
        <w:spacing w:after="0" w:line="246" w:lineRule="auto"/>
        <w:rPr>
          <w:sz w:val="20"/>
          <w:szCs w:val="20"/>
          <w:color w:val="auto"/>
        </w:rPr>
      </w:pPr>
      <w:r>
        <w:rPr>
          <w:rFonts w:ascii="Arial" w:cs="Arial" w:eastAsia="Arial" w:hAnsi="Arial"/>
          <w:sz w:val="20"/>
          <w:szCs w:val="20"/>
          <w:color w:val="231F20"/>
        </w:rPr>
        <w:t>We added 93 MMBoe of proved reserves through the Berry Merger in 2025, including locations in the San Joaquin and Uinta basins. The components of the changes to our proved reserves during the year ended December 31, 2025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231F20"/>
              </w:rPr>
              <w:t>San Joaquin</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231F20"/>
              </w:rPr>
              <w:t>Los Angeles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231F20"/>
              </w:rPr>
              <w:t>Sacramento</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231F20"/>
              </w:rPr>
              <w:t>Uinta</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231F20"/>
              </w:rPr>
              <w:t>Other</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100" w:type="dxa"/>
            <w:vAlign w:val="bottom"/>
            <w:tcBorders>
              <w:bottom w:val="single" w:sz="8" w:color="231F20"/>
            </w:tcBorders>
          </w:tcPr>
          <w:p>
            <w:pPr>
              <w:jc w:val="right"/>
              <w:ind w:right="252"/>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8"/>
                <w:szCs w:val="18"/>
                <w:color w:val="auto"/>
              </w:rPr>
            </w:pPr>
          </w:p>
        </w:tc>
        <w:tc>
          <w:tcPr>
            <w:tcW w:w="1120" w:type="dxa"/>
            <w:vAlign w:val="bottom"/>
            <w:tcBorders>
              <w:bottom w:val="single" w:sz="8" w:color="231F20"/>
            </w:tcBorders>
          </w:tcPr>
          <w:p>
            <w:pPr>
              <w:jc w:val="right"/>
              <w:ind w:right="194"/>
              <w:spacing w:after="0" w:line="209" w:lineRule="exact"/>
              <w:rPr>
                <w:sz w:val="20"/>
                <w:szCs w:val="20"/>
                <w:color w:val="auto"/>
              </w:rPr>
            </w:pPr>
            <w:r>
              <w:rPr>
                <w:rFonts w:ascii="Arial" w:cs="Arial" w:eastAsia="Arial" w:hAnsi="Arial"/>
                <w:sz w:val="16"/>
                <w:szCs w:val="16"/>
                <w:b w:val="1"/>
                <w:bCs w:val="1"/>
                <w:color w:val="231F20"/>
              </w:rPr>
              <w:t>Basin</w:t>
            </w:r>
            <w:r>
              <w:rPr>
                <w:rFonts w:ascii="Arial" w:cs="Arial" w:eastAsia="Arial" w:hAnsi="Arial"/>
                <w:sz w:val="20"/>
                <w:szCs w:val="20"/>
                <w:b w:val="1"/>
                <w:bCs w:val="1"/>
                <w:color w:val="231F20"/>
                <w:vertAlign w:val="superscript"/>
              </w:rPr>
              <w:t>(a)</w:t>
            </w:r>
          </w:p>
        </w:tc>
        <w:tc>
          <w:tcPr>
            <w:tcW w:w="200" w:type="dxa"/>
            <w:vAlign w:val="bottom"/>
          </w:tcPr>
          <w:p>
            <w:pPr>
              <w:spacing w:after="0"/>
              <w:rPr>
                <w:sz w:val="18"/>
                <w:szCs w:val="18"/>
                <w:color w:val="auto"/>
              </w:rPr>
            </w:pPr>
          </w:p>
        </w:tc>
        <w:tc>
          <w:tcPr>
            <w:tcW w:w="1080" w:type="dxa"/>
            <w:vAlign w:val="bottom"/>
            <w:tcBorders>
              <w:bottom w:val="single" w:sz="8" w:color="231F20"/>
            </w:tcBorders>
          </w:tcPr>
          <w:p>
            <w:pPr>
              <w:jc w:val="right"/>
              <w:ind w:right="235"/>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8"/>
                <w:szCs w:val="18"/>
                <w:color w:val="auto"/>
              </w:rPr>
            </w:pPr>
          </w:p>
        </w:tc>
        <w:tc>
          <w:tcPr>
            <w:tcW w:w="560" w:type="dxa"/>
            <w:vAlign w:val="bottom"/>
            <w:tcBorders>
              <w:bottom w:val="single" w:sz="8" w:color="231F20"/>
            </w:tcBorders>
          </w:tcPr>
          <w:p>
            <w:pPr>
              <w:jc w:val="right"/>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8"/>
                <w:szCs w:val="18"/>
                <w:color w:val="auto"/>
              </w:rPr>
            </w:pPr>
          </w:p>
        </w:tc>
        <w:tc>
          <w:tcPr>
            <w:tcW w:w="580" w:type="dxa"/>
            <w:vAlign w:val="bottom"/>
            <w:tcBorders>
              <w:bottom w:val="single" w:sz="8" w:color="231F20"/>
            </w:tcBorders>
          </w:tcPr>
          <w:p>
            <w:pPr>
              <w:jc w:val="right"/>
              <w:spacing w:after="0" w:line="181" w:lineRule="exact"/>
              <w:rPr>
                <w:sz w:val="20"/>
                <w:szCs w:val="20"/>
                <w:color w:val="auto"/>
              </w:rPr>
            </w:pPr>
            <w:r>
              <w:rPr>
                <w:rFonts w:ascii="Arial" w:cs="Arial" w:eastAsia="Arial" w:hAnsi="Arial"/>
                <w:sz w:val="16"/>
                <w:szCs w:val="16"/>
                <w:b w:val="1"/>
                <w:bCs w:val="1"/>
                <w:color w:val="231F20"/>
                <w:w w:val="99"/>
              </w:rPr>
              <w:t>Basins</w:t>
            </w:r>
          </w:p>
        </w:tc>
        <w:tc>
          <w:tcPr>
            <w:tcW w:w="200" w:type="dxa"/>
            <w:vAlign w:val="bottom"/>
          </w:tcPr>
          <w:p>
            <w:pPr>
              <w:spacing w:after="0"/>
              <w:rPr>
                <w:sz w:val="18"/>
                <w:szCs w:val="18"/>
                <w:color w:val="auto"/>
              </w:rPr>
            </w:pPr>
          </w:p>
        </w:tc>
        <w:tc>
          <w:tcPr>
            <w:tcW w:w="540" w:type="dxa"/>
            <w:vAlign w:val="bottom"/>
            <w:tcBorders>
              <w:bottom w:val="single" w:sz="8" w:color="231F20"/>
            </w:tcBorders>
          </w:tcPr>
          <w:p>
            <w:pPr>
              <w:jc w:val="right"/>
              <w:spacing w:after="0" w:line="181" w:lineRule="exact"/>
              <w:rPr>
                <w:sz w:val="20"/>
                <w:szCs w:val="20"/>
                <w:color w:val="auto"/>
              </w:rPr>
            </w:pPr>
            <w:r>
              <w:rPr>
                <w:rFonts w:ascii="Arial" w:cs="Arial" w:eastAsia="Arial" w:hAnsi="Arial"/>
                <w:sz w:val="16"/>
                <w:szCs w:val="16"/>
                <w:b w:val="1"/>
                <w:bCs w:val="1"/>
                <w:color w:val="231F20"/>
              </w:rPr>
              <w:t>Total</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95"/>
              <w:spacing w:after="0"/>
              <w:rPr>
                <w:sz w:val="20"/>
                <w:szCs w:val="20"/>
                <w:color w:val="auto"/>
              </w:rPr>
            </w:pPr>
            <w:r>
              <w:rPr>
                <w:rFonts w:ascii="Arial" w:cs="Arial" w:eastAsia="Arial" w:hAnsi="Arial"/>
                <w:sz w:val="16"/>
                <w:szCs w:val="16"/>
                <w:color w:val="231F20"/>
              </w:rPr>
              <w:t>(MMBoe)</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40" w:type="dxa"/>
            <w:vAlign w:val="bottom"/>
          </w:tcPr>
          <w:p>
            <w:pPr>
              <w:jc w:val="right"/>
              <w:ind w:right="110"/>
              <w:spacing w:after="0"/>
              <w:rPr>
                <w:sz w:val="20"/>
                <w:szCs w:val="20"/>
                <w:color w:val="auto"/>
              </w:rPr>
            </w:pPr>
            <w:r>
              <w:rPr>
                <w:rFonts w:ascii="Arial" w:cs="Arial" w:eastAsia="Arial" w:hAnsi="Arial"/>
                <w:sz w:val="18"/>
                <w:szCs w:val="18"/>
                <w:b w:val="1"/>
                <w:bCs w:val="1"/>
                <w:color w:val="231F20"/>
                <w:w w:val="99"/>
              </w:rPr>
              <w:t xml:space="preserve">Balance at December 31, 2024  </w:t>
            </w:r>
            <w:r>
              <w:rPr>
                <w:rFonts w:ascii="Arial" w:cs="Arial" w:eastAsia="Arial" w:hAnsi="Arial"/>
                <w:sz w:val="18"/>
                <w:szCs w:val="18"/>
                <w:color w:val="231F20"/>
                <w:w w:val="99"/>
              </w:rPr>
              <w:t>. . .</w:t>
            </w:r>
          </w:p>
        </w:tc>
        <w:tc>
          <w:tcPr>
            <w:tcW w:w="1100" w:type="dxa"/>
            <w:vAlign w:val="bottom"/>
          </w:tcPr>
          <w:p>
            <w:pPr>
              <w:jc w:val="right"/>
              <w:ind w:right="312"/>
              <w:spacing w:after="0"/>
              <w:rPr>
                <w:sz w:val="20"/>
                <w:szCs w:val="20"/>
                <w:color w:val="auto"/>
              </w:rPr>
            </w:pPr>
            <w:r>
              <w:rPr>
                <w:rFonts w:ascii="Arial" w:cs="Arial" w:eastAsia="Arial" w:hAnsi="Arial"/>
                <w:sz w:val="18"/>
                <w:szCs w:val="18"/>
                <w:color w:val="231F20"/>
              </w:rPr>
              <w:t>441</w:t>
            </w:r>
          </w:p>
        </w:tc>
        <w:tc>
          <w:tcPr>
            <w:tcW w:w="1320" w:type="dxa"/>
            <w:vAlign w:val="bottom"/>
            <w:gridSpan w:val="2"/>
          </w:tcPr>
          <w:p>
            <w:pPr>
              <w:jc w:val="right"/>
              <w:ind w:right="334"/>
              <w:spacing w:after="0"/>
              <w:rPr>
                <w:sz w:val="20"/>
                <w:szCs w:val="20"/>
                <w:color w:val="auto"/>
              </w:rPr>
            </w:pPr>
            <w:r>
              <w:rPr>
                <w:rFonts w:ascii="Arial" w:cs="Arial" w:eastAsia="Arial" w:hAnsi="Arial"/>
                <w:sz w:val="18"/>
                <w:szCs w:val="18"/>
                <w:color w:val="231F20"/>
              </w:rPr>
              <w:t>78</w:t>
            </w:r>
          </w:p>
        </w:tc>
        <w:tc>
          <w:tcPr>
            <w:tcW w:w="1280" w:type="dxa"/>
            <w:vAlign w:val="bottom"/>
            <w:gridSpan w:val="2"/>
          </w:tcPr>
          <w:p>
            <w:pPr>
              <w:jc w:val="right"/>
              <w:ind w:right="375"/>
              <w:spacing w:after="0"/>
              <w:rPr>
                <w:sz w:val="20"/>
                <w:szCs w:val="20"/>
                <w:color w:val="auto"/>
              </w:rPr>
            </w:pPr>
            <w:r>
              <w:rPr>
                <w:rFonts w:ascii="Arial" w:cs="Arial" w:eastAsia="Arial" w:hAnsi="Arial"/>
                <w:sz w:val="18"/>
                <w:szCs w:val="18"/>
                <w:color w:val="231F20"/>
              </w:rPr>
              <w:t>3</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780" w:type="dxa"/>
            <w:vAlign w:val="bottom"/>
            <w:gridSpan w:val="2"/>
          </w:tcPr>
          <w:p>
            <w:pPr>
              <w:jc w:val="right"/>
              <w:ind w:right="115"/>
              <w:spacing w:after="0"/>
              <w:rPr>
                <w:sz w:val="20"/>
                <w:szCs w:val="20"/>
                <w:color w:val="auto"/>
              </w:rPr>
            </w:pPr>
            <w:r>
              <w:rPr>
                <w:rFonts w:ascii="Arial" w:cs="Arial" w:eastAsia="Arial" w:hAnsi="Arial"/>
                <w:sz w:val="18"/>
                <w:szCs w:val="18"/>
                <w:color w:val="231F20"/>
              </w:rPr>
              <w:t>23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231F20"/>
              </w:rPr>
              <w:t>545</w:t>
            </w:r>
          </w:p>
        </w:tc>
        <w:tc>
          <w:tcPr>
            <w:tcW w:w="0" w:type="dxa"/>
            <w:vAlign w:val="bottom"/>
          </w:tcPr>
          <w:p>
            <w:pPr>
              <w:spacing w:after="0"/>
              <w:rPr>
                <w:sz w:val="1"/>
                <w:szCs w:val="1"/>
                <w:color w:val="auto"/>
              </w:rPr>
            </w:pPr>
          </w:p>
        </w:tc>
      </w:tr>
      <w:tr>
        <w:trPr>
          <w:trHeight w:val="220"/>
        </w:trPr>
        <w:tc>
          <w:tcPr>
            <w:tcW w:w="3140" w:type="dxa"/>
            <w:vAlign w:val="bottom"/>
          </w:tcPr>
          <w:p>
            <w:pPr>
              <w:jc w:val="right"/>
              <w:ind w:right="110"/>
              <w:spacing w:after="0"/>
              <w:rPr>
                <w:sz w:val="20"/>
                <w:szCs w:val="20"/>
                <w:color w:val="auto"/>
              </w:rPr>
            </w:pPr>
            <w:r>
              <w:rPr>
                <w:rFonts w:ascii="Arial" w:cs="Arial" w:eastAsia="Arial" w:hAnsi="Arial"/>
                <w:sz w:val="18"/>
                <w:szCs w:val="18"/>
                <w:color w:val="231F20"/>
              </w:rPr>
              <w:t>Revisions related to price  . . . . . . .</w:t>
            </w:r>
          </w:p>
        </w:tc>
        <w:tc>
          <w:tcPr>
            <w:tcW w:w="1100" w:type="dxa"/>
            <w:vAlign w:val="bottom"/>
          </w:tcPr>
          <w:p>
            <w:pPr>
              <w:jc w:val="right"/>
              <w:ind w:right="252"/>
              <w:spacing w:after="0"/>
              <w:rPr>
                <w:sz w:val="20"/>
                <w:szCs w:val="20"/>
                <w:color w:val="auto"/>
              </w:rPr>
            </w:pPr>
            <w:r>
              <w:rPr>
                <w:rFonts w:ascii="Arial" w:cs="Arial" w:eastAsia="Arial" w:hAnsi="Arial"/>
                <w:sz w:val="18"/>
                <w:szCs w:val="18"/>
                <w:color w:val="231F20"/>
              </w:rPr>
              <w:t>(11)</w:t>
            </w:r>
          </w:p>
        </w:tc>
        <w:tc>
          <w:tcPr>
            <w:tcW w:w="1320" w:type="dxa"/>
            <w:vAlign w:val="bottom"/>
            <w:gridSpan w:val="2"/>
          </w:tcPr>
          <w:p>
            <w:pPr>
              <w:jc w:val="right"/>
              <w:ind w:right="274"/>
              <w:spacing w:after="0"/>
              <w:rPr>
                <w:sz w:val="20"/>
                <w:szCs w:val="20"/>
                <w:color w:val="auto"/>
              </w:rPr>
            </w:pPr>
            <w:r>
              <w:rPr>
                <w:rFonts w:ascii="Arial" w:cs="Arial" w:eastAsia="Arial" w:hAnsi="Arial"/>
                <w:sz w:val="18"/>
                <w:szCs w:val="18"/>
                <w:color w:val="231F20"/>
              </w:rPr>
              <w:t>(13)</w:t>
            </w:r>
          </w:p>
        </w:tc>
        <w:tc>
          <w:tcPr>
            <w:tcW w:w="1280" w:type="dxa"/>
            <w:vAlign w:val="bottom"/>
            <w:gridSpan w:val="2"/>
          </w:tcPr>
          <w:p>
            <w:pPr>
              <w:jc w:val="right"/>
              <w:ind w:right="315"/>
              <w:spacing w:after="0"/>
              <w:rPr>
                <w:sz w:val="20"/>
                <w:szCs w:val="20"/>
                <w:color w:val="auto"/>
              </w:rPr>
            </w:pPr>
            <w:r>
              <w:rPr>
                <w:rFonts w:ascii="Arial" w:cs="Arial" w:eastAsia="Arial" w:hAnsi="Arial"/>
                <w:sz w:val="18"/>
                <w:szCs w:val="18"/>
                <w:color w:val="231F20"/>
              </w:rPr>
              <w:t>(2)</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780" w:type="dxa"/>
            <w:vAlign w:val="bottom"/>
            <w:gridSpan w:val="2"/>
          </w:tcPr>
          <w:p>
            <w:pPr>
              <w:jc w:val="right"/>
              <w:ind w:right="115"/>
              <w:spacing w:after="0"/>
              <w:rPr>
                <w:sz w:val="20"/>
                <w:szCs w:val="20"/>
                <w:color w:val="auto"/>
              </w:rPr>
            </w:pPr>
            <w:r>
              <w:rPr>
                <w:rFonts w:ascii="Arial" w:cs="Arial" w:eastAsia="Arial" w:hAnsi="Arial"/>
                <w:sz w:val="18"/>
                <w:szCs w:val="18"/>
                <w:color w:val="231F20"/>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231F20"/>
              </w:rPr>
              <w:t>(25)</w:t>
            </w:r>
          </w:p>
        </w:tc>
        <w:tc>
          <w:tcPr>
            <w:tcW w:w="0" w:type="dxa"/>
            <w:vAlign w:val="bottom"/>
          </w:tcPr>
          <w:p>
            <w:pPr>
              <w:spacing w:after="0"/>
              <w:rPr>
                <w:sz w:val="1"/>
                <w:szCs w:val="1"/>
                <w:color w:val="auto"/>
              </w:rPr>
            </w:pPr>
          </w:p>
        </w:tc>
      </w:tr>
      <w:tr>
        <w:trPr>
          <w:trHeight w:val="220"/>
        </w:trPr>
        <w:tc>
          <w:tcPr>
            <w:tcW w:w="3140" w:type="dxa"/>
            <w:vAlign w:val="bottom"/>
          </w:tcPr>
          <w:p>
            <w:pPr>
              <w:jc w:val="right"/>
              <w:ind w:right="1290"/>
              <w:spacing w:after="0"/>
              <w:rPr>
                <w:sz w:val="20"/>
                <w:szCs w:val="20"/>
                <w:color w:val="auto"/>
              </w:rPr>
            </w:pPr>
            <w:r>
              <w:rPr>
                <w:rFonts w:ascii="Arial" w:cs="Arial" w:eastAsia="Arial" w:hAnsi="Arial"/>
                <w:sz w:val="18"/>
                <w:szCs w:val="18"/>
                <w:color w:val="231F20"/>
              </w:rPr>
              <w:t>Revisions related to</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jc w:val="right"/>
              <w:ind w:right="110"/>
              <w:spacing w:after="0"/>
              <w:rPr>
                <w:sz w:val="20"/>
                <w:szCs w:val="20"/>
                <w:color w:val="auto"/>
              </w:rPr>
            </w:pPr>
            <w:r>
              <w:rPr>
                <w:rFonts w:ascii="Arial" w:cs="Arial" w:eastAsia="Arial" w:hAnsi="Arial"/>
                <w:sz w:val="18"/>
                <w:szCs w:val="18"/>
                <w:color w:val="231F20"/>
              </w:rPr>
              <w:t>performance . . . . . . . . . . . . . . . . . .</w:t>
            </w:r>
          </w:p>
        </w:tc>
        <w:tc>
          <w:tcPr>
            <w:tcW w:w="1100" w:type="dxa"/>
            <w:vAlign w:val="bottom"/>
          </w:tcPr>
          <w:p>
            <w:pPr>
              <w:jc w:val="right"/>
              <w:ind w:right="312"/>
              <w:spacing w:after="0"/>
              <w:rPr>
                <w:sz w:val="20"/>
                <w:szCs w:val="20"/>
                <w:color w:val="auto"/>
              </w:rPr>
            </w:pPr>
            <w:r>
              <w:rPr>
                <w:rFonts w:ascii="Arial" w:cs="Arial" w:eastAsia="Arial" w:hAnsi="Arial"/>
                <w:sz w:val="18"/>
                <w:szCs w:val="18"/>
                <w:color w:val="231F20"/>
              </w:rPr>
              <w:t>49</w:t>
            </w:r>
          </w:p>
        </w:tc>
        <w:tc>
          <w:tcPr>
            <w:tcW w:w="1320" w:type="dxa"/>
            <w:vAlign w:val="bottom"/>
            <w:gridSpan w:val="2"/>
          </w:tcPr>
          <w:p>
            <w:pPr>
              <w:jc w:val="right"/>
              <w:ind w:right="334"/>
              <w:spacing w:after="0"/>
              <w:rPr>
                <w:sz w:val="20"/>
                <w:szCs w:val="20"/>
                <w:color w:val="auto"/>
              </w:rPr>
            </w:pPr>
            <w:r>
              <w:rPr>
                <w:rFonts w:ascii="Arial" w:cs="Arial" w:eastAsia="Arial" w:hAnsi="Arial"/>
                <w:sz w:val="18"/>
                <w:szCs w:val="18"/>
                <w:color w:val="231F20"/>
              </w:rPr>
              <w:t>6</w:t>
            </w:r>
          </w:p>
        </w:tc>
        <w:tc>
          <w:tcPr>
            <w:tcW w:w="1280" w:type="dxa"/>
            <w:vAlign w:val="bottom"/>
            <w:gridSpan w:val="2"/>
          </w:tcPr>
          <w:p>
            <w:pPr>
              <w:jc w:val="right"/>
              <w:ind w:right="375"/>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780" w:type="dxa"/>
            <w:vAlign w:val="bottom"/>
            <w:gridSpan w:val="2"/>
          </w:tcPr>
          <w:p>
            <w:pPr>
              <w:jc w:val="right"/>
              <w:ind w:right="115"/>
              <w:spacing w:after="0"/>
              <w:rPr>
                <w:sz w:val="20"/>
                <w:szCs w:val="20"/>
                <w:color w:val="auto"/>
              </w:rPr>
            </w:pPr>
            <w:r>
              <w:rPr>
                <w:rFonts w:ascii="Arial" w:cs="Arial" w:eastAsia="Arial" w:hAnsi="Arial"/>
                <w:sz w:val="18"/>
                <w:szCs w:val="18"/>
                <w:color w:val="231F20"/>
              </w:rPr>
              <w:t>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231F20"/>
              </w:rPr>
              <w:t>61</w:t>
            </w:r>
          </w:p>
        </w:tc>
        <w:tc>
          <w:tcPr>
            <w:tcW w:w="0" w:type="dxa"/>
            <w:vAlign w:val="bottom"/>
          </w:tcPr>
          <w:p>
            <w:pPr>
              <w:spacing w:after="0"/>
              <w:rPr>
                <w:sz w:val="1"/>
                <w:szCs w:val="1"/>
                <w:color w:val="auto"/>
              </w:rPr>
            </w:pPr>
          </w:p>
        </w:tc>
      </w:tr>
      <w:tr>
        <w:trPr>
          <w:trHeight w:val="220"/>
        </w:trPr>
        <w:tc>
          <w:tcPr>
            <w:tcW w:w="3140" w:type="dxa"/>
            <w:vAlign w:val="bottom"/>
          </w:tcPr>
          <w:p>
            <w:pPr>
              <w:jc w:val="right"/>
              <w:ind w:right="110"/>
              <w:spacing w:after="0"/>
              <w:rPr>
                <w:sz w:val="20"/>
                <w:szCs w:val="20"/>
                <w:color w:val="auto"/>
              </w:rPr>
            </w:pPr>
            <w:r>
              <w:rPr>
                <w:rFonts w:ascii="Arial" w:cs="Arial" w:eastAsia="Arial" w:hAnsi="Arial"/>
                <w:sz w:val="18"/>
                <w:szCs w:val="18"/>
                <w:color w:val="231F20"/>
              </w:rPr>
              <w:t>Extensions and discoveries . . . . . .</w:t>
            </w:r>
          </w:p>
        </w:tc>
        <w:tc>
          <w:tcPr>
            <w:tcW w:w="1100" w:type="dxa"/>
            <w:vAlign w:val="bottom"/>
          </w:tcPr>
          <w:p>
            <w:pPr>
              <w:jc w:val="right"/>
              <w:ind w:right="312"/>
              <w:spacing w:after="0"/>
              <w:rPr>
                <w:sz w:val="20"/>
                <w:szCs w:val="20"/>
                <w:color w:val="auto"/>
              </w:rPr>
            </w:pPr>
            <w:r>
              <w:rPr>
                <w:rFonts w:ascii="Arial" w:cs="Arial" w:eastAsia="Arial" w:hAnsi="Arial"/>
                <w:sz w:val="18"/>
                <w:szCs w:val="18"/>
                <w:color w:val="231F20"/>
              </w:rPr>
              <w:t>3</w:t>
            </w:r>
          </w:p>
        </w:tc>
        <w:tc>
          <w:tcPr>
            <w:tcW w:w="200" w:type="dxa"/>
            <w:vAlign w:val="bottom"/>
          </w:tcPr>
          <w:p>
            <w:pPr>
              <w:spacing w:after="0"/>
              <w:rPr>
                <w:sz w:val="19"/>
                <w:szCs w:val="19"/>
                <w:color w:val="auto"/>
              </w:rPr>
            </w:pPr>
          </w:p>
        </w:tc>
        <w:tc>
          <w:tcPr>
            <w:tcW w:w="1120" w:type="dxa"/>
            <w:vAlign w:val="bottom"/>
          </w:tcPr>
          <w:p>
            <w:pPr>
              <w:jc w:val="right"/>
              <w:ind w:right="334"/>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80" w:type="dxa"/>
            <w:vAlign w:val="bottom"/>
          </w:tcPr>
          <w:p>
            <w:pPr>
              <w:jc w:val="right"/>
              <w:ind w:right="375"/>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15"/>
              <w:spacing w:after="0"/>
              <w:rPr>
                <w:sz w:val="20"/>
                <w:szCs w:val="20"/>
                <w:color w:val="auto"/>
              </w:rPr>
            </w:pPr>
            <w:r>
              <w:rPr>
                <w:rFonts w:ascii="Arial" w:cs="Arial" w:eastAsia="Arial" w:hAnsi="Arial"/>
                <w:sz w:val="18"/>
                <w:szCs w:val="18"/>
                <w:color w:val="231F20"/>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231F20"/>
              </w:rPr>
              <w:t>3</w:t>
            </w:r>
          </w:p>
        </w:tc>
        <w:tc>
          <w:tcPr>
            <w:tcW w:w="0" w:type="dxa"/>
            <w:vAlign w:val="bottom"/>
          </w:tcPr>
          <w:p>
            <w:pPr>
              <w:spacing w:after="0"/>
              <w:rPr>
                <w:sz w:val="1"/>
                <w:szCs w:val="1"/>
                <w:color w:val="auto"/>
              </w:rPr>
            </w:pPr>
          </w:p>
        </w:tc>
      </w:tr>
      <w:tr>
        <w:trPr>
          <w:trHeight w:val="220"/>
        </w:trPr>
        <w:tc>
          <w:tcPr>
            <w:tcW w:w="3140" w:type="dxa"/>
            <w:vAlign w:val="bottom"/>
          </w:tcPr>
          <w:p>
            <w:pPr>
              <w:jc w:val="right"/>
              <w:ind w:right="110"/>
              <w:spacing w:after="0"/>
              <w:rPr>
                <w:sz w:val="20"/>
                <w:szCs w:val="20"/>
                <w:color w:val="auto"/>
              </w:rPr>
            </w:pPr>
            <w:r>
              <w:rPr>
                <w:rFonts w:ascii="Arial" w:cs="Arial" w:eastAsia="Arial" w:hAnsi="Arial"/>
                <w:sz w:val="18"/>
                <w:szCs w:val="18"/>
                <w:color w:val="231F20"/>
              </w:rPr>
              <w:t>Improved recovery . . . . . . . . . . . . .</w:t>
            </w:r>
          </w:p>
        </w:tc>
        <w:tc>
          <w:tcPr>
            <w:tcW w:w="1100" w:type="dxa"/>
            <w:vAlign w:val="bottom"/>
          </w:tcPr>
          <w:p>
            <w:pPr>
              <w:jc w:val="right"/>
              <w:ind w:right="312"/>
              <w:spacing w:after="0"/>
              <w:rPr>
                <w:sz w:val="20"/>
                <w:szCs w:val="20"/>
                <w:color w:val="auto"/>
              </w:rPr>
            </w:pPr>
            <w:r>
              <w:rPr>
                <w:rFonts w:ascii="Arial" w:cs="Arial" w:eastAsia="Arial" w:hAnsi="Arial"/>
                <w:sz w:val="18"/>
                <w:szCs w:val="18"/>
                <w:color w:val="231F20"/>
              </w:rPr>
              <w:t>26</w:t>
            </w:r>
          </w:p>
        </w:tc>
        <w:tc>
          <w:tcPr>
            <w:tcW w:w="200" w:type="dxa"/>
            <w:vAlign w:val="bottom"/>
          </w:tcPr>
          <w:p>
            <w:pPr>
              <w:spacing w:after="0"/>
              <w:rPr>
                <w:sz w:val="19"/>
                <w:szCs w:val="19"/>
                <w:color w:val="auto"/>
              </w:rPr>
            </w:pPr>
          </w:p>
        </w:tc>
        <w:tc>
          <w:tcPr>
            <w:tcW w:w="1120" w:type="dxa"/>
            <w:vAlign w:val="bottom"/>
          </w:tcPr>
          <w:p>
            <w:pPr>
              <w:jc w:val="right"/>
              <w:ind w:right="334"/>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80" w:type="dxa"/>
            <w:vAlign w:val="bottom"/>
          </w:tcPr>
          <w:p>
            <w:pPr>
              <w:jc w:val="right"/>
              <w:ind w:right="375"/>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780" w:type="dxa"/>
            <w:vAlign w:val="bottom"/>
            <w:gridSpan w:val="2"/>
          </w:tcPr>
          <w:p>
            <w:pPr>
              <w:jc w:val="right"/>
              <w:ind w:right="115"/>
              <w:spacing w:after="0"/>
              <w:rPr>
                <w:sz w:val="20"/>
                <w:szCs w:val="20"/>
                <w:color w:val="auto"/>
              </w:rPr>
            </w:pPr>
            <w:r>
              <w:rPr>
                <w:rFonts w:ascii="Arial" w:cs="Arial" w:eastAsia="Arial" w:hAnsi="Arial"/>
                <w:sz w:val="18"/>
                <w:szCs w:val="18"/>
                <w:color w:val="231F20"/>
              </w:rPr>
              <w:t>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231F20"/>
              </w:rPr>
              <w:t>27</w:t>
            </w:r>
          </w:p>
        </w:tc>
        <w:tc>
          <w:tcPr>
            <w:tcW w:w="0" w:type="dxa"/>
            <w:vAlign w:val="bottom"/>
          </w:tcPr>
          <w:p>
            <w:pPr>
              <w:spacing w:after="0"/>
              <w:rPr>
                <w:sz w:val="1"/>
                <w:szCs w:val="1"/>
                <w:color w:val="auto"/>
              </w:rPr>
            </w:pPr>
          </w:p>
        </w:tc>
      </w:tr>
      <w:tr>
        <w:trPr>
          <w:trHeight w:val="220"/>
        </w:trPr>
        <w:tc>
          <w:tcPr>
            <w:tcW w:w="3140" w:type="dxa"/>
            <w:vAlign w:val="bottom"/>
          </w:tcPr>
          <w:p>
            <w:pPr>
              <w:jc w:val="right"/>
              <w:ind w:right="110"/>
              <w:spacing w:after="0"/>
              <w:rPr>
                <w:sz w:val="20"/>
                <w:szCs w:val="20"/>
                <w:color w:val="auto"/>
              </w:rPr>
            </w:pPr>
            <w:r>
              <w:rPr>
                <w:rFonts w:ascii="Arial" w:cs="Arial" w:eastAsia="Arial" w:hAnsi="Arial"/>
                <w:sz w:val="18"/>
                <w:szCs w:val="18"/>
                <w:color w:val="231F20"/>
              </w:rPr>
              <w:t>Acquisitions and divestitures . . . . .</w:t>
            </w:r>
          </w:p>
        </w:tc>
        <w:tc>
          <w:tcPr>
            <w:tcW w:w="1100" w:type="dxa"/>
            <w:vAlign w:val="bottom"/>
          </w:tcPr>
          <w:p>
            <w:pPr>
              <w:jc w:val="right"/>
              <w:ind w:right="312"/>
              <w:spacing w:after="0"/>
              <w:rPr>
                <w:sz w:val="20"/>
                <w:szCs w:val="20"/>
                <w:color w:val="auto"/>
              </w:rPr>
            </w:pPr>
            <w:r>
              <w:rPr>
                <w:rFonts w:ascii="Arial" w:cs="Arial" w:eastAsia="Arial" w:hAnsi="Arial"/>
                <w:sz w:val="18"/>
                <w:szCs w:val="18"/>
                <w:color w:val="231F20"/>
              </w:rPr>
              <w:t>61</w:t>
            </w:r>
          </w:p>
        </w:tc>
        <w:tc>
          <w:tcPr>
            <w:tcW w:w="200" w:type="dxa"/>
            <w:vAlign w:val="bottom"/>
          </w:tcPr>
          <w:p>
            <w:pPr>
              <w:spacing w:after="0"/>
              <w:rPr>
                <w:sz w:val="19"/>
                <w:szCs w:val="19"/>
                <w:color w:val="auto"/>
              </w:rPr>
            </w:pPr>
          </w:p>
        </w:tc>
        <w:tc>
          <w:tcPr>
            <w:tcW w:w="1120" w:type="dxa"/>
            <w:vAlign w:val="bottom"/>
          </w:tcPr>
          <w:p>
            <w:pPr>
              <w:jc w:val="right"/>
              <w:ind w:right="334"/>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80" w:type="dxa"/>
            <w:vAlign w:val="bottom"/>
          </w:tcPr>
          <w:p>
            <w:pPr>
              <w:jc w:val="right"/>
              <w:ind w:right="375"/>
              <w:spacing w:after="0"/>
              <w:rPr>
                <w:sz w:val="20"/>
                <w:szCs w:val="20"/>
                <w:color w:val="auto"/>
              </w:rPr>
            </w:pPr>
            <w:r>
              <w:rPr>
                <w:rFonts w:ascii="Arial" w:cs="Arial" w:eastAsia="Arial" w:hAnsi="Arial"/>
                <w:sz w:val="18"/>
                <w:szCs w:val="18"/>
                <w:color w:val="231F20"/>
              </w:rPr>
              <w:t>—</w:t>
            </w: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231F20"/>
              </w:rPr>
              <w:t>32</w:t>
            </w:r>
          </w:p>
        </w:tc>
        <w:tc>
          <w:tcPr>
            <w:tcW w:w="200" w:type="dxa"/>
            <w:vAlign w:val="bottom"/>
          </w:tcPr>
          <w:p>
            <w:pPr>
              <w:spacing w:after="0"/>
              <w:rPr>
                <w:sz w:val="19"/>
                <w:szCs w:val="19"/>
                <w:color w:val="auto"/>
              </w:rPr>
            </w:pPr>
          </w:p>
        </w:tc>
        <w:tc>
          <w:tcPr>
            <w:tcW w:w="580" w:type="dxa"/>
            <w:vAlign w:val="bottom"/>
          </w:tcPr>
          <w:p>
            <w:pPr>
              <w:jc w:val="right"/>
              <w:ind w:right="115"/>
              <w:spacing w:after="0"/>
              <w:rPr>
                <w:sz w:val="20"/>
                <w:szCs w:val="20"/>
                <w:color w:val="auto"/>
              </w:rPr>
            </w:pPr>
            <w:r>
              <w:rPr>
                <w:rFonts w:ascii="Arial" w:cs="Arial" w:eastAsia="Arial" w:hAnsi="Arial"/>
                <w:sz w:val="18"/>
                <w:szCs w:val="18"/>
                <w:color w:val="231F20"/>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231F20"/>
              </w:rPr>
              <w:t>93</w:t>
            </w:r>
          </w:p>
        </w:tc>
        <w:tc>
          <w:tcPr>
            <w:tcW w:w="0" w:type="dxa"/>
            <w:vAlign w:val="bottom"/>
          </w:tcPr>
          <w:p>
            <w:pPr>
              <w:spacing w:after="0"/>
              <w:rPr>
                <w:sz w:val="1"/>
                <w:szCs w:val="1"/>
                <w:color w:val="auto"/>
              </w:rPr>
            </w:pPr>
          </w:p>
        </w:tc>
      </w:tr>
      <w:tr>
        <w:trPr>
          <w:trHeight w:val="220"/>
        </w:trPr>
        <w:tc>
          <w:tcPr>
            <w:tcW w:w="3140" w:type="dxa"/>
            <w:vAlign w:val="bottom"/>
          </w:tcPr>
          <w:p>
            <w:pPr>
              <w:jc w:val="right"/>
              <w:ind w:right="110"/>
              <w:spacing w:after="0"/>
              <w:rPr>
                <w:sz w:val="20"/>
                <w:szCs w:val="20"/>
                <w:color w:val="auto"/>
              </w:rPr>
            </w:pPr>
            <w:r>
              <w:rPr>
                <w:rFonts w:ascii="Arial" w:cs="Arial" w:eastAsia="Arial" w:hAnsi="Arial"/>
                <w:sz w:val="18"/>
                <w:szCs w:val="18"/>
                <w:color w:val="231F20"/>
              </w:rPr>
              <w:t>Production  . . . . . . . . . . . . . . . . . . .</w:t>
            </w:r>
          </w:p>
        </w:tc>
        <w:tc>
          <w:tcPr>
            <w:tcW w:w="1100" w:type="dxa"/>
            <w:vAlign w:val="bottom"/>
          </w:tcPr>
          <w:p>
            <w:pPr>
              <w:jc w:val="right"/>
              <w:ind w:right="252"/>
              <w:spacing w:after="0"/>
              <w:rPr>
                <w:sz w:val="20"/>
                <w:szCs w:val="20"/>
                <w:color w:val="auto"/>
              </w:rPr>
            </w:pPr>
            <w:r>
              <w:rPr>
                <w:rFonts w:ascii="Arial" w:cs="Arial" w:eastAsia="Arial" w:hAnsi="Arial"/>
                <w:sz w:val="18"/>
                <w:szCs w:val="18"/>
                <w:color w:val="231F20"/>
              </w:rPr>
              <w:t>(40)</w:t>
            </w:r>
          </w:p>
        </w:tc>
        <w:tc>
          <w:tcPr>
            <w:tcW w:w="1320" w:type="dxa"/>
            <w:vAlign w:val="bottom"/>
            <w:gridSpan w:val="2"/>
          </w:tcPr>
          <w:p>
            <w:pPr>
              <w:jc w:val="right"/>
              <w:ind w:right="274"/>
              <w:spacing w:after="0"/>
              <w:rPr>
                <w:sz w:val="20"/>
                <w:szCs w:val="20"/>
                <w:color w:val="auto"/>
              </w:rPr>
            </w:pPr>
            <w:r>
              <w:rPr>
                <w:rFonts w:ascii="Arial" w:cs="Arial" w:eastAsia="Arial" w:hAnsi="Arial"/>
                <w:sz w:val="18"/>
                <w:szCs w:val="18"/>
                <w:color w:val="231F20"/>
              </w:rPr>
              <w:t>(6)</w:t>
            </w:r>
          </w:p>
        </w:tc>
        <w:tc>
          <w:tcPr>
            <w:tcW w:w="1280" w:type="dxa"/>
            <w:vAlign w:val="bottom"/>
            <w:gridSpan w:val="2"/>
          </w:tcPr>
          <w:p>
            <w:pPr>
              <w:jc w:val="right"/>
              <w:ind w:right="315"/>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780" w:type="dxa"/>
            <w:vAlign w:val="bottom"/>
            <w:gridSpan w:val="2"/>
          </w:tcPr>
          <w:p>
            <w:pPr>
              <w:jc w:val="right"/>
              <w:ind w:right="55"/>
              <w:spacing w:after="0"/>
              <w:rPr>
                <w:sz w:val="20"/>
                <w:szCs w:val="20"/>
                <w:color w:val="auto"/>
              </w:rPr>
            </w:pPr>
            <w:r>
              <w:rPr>
                <w:rFonts w:ascii="Arial" w:cs="Arial" w:eastAsia="Arial" w:hAnsi="Arial"/>
                <w:sz w:val="18"/>
                <w:szCs w:val="18"/>
                <w:color w:val="231F20"/>
              </w:rPr>
              <w:t>(3)</w:t>
            </w:r>
          </w:p>
        </w:tc>
        <w:tc>
          <w:tcPr>
            <w:tcW w:w="740" w:type="dxa"/>
            <w:vAlign w:val="bottom"/>
            <w:gridSpan w:val="2"/>
          </w:tcPr>
          <w:p>
            <w:pPr>
              <w:jc w:val="right"/>
              <w:spacing w:after="0"/>
              <w:rPr>
                <w:sz w:val="20"/>
                <w:szCs w:val="20"/>
                <w:color w:val="auto"/>
              </w:rPr>
            </w:pPr>
            <w:r>
              <w:rPr>
                <w:rFonts w:ascii="Arial" w:cs="Arial" w:eastAsia="Arial" w:hAnsi="Arial"/>
                <w:sz w:val="18"/>
                <w:szCs w:val="18"/>
                <w:color w:val="231F20"/>
              </w:rPr>
              <w:t>(50)</w:t>
            </w:r>
          </w:p>
        </w:tc>
        <w:tc>
          <w:tcPr>
            <w:tcW w:w="0" w:type="dxa"/>
            <w:vAlign w:val="bottom"/>
          </w:tcPr>
          <w:p>
            <w:pPr>
              <w:spacing w:after="0"/>
              <w:rPr>
                <w:sz w:val="1"/>
                <w:szCs w:val="1"/>
                <w:color w:val="auto"/>
              </w:rPr>
            </w:pPr>
          </w:p>
        </w:tc>
      </w:tr>
      <w:tr>
        <w:trPr>
          <w:trHeight w:val="34"/>
        </w:trPr>
        <w:tc>
          <w:tcPr>
            <w:tcW w:w="31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31F20"/>
                <w:w w:val="99"/>
              </w:rPr>
              <w:t xml:space="preserve">Balance at December 31, 2025  </w:t>
            </w:r>
            <w:r>
              <w:rPr>
                <w:rFonts w:ascii="Arial" w:cs="Arial" w:eastAsia="Arial" w:hAnsi="Arial"/>
                <w:sz w:val="18"/>
                <w:szCs w:val="18"/>
                <w:color w:val="231F20"/>
                <w:w w:val="99"/>
              </w:rPr>
              <w:t>. . .</w:t>
            </w: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140" w:type="dxa"/>
            <w:vAlign w:val="bottom"/>
            <w:vMerge w:val="continue"/>
          </w:tcPr>
          <w:p>
            <w:pPr>
              <w:spacing w:after="0"/>
              <w:rPr>
                <w:sz w:val="21"/>
                <w:szCs w:val="21"/>
                <w:color w:val="auto"/>
              </w:rPr>
            </w:pPr>
          </w:p>
        </w:tc>
        <w:tc>
          <w:tcPr>
            <w:tcW w:w="1100" w:type="dxa"/>
            <w:vAlign w:val="bottom"/>
          </w:tcPr>
          <w:p>
            <w:pPr>
              <w:jc w:val="right"/>
              <w:ind w:right="312"/>
              <w:spacing w:after="0"/>
              <w:rPr>
                <w:sz w:val="20"/>
                <w:szCs w:val="20"/>
                <w:color w:val="auto"/>
              </w:rPr>
            </w:pPr>
            <w:r>
              <w:rPr>
                <w:rFonts w:ascii="Arial" w:cs="Arial" w:eastAsia="Arial" w:hAnsi="Arial"/>
                <w:sz w:val="18"/>
                <w:szCs w:val="18"/>
                <w:color w:val="231F20"/>
              </w:rPr>
              <w:t>529</w:t>
            </w:r>
          </w:p>
        </w:tc>
        <w:tc>
          <w:tcPr>
            <w:tcW w:w="1320" w:type="dxa"/>
            <w:vAlign w:val="bottom"/>
            <w:gridSpan w:val="2"/>
          </w:tcPr>
          <w:p>
            <w:pPr>
              <w:jc w:val="right"/>
              <w:ind w:right="334"/>
              <w:spacing w:after="0"/>
              <w:rPr>
                <w:sz w:val="20"/>
                <w:szCs w:val="20"/>
                <w:color w:val="auto"/>
              </w:rPr>
            </w:pPr>
            <w:r>
              <w:rPr>
                <w:rFonts w:ascii="Arial" w:cs="Arial" w:eastAsia="Arial" w:hAnsi="Arial"/>
                <w:sz w:val="18"/>
                <w:szCs w:val="18"/>
                <w:color w:val="231F20"/>
              </w:rPr>
              <w:t>65</w:t>
            </w:r>
          </w:p>
        </w:tc>
        <w:tc>
          <w:tcPr>
            <w:tcW w:w="1280" w:type="dxa"/>
            <w:vAlign w:val="bottom"/>
            <w:gridSpan w:val="2"/>
          </w:tcPr>
          <w:p>
            <w:pPr>
              <w:jc w:val="right"/>
              <w:ind w:right="375"/>
              <w:spacing w:after="0"/>
              <w:rPr>
                <w:sz w:val="20"/>
                <w:szCs w:val="20"/>
                <w:color w:val="auto"/>
              </w:rPr>
            </w:pPr>
            <w:r>
              <w:rPr>
                <w:rFonts w:ascii="Arial" w:cs="Arial" w:eastAsia="Arial" w:hAnsi="Arial"/>
                <w:sz w:val="18"/>
                <w:szCs w:val="18"/>
                <w:color w:val="231F20"/>
              </w:rPr>
              <w:t>1</w:t>
            </w: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231F20"/>
              </w:rPr>
              <w:t>32</w:t>
            </w:r>
          </w:p>
        </w:tc>
        <w:tc>
          <w:tcPr>
            <w:tcW w:w="780" w:type="dxa"/>
            <w:vAlign w:val="bottom"/>
            <w:gridSpan w:val="2"/>
          </w:tcPr>
          <w:p>
            <w:pPr>
              <w:jc w:val="right"/>
              <w:ind w:right="115"/>
              <w:spacing w:after="0"/>
              <w:rPr>
                <w:sz w:val="20"/>
                <w:szCs w:val="20"/>
                <w:color w:val="auto"/>
              </w:rPr>
            </w:pPr>
            <w:r>
              <w:rPr>
                <w:rFonts w:ascii="Arial" w:cs="Arial" w:eastAsia="Arial" w:hAnsi="Arial"/>
                <w:sz w:val="18"/>
                <w:szCs w:val="18"/>
                <w:color w:val="231F20"/>
              </w:rPr>
              <w:t>27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231F20"/>
              </w:rPr>
              <w:t>654</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231F20"/>
        </w:rPr>
        <w:t>(a)</w:t>
      </w:r>
      <w:r>
        <w:rPr>
          <w:sz w:val="20"/>
          <w:szCs w:val="20"/>
          <w:color w:val="auto"/>
        </w:rPr>
        <w:tab/>
      </w:r>
      <w:r>
        <w:rPr>
          <w:rFonts w:ascii="Arial" w:cs="Arial" w:eastAsia="Arial" w:hAnsi="Arial"/>
          <w:sz w:val="15"/>
          <w:szCs w:val="15"/>
          <w:color w:val="231F20"/>
        </w:rPr>
        <w:t>Includes proved reserves related to PSCs of 51 MMBoe and 62 MMBoe at December 31, 2025 and 2024, respectively.</w:t>
      </w:r>
    </w:p>
    <w:p>
      <w:pPr>
        <w:spacing w:after="0" w:line="221"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231F20"/>
        </w:rPr>
        <w:t xml:space="preserve">Revisions related to price </w:t>
      </w:r>
      <w:r>
        <w:rPr>
          <w:rFonts w:ascii="Arial" w:cs="Arial" w:eastAsia="Arial" w:hAnsi="Arial"/>
          <w:sz w:val="20"/>
          <w:szCs w:val="20"/>
          <w:color w:val="231F20"/>
        </w:rPr>
        <w:t>– We had net negative price-related revisions of 25 MMBoe. Included in</w:t>
      </w:r>
      <w:r>
        <w:rPr>
          <w:rFonts w:ascii="Arial" w:cs="Arial" w:eastAsia="Arial" w:hAnsi="Arial"/>
          <w:sz w:val="20"/>
          <w:szCs w:val="20"/>
          <w:i w:val="1"/>
          <w:iCs w:val="1"/>
          <w:color w:val="231F20"/>
        </w:rPr>
        <w:t xml:space="preserve"> </w:t>
      </w:r>
      <w:r>
        <w:rPr>
          <w:rFonts w:ascii="Arial" w:cs="Arial" w:eastAsia="Arial" w:hAnsi="Arial"/>
          <w:sz w:val="20"/>
          <w:szCs w:val="20"/>
          <w:color w:val="231F20"/>
        </w:rPr>
        <w:t>these revisions are negative price-related revisions of 37 MMboe, which were partially offset by 23 MMBoe of positive revisions. These negative revisions are primarily a result of lower average realized SEC Prices in 2025 as compared to 2024, including lower natural gas realizations in certain areas. These negative revisions were partially offset by positive revisions primarily from lower operating costs related to steamflood management.</w:t>
      </w:r>
    </w:p>
    <w:p>
      <w:pPr>
        <w:spacing w:after="0" w:line="212"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231F20"/>
        </w:rPr>
        <w:t xml:space="preserve">Also included in the net negative price-related revisions are negative revisions of 12 MMBoe offset by 1 MMBoe of positive revisions, which were due the extension of the cap-and-invest program. The majority of these revisions were located in the San Joaquin basin. See </w:t>
      </w:r>
      <w:r>
        <w:rPr>
          <w:rFonts w:ascii="Arial" w:cs="Arial" w:eastAsia="Arial" w:hAnsi="Arial"/>
          <w:sz w:val="20"/>
          <w:szCs w:val="20"/>
          <w:i w:val="1"/>
          <w:iCs w:val="1"/>
          <w:color w:val="231F20"/>
        </w:rPr>
        <w:t>Regulation of the Industries in</w:t>
      </w:r>
      <w:r>
        <w:rPr>
          <w:rFonts w:ascii="Arial" w:cs="Arial" w:eastAsia="Arial" w:hAnsi="Arial"/>
          <w:sz w:val="20"/>
          <w:szCs w:val="20"/>
          <w:color w:val="231F20"/>
        </w:rPr>
        <w:t xml:space="preserve"> </w:t>
      </w:r>
      <w:r>
        <w:rPr>
          <w:rFonts w:ascii="Arial" w:cs="Arial" w:eastAsia="Arial" w:hAnsi="Arial"/>
          <w:sz w:val="20"/>
          <w:szCs w:val="20"/>
          <w:i w:val="1"/>
          <w:iCs w:val="1"/>
          <w:color w:val="231F20"/>
        </w:rPr>
        <w:t>Which We Operate, Regulation of Exploration and Production Activities</w:t>
      </w:r>
      <w:r>
        <w:rPr>
          <w:rFonts w:ascii="Arial" w:cs="Arial" w:eastAsia="Arial" w:hAnsi="Arial"/>
          <w:sz w:val="20"/>
          <w:szCs w:val="20"/>
          <w:color w:val="231F20"/>
        </w:rPr>
        <w:t>.</w:t>
      </w:r>
    </w:p>
    <w:p>
      <w:pPr>
        <w:spacing w:after="0" w:line="205"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i w:val="1"/>
          <w:iCs w:val="1"/>
          <w:color w:val="231F20"/>
        </w:rPr>
        <w:t xml:space="preserve">Revisions related to performance </w:t>
      </w:r>
      <w:r>
        <w:rPr>
          <w:rFonts w:ascii="Arial" w:cs="Arial" w:eastAsia="Arial" w:hAnsi="Arial"/>
          <w:sz w:val="20"/>
          <w:szCs w:val="20"/>
          <w:color w:val="231F20"/>
        </w:rPr>
        <w:t>– We had 61 MMBoe of net positive performance-related</w:t>
      </w:r>
      <w:r>
        <w:rPr>
          <w:rFonts w:ascii="Arial" w:cs="Arial" w:eastAsia="Arial" w:hAnsi="Arial"/>
          <w:sz w:val="20"/>
          <w:szCs w:val="20"/>
          <w:i w:val="1"/>
          <w:iCs w:val="1"/>
          <w:color w:val="231F20"/>
        </w:rPr>
        <w:t xml:space="preserve"> </w:t>
      </w:r>
      <w:r>
        <w:rPr>
          <w:rFonts w:ascii="Arial" w:cs="Arial" w:eastAsia="Arial" w:hAnsi="Arial"/>
          <w:sz w:val="20"/>
          <w:szCs w:val="20"/>
          <w:color w:val="231F20"/>
        </w:rPr>
        <w:t>revisions which included positive performance-related revisions of 80 MMBoe and negative performance-related revisions of 19 MMBoe. Our positive performance-related revisions primarily related to additional drilling activity in the San Joaquin basin, maintaining higher than forecasted base production, and extension of field life through steam management. Our negative performance-related revisions primarily were due to lower overall expected recovery from certain projects in the San Joaquin basin.</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231F20"/>
        </w:rPr>
        <w:t xml:space="preserve">Extensions and discoveries </w:t>
      </w:r>
      <w:r>
        <w:rPr>
          <w:rFonts w:ascii="Arial" w:cs="Arial" w:eastAsia="Arial" w:hAnsi="Arial"/>
          <w:sz w:val="20"/>
          <w:szCs w:val="20"/>
          <w:color w:val="231F20"/>
        </w:rPr>
        <w:t>– We added 3 MMBoe related to drilling in the San Joaquin basin.</w:t>
      </w:r>
    </w:p>
    <w:p>
      <w:pPr>
        <w:spacing w:after="0" w:line="251" w:lineRule="exact"/>
        <w:rPr>
          <w:sz w:val="20"/>
          <w:szCs w:val="20"/>
          <w:color w:val="auto"/>
        </w:rPr>
      </w:pPr>
    </w:p>
    <w:p>
      <w:pPr>
        <w:ind w:right="480" w:firstLine="300"/>
        <w:spacing w:after="0" w:line="249" w:lineRule="auto"/>
        <w:rPr>
          <w:sz w:val="20"/>
          <w:szCs w:val="20"/>
          <w:color w:val="auto"/>
        </w:rPr>
      </w:pPr>
      <w:r>
        <w:rPr>
          <w:rFonts w:ascii="Arial" w:cs="Arial" w:eastAsia="Arial" w:hAnsi="Arial"/>
          <w:sz w:val="20"/>
          <w:szCs w:val="20"/>
          <w:i w:val="1"/>
          <w:iCs w:val="1"/>
          <w:color w:val="231F20"/>
        </w:rPr>
        <w:t xml:space="preserve">Improved recovery </w:t>
      </w:r>
      <w:r>
        <w:rPr>
          <w:rFonts w:ascii="Arial" w:cs="Arial" w:eastAsia="Arial" w:hAnsi="Arial"/>
          <w:sz w:val="20"/>
          <w:szCs w:val="20"/>
          <w:color w:val="231F20"/>
        </w:rPr>
        <w:t>– We added 27 MMBoe related to increased drilling activity associated with</w:t>
      </w:r>
      <w:r>
        <w:rPr>
          <w:rFonts w:ascii="Arial" w:cs="Arial" w:eastAsia="Arial" w:hAnsi="Arial"/>
          <w:sz w:val="20"/>
          <w:szCs w:val="20"/>
          <w:i w:val="1"/>
          <w:iCs w:val="1"/>
          <w:color w:val="231F20"/>
        </w:rPr>
        <w:t xml:space="preserve"> </w:t>
      </w:r>
      <w:r>
        <w:rPr>
          <w:rFonts w:ascii="Arial" w:cs="Arial" w:eastAsia="Arial" w:hAnsi="Arial"/>
          <w:sz w:val="20"/>
          <w:szCs w:val="20"/>
          <w:color w:val="231F20"/>
        </w:rPr>
        <w:t>steamfloods in the San Joaquin basin.</w:t>
      </w:r>
    </w:p>
    <w:p>
      <w:pPr>
        <w:spacing w:after="0" w:line="203" w:lineRule="exact"/>
        <w:rPr>
          <w:sz w:val="20"/>
          <w:szCs w:val="20"/>
          <w:color w:val="auto"/>
        </w:rPr>
      </w:pPr>
    </w:p>
    <w:p>
      <w:pPr>
        <w:ind w:right="740" w:firstLine="300"/>
        <w:spacing w:after="0" w:line="249" w:lineRule="auto"/>
        <w:rPr>
          <w:sz w:val="20"/>
          <w:szCs w:val="20"/>
          <w:color w:val="auto"/>
        </w:rPr>
      </w:pPr>
      <w:r>
        <w:rPr>
          <w:rFonts w:ascii="Arial" w:cs="Arial" w:eastAsia="Arial" w:hAnsi="Arial"/>
          <w:sz w:val="20"/>
          <w:szCs w:val="20"/>
          <w:i w:val="1"/>
          <w:iCs w:val="1"/>
          <w:color w:val="231F20"/>
        </w:rPr>
        <w:t xml:space="preserve">Acquisitions and divestitures </w:t>
      </w:r>
      <w:r>
        <w:rPr>
          <w:rFonts w:ascii="Arial" w:cs="Arial" w:eastAsia="Arial" w:hAnsi="Arial"/>
          <w:sz w:val="20"/>
          <w:szCs w:val="20"/>
          <w:color w:val="231F20"/>
        </w:rPr>
        <w:t>– We added 93 MMBoe related to the Berry Merger in the San</w:t>
      </w:r>
      <w:r>
        <w:rPr>
          <w:rFonts w:ascii="Arial" w:cs="Arial" w:eastAsia="Arial" w:hAnsi="Arial"/>
          <w:sz w:val="20"/>
          <w:szCs w:val="20"/>
          <w:i w:val="1"/>
          <w:iCs w:val="1"/>
          <w:color w:val="231F20"/>
        </w:rPr>
        <w:t xml:space="preserve"> </w:t>
      </w:r>
      <w:r>
        <w:rPr>
          <w:rFonts w:ascii="Arial" w:cs="Arial" w:eastAsia="Arial" w:hAnsi="Arial"/>
          <w:sz w:val="20"/>
          <w:szCs w:val="20"/>
          <w:color w:val="231F20"/>
        </w:rPr>
        <w:t>Joaquin and Uinta basins.</w:t>
      </w:r>
    </w:p>
    <w:p>
      <w:pPr>
        <w:sectPr>
          <w:pgSz w:w="11880" w:h="15480" w:orient="portrait"/>
          <w:cols w:equalWidth="0" w:num="1">
            <w:col w:w="9120"/>
          </w:cols>
          <w:pgMar w:left="1380" w:top="1312"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16</w:t>
      </w:r>
    </w:p>
    <w:p>
      <w:pPr>
        <w:sectPr>
          <w:pgSz w:w="11880" w:h="15480" w:orient="portrait"/>
          <w:cols w:equalWidth="0" w:num="1">
            <w:col w:w="9120"/>
          </w:cols>
          <w:pgMar w:left="1380" w:top="1312" w:right="1380" w:bottom="653"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231F20"/>
        </w:rPr>
        <w:t>Changes to Proved Undeveloped Reserves</w:t>
      </w:r>
    </w:p>
    <w:p>
      <w:pPr>
        <w:spacing w:after="0" w:line="208" w:lineRule="exact"/>
        <w:rPr>
          <w:sz w:val="20"/>
          <w:szCs w:val="20"/>
          <w:color w:val="auto"/>
        </w:rPr>
      </w:pPr>
    </w:p>
    <w:p>
      <w:pPr>
        <w:ind w:right="160" w:firstLine="300"/>
        <w:spacing w:after="0" w:line="245" w:lineRule="auto"/>
        <w:rPr>
          <w:sz w:val="20"/>
          <w:szCs w:val="20"/>
          <w:color w:val="auto"/>
        </w:rPr>
      </w:pPr>
      <w:r>
        <w:rPr>
          <w:rFonts w:ascii="Arial" w:cs="Arial" w:eastAsia="Arial" w:hAnsi="Arial"/>
          <w:sz w:val="20"/>
          <w:szCs w:val="20"/>
          <w:color w:val="231F20"/>
        </w:rPr>
        <w:t>The total changes to our proved undeveloped reserves during the year ended December 31, 2025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231F20"/>
              </w:rPr>
              <w:t>San Joaquin</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231F20"/>
              </w:rPr>
              <w:t>Los Angeles</w:t>
            </w:r>
          </w:p>
        </w:tc>
        <w:tc>
          <w:tcPr>
            <w:tcW w:w="2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231F20"/>
              </w:rPr>
              <w:t>Sacramento</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231F20"/>
              </w:rPr>
              <w:t>Uinta</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231F20"/>
              </w:rPr>
              <w:t>Other</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100" w:type="dxa"/>
            <w:vAlign w:val="bottom"/>
          </w:tcPr>
          <w:p>
            <w:pPr>
              <w:jc w:val="right"/>
              <w:ind w:right="252"/>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5"/>
                <w:szCs w:val="15"/>
                <w:color w:val="auto"/>
              </w:rPr>
            </w:pPr>
          </w:p>
        </w:tc>
        <w:tc>
          <w:tcPr>
            <w:tcW w:w="1120" w:type="dxa"/>
            <w:vAlign w:val="bottom"/>
          </w:tcPr>
          <w:p>
            <w:pPr>
              <w:jc w:val="right"/>
              <w:ind w:right="253"/>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5"/>
                <w:szCs w:val="15"/>
                <w:color w:val="auto"/>
              </w:rPr>
            </w:pPr>
          </w:p>
        </w:tc>
        <w:tc>
          <w:tcPr>
            <w:tcW w:w="1080" w:type="dxa"/>
            <w:vAlign w:val="bottom"/>
          </w:tcPr>
          <w:p>
            <w:pPr>
              <w:jc w:val="center"/>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b w:val="1"/>
                <w:bCs w:val="1"/>
                <w:color w:val="231F20"/>
                <w:w w:val="99"/>
              </w:rPr>
              <w:t>Basins</w:t>
            </w:r>
          </w:p>
        </w:tc>
        <w:tc>
          <w:tcPr>
            <w:tcW w:w="200" w:type="dxa"/>
            <w:vAlign w:val="bottom"/>
          </w:tcPr>
          <w:p>
            <w:pPr>
              <w:spacing w:after="0"/>
              <w:rPr>
                <w:sz w:val="15"/>
                <w:szCs w:val="15"/>
                <w:color w:val="auto"/>
              </w:rPr>
            </w:pPr>
          </w:p>
        </w:tc>
        <w:tc>
          <w:tcPr>
            <w:tcW w:w="700" w:type="dxa"/>
            <w:vAlign w:val="bottom"/>
          </w:tcPr>
          <w:p>
            <w:pPr>
              <w:jc w:val="right"/>
              <w:ind w:right="80"/>
              <w:spacing w:after="0" w:line="181" w:lineRule="exact"/>
              <w:rPr>
                <w:sz w:val="20"/>
                <w:szCs w:val="20"/>
                <w:color w:val="auto"/>
              </w:rPr>
            </w:pPr>
            <w:r>
              <w:rPr>
                <w:rFonts w:ascii="Arial" w:cs="Arial" w:eastAsia="Arial" w:hAnsi="Arial"/>
                <w:sz w:val="16"/>
                <w:szCs w:val="16"/>
                <w:b w:val="1"/>
                <w:bCs w:val="1"/>
                <w:color w:val="231F20"/>
              </w:rPr>
              <w:t>Total</w:t>
            </w:r>
          </w:p>
        </w:tc>
        <w:tc>
          <w:tcPr>
            <w:tcW w:w="0" w:type="dxa"/>
            <w:vAlign w:val="bottom"/>
          </w:tcPr>
          <w:p>
            <w:pPr>
              <w:spacing w:after="0"/>
              <w:rPr>
                <w:sz w:val="1"/>
                <w:szCs w:val="1"/>
                <w:color w:val="auto"/>
              </w:rPr>
            </w:pPr>
          </w:p>
        </w:tc>
      </w:tr>
      <w:tr>
        <w:trPr>
          <w:trHeight w:val="28"/>
        </w:trPr>
        <w:tc>
          <w:tcPr>
            <w:tcW w:w="298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ind w:left="120"/>
              <w:spacing w:after="0"/>
              <w:rPr>
                <w:sz w:val="20"/>
                <w:szCs w:val="20"/>
                <w:color w:val="auto"/>
              </w:rPr>
            </w:pPr>
            <w:r>
              <w:rPr>
                <w:rFonts w:ascii="Arial" w:cs="Arial" w:eastAsia="Arial" w:hAnsi="Arial"/>
                <w:sz w:val="16"/>
                <w:szCs w:val="16"/>
                <w:color w:val="231F20"/>
              </w:rPr>
              <w:t>(MMBoe)</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80" w:type="dxa"/>
            <w:vAlign w:val="bottom"/>
          </w:tcPr>
          <w:p>
            <w:pPr>
              <w:spacing w:after="0"/>
              <w:rPr>
                <w:sz w:val="20"/>
                <w:szCs w:val="20"/>
                <w:color w:val="auto"/>
              </w:rPr>
            </w:pPr>
            <w:r>
              <w:rPr>
                <w:rFonts w:ascii="Arial" w:cs="Arial" w:eastAsia="Arial" w:hAnsi="Arial"/>
                <w:sz w:val="18"/>
                <w:szCs w:val="18"/>
                <w:b w:val="1"/>
                <w:bCs w:val="1"/>
                <w:color w:val="231F20"/>
              </w:rPr>
              <w:t>Balance at December 31,</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180"/>
              <w:spacing w:after="0"/>
              <w:rPr>
                <w:sz w:val="20"/>
                <w:szCs w:val="20"/>
                <w:color w:val="auto"/>
              </w:rPr>
            </w:pPr>
            <w:r>
              <w:rPr>
                <w:rFonts w:ascii="Arial" w:cs="Arial" w:eastAsia="Arial" w:hAnsi="Arial"/>
                <w:sz w:val="18"/>
                <w:szCs w:val="18"/>
                <w:b w:val="1"/>
                <w:bCs w:val="1"/>
                <w:color w:val="231F20"/>
              </w:rPr>
              <w:t xml:space="preserve">2024 </w:t>
            </w:r>
            <w:r>
              <w:rPr>
                <w:rFonts w:ascii="Arial" w:cs="Arial" w:eastAsia="Arial" w:hAnsi="Arial"/>
                <w:sz w:val="18"/>
                <w:szCs w:val="18"/>
                <w:color w:val="231F20"/>
              </w:rPr>
              <w:t>. . . . . . . . . . . . . . . . . . . . . . .</w:t>
            </w:r>
          </w:p>
        </w:tc>
        <w:tc>
          <w:tcPr>
            <w:tcW w:w="1100" w:type="dxa"/>
            <w:vAlign w:val="bottom"/>
          </w:tcPr>
          <w:p>
            <w:pPr>
              <w:jc w:val="right"/>
              <w:ind w:right="372"/>
              <w:spacing w:after="0"/>
              <w:rPr>
                <w:sz w:val="20"/>
                <w:szCs w:val="20"/>
                <w:color w:val="auto"/>
              </w:rPr>
            </w:pPr>
            <w:r>
              <w:rPr>
                <w:rFonts w:ascii="Arial" w:cs="Arial" w:eastAsia="Arial" w:hAnsi="Arial"/>
                <w:sz w:val="18"/>
                <w:szCs w:val="18"/>
                <w:color w:val="231F20"/>
              </w:rPr>
              <w:t>38</w:t>
            </w:r>
          </w:p>
        </w:tc>
        <w:tc>
          <w:tcPr>
            <w:tcW w:w="20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780" w:type="dxa"/>
            <w:vAlign w:val="bottom"/>
            <w:gridSpan w:val="2"/>
          </w:tcPr>
          <w:p>
            <w:pPr>
              <w:jc w:val="right"/>
              <w:ind w:right="114"/>
              <w:spacing w:after="0"/>
              <w:rPr>
                <w:sz w:val="20"/>
                <w:szCs w:val="20"/>
                <w:color w:val="auto"/>
              </w:rPr>
            </w:pPr>
            <w:r>
              <w:rPr>
                <w:rFonts w:ascii="Arial" w:cs="Arial" w:eastAsia="Arial" w:hAnsi="Arial"/>
                <w:sz w:val="18"/>
                <w:szCs w:val="18"/>
                <w:color w:val="231F20"/>
              </w:rPr>
              <w:t>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231F20"/>
              </w:rPr>
              <w:t>39</w:t>
            </w:r>
          </w:p>
        </w:tc>
        <w:tc>
          <w:tcPr>
            <w:tcW w:w="0" w:type="dxa"/>
            <w:vAlign w:val="bottom"/>
          </w:tcPr>
          <w:p>
            <w:pPr>
              <w:spacing w:after="0"/>
              <w:rPr>
                <w:sz w:val="1"/>
                <w:szCs w:val="1"/>
                <w:color w:val="auto"/>
              </w:rPr>
            </w:pPr>
          </w:p>
        </w:tc>
      </w:tr>
      <w:tr>
        <w:trPr>
          <w:trHeight w:val="220"/>
        </w:trPr>
        <w:tc>
          <w:tcPr>
            <w:tcW w:w="2980" w:type="dxa"/>
            <w:vAlign w:val="bottom"/>
          </w:tcPr>
          <w:p>
            <w:pPr>
              <w:ind w:left="180"/>
              <w:spacing w:after="0"/>
              <w:rPr>
                <w:sz w:val="20"/>
                <w:szCs w:val="20"/>
                <w:color w:val="auto"/>
              </w:rPr>
            </w:pPr>
            <w:r>
              <w:rPr>
                <w:rFonts w:ascii="Arial" w:cs="Arial" w:eastAsia="Arial" w:hAnsi="Arial"/>
                <w:sz w:val="18"/>
                <w:szCs w:val="18"/>
                <w:color w:val="231F20"/>
              </w:rPr>
              <w:t>Revisions related to price . . . . . .</w:t>
            </w:r>
          </w:p>
        </w:tc>
        <w:tc>
          <w:tcPr>
            <w:tcW w:w="1100" w:type="dxa"/>
            <w:vAlign w:val="bottom"/>
          </w:tcPr>
          <w:p>
            <w:pPr>
              <w:jc w:val="right"/>
              <w:ind w:right="312"/>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580" w:type="dxa"/>
            <w:vAlign w:val="bottom"/>
          </w:tcPr>
          <w:p>
            <w:pPr>
              <w:jc w:val="right"/>
              <w:ind w:right="114"/>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231F20"/>
              </w:rPr>
              <w:t>(1)</w:t>
            </w:r>
          </w:p>
        </w:tc>
        <w:tc>
          <w:tcPr>
            <w:tcW w:w="0" w:type="dxa"/>
            <w:vAlign w:val="bottom"/>
          </w:tcPr>
          <w:p>
            <w:pPr>
              <w:spacing w:after="0"/>
              <w:rPr>
                <w:sz w:val="1"/>
                <w:szCs w:val="1"/>
                <w:color w:val="auto"/>
              </w:rPr>
            </w:pPr>
          </w:p>
        </w:tc>
      </w:tr>
      <w:tr>
        <w:trPr>
          <w:trHeight w:val="220"/>
        </w:trPr>
        <w:tc>
          <w:tcPr>
            <w:tcW w:w="2980" w:type="dxa"/>
            <w:vAlign w:val="bottom"/>
          </w:tcPr>
          <w:p>
            <w:pPr>
              <w:ind w:left="180"/>
              <w:spacing w:after="0"/>
              <w:rPr>
                <w:sz w:val="20"/>
                <w:szCs w:val="20"/>
                <w:color w:val="auto"/>
              </w:rPr>
            </w:pPr>
            <w:r>
              <w:rPr>
                <w:rFonts w:ascii="Arial" w:cs="Arial" w:eastAsia="Arial" w:hAnsi="Arial"/>
                <w:sz w:val="18"/>
                <w:szCs w:val="18"/>
                <w:color w:val="231F20"/>
              </w:rPr>
              <w:t>Revisions related to</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180"/>
              <w:spacing w:after="0"/>
              <w:rPr>
                <w:sz w:val="20"/>
                <w:szCs w:val="20"/>
                <w:color w:val="auto"/>
              </w:rPr>
            </w:pPr>
            <w:r>
              <w:rPr>
                <w:rFonts w:ascii="Arial" w:cs="Arial" w:eastAsia="Arial" w:hAnsi="Arial"/>
                <w:sz w:val="18"/>
                <w:szCs w:val="18"/>
                <w:color w:val="231F20"/>
              </w:rPr>
              <w:t>performance  . . . . . . . . . . . . . . . .</w:t>
            </w:r>
          </w:p>
        </w:tc>
        <w:tc>
          <w:tcPr>
            <w:tcW w:w="1100" w:type="dxa"/>
            <w:vAlign w:val="bottom"/>
          </w:tcPr>
          <w:p>
            <w:pPr>
              <w:jc w:val="right"/>
              <w:ind w:right="372"/>
              <w:spacing w:after="0"/>
              <w:rPr>
                <w:sz w:val="20"/>
                <w:szCs w:val="20"/>
                <w:color w:val="auto"/>
              </w:rPr>
            </w:pPr>
            <w:r>
              <w:rPr>
                <w:rFonts w:ascii="Arial" w:cs="Arial" w:eastAsia="Arial" w:hAnsi="Arial"/>
                <w:sz w:val="18"/>
                <w:szCs w:val="18"/>
                <w:color w:val="231F20"/>
              </w:rPr>
              <w:t>13</w:t>
            </w:r>
          </w:p>
        </w:tc>
        <w:tc>
          <w:tcPr>
            <w:tcW w:w="1320" w:type="dxa"/>
            <w:vAlign w:val="bottom"/>
            <w:gridSpan w:val="2"/>
          </w:tcPr>
          <w:p>
            <w:pPr>
              <w:jc w:val="right"/>
              <w:ind w:right="373"/>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780" w:type="dxa"/>
            <w:vAlign w:val="bottom"/>
            <w:gridSpan w:val="2"/>
          </w:tcPr>
          <w:p>
            <w:pPr>
              <w:jc w:val="right"/>
              <w:ind w:right="114"/>
              <w:spacing w:after="0"/>
              <w:rPr>
                <w:sz w:val="20"/>
                <w:szCs w:val="20"/>
                <w:color w:val="auto"/>
              </w:rPr>
            </w:pPr>
            <w:r>
              <w:rPr>
                <w:rFonts w:ascii="Arial" w:cs="Arial" w:eastAsia="Arial" w:hAnsi="Arial"/>
                <w:sz w:val="18"/>
                <w:szCs w:val="18"/>
                <w:color w:val="231F20"/>
              </w:rPr>
              <w:t>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231F20"/>
              </w:rPr>
              <w:t>16</w:t>
            </w:r>
          </w:p>
        </w:tc>
        <w:tc>
          <w:tcPr>
            <w:tcW w:w="0" w:type="dxa"/>
            <w:vAlign w:val="bottom"/>
          </w:tcPr>
          <w:p>
            <w:pPr>
              <w:spacing w:after="0"/>
              <w:rPr>
                <w:sz w:val="1"/>
                <w:szCs w:val="1"/>
                <w:color w:val="auto"/>
              </w:rPr>
            </w:pPr>
          </w:p>
        </w:tc>
      </w:tr>
      <w:tr>
        <w:trPr>
          <w:trHeight w:val="220"/>
        </w:trPr>
        <w:tc>
          <w:tcPr>
            <w:tcW w:w="2980" w:type="dxa"/>
            <w:vAlign w:val="bottom"/>
          </w:tcPr>
          <w:p>
            <w:pPr>
              <w:ind w:left="180"/>
              <w:spacing w:after="0"/>
              <w:rPr>
                <w:sz w:val="20"/>
                <w:szCs w:val="20"/>
                <w:color w:val="auto"/>
              </w:rPr>
            </w:pPr>
            <w:r>
              <w:rPr>
                <w:rFonts w:ascii="Arial" w:cs="Arial" w:eastAsia="Arial" w:hAnsi="Arial"/>
                <w:sz w:val="18"/>
                <w:szCs w:val="18"/>
                <w:color w:val="231F20"/>
              </w:rPr>
              <w:t>Improved recovery  . . . . . . . . . . .</w:t>
            </w:r>
          </w:p>
        </w:tc>
        <w:tc>
          <w:tcPr>
            <w:tcW w:w="1100" w:type="dxa"/>
            <w:vAlign w:val="bottom"/>
          </w:tcPr>
          <w:p>
            <w:pPr>
              <w:jc w:val="right"/>
              <w:ind w:right="372"/>
              <w:spacing w:after="0"/>
              <w:rPr>
                <w:sz w:val="20"/>
                <w:szCs w:val="20"/>
                <w:color w:val="auto"/>
              </w:rPr>
            </w:pPr>
            <w:r>
              <w:rPr>
                <w:rFonts w:ascii="Arial" w:cs="Arial" w:eastAsia="Arial" w:hAnsi="Arial"/>
                <w:sz w:val="18"/>
                <w:szCs w:val="18"/>
                <w:color w:val="231F20"/>
              </w:rPr>
              <w:t>26</w:t>
            </w:r>
          </w:p>
        </w:tc>
        <w:tc>
          <w:tcPr>
            <w:tcW w:w="20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780" w:type="dxa"/>
            <w:vAlign w:val="bottom"/>
            <w:gridSpan w:val="2"/>
          </w:tcPr>
          <w:p>
            <w:pPr>
              <w:jc w:val="right"/>
              <w:ind w:right="114"/>
              <w:spacing w:after="0"/>
              <w:rPr>
                <w:sz w:val="20"/>
                <w:szCs w:val="20"/>
                <w:color w:val="auto"/>
              </w:rPr>
            </w:pPr>
            <w:r>
              <w:rPr>
                <w:rFonts w:ascii="Arial" w:cs="Arial" w:eastAsia="Arial" w:hAnsi="Arial"/>
                <w:sz w:val="18"/>
                <w:szCs w:val="18"/>
                <w:color w:val="231F20"/>
              </w:rPr>
              <w:t>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231F20"/>
              </w:rPr>
              <w:t>27</w:t>
            </w:r>
          </w:p>
        </w:tc>
        <w:tc>
          <w:tcPr>
            <w:tcW w:w="0" w:type="dxa"/>
            <w:vAlign w:val="bottom"/>
          </w:tcPr>
          <w:p>
            <w:pPr>
              <w:spacing w:after="0"/>
              <w:rPr>
                <w:sz w:val="1"/>
                <w:szCs w:val="1"/>
                <w:color w:val="auto"/>
              </w:rPr>
            </w:pPr>
          </w:p>
        </w:tc>
      </w:tr>
      <w:tr>
        <w:trPr>
          <w:trHeight w:val="220"/>
        </w:trPr>
        <w:tc>
          <w:tcPr>
            <w:tcW w:w="2980" w:type="dxa"/>
            <w:vAlign w:val="bottom"/>
          </w:tcPr>
          <w:p>
            <w:pPr>
              <w:ind w:left="180"/>
              <w:spacing w:after="0"/>
              <w:rPr>
                <w:sz w:val="20"/>
                <w:szCs w:val="20"/>
                <w:color w:val="auto"/>
              </w:rPr>
            </w:pPr>
            <w:r>
              <w:rPr>
                <w:rFonts w:ascii="Arial" w:cs="Arial" w:eastAsia="Arial" w:hAnsi="Arial"/>
                <w:sz w:val="18"/>
                <w:szCs w:val="18"/>
                <w:color w:val="231F20"/>
              </w:rPr>
              <w:t>Acquisition . . . . . . . . . . . . . . . . . .</w:t>
            </w:r>
          </w:p>
        </w:tc>
        <w:tc>
          <w:tcPr>
            <w:tcW w:w="1100" w:type="dxa"/>
            <w:vAlign w:val="bottom"/>
          </w:tcPr>
          <w:p>
            <w:pPr>
              <w:jc w:val="right"/>
              <w:ind w:right="372"/>
              <w:spacing w:after="0"/>
              <w:rPr>
                <w:sz w:val="20"/>
                <w:szCs w:val="20"/>
                <w:color w:val="auto"/>
              </w:rPr>
            </w:pPr>
            <w:r>
              <w:rPr>
                <w:rFonts w:ascii="Arial" w:cs="Arial" w:eastAsia="Arial" w:hAnsi="Arial"/>
                <w:sz w:val="18"/>
                <w:szCs w:val="18"/>
                <w:color w:val="231F20"/>
              </w:rPr>
              <w:t>12</w:t>
            </w:r>
          </w:p>
        </w:tc>
        <w:tc>
          <w:tcPr>
            <w:tcW w:w="20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231F20"/>
              </w:rPr>
              <w:t>25</w:t>
            </w:r>
          </w:p>
        </w:tc>
        <w:tc>
          <w:tcPr>
            <w:tcW w:w="200" w:type="dxa"/>
            <w:vAlign w:val="bottom"/>
          </w:tcPr>
          <w:p>
            <w:pPr>
              <w:spacing w:after="0"/>
              <w:rPr>
                <w:sz w:val="19"/>
                <w:szCs w:val="19"/>
                <w:color w:val="auto"/>
              </w:rPr>
            </w:pPr>
          </w:p>
        </w:tc>
        <w:tc>
          <w:tcPr>
            <w:tcW w:w="580" w:type="dxa"/>
            <w:vAlign w:val="bottom"/>
          </w:tcPr>
          <w:p>
            <w:pPr>
              <w:jc w:val="right"/>
              <w:ind w:right="114"/>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231F20"/>
              </w:rPr>
              <w:t>37</w:t>
            </w:r>
          </w:p>
        </w:tc>
        <w:tc>
          <w:tcPr>
            <w:tcW w:w="0" w:type="dxa"/>
            <w:vAlign w:val="bottom"/>
          </w:tcPr>
          <w:p>
            <w:pPr>
              <w:spacing w:after="0"/>
              <w:rPr>
                <w:sz w:val="1"/>
                <w:szCs w:val="1"/>
                <w:color w:val="auto"/>
              </w:rPr>
            </w:pPr>
          </w:p>
        </w:tc>
      </w:tr>
      <w:tr>
        <w:trPr>
          <w:trHeight w:val="220"/>
        </w:trPr>
        <w:tc>
          <w:tcPr>
            <w:tcW w:w="2980" w:type="dxa"/>
            <w:vAlign w:val="bottom"/>
          </w:tcPr>
          <w:p>
            <w:pPr>
              <w:ind w:left="180"/>
              <w:spacing w:after="0"/>
              <w:rPr>
                <w:sz w:val="20"/>
                <w:szCs w:val="20"/>
                <w:color w:val="auto"/>
              </w:rPr>
            </w:pPr>
            <w:r>
              <w:rPr>
                <w:rFonts w:ascii="Arial" w:cs="Arial" w:eastAsia="Arial" w:hAnsi="Arial"/>
                <w:sz w:val="18"/>
                <w:szCs w:val="18"/>
                <w:color w:val="231F20"/>
              </w:rPr>
              <w:t>Transfers to proved developed</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180"/>
              <w:spacing w:after="0"/>
              <w:rPr>
                <w:sz w:val="20"/>
                <w:szCs w:val="20"/>
                <w:color w:val="auto"/>
              </w:rPr>
            </w:pPr>
            <w:r>
              <w:rPr>
                <w:rFonts w:ascii="Arial" w:cs="Arial" w:eastAsia="Arial" w:hAnsi="Arial"/>
                <w:sz w:val="18"/>
                <w:szCs w:val="18"/>
                <w:color w:val="231F20"/>
              </w:rPr>
              <w:t>reserves . . . . . . . . . . . . . . . . . . . .</w:t>
            </w:r>
          </w:p>
        </w:tc>
        <w:tc>
          <w:tcPr>
            <w:tcW w:w="1100" w:type="dxa"/>
            <w:vAlign w:val="bottom"/>
          </w:tcPr>
          <w:p>
            <w:pPr>
              <w:jc w:val="right"/>
              <w:ind w:right="312"/>
              <w:spacing w:after="0"/>
              <w:rPr>
                <w:sz w:val="20"/>
                <w:szCs w:val="20"/>
                <w:color w:val="auto"/>
              </w:rPr>
            </w:pPr>
            <w:r>
              <w:rPr>
                <w:rFonts w:ascii="Arial" w:cs="Arial" w:eastAsia="Arial" w:hAnsi="Arial"/>
                <w:sz w:val="18"/>
                <w:szCs w:val="18"/>
                <w:color w:val="231F20"/>
              </w:rPr>
              <w:t>(5)</w:t>
            </w:r>
          </w:p>
        </w:tc>
        <w:tc>
          <w:tcPr>
            <w:tcW w:w="20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200" w:type="dxa"/>
            <w:vAlign w:val="bottom"/>
          </w:tcPr>
          <w:p>
            <w:pPr>
              <w:spacing w:after="0"/>
              <w:rPr>
                <w:sz w:val="19"/>
                <w:szCs w:val="19"/>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580" w:type="dxa"/>
            <w:vAlign w:val="bottom"/>
          </w:tcPr>
          <w:p>
            <w:pPr>
              <w:jc w:val="right"/>
              <w:ind w:right="114"/>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231F20"/>
              </w:rPr>
              <w:t>(5)</w:t>
            </w:r>
          </w:p>
        </w:tc>
        <w:tc>
          <w:tcPr>
            <w:tcW w:w="0" w:type="dxa"/>
            <w:vAlign w:val="bottom"/>
          </w:tcPr>
          <w:p>
            <w:pPr>
              <w:spacing w:after="0"/>
              <w:rPr>
                <w:sz w:val="1"/>
                <w:szCs w:val="1"/>
                <w:color w:val="auto"/>
              </w:rPr>
            </w:pPr>
          </w:p>
        </w:tc>
      </w:tr>
      <w:tr>
        <w:trPr>
          <w:trHeight w:val="34"/>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231F20"/>
              </w:rPr>
              <w:t>Balance at December 31,</w:t>
            </w: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980" w:type="dxa"/>
            <w:vAlign w:val="bottom"/>
            <w:vMerge w:val="continue"/>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180"/>
              <w:spacing w:after="0"/>
              <w:rPr>
                <w:sz w:val="20"/>
                <w:szCs w:val="20"/>
                <w:color w:val="auto"/>
              </w:rPr>
            </w:pPr>
            <w:r>
              <w:rPr>
                <w:rFonts w:ascii="Arial" w:cs="Arial" w:eastAsia="Arial" w:hAnsi="Arial"/>
                <w:sz w:val="18"/>
                <w:szCs w:val="18"/>
                <w:b w:val="1"/>
                <w:bCs w:val="1"/>
                <w:color w:val="231F20"/>
              </w:rPr>
              <w:t xml:space="preserve">2025 </w:t>
            </w:r>
            <w:r>
              <w:rPr>
                <w:rFonts w:ascii="Arial" w:cs="Arial" w:eastAsia="Arial" w:hAnsi="Arial"/>
                <w:sz w:val="18"/>
                <w:szCs w:val="18"/>
                <w:color w:val="231F20"/>
              </w:rPr>
              <w:t>. . . . . . . . . . . . . . . . . . . . . . .</w:t>
            </w:r>
          </w:p>
        </w:tc>
        <w:tc>
          <w:tcPr>
            <w:tcW w:w="1100" w:type="dxa"/>
            <w:vAlign w:val="bottom"/>
          </w:tcPr>
          <w:p>
            <w:pPr>
              <w:jc w:val="right"/>
              <w:ind w:right="372"/>
              <w:spacing w:after="0"/>
              <w:rPr>
                <w:sz w:val="20"/>
                <w:szCs w:val="20"/>
                <w:color w:val="auto"/>
              </w:rPr>
            </w:pPr>
            <w:r>
              <w:rPr>
                <w:rFonts w:ascii="Arial" w:cs="Arial" w:eastAsia="Arial" w:hAnsi="Arial"/>
                <w:sz w:val="18"/>
                <w:szCs w:val="18"/>
                <w:color w:val="231F20"/>
              </w:rPr>
              <w:t>83</w:t>
            </w:r>
          </w:p>
        </w:tc>
        <w:tc>
          <w:tcPr>
            <w:tcW w:w="1320" w:type="dxa"/>
            <w:vAlign w:val="bottom"/>
            <w:gridSpan w:val="2"/>
          </w:tcPr>
          <w:p>
            <w:pPr>
              <w:jc w:val="right"/>
              <w:ind w:right="373"/>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231F20"/>
              </w:rPr>
              <w:t>25</w:t>
            </w:r>
          </w:p>
        </w:tc>
        <w:tc>
          <w:tcPr>
            <w:tcW w:w="780" w:type="dxa"/>
            <w:vAlign w:val="bottom"/>
            <w:gridSpan w:val="2"/>
          </w:tcPr>
          <w:p>
            <w:pPr>
              <w:jc w:val="right"/>
              <w:ind w:right="114"/>
              <w:spacing w:after="0"/>
              <w:rPr>
                <w:sz w:val="20"/>
                <w:szCs w:val="20"/>
                <w:color w:val="auto"/>
              </w:rPr>
            </w:pPr>
            <w:r>
              <w:rPr>
                <w:rFonts w:ascii="Arial" w:cs="Arial" w:eastAsia="Arial" w:hAnsi="Arial"/>
                <w:sz w:val="18"/>
                <w:szCs w:val="18"/>
                <w:color w:val="231F20"/>
              </w:rPr>
              <w:t>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231F20"/>
              </w:rPr>
              <w:t>113</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i w:val="1"/>
          <w:iCs w:val="1"/>
          <w:color w:val="231F20"/>
        </w:rPr>
        <w:t xml:space="preserve">Revisions related to price </w:t>
      </w:r>
      <w:r>
        <w:rPr>
          <w:rFonts w:ascii="Arial" w:cs="Arial" w:eastAsia="Arial" w:hAnsi="Arial"/>
          <w:sz w:val="20"/>
          <w:szCs w:val="20"/>
          <w:color w:val="231F20"/>
        </w:rPr>
        <w:t>– We had 1 MMBoe of net negative price-related revisions primarily</w:t>
      </w:r>
      <w:r>
        <w:rPr>
          <w:rFonts w:ascii="Arial" w:cs="Arial" w:eastAsia="Arial" w:hAnsi="Arial"/>
          <w:sz w:val="20"/>
          <w:szCs w:val="20"/>
          <w:i w:val="1"/>
          <w:iCs w:val="1"/>
          <w:color w:val="231F20"/>
        </w:rPr>
        <w:t xml:space="preserve"> </w:t>
      </w:r>
      <w:r>
        <w:rPr>
          <w:rFonts w:ascii="Arial" w:cs="Arial" w:eastAsia="Arial" w:hAnsi="Arial"/>
          <w:sz w:val="20"/>
          <w:szCs w:val="20"/>
          <w:color w:val="231F20"/>
        </w:rPr>
        <w:t>resulting from lower average realized SEC Prices in 2025 as compared to 2024, including lower natural gas realizations in certain areas. Our negative price revisions of 2 MMBoe were partially offset by 1 MMBoe of positive revisions from lower operating costs.</w:t>
      </w:r>
    </w:p>
    <w:p>
      <w:pPr>
        <w:spacing w:after="0" w:line="197"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i w:val="1"/>
          <w:iCs w:val="1"/>
          <w:color w:val="231F20"/>
        </w:rPr>
        <w:t xml:space="preserve">Revisions related to performance </w:t>
      </w:r>
      <w:r>
        <w:rPr>
          <w:rFonts w:ascii="Arial" w:cs="Arial" w:eastAsia="Arial" w:hAnsi="Arial"/>
          <w:sz w:val="20"/>
          <w:szCs w:val="20"/>
          <w:color w:val="231F20"/>
        </w:rPr>
        <w:t>– We had 16 MMBoe of net positive performance-related</w:t>
      </w:r>
      <w:r>
        <w:rPr>
          <w:rFonts w:ascii="Arial" w:cs="Arial" w:eastAsia="Arial" w:hAnsi="Arial"/>
          <w:sz w:val="20"/>
          <w:szCs w:val="20"/>
          <w:i w:val="1"/>
          <w:iCs w:val="1"/>
          <w:color w:val="231F20"/>
        </w:rPr>
        <w:t xml:space="preserve"> </w:t>
      </w:r>
      <w:r>
        <w:rPr>
          <w:rFonts w:ascii="Arial" w:cs="Arial" w:eastAsia="Arial" w:hAnsi="Arial"/>
          <w:sz w:val="20"/>
          <w:szCs w:val="20"/>
          <w:color w:val="231F20"/>
        </w:rPr>
        <w:t>revisions primarily in the San Joaquin basin. Positive performance-revisions of 26 MMBoe were partially offset by 10 MMBoe negative revisions related to well performance and proved undeveloped reserves which were removed from our five year development plan in 2025.</w:t>
      </w:r>
    </w:p>
    <w:p>
      <w:pPr>
        <w:spacing w:after="0" w:line="199" w:lineRule="exact"/>
        <w:rPr>
          <w:sz w:val="20"/>
          <w:szCs w:val="20"/>
          <w:color w:val="auto"/>
        </w:rPr>
      </w:pPr>
    </w:p>
    <w:p>
      <w:pPr>
        <w:ind w:right="180" w:firstLine="300"/>
        <w:spacing w:after="0" w:line="247" w:lineRule="auto"/>
        <w:rPr>
          <w:sz w:val="20"/>
          <w:szCs w:val="20"/>
          <w:color w:val="auto"/>
        </w:rPr>
      </w:pPr>
      <w:r>
        <w:rPr>
          <w:rFonts w:ascii="Arial" w:cs="Arial" w:eastAsia="Arial" w:hAnsi="Arial"/>
          <w:sz w:val="20"/>
          <w:szCs w:val="20"/>
          <w:i w:val="1"/>
          <w:iCs w:val="1"/>
          <w:color w:val="231F20"/>
        </w:rPr>
        <w:t xml:space="preserve">Improved recovery </w:t>
      </w:r>
      <w:r>
        <w:rPr>
          <w:rFonts w:ascii="Arial" w:cs="Arial" w:eastAsia="Arial" w:hAnsi="Arial"/>
          <w:sz w:val="20"/>
          <w:szCs w:val="20"/>
          <w:color w:val="231F20"/>
        </w:rPr>
        <w:t>– We added 27 MMBoe related to new projects associated with steamfloods in</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San Joaquin basin.</w:t>
      </w:r>
    </w:p>
    <w:p>
      <w:pPr>
        <w:spacing w:after="0" w:line="198" w:lineRule="exact"/>
        <w:rPr>
          <w:sz w:val="20"/>
          <w:szCs w:val="20"/>
          <w:color w:val="auto"/>
        </w:rPr>
      </w:pPr>
    </w:p>
    <w:p>
      <w:pPr>
        <w:ind w:right="400" w:firstLine="300"/>
        <w:spacing w:after="0" w:line="249" w:lineRule="auto"/>
        <w:rPr>
          <w:sz w:val="20"/>
          <w:szCs w:val="20"/>
          <w:color w:val="auto"/>
        </w:rPr>
      </w:pPr>
      <w:r>
        <w:rPr>
          <w:rFonts w:ascii="Arial" w:cs="Arial" w:eastAsia="Arial" w:hAnsi="Arial"/>
          <w:sz w:val="20"/>
          <w:szCs w:val="20"/>
          <w:i w:val="1"/>
          <w:iCs w:val="1"/>
          <w:color w:val="231F20"/>
        </w:rPr>
        <w:t xml:space="preserve">Acquisition </w:t>
      </w:r>
      <w:r>
        <w:rPr>
          <w:rFonts w:ascii="Arial" w:cs="Arial" w:eastAsia="Arial" w:hAnsi="Arial"/>
          <w:sz w:val="20"/>
          <w:szCs w:val="20"/>
          <w:color w:val="231F20"/>
        </w:rPr>
        <w:t>– We added 37 MMBoe in connection with the Berry Merger in the San Joaquin and</w:t>
      </w:r>
      <w:r>
        <w:rPr>
          <w:rFonts w:ascii="Arial" w:cs="Arial" w:eastAsia="Arial" w:hAnsi="Arial"/>
          <w:sz w:val="20"/>
          <w:szCs w:val="20"/>
          <w:i w:val="1"/>
          <w:iCs w:val="1"/>
          <w:color w:val="231F20"/>
        </w:rPr>
        <w:t xml:space="preserve"> </w:t>
      </w:r>
      <w:r>
        <w:rPr>
          <w:rFonts w:ascii="Arial" w:cs="Arial" w:eastAsia="Arial" w:hAnsi="Arial"/>
          <w:sz w:val="20"/>
          <w:szCs w:val="20"/>
          <w:color w:val="231F20"/>
        </w:rPr>
        <w:t>Uinta basins.</w:t>
      </w:r>
    </w:p>
    <w:p>
      <w:pPr>
        <w:spacing w:after="0" w:line="196"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i w:val="1"/>
          <w:iCs w:val="1"/>
          <w:color w:val="231F20"/>
        </w:rPr>
        <w:t xml:space="preserve">Transfers to proved developed reserves </w:t>
      </w:r>
      <w:r>
        <w:rPr>
          <w:rFonts w:ascii="Arial" w:cs="Arial" w:eastAsia="Arial" w:hAnsi="Arial"/>
          <w:sz w:val="20"/>
          <w:szCs w:val="20"/>
          <w:color w:val="231F20"/>
        </w:rPr>
        <w:t>– We converted 5 MMBoe of proved undeveloped reserves</w:t>
      </w:r>
      <w:r>
        <w:rPr>
          <w:rFonts w:ascii="Arial" w:cs="Arial" w:eastAsia="Arial" w:hAnsi="Arial"/>
          <w:sz w:val="20"/>
          <w:szCs w:val="20"/>
          <w:i w:val="1"/>
          <w:iCs w:val="1"/>
          <w:color w:val="231F20"/>
        </w:rPr>
        <w:t xml:space="preserve"> </w:t>
      </w:r>
      <w:r>
        <w:rPr>
          <w:rFonts w:ascii="Arial" w:cs="Arial" w:eastAsia="Arial" w:hAnsi="Arial"/>
          <w:sz w:val="20"/>
          <w:szCs w:val="20"/>
          <w:color w:val="231F20"/>
        </w:rPr>
        <w:t>to proved developed reserves in the San Joaquin basin. This resulted in a conversion rate of 13% of our beginning-of-year proved undeveloped reserves, with an investment of $45 million in drilling and completion capital.</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PV-10 and Standardized Measure</w:t>
      </w:r>
    </w:p>
    <w:p>
      <w:pPr>
        <w:spacing w:after="0" w:line="24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Our PV-10 is computed on the same basis as our standardized measure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ectPr>
          <w:pgSz w:w="11880" w:h="15480" w:orient="portrait"/>
          <w:cols w:equalWidth="0" w:num="1">
            <w:col w:w="9120"/>
          </w:cols>
          <w:pgMar w:left="1380" w:top="1312" w:right="1380" w:bottom="653"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17</w:t>
      </w:r>
    </w:p>
    <w:p>
      <w:pPr>
        <w:sectPr>
          <w:pgSz w:w="11880" w:h="15480" w:orient="portrait"/>
          <w:cols w:equalWidth="0" w:num="1">
            <w:col w:w="9120"/>
          </w:cols>
          <w:pgMar w:left="1380" w:top="1312" w:right="1380" w:bottom="653"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50"/>
        </w:trPr>
        <w:tc>
          <w:tcPr>
            <w:tcW w:w="6660" w:type="dxa"/>
            <w:vAlign w:val="bottom"/>
          </w:tcPr>
          <w:p>
            <w:pPr>
              <w:spacing w:after="0"/>
              <w:rPr>
                <w:sz w:val="21"/>
                <w:szCs w:val="21"/>
                <w:color w:val="auto"/>
              </w:rPr>
            </w:pPr>
          </w:p>
        </w:tc>
        <w:tc>
          <w:tcPr>
            <w:tcW w:w="2460" w:type="dxa"/>
            <w:vAlign w:val="bottom"/>
            <w:gridSpan w:val="5"/>
          </w:tcPr>
          <w:p>
            <w:pPr>
              <w:jc w:val="center"/>
              <w:spacing w:after="0"/>
              <w:rPr>
                <w:sz w:val="20"/>
                <w:szCs w:val="20"/>
                <w:color w:val="auto"/>
              </w:rPr>
            </w:pPr>
            <w:r>
              <w:rPr>
                <w:rFonts w:ascii="Arial" w:cs="Arial" w:eastAsia="Arial" w:hAnsi="Arial"/>
                <w:sz w:val="20"/>
                <w:szCs w:val="20"/>
                <w:b w:val="1"/>
                <w:bCs w:val="1"/>
                <w:color w:val="231F20"/>
              </w:rPr>
              <w:t>As of December 31, 2025</w:t>
            </w:r>
          </w:p>
        </w:tc>
      </w:tr>
      <w:tr>
        <w:trPr>
          <w:trHeight w:val="192"/>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360" w:type="dxa"/>
            <w:vAlign w:val="bottom"/>
            <w:tcBorders>
              <w:top w:val="single" w:sz="8" w:color="231F20"/>
            </w:tcBorders>
          </w:tcPr>
          <w:p>
            <w:pPr>
              <w:spacing w:after="0"/>
              <w:rPr>
                <w:sz w:val="16"/>
                <w:szCs w:val="16"/>
                <w:color w:val="auto"/>
              </w:rPr>
            </w:pPr>
          </w:p>
        </w:tc>
        <w:tc>
          <w:tcPr>
            <w:tcW w:w="1820" w:type="dxa"/>
            <w:vAlign w:val="bottom"/>
            <w:tcBorders>
              <w:top w:val="single" w:sz="8" w:color="231F20"/>
            </w:tcBorders>
            <w:gridSpan w:val="2"/>
          </w:tcPr>
          <w:p>
            <w:pPr>
              <w:jc w:val="center"/>
              <w:ind w:right="540"/>
              <w:spacing w:after="0"/>
              <w:rPr>
                <w:sz w:val="20"/>
                <w:szCs w:val="20"/>
                <w:color w:val="auto"/>
              </w:rPr>
            </w:pPr>
            <w:r>
              <w:rPr>
                <w:rFonts w:ascii="Arial" w:cs="Arial" w:eastAsia="Arial" w:hAnsi="Arial"/>
                <w:sz w:val="16"/>
                <w:szCs w:val="16"/>
                <w:color w:val="231F20"/>
                <w:w w:val="98"/>
              </w:rPr>
              <w:t>(in millions)</w:t>
            </w:r>
          </w:p>
        </w:tc>
      </w:tr>
      <w:tr>
        <w:trPr>
          <w:trHeight w:val="250"/>
        </w:trPr>
        <w:tc>
          <w:tcPr>
            <w:tcW w:w="6660" w:type="dxa"/>
            <w:vAlign w:val="bottom"/>
          </w:tcPr>
          <w:p>
            <w:pPr>
              <w:spacing w:after="0"/>
              <w:rPr>
                <w:sz w:val="20"/>
                <w:szCs w:val="20"/>
                <w:color w:val="auto"/>
              </w:rPr>
            </w:pPr>
            <w:r>
              <w:rPr>
                <w:rFonts w:ascii="Arial" w:cs="Arial" w:eastAsia="Arial" w:hAnsi="Arial"/>
                <w:sz w:val="20"/>
                <w:szCs w:val="20"/>
                <w:color w:val="231F20"/>
              </w:rPr>
              <w:t>Standardized measure of discounted future net cash flows . . . . . . . . . . . . .</w:t>
            </w:r>
          </w:p>
        </w:tc>
        <w:tc>
          <w:tcPr>
            <w:tcW w:w="640" w:type="dxa"/>
            <w:vAlign w:val="bottom"/>
            <w:gridSpan w:val="3"/>
          </w:tcPr>
          <w:p>
            <w:pPr>
              <w:jc w:val="right"/>
              <w:ind w:right="260"/>
              <w:spacing w:after="0"/>
              <w:rPr>
                <w:sz w:val="20"/>
                <w:szCs w:val="20"/>
                <w:color w:val="auto"/>
              </w:rPr>
            </w:pPr>
            <w:r>
              <w:rPr>
                <w:rFonts w:ascii="Arial" w:cs="Arial" w:eastAsia="Arial" w:hAnsi="Arial"/>
                <w:sz w:val="20"/>
                <w:szCs w:val="20"/>
                <w:color w:val="231F20"/>
              </w:rPr>
              <w:t>$</w:t>
            </w:r>
          </w:p>
        </w:tc>
        <w:tc>
          <w:tcPr>
            <w:tcW w:w="1640" w:type="dxa"/>
            <w:vAlign w:val="bottom"/>
          </w:tcPr>
          <w:p>
            <w:pPr>
              <w:jc w:val="right"/>
              <w:spacing w:after="0"/>
              <w:rPr>
                <w:sz w:val="20"/>
                <w:szCs w:val="20"/>
                <w:color w:val="auto"/>
              </w:rPr>
            </w:pPr>
            <w:r>
              <w:rPr>
                <w:rFonts w:ascii="Arial" w:cs="Arial" w:eastAsia="Arial" w:hAnsi="Arial"/>
                <w:sz w:val="20"/>
                <w:szCs w:val="20"/>
                <w:color w:val="231F20"/>
              </w:rPr>
              <w:t>6,666</w:t>
            </w:r>
          </w:p>
        </w:tc>
        <w:tc>
          <w:tcPr>
            <w:tcW w:w="180" w:type="dxa"/>
            <w:vAlign w:val="bottom"/>
          </w:tcPr>
          <w:p>
            <w:pPr>
              <w:spacing w:after="0"/>
              <w:rPr>
                <w:sz w:val="21"/>
                <w:szCs w:val="21"/>
                <w:color w:val="auto"/>
              </w:rPr>
            </w:pPr>
          </w:p>
        </w:tc>
      </w:tr>
      <w:tr>
        <w:trPr>
          <w:trHeight w:val="240"/>
        </w:trPr>
        <w:tc>
          <w:tcPr>
            <w:tcW w:w="6660" w:type="dxa"/>
            <w:vAlign w:val="bottom"/>
          </w:tcPr>
          <w:p>
            <w:pPr>
              <w:spacing w:after="0"/>
              <w:rPr>
                <w:sz w:val="20"/>
                <w:szCs w:val="20"/>
                <w:color w:val="auto"/>
              </w:rPr>
            </w:pPr>
            <w:r>
              <w:rPr>
                <w:rFonts w:ascii="Arial" w:cs="Arial" w:eastAsia="Arial" w:hAnsi="Arial"/>
                <w:sz w:val="20"/>
                <w:szCs w:val="20"/>
                <w:color w:val="231F20"/>
              </w:rPr>
              <w:t>Present value of future income taxes discounted at 10% . . . . . . . . . . . . . .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231F20"/>
              </w:rPr>
              <w:t>2,051</w:t>
            </w:r>
          </w:p>
        </w:tc>
        <w:tc>
          <w:tcPr>
            <w:tcW w:w="180" w:type="dxa"/>
            <w:vAlign w:val="bottom"/>
          </w:tcPr>
          <w:p>
            <w:pPr>
              <w:spacing w:after="0"/>
              <w:rPr>
                <w:sz w:val="20"/>
                <w:szCs w:val="20"/>
                <w:color w:val="auto"/>
              </w:rPr>
            </w:pPr>
          </w:p>
        </w:tc>
      </w:tr>
      <w:tr>
        <w:trPr>
          <w:trHeight w:val="28"/>
        </w:trPr>
        <w:tc>
          <w:tcPr>
            <w:tcW w:w="66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1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72"/>
        </w:trPr>
        <w:tc>
          <w:tcPr>
            <w:tcW w:w="6660" w:type="dxa"/>
            <w:vAlign w:val="bottom"/>
          </w:tcPr>
          <w:p>
            <w:pPr>
              <w:spacing w:after="0"/>
              <w:rPr>
                <w:sz w:val="20"/>
                <w:szCs w:val="20"/>
                <w:color w:val="auto"/>
              </w:rPr>
            </w:pPr>
            <w:r>
              <w:rPr>
                <w:rFonts w:ascii="Arial" w:cs="Arial" w:eastAsia="Arial" w:hAnsi="Arial"/>
                <w:sz w:val="20"/>
                <w:szCs w:val="20"/>
                <w:color w:val="231F20"/>
                <w:w w:val="98"/>
              </w:rPr>
              <w:t>PV-10 of cash flows . . . . . . . . . . . . . . . . . . . . . . . . . . . . . . . . . . . . . . . . . . . . .</w:t>
            </w:r>
          </w:p>
        </w:tc>
        <w:tc>
          <w:tcPr>
            <w:tcW w:w="640" w:type="dxa"/>
            <w:vAlign w:val="bottom"/>
            <w:gridSpan w:val="3"/>
          </w:tcPr>
          <w:p>
            <w:pPr>
              <w:jc w:val="right"/>
              <w:ind w:right="260"/>
              <w:spacing w:after="0"/>
              <w:rPr>
                <w:sz w:val="20"/>
                <w:szCs w:val="20"/>
                <w:color w:val="auto"/>
              </w:rPr>
            </w:pPr>
            <w:r>
              <w:rPr>
                <w:rFonts w:ascii="Arial" w:cs="Arial" w:eastAsia="Arial" w:hAnsi="Arial"/>
                <w:sz w:val="20"/>
                <w:szCs w:val="20"/>
                <w:color w:val="231F20"/>
              </w:rPr>
              <w:t>$</w:t>
            </w:r>
          </w:p>
        </w:tc>
        <w:tc>
          <w:tcPr>
            <w:tcW w:w="1640" w:type="dxa"/>
            <w:vAlign w:val="bottom"/>
          </w:tcPr>
          <w:p>
            <w:pPr>
              <w:jc w:val="right"/>
              <w:spacing w:after="0"/>
              <w:rPr>
                <w:sz w:val="20"/>
                <w:szCs w:val="20"/>
                <w:color w:val="auto"/>
              </w:rPr>
            </w:pPr>
            <w:r>
              <w:rPr>
                <w:rFonts w:ascii="Arial" w:cs="Arial" w:eastAsia="Arial" w:hAnsi="Arial"/>
                <w:sz w:val="20"/>
                <w:szCs w:val="20"/>
                <w:color w:val="231F20"/>
              </w:rPr>
              <w:t>8,717</w:t>
            </w:r>
          </w:p>
        </w:tc>
        <w:tc>
          <w:tcPr>
            <w:tcW w:w="180" w:type="dxa"/>
            <w:vAlign w:val="bottom"/>
          </w:tcPr>
          <w:p>
            <w:pPr>
              <w:spacing w:after="0"/>
              <w:rPr>
                <w:sz w:val="23"/>
                <w:szCs w:val="23"/>
                <w:color w:val="auto"/>
              </w:rPr>
            </w:pPr>
          </w:p>
        </w:tc>
      </w:tr>
      <w:tr>
        <w:trPr>
          <w:trHeight w:val="28"/>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164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6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Reserves Evaluation and Review Process</w:t>
      </w:r>
    </w:p>
    <w:p>
      <w:pPr>
        <w:spacing w:after="0" w:line="210"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231F20"/>
        </w:rPr>
        <w:t xml:space="preserve">Our estimates of proved reserves and related discounted future net cash flows as of December 31, 2025 were made by our technical personnel, comprised of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Arial" w:cs="Arial" w:eastAsia="Arial" w:hAnsi="Arial"/>
          <w:sz w:val="20"/>
          <w:szCs w:val="20"/>
          <w:i w:val="1"/>
          <w:iCs w:val="1"/>
          <w:color w:val="231F20"/>
        </w:rPr>
        <w:t>Part II, Item 7 – Management’s Discussion</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and Analysis of Financial Condition and Results of Operations, Critical Accounting Estimates </w:t>
      </w:r>
      <w:r>
        <w:rPr>
          <w:rFonts w:ascii="Arial" w:cs="Arial" w:eastAsia="Arial" w:hAnsi="Arial"/>
          <w:sz w:val="20"/>
          <w:szCs w:val="20"/>
          <w:color w:val="231F20"/>
        </w:rPr>
        <w:t>for further</w:t>
      </w:r>
      <w:r>
        <w:rPr>
          <w:rFonts w:ascii="Arial" w:cs="Arial" w:eastAsia="Arial" w:hAnsi="Arial"/>
          <w:sz w:val="20"/>
          <w:szCs w:val="20"/>
          <w:i w:val="1"/>
          <w:iCs w:val="1"/>
          <w:color w:val="231F20"/>
        </w:rPr>
        <w:t xml:space="preserve"> </w:t>
      </w:r>
      <w:r>
        <w:rPr>
          <w:rFonts w:ascii="Arial" w:cs="Arial" w:eastAsia="Arial" w:hAnsi="Arial"/>
          <w:sz w:val="20"/>
          <w:szCs w:val="20"/>
          <w:color w:val="231F20"/>
        </w:rPr>
        <w:t>discussion of uncertainties inherent in the reserve estimates.</w:t>
      </w:r>
    </w:p>
    <w:p>
      <w:pPr>
        <w:spacing w:after="0" w:line="200"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spacing w:after="0" w:line="202"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231F20"/>
        </w:rPr>
        <w:t>Our Director of Reserves is the technical person who is primarily responsible for overseeing the preparation of our reserves estimates in compliance with the SEC rules and regulations. He has over 16 years of experience in the upstream oil and gas industry, with projects ranging from appraisal of primary production reservoirs to enhanced oil recovery methods. He holds a Bachelor of Science degree in Petroleum Engineering from the Colorado School of Mines.</w:t>
      </w:r>
    </w:p>
    <w:p>
      <w:pPr>
        <w:spacing w:after="0" w:line="202" w:lineRule="exact"/>
        <w:rPr>
          <w:sz w:val="20"/>
          <w:szCs w:val="20"/>
          <w:color w:val="auto"/>
        </w:rPr>
      </w:pPr>
    </w:p>
    <w:p>
      <w:pPr>
        <w:ind w:right="120" w:firstLine="300"/>
        <w:spacing w:after="0" w:line="247" w:lineRule="auto"/>
        <w:rPr>
          <w:sz w:val="20"/>
          <w:szCs w:val="20"/>
          <w:color w:val="auto"/>
        </w:rPr>
      </w:pPr>
      <w:r>
        <w:rPr>
          <w:rFonts w:ascii="Arial" w:cs="Arial" w:eastAsia="Arial" w:hAnsi="Arial"/>
          <w:sz w:val="20"/>
          <w:szCs w:val="20"/>
          <w:color w:val="231F20"/>
        </w:rPr>
        <w:t>We have an Oil and Gas Reserves Review Committee (Reserves Committee), consisting of senior corporate officers, to review and approve our oil and natural gas reserves for 2025. The Reserves Committee annually reports its findings to the Audit Committee.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Audits of Reserves Estimates</w:t>
      </w:r>
    </w:p>
    <w:p>
      <w:pPr>
        <w:spacing w:after="0" w:line="210" w:lineRule="exact"/>
        <w:rPr>
          <w:sz w:val="20"/>
          <w:szCs w:val="20"/>
          <w:color w:val="auto"/>
        </w:rPr>
      </w:pPr>
    </w:p>
    <w:p>
      <w:pPr>
        <w:ind w:right="180" w:firstLine="300"/>
        <w:spacing w:after="0" w:line="246" w:lineRule="auto"/>
        <w:rPr>
          <w:sz w:val="20"/>
          <w:szCs w:val="20"/>
          <w:color w:val="auto"/>
        </w:rPr>
      </w:pPr>
      <w:r>
        <w:rPr>
          <w:rFonts w:ascii="Arial" w:cs="Arial" w:eastAsia="Arial" w:hAnsi="Arial"/>
          <w:sz w:val="20"/>
          <w:szCs w:val="20"/>
          <w:color w:val="231F20"/>
        </w:rPr>
        <w:t>Netherland, Sewell &amp; Associates, Inc. (NSAI) was engaged to provide an independent audit of our reserves estimates for our fields located in California. For the year ended December 31, 2025, NSAI audited 81% of our total proved reserves.</w:t>
      </w:r>
    </w:p>
    <w:p>
      <w:pPr>
        <w:spacing w:after="0" w:line="208" w:lineRule="exact"/>
        <w:rPr>
          <w:sz w:val="20"/>
          <w:szCs w:val="20"/>
          <w:color w:val="auto"/>
        </w:rPr>
      </w:pPr>
    </w:p>
    <w:p>
      <w:pPr>
        <w:ind w:right="320" w:firstLine="300"/>
        <w:spacing w:after="0" w:line="246" w:lineRule="auto"/>
        <w:rPr>
          <w:sz w:val="20"/>
          <w:szCs w:val="20"/>
          <w:color w:val="auto"/>
        </w:rPr>
      </w:pPr>
      <w:r>
        <w:rPr>
          <w:rFonts w:ascii="Arial" w:cs="Arial" w:eastAsia="Arial" w:hAnsi="Arial"/>
          <w:sz w:val="20"/>
          <w:szCs w:val="20"/>
          <w:color w:val="231F20"/>
        </w:rPr>
        <w:t>DeGolyer and MacNaughton was engaged to provide an independent audit of our reserves estimates for the Uinta basin. For the year ended December 31, 2025, DeGolyer and MacNaughton audited 5% of our total proved reserves in the Uinta basin.</w:t>
      </w:r>
    </w:p>
    <w:p>
      <w:pPr>
        <w:spacing w:after="0" w:line="208" w:lineRule="exact"/>
        <w:rPr>
          <w:sz w:val="20"/>
          <w:szCs w:val="20"/>
          <w:color w:val="auto"/>
        </w:rPr>
      </w:pPr>
    </w:p>
    <w:p>
      <w:pPr>
        <w:ind w:right="20" w:firstLine="300"/>
        <w:spacing w:after="0" w:line="265" w:lineRule="auto"/>
        <w:rPr>
          <w:sz w:val="20"/>
          <w:szCs w:val="20"/>
          <w:color w:val="auto"/>
        </w:rPr>
      </w:pPr>
      <w:r>
        <w:rPr>
          <w:rFonts w:ascii="Arial" w:cs="Arial" w:eastAsia="Arial" w:hAnsi="Arial"/>
          <w:sz w:val="19"/>
          <w:szCs w:val="19"/>
          <w:color w:val="231F20"/>
        </w:rPr>
        <w:t>Our independent reserve engineers examined the assumptions underlying our reserves estimates, adequacy and quality of our work product and estimates of future production rates.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w:t>
      </w:r>
    </w:p>
    <w:p>
      <w:pPr>
        <w:sectPr>
          <w:pgSz w:w="11880" w:h="15480" w:orient="portrait"/>
          <w:cols w:equalWidth="0" w:num="1">
            <w:col w:w="9120"/>
          </w:cols>
          <w:pgMar w:left="1380" w:top="1270" w:right="1380" w:bottom="655"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18</w:t>
      </w:r>
    </w:p>
    <w:p>
      <w:pPr>
        <w:sectPr>
          <w:pgSz w:w="11880" w:h="15480" w:orient="portrait"/>
          <w:cols w:equalWidth="0" w:num="1">
            <w:col w:w="9120"/>
          </w:cols>
          <w:pgMar w:left="1380" w:top="1270" w:right="1380" w:bottom="655" w:gutter="0" w:footer="0" w:header="0"/>
          <w:type w:val="continuous"/>
        </w:sectPr>
      </w:pPr>
    </w:p>
    <w:bookmarkStart w:id="22" w:name="page23"/>
    <w:bookmarkEnd w:id="22"/>
    <w:p>
      <w:pPr>
        <w:ind w:right="240"/>
        <w:spacing w:after="0" w:line="248" w:lineRule="auto"/>
        <w:rPr>
          <w:sz w:val="20"/>
          <w:szCs w:val="20"/>
          <w:color w:val="auto"/>
        </w:rPr>
      </w:pPr>
      <w:r>
        <w:rPr>
          <w:rFonts w:ascii="Arial" w:cs="Arial" w:eastAsia="Arial" w:hAnsi="Arial"/>
          <w:sz w:val="20"/>
          <w:szCs w:val="20"/>
          <w:color w:val="231F20"/>
        </w:rPr>
        <w:t>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reserve engineers was less than 10%, which was within the Society of Petroleum Engineers (SPE) acceptable tolerance.</w:t>
      </w:r>
    </w:p>
    <w:p>
      <w:pPr>
        <w:spacing w:after="0" w:line="212"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color w:val="231F20"/>
        </w:rPr>
        <w:t>In the conduct of the reserves audits, our independent reserve engineers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they had resolved their questions relating thereto or had independently verified such information or data. Our independent reserve engineers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Our independent reserve engineers each issued an unqualified audit opinion on the applicable portions of our proved reserves as of December 31, 2025, which are attached as Exhibit 99.1 and Exhibit 99.2 to this Form 10-K and incorporated herein by reference.</w:t>
      </w:r>
    </w:p>
    <w:p>
      <w:pPr>
        <w:spacing w:after="0" w:line="20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i w:val="1"/>
          <w:iCs w:val="1"/>
          <w:color w:val="231F20"/>
        </w:rPr>
        <w:t xml:space="preserve">NSAI qualifications </w:t>
      </w:r>
      <w:r>
        <w:rPr>
          <w:rFonts w:ascii="Arial" w:cs="Arial" w:eastAsia="Arial" w:hAnsi="Arial"/>
          <w:sz w:val="20"/>
          <w:szCs w:val="20"/>
          <w:color w:val="231F20"/>
        </w:rPr>
        <w:t>– The primary technical engineer responsible for our audit is a Licensed</w:t>
      </w:r>
      <w:r>
        <w:rPr>
          <w:rFonts w:ascii="Arial" w:cs="Arial" w:eastAsia="Arial" w:hAnsi="Arial"/>
          <w:sz w:val="20"/>
          <w:szCs w:val="20"/>
          <w:i w:val="1"/>
          <w:iCs w:val="1"/>
          <w:color w:val="231F20"/>
        </w:rPr>
        <w:t xml:space="preserve"> </w:t>
      </w:r>
      <w:r>
        <w:rPr>
          <w:rFonts w:ascii="Arial" w:cs="Arial" w:eastAsia="Arial" w:hAnsi="Arial"/>
          <w:sz w:val="20"/>
          <w:szCs w:val="20"/>
          <w:color w:val="231F20"/>
        </w:rPr>
        <w:t>Professional Engineer in the State of Texas, has been practicing consulting petroleum engineering at NSAI since 2006 and has over 6 years of prior industry experience. The primary geologist for our audit is a Licensed Professional Geoscientist in the State of Texas, has been practicing consulting petroleum geoscience at NSAI since 2008 and has over 12 years of prior industry experience.</w:t>
      </w:r>
    </w:p>
    <w:p>
      <w:pPr>
        <w:spacing w:after="0" w:line="20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i w:val="1"/>
          <w:iCs w:val="1"/>
          <w:color w:val="231F20"/>
        </w:rPr>
        <w:t xml:space="preserve">DeGolyer and MacNaughton </w:t>
      </w:r>
      <w:r>
        <w:rPr>
          <w:rFonts w:ascii="Arial" w:cs="Arial" w:eastAsia="Arial" w:hAnsi="Arial"/>
          <w:sz w:val="20"/>
          <w:szCs w:val="20"/>
          <w:color w:val="231F20"/>
        </w:rPr>
        <w:t>– The primary technical engineer responsible for our audit is a</w:t>
      </w:r>
      <w:r>
        <w:rPr>
          <w:rFonts w:ascii="Arial" w:cs="Arial" w:eastAsia="Arial" w:hAnsi="Arial"/>
          <w:sz w:val="20"/>
          <w:szCs w:val="20"/>
          <w:i w:val="1"/>
          <w:iCs w:val="1"/>
          <w:color w:val="231F20"/>
        </w:rPr>
        <w:t xml:space="preserve"> </w:t>
      </w:r>
      <w:r>
        <w:rPr>
          <w:rFonts w:ascii="Arial" w:cs="Arial" w:eastAsia="Arial" w:hAnsi="Arial"/>
          <w:sz w:val="20"/>
          <w:szCs w:val="20"/>
          <w:color w:val="231F20"/>
        </w:rPr>
        <w:t>Licensed Professional Engineer in the State of Texas, has Master of Science and Doctor of Philosophy degrees in Petroleum Engineering and has more than 10 years of experience in oil and gas reservoir studies and reserves evaluation.</w:t>
      </w:r>
    </w:p>
    <w:p>
      <w:pPr>
        <w:sectPr>
          <w:pgSz w:w="11880" w:h="15480" w:orient="portrait"/>
          <w:cols w:equalWidth="0" w:num="1">
            <w:col w:w="9120"/>
          </w:cols>
          <w:pgMar w:left="1380" w:top="1316"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19</w:t>
      </w:r>
    </w:p>
    <w:p>
      <w:pPr>
        <w:sectPr>
          <w:pgSz w:w="11880" w:h="15480" w:orient="portrait"/>
          <w:cols w:equalWidth="0" w:num="1">
            <w:col w:w="9120"/>
          </w:cols>
          <w:pgMar w:left="1380" w:top="1316" w:right="1380" w:bottom="653"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color w:val="231F20"/>
        </w:rPr>
        <w:t>Drilling Statistics</w:t>
      </w:r>
    </w:p>
    <w:p>
      <w:pPr>
        <w:spacing w:after="0" w:line="243"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 xml:space="preserve">The following table sets forth information on our net exploration and development wells drilled and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 We refer to gross wells as the total number of wells in which interests are owned, including outside operated wells. Net wells represent wells reduced to our fractional interest. For information on our 2026 capital program, see </w:t>
      </w:r>
      <w:r>
        <w:rPr>
          <w:rFonts w:ascii="Arial" w:cs="Arial" w:eastAsia="Arial" w:hAnsi="Arial"/>
          <w:sz w:val="20"/>
          <w:szCs w:val="20"/>
          <w:i w:val="1"/>
          <w:iCs w:val="1"/>
          <w:color w:val="231F20"/>
        </w:rPr>
        <w:t>Part II, Item 7 – Management’s Discussion and Analysis</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of Financial Condition and Results of Operations, Uses of Cash </w:t>
      </w:r>
      <w:r>
        <w:rPr>
          <w:rFonts w:ascii="Arial" w:cs="Arial" w:eastAsia="Arial" w:hAnsi="Arial"/>
          <w:sz w:val="20"/>
          <w:szCs w:val="20"/>
          <w:color w:val="231F20"/>
        </w:rPr>
        <w:t>and for information on the California</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regulatory environment and our ability to obtain permits, see </w:t>
      </w:r>
      <w:r>
        <w:rPr>
          <w:rFonts w:ascii="Arial" w:cs="Arial" w:eastAsia="Arial" w:hAnsi="Arial"/>
          <w:sz w:val="20"/>
          <w:szCs w:val="20"/>
          <w:i w:val="1"/>
          <w:iCs w:val="1"/>
          <w:color w:val="231F20"/>
        </w:rPr>
        <w:t>Regulation of the Industries in Which We</w:t>
      </w:r>
      <w:r>
        <w:rPr>
          <w:rFonts w:ascii="Arial" w:cs="Arial" w:eastAsia="Arial" w:hAnsi="Arial"/>
          <w:sz w:val="20"/>
          <w:szCs w:val="20"/>
          <w:color w:val="231F20"/>
        </w:rPr>
        <w:t xml:space="preserve"> </w:t>
      </w:r>
      <w:r>
        <w:rPr>
          <w:rFonts w:ascii="Arial" w:cs="Arial" w:eastAsia="Arial" w:hAnsi="Arial"/>
          <w:sz w:val="20"/>
          <w:szCs w:val="20"/>
          <w:i w:val="1"/>
          <w:iCs w:val="1"/>
          <w:color w:val="231F20"/>
        </w:rPr>
        <w:t>Operate</w:t>
      </w:r>
      <w:r>
        <w:rPr>
          <w:rFonts w:ascii="Arial" w:cs="Arial" w:eastAsia="Arial" w:hAnsi="Arial"/>
          <w:sz w:val="20"/>
          <w:szCs w:val="20"/>
          <w:color w:val="231F20"/>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231F20"/>
              </w:rPr>
              <w:t>San Joaquin</w:t>
            </w:r>
          </w:p>
        </w:tc>
        <w:tc>
          <w:tcPr>
            <w:tcW w:w="200" w:type="dxa"/>
            <w:vAlign w:val="bottom"/>
          </w:tcPr>
          <w:p>
            <w:pPr>
              <w:spacing w:after="0"/>
              <w:rPr>
                <w:sz w:val="16"/>
                <w:szCs w:val="16"/>
                <w:color w:val="auto"/>
              </w:rPr>
            </w:pPr>
          </w:p>
        </w:tc>
        <w:tc>
          <w:tcPr>
            <w:tcW w:w="3160" w:type="dxa"/>
            <w:vAlign w:val="bottom"/>
            <w:gridSpan w:val="7"/>
          </w:tcPr>
          <w:p>
            <w:pPr>
              <w:jc w:val="center"/>
              <w:spacing w:after="0"/>
              <w:rPr>
                <w:sz w:val="20"/>
                <w:szCs w:val="20"/>
                <w:color w:val="auto"/>
              </w:rPr>
            </w:pPr>
            <w:r>
              <w:rPr>
                <w:rFonts w:ascii="Arial" w:cs="Arial" w:eastAsia="Arial" w:hAnsi="Arial"/>
                <w:sz w:val="16"/>
                <w:szCs w:val="16"/>
                <w:b w:val="1"/>
                <w:bCs w:val="1"/>
                <w:color w:val="231F20"/>
              </w:rPr>
              <w:t>Los Angeles  Sacramento  Uinta  Other</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231F20"/>
              </w:rPr>
              <w:t>Total Net</w:t>
            </w:r>
          </w:p>
        </w:tc>
        <w:tc>
          <w:tcPr>
            <w:tcW w:w="0" w:type="dxa"/>
            <w:vAlign w:val="bottom"/>
          </w:tcPr>
          <w:p>
            <w:pPr>
              <w:spacing w:after="0"/>
              <w:rPr>
                <w:sz w:val="1"/>
                <w:szCs w:val="1"/>
                <w:color w:val="auto"/>
              </w:rPr>
            </w:pPr>
          </w:p>
        </w:tc>
      </w:tr>
      <w:tr>
        <w:trPr>
          <w:trHeight w:val="181"/>
        </w:trPr>
        <w:tc>
          <w:tcPr>
            <w:tcW w:w="3940" w:type="dxa"/>
            <w:vAlign w:val="bottom"/>
          </w:tcPr>
          <w:p>
            <w:pPr>
              <w:spacing w:after="0"/>
              <w:rPr>
                <w:sz w:val="15"/>
                <w:szCs w:val="15"/>
                <w:color w:val="auto"/>
              </w:rPr>
            </w:pPr>
          </w:p>
        </w:tc>
        <w:tc>
          <w:tcPr>
            <w:tcW w:w="1020" w:type="dxa"/>
            <w:vAlign w:val="bottom"/>
          </w:tcPr>
          <w:p>
            <w:pPr>
              <w:jc w:val="right"/>
              <w:ind w:right="203"/>
              <w:spacing w:after="0" w:line="181" w:lineRule="exact"/>
              <w:rPr>
                <w:sz w:val="20"/>
                <w:szCs w:val="20"/>
                <w:color w:val="auto"/>
              </w:rPr>
            </w:pPr>
            <w:r>
              <w:rPr>
                <w:rFonts w:ascii="Arial" w:cs="Arial" w:eastAsia="Arial" w:hAnsi="Arial"/>
                <w:sz w:val="16"/>
                <w:szCs w:val="16"/>
                <w:b w:val="1"/>
                <w:bCs w:val="1"/>
                <w:color w:val="231F20"/>
              </w:rPr>
              <w:t>Basin</w:t>
            </w:r>
          </w:p>
        </w:tc>
        <w:tc>
          <w:tcPr>
            <w:tcW w:w="200" w:type="dxa"/>
            <w:vAlign w:val="bottom"/>
          </w:tcPr>
          <w:p>
            <w:pPr>
              <w:spacing w:after="0"/>
              <w:rPr>
                <w:sz w:val="15"/>
                <w:szCs w:val="15"/>
                <w:color w:val="auto"/>
              </w:rPr>
            </w:pPr>
          </w:p>
        </w:tc>
        <w:tc>
          <w:tcPr>
            <w:tcW w:w="1040" w:type="dxa"/>
            <w:vAlign w:val="bottom"/>
          </w:tcPr>
          <w:p>
            <w:pPr>
              <w:jc w:val="right"/>
              <w:ind w:right="203"/>
              <w:spacing w:after="0" w:line="181" w:lineRule="exact"/>
              <w:rPr>
                <w:sz w:val="20"/>
                <w:szCs w:val="20"/>
                <w:color w:val="auto"/>
              </w:rPr>
            </w:pPr>
            <w:r>
              <w:rPr>
                <w:rFonts w:ascii="Arial" w:cs="Arial" w:eastAsia="Arial" w:hAnsi="Arial"/>
                <w:sz w:val="16"/>
                <w:szCs w:val="16"/>
                <w:b w:val="1"/>
                <w:bCs w:val="1"/>
                <w:color w:val="231F20"/>
              </w:rPr>
              <w:t>Basin</w:t>
            </w:r>
          </w:p>
        </w:tc>
        <w:tc>
          <w:tcPr>
            <w:tcW w:w="4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6"/>
                <w:szCs w:val="16"/>
                <w:b w:val="1"/>
                <w:bCs w:val="1"/>
                <w:color w:val="231F20"/>
              </w:rPr>
              <w:t>Basin</w:t>
            </w:r>
          </w:p>
        </w:tc>
        <w:tc>
          <w:tcPr>
            <w:tcW w:w="40" w:type="dxa"/>
            <w:vAlign w:val="bottom"/>
          </w:tcPr>
          <w:p>
            <w:pPr>
              <w:spacing w:after="0"/>
              <w:rPr>
                <w:sz w:val="15"/>
                <w:szCs w:val="15"/>
                <w:color w:val="auto"/>
              </w:rPr>
            </w:pPr>
          </w:p>
        </w:tc>
        <w:tc>
          <w:tcPr>
            <w:tcW w:w="1040" w:type="dxa"/>
            <w:vAlign w:val="bottom"/>
            <w:gridSpan w:val="3"/>
          </w:tcPr>
          <w:p>
            <w:pPr>
              <w:ind w:left="20"/>
              <w:spacing w:after="0" w:line="181" w:lineRule="exact"/>
              <w:rPr>
                <w:sz w:val="20"/>
                <w:szCs w:val="20"/>
                <w:color w:val="auto"/>
              </w:rPr>
            </w:pPr>
            <w:r>
              <w:rPr>
                <w:rFonts w:ascii="Arial" w:cs="Arial" w:eastAsia="Arial" w:hAnsi="Arial"/>
                <w:sz w:val="16"/>
                <w:szCs w:val="16"/>
                <w:b w:val="1"/>
                <w:bCs w:val="1"/>
                <w:color w:val="231F20"/>
                <w:w w:val="99"/>
              </w:rPr>
              <w:t>Basin Basins</w:t>
            </w:r>
          </w:p>
        </w:tc>
        <w:tc>
          <w:tcPr>
            <w:tcW w:w="40" w:type="dxa"/>
            <w:vAlign w:val="bottom"/>
          </w:tcPr>
          <w:p>
            <w:pPr>
              <w:spacing w:after="0"/>
              <w:rPr>
                <w:sz w:val="15"/>
                <w:szCs w:val="15"/>
                <w:color w:val="auto"/>
              </w:rPr>
            </w:pPr>
          </w:p>
        </w:tc>
        <w:tc>
          <w:tcPr>
            <w:tcW w:w="760" w:type="dxa"/>
            <w:vAlign w:val="bottom"/>
          </w:tcPr>
          <w:p>
            <w:pPr>
              <w:jc w:val="right"/>
              <w:ind w:right="84"/>
              <w:spacing w:after="0" w:line="181" w:lineRule="exact"/>
              <w:rPr>
                <w:sz w:val="20"/>
                <w:szCs w:val="20"/>
                <w:color w:val="auto"/>
              </w:rPr>
            </w:pPr>
            <w:r>
              <w:rPr>
                <w:rFonts w:ascii="Arial" w:cs="Arial" w:eastAsia="Arial" w:hAnsi="Arial"/>
                <w:sz w:val="16"/>
                <w:szCs w:val="16"/>
                <w:b w:val="1"/>
                <w:bCs w:val="1"/>
                <w:color w:val="231F20"/>
              </w:rPr>
              <w:t>Wells</w:t>
            </w:r>
          </w:p>
        </w:tc>
        <w:tc>
          <w:tcPr>
            <w:tcW w:w="0" w:type="dxa"/>
            <w:vAlign w:val="bottom"/>
          </w:tcPr>
          <w:p>
            <w:pPr>
              <w:spacing w:after="0"/>
              <w:rPr>
                <w:sz w:val="1"/>
                <w:szCs w:val="1"/>
                <w:color w:val="auto"/>
              </w:rPr>
            </w:pPr>
          </w:p>
        </w:tc>
      </w:tr>
      <w:tr>
        <w:trPr>
          <w:trHeight w:val="28"/>
        </w:trPr>
        <w:tc>
          <w:tcPr>
            <w:tcW w:w="3940" w:type="dxa"/>
            <w:vAlign w:val="bottom"/>
            <w:vMerge w:val="restart"/>
          </w:tcPr>
          <w:p>
            <w:pPr>
              <w:spacing w:after="0"/>
              <w:rPr>
                <w:sz w:val="20"/>
                <w:szCs w:val="20"/>
                <w:color w:val="auto"/>
              </w:rPr>
            </w:pPr>
            <w:r>
              <w:rPr>
                <w:rFonts w:ascii="Arial" w:cs="Arial" w:eastAsia="Arial" w:hAnsi="Arial"/>
                <w:sz w:val="20"/>
                <w:szCs w:val="20"/>
                <w:b w:val="1"/>
                <w:bCs w:val="1"/>
                <w:color w:val="231F20"/>
              </w:rPr>
              <w:t>2025</w:t>
            </w:r>
          </w:p>
        </w:tc>
        <w:tc>
          <w:tcPr>
            <w:tcW w:w="10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39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r>
              <w:rPr>
                <w:rFonts w:ascii="Arial" w:cs="Arial" w:eastAsia="Arial" w:hAnsi="Arial"/>
                <w:sz w:val="20"/>
                <w:szCs w:val="20"/>
                <w:color w:val="231F20"/>
              </w:rPr>
              <w:t>Productive</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940" w:type="dxa"/>
            <w:vAlign w:val="bottom"/>
          </w:tcPr>
          <w:p>
            <w:pPr>
              <w:ind w:left="200"/>
              <w:spacing w:after="0"/>
              <w:rPr>
                <w:sz w:val="20"/>
                <w:szCs w:val="20"/>
                <w:color w:val="auto"/>
              </w:rPr>
            </w:pPr>
            <w:r>
              <w:rPr>
                <w:rFonts w:ascii="Arial" w:cs="Arial" w:eastAsia="Arial" w:hAnsi="Arial"/>
                <w:sz w:val="20"/>
                <w:szCs w:val="20"/>
                <w:color w:val="231F20"/>
              </w:rPr>
              <w:t>Exploratory  .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1"/>
                <w:szCs w:val="21"/>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1"/>
                <w:szCs w:val="21"/>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1"/>
                <w:szCs w:val="21"/>
                <w:color w:val="auto"/>
              </w:rPr>
            </w:pPr>
          </w:p>
        </w:tc>
        <w:tc>
          <w:tcPr>
            <w:tcW w:w="760" w:type="dxa"/>
            <w:vAlign w:val="bottom"/>
          </w:tcPr>
          <w:p>
            <w:pPr>
              <w:jc w:val="right"/>
              <w:ind w:right="84"/>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Development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43.0</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800" w:type="dxa"/>
            <w:vAlign w:val="bottom"/>
            <w:gridSpan w:val="2"/>
          </w:tcPr>
          <w:p>
            <w:pPr>
              <w:jc w:val="right"/>
              <w:ind w:right="84"/>
              <w:spacing w:after="0"/>
              <w:rPr>
                <w:sz w:val="20"/>
                <w:szCs w:val="20"/>
                <w:color w:val="auto"/>
              </w:rPr>
            </w:pPr>
            <w:r>
              <w:rPr>
                <w:rFonts w:ascii="Arial" w:cs="Arial" w:eastAsia="Arial" w:hAnsi="Arial"/>
                <w:sz w:val="20"/>
                <w:szCs w:val="20"/>
                <w:color w:val="231F20"/>
              </w:rPr>
              <w:t>43.0</w:t>
            </w: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r>
              <w:rPr>
                <w:rFonts w:ascii="Arial" w:cs="Arial" w:eastAsia="Arial" w:hAnsi="Arial"/>
                <w:sz w:val="20"/>
                <w:szCs w:val="20"/>
                <w:color w:val="231F20"/>
              </w:rPr>
              <w:t>Dry</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Exploratory  .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760" w:type="dxa"/>
            <w:vAlign w:val="bottom"/>
          </w:tcPr>
          <w:p>
            <w:pPr>
              <w:jc w:val="right"/>
              <w:ind w:right="84"/>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Development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760" w:type="dxa"/>
            <w:vAlign w:val="bottom"/>
          </w:tcPr>
          <w:p>
            <w:pPr>
              <w:jc w:val="right"/>
              <w:ind w:right="84"/>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480"/>
        </w:trPr>
        <w:tc>
          <w:tcPr>
            <w:tcW w:w="3940" w:type="dxa"/>
            <w:vAlign w:val="bottom"/>
          </w:tcPr>
          <w:p>
            <w:pPr>
              <w:spacing w:after="0"/>
              <w:rPr>
                <w:sz w:val="20"/>
                <w:szCs w:val="20"/>
                <w:color w:val="auto"/>
              </w:rPr>
            </w:pPr>
            <w:r>
              <w:rPr>
                <w:rFonts w:ascii="Arial" w:cs="Arial" w:eastAsia="Arial" w:hAnsi="Arial"/>
                <w:sz w:val="20"/>
                <w:szCs w:val="20"/>
                <w:b w:val="1"/>
                <w:bCs w:val="1"/>
                <w:color w:val="231F20"/>
              </w:rPr>
              <w:t>2024</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r>
              <w:rPr>
                <w:rFonts w:ascii="Arial" w:cs="Arial" w:eastAsia="Arial" w:hAnsi="Arial"/>
                <w:sz w:val="20"/>
                <w:szCs w:val="20"/>
                <w:color w:val="231F20"/>
              </w:rPr>
              <w:t>Productive</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Exploratory  .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760" w:type="dxa"/>
            <w:vAlign w:val="bottom"/>
          </w:tcPr>
          <w:p>
            <w:pPr>
              <w:jc w:val="right"/>
              <w:ind w:right="84"/>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Development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8.0</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800" w:type="dxa"/>
            <w:vAlign w:val="bottom"/>
            <w:gridSpan w:val="2"/>
          </w:tcPr>
          <w:p>
            <w:pPr>
              <w:jc w:val="right"/>
              <w:ind w:right="84"/>
              <w:spacing w:after="0"/>
              <w:rPr>
                <w:sz w:val="20"/>
                <w:szCs w:val="20"/>
                <w:color w:val="auto"/>
              </w:rPr>
            </w:pPr>
            <w:r>
              <w:rPr>
                <w:rFonts w:ascii="Arial" w:cs="Arial" w:eastAsia="Arial" w:hAnsi="Arial"/>
                <w:sz w:val="20"/>
                <w:szCs w:val="20"/>
                <w:color w:val="231F20"/>
              </w:rPr>
              <w:t>8.0</w:t>
            </w: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r>
              <w:rPr>
                <w:rFonts w:ascii="Arial" w:cs="Arial" w:eastAsia="Arial" w:hAnsi="Arial"/>
                <w:sz w:val="20"/>
                <w:szCs w:val="20"/>
                <w:color w:val="231F20"/>
              </w:rPr>
              <w:t>Dry</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Exploratory  .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760" w:type="dxa"/>
            <w:vAlign w:val="bottom"/>
          </w:tcPr>
          <w:p>
            <w:pPr>
              <w:jc w:val="right"/>
              <w:ind w:right="84"/>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Development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760" w:type="dxa"/>
            <w:vAlign w:val="bottom"/>
          </w:tcPr>
          <w:p>
            <w:pPr>
              <w:jc w:val="right"/>
              <w:ind w:right="84"/>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480"/>
        </w:trPr>
        <w:tc>
          <w:tcPr>
            <w:tcW w:w="3940" w:type="dxa"/>
            <w:vAlign w:val="bottom"/>
          </w:tcPr>
          <w:p>
            <w:pPr>
              <w:spacing w:after="0"/>
              <w:rPr>
                <w:sz w:val="20"/>
                <w:szCs w:val="20"/>
                <w:color w:val="auto"/>
              </w:rPr>
            </w:pPr>
            <w:r>
              <w:rPr>
                <w:rFonts w:ascii="Arial" w:cs="Arial" w:eastAsia="Arial" w:hAnsi="Arial"/>
                <w:sz w:val="20"/>
                <w:szCs w:val="20"/>
                <w:b w:val="1"/>
                <w:bCs w:val="1"/>
                <w:color w:val="231F20"/>
              </w:rPr>
              <w:t>2023</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r>
              <w:rPr>
                <w:rFonts w:ascii="Arial" w:cs="Arial" w:eastAsia="Arial" w:hAnsi="Arial"/>
                <w:sz w:val="20"/>
                <w:szCs w:val="20"/>
                <w:color w:val="231F20"/>
              </w:rPr>
              <w:t>Productive</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Exploratory  .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760" w:type="dxa"/>
            <w:vAlign w:val="bottom"/>
          </w:tcPr>
          <w:p>
            <w:pPr>
              <w:jc w:val="right"/>
              <w:ind w:right="84"/>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Development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4.0</w:t>
            </w:r>
          </w:p>
        </w:tc>
        <w:tc>
          <w:tcPr>
            <w:tcW w:w="1240" w:type="dxa"/>
            <w:vAlign w:val="bottom"/>
            <w:gridSpan w:val="2"/>
          </w:tcPr>
          <w:p>
            <w:pPr>
              <w:jc w:val="right"/>
              <w:ind w:right="223"/>
              <w:spacing w:after="0"/>
              <w:rPr>
                <w:sz w:val="20"/>
                <w:szCs w:val="20"/>
                <w:color w:val="auto"/>
              </w:rPr>
            </w:pPr>
            <w:r>
              <w:rPr>
                <w:rFonts w:ascii="Arial" w:cs="Arial" w:eastAsia="Arial" w:hAnsi="Arial"/>
                <w:sz w:val="20"/>
                <w:szCs w:val="20"/>
                <w:color w:val="231F20"/>
              </w:rPr>
              <w:t>26.5</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800" w:type="dxa"/>
            <w:vAlign w:val="bottom"/>
            <w:gridSpan w:val="2"/>
          </w:tcPr>
          <w:p>
            <w:pPr>
              <w:jc w:val="right"/>
              <w:ind w:right="84"/>
              <w:spacing w:after="0"/>
              <w:rPr>
                <w:sz w:val="20"/>
                <w:szCs w:val="20"/>
                <w:color w:val="auto"/>
              </w:rPr>
            </w:pPr>
            <w:r>
              <w:rPr>
                <w:rFonts w:ascii="Arial" w:cs="Arial" w:eastAsia="Arial" w:hAnsi="Arial"/>
                <w:sz w:val="20"/>
                <w:szCs w:val="20"/>
                <w:color w:val="231F20"/>
              </w:rPr>
              <w:t>30.5</w:t>
            </w: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r>
              <w:rPr>
                <w:rFonts w:ascii="Arial" w:cs="Arial" w:eastAsia="Arial" w:hAnsi="Arial"/>
                <w:sz w:val="20"/>
                <w:szCs w:val="20"/>
                <w:color w:val="231F20"/>
              </w:rPr>
              <w:t>Dry</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Exploratory  .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760" w:type="dxa"/>
            <w:vAlign w:val="bottom"/>
          </w:tcPr>
          <w:p>
            <w:pPr>
              <w:jc w:val="right"/>
              <w:ind w:right="84"/>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3940" w:type="dxa"/>
            <w:vAlign w:val="bottom"/>
          </w:tcPr>
          <w:p>
            <w:pPr>
              <w:ind w:left="200"/>
              <w:spacing w:after="0"/>
              <w:rPr>
                <w:sz w:val="20"/>
                <w:szCs w:val="20"/>
                <w:color w:val="auto"/>
              </w:rPr>
            </w:pPr>
            <w:r>
              <w:rPr>
                <w:rFonts w:ascii="Arial" w:cs="Arial" w:eastAsia="Arial" w:hAnsi="Arial"/>
                <w:sz w:val="20"/>
                <w:szCs w:val="20"/>
                <w:color w:val="231F20"/>
              </w:rPr>
              <w:t>Development . . . . . . . . . . . . . . . . . . . . . .</w:t>
            </w:r>
          </w:p>
        </w:tc>
        <w:tc>
          <w:tcPr>
            <w:tcW w:w="102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40" w:type="dxa"/>
            <w:vAlign w:val="bottom"/>
          </w:tcPr>
          <w:p>
            <w:pPr>
              <w:jc w:val="right"/>
              <w:ind w:right="223"/>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231F20"/>
              </w:rPr>
              <w:t>—</w:t>
            </w:r>
          </w:p>
        </w:tc>
        <w:tc>
          <w:tcPr>
            <w:tcW w:w="40" w:type="dxa"/>
            <w:vAlign w:val="bottom"/>
          </w:tcPr>
          <w:p>
            <w:pPr>
              <w:spacing w:after="0"/>
              <w:rPr>
                <w:sz w:val="20"/>
                <w:szCs w:val="20"/>
                <w:color w:val="auto"/>
              </w:rPr>
            </w:pPr>
          </w:p>
        </w:tc>
        <w:tc>
          <w:tcPr>
            <w:tcW w:w="760" w:type="dxa"/>
            <w:vAlign w:val="bottom"/>
          </w:tcPr>
          <w:p>
            <w:pPr>
              <w:jc w:val="right"/>
              <w:ind w:right="84"/>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40" w:firstLine="300"/>
        <w:spacing w:after="0" w:line="245" w:lineRule="auto"/>
        <w:rPr>
          <w:sz w:val="20"/>
          <w:szCs w:val="20"/>
          <w:color w:val="auto"/>
        </w:rPr>
      </w:pPr>
      <w:r>
        <w:rPr>
          <w:rFonts w:ascii="Arial" w:cs="Arial" w:eastAsia="Arial" w:hAnsi="Arial"/>
          <w:sz w:val="20"/>
          <w:szCs w:val="20"/>
          <w:color w:val="231F20"/>
        </w:rPr>
        <w:t>The following table sets forth information on our exploratory and development wells where drilling was either in progress or pending completion as of December 31, 2025.</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231F20"/>
                <w:w w:val="98"/>
              </w:rPr>
              <w:t>San Joaquin</w:t>
            </w:r>
          </w:p>
        </w:tc>
        <w:tc>
          <w:tcPr>
            <w:tcW w:w="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231F20"/>
              </w:rPr>
              <w:t>Los Angeles</w:t>
            </w: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231F20"/>
                <w:w w:val="98"/>
              </w:rPr>
              <w:t>Sacramento</w:t>
            </w:r>
          </w:p>
        </w:tc>
        <w:tc>
          <w:tcPr>
            <w:tcW w:w="4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6"/>
                <w:szCs w:val="16"/>
                <w:b w:val="1"/>
                <w:bCs w:val="1"/>
                <w:color w:val="231F20"/>
                <w:w w:val="99"/>
              </w:rPr>
              <w:t>Uinta</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231F20"/>
                <w:w w:val="98"/>
              </w:rPr>
              <w:t>Other</w:t>
            </w:r>
          </w:p>
        </w:tc>
        <w:tc>
          <w:tcPr>
            <w:tcW w:w="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231F20"/>
                <w:w w:val="99"/>
              </w:rPr>
              <w:t>Total Net</w:t>
            </w:r>
          </w:p>
        </w:tc>
      </w:tr>
      <w:tr>
        <w:trPr>
          <w:trHeight w:val="181"/>
        </w:trPr>
        <w:tc>
          <w:tcPr>
            <w:tcW w:w="376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Arial" w:cs="Arial" w:eastAsia="Arial" w:hAnsi="Arial"/>
                <w:sz w:val="16"/>
                <w:szCs w:val="16"/>
                <w:b w:val="1"/>
                <w:bCs w:val="1"/>
                <w:color w:val="231F20"/>
              </w:rPr>
              <w:t>Basin</w:t>
            </w:r>
          </w:p>
        </w:tc>
        <w:tc>
          <w:tcPr>
            <w:tcW w:w="4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Arial" w:cs="Arial" w:eastAsia="Arial" w:hAnsi="Arial"/>
                <w:sz w:val="16"/>
                <w:szCs w:val="16"/>
                <w:b w:val="1"/>
                <w:bCs w:val="1"/>
                <w:color w:val="231F20"/>
              </w:rPr>
              <w:t>Basin</w:t>
            </w:r>
          </w:p>
        </w:tc>
        <w:tc>
          <w:tcPr>
            <w:tcW w:w="4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6"/>
                <w:szCs w:val="16"/>
                <w:b w:val="1"/>
                <w:bCs w:val="1"/>
                <w:color w:val="231F20"/>
                <w:w w:val="96"/>
              </w:rPr>
              <w:t>Basin</w:t>
            </w:r>
          </w:p>
        </w:tc>
        <w:tc>
          <w:tcPr>
            <w:tcW w:w="40" w:type="dxa"/>
            <w:vAlign w:val="bottom"/>
          </w:tcPr>
          <w:p>
            <w:pPr>
              <w:spacing w:after="0"/>
              <w:rPr>
                <w:sz w:val="15"/>
                <w:szCs w:val="15"/>
                <w:color w:val="auto"/>
              </w:rPr>
            </w:pPr>
          </w:p>
        </w:tc>
        <w:tc>
          <w:tcPr>
            <w:tcW w:w="1100" w:type="dxa"/>
            <w:vAlign w:val="bottom"/>
            <w:gridSpan w:val="3"/>
          </w:tcPr>
          <w:p>
            <w:pPr>
              <w:ind w:left="20"/>
              <w:spacing w:after="0" w:line="181" w:lineRule="exact"/>
              <w:rPr>
                <w:sz w:val="20"/>
                <w:szCs w:val="20"/>
                <w:color w:val="auto"/>
              </w:rPr>
            </w:pPr>
            <w:r>
              <w:rPr>
                <w:rFonts w:ascii="Arial" w:cs="Arial" w:eastAsia="Arial" w:hAnsi="Arial"/>
                <w:sz w:val="16"/>
                <w:szCs w:val="16"/>
                <w:b w:val="1"/>
                <w:bCs w:val="1"/>
                <w:color w:val="231F20"/>
              </w:rPr>
              <w:t>Basin Basins</w:t>
            </w:r>
          </w:p>
        </w:tc>
        <w:tc>
          <w:tcPr>
            <w:tcW w:w="40" w:type="dxa"/>
            <w:vAlign w:val="bottom"/>
          </w:tcPr>
          <w:p>
            <w:pPr>
              <w:spacing w:after="0"/>
              <w:rPr>
                <w:sz w:val="15"/>
                <w:szCs w:val="15"/>
                <w:color w:val="auto"/>
              </w:rPr>
            </w:pPr>
          </w:p>
        </w:tc>
        <w:tc>
          <w:tcPr>
            <w:tcW w:w="840" w:type="dxa"/>
            <w:vAlign w:val="bottom"/>
          </w:tcPr>
          <w:p>
            <w:pPr>
              <w:jc w:val="center"/>
              <w:spacing w:after="0" w:line="181" w:lineRule="exact"/>
              <w:rPr>
                <w:sz w:val="20"/>
                <w:szCs w:val="20"/>
                <w:color w:val="auto"/>
              </w:rPr>
            </w:pPr>
            <w:r>
              <w:rPr>
                <w:rFonts w:ascii="Arial" w:cs="Arial" w:eastAsia="Arial" w:hAnsi="Arial"/>
                <w:sz w:val="16"/>
                <w:szCs w:val="16"/>
                <w:b w:val="1"/>
                <w:bCs w:val="1"/>
                <w:color w:val="231F20"/>
              </w:rPr>
              <w:t>Wells</w:t>
            </w:r>
          </w:p>
        </w:tc>
      </w:tr>
      <w:tr>
        <w:trPr>
          <w:trHeight w:val="28"/>
        </w:trPr>
        <w:tc>
          <w:tcPr>
            <w:tcW w:w="3760" w:type="dxa"/>
            <w:vAlign w:val="bottom"/>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80"/>
        </w:trPr>
        <w:tc>
          <w:tcPr>
            <w:tcW w:w="3760" w:type="dxa"/>
            <w:vAlign w:val="bottom"/>
          </w:tcPr>
          <w:p>
            <w:pPr>
              <w:spacing w:after="0"/>
              <w:rPr>
                <w:sz w:val="20"/>
                <w:szCs w:val="20"/>
                <w:color w:val="auto"/>
              </w:rPr>
            </w:pPr>
            <w:r>
              <w:rPr>
                <w:rFonts w:ascii="Arial" w:cs="Arial" w:eastAsia="Arial" w:hAnsi="Arial"/>
                <w:sz w:val="20"/>
                <w:szCs w:val="20"/>
                <w:color w:val="231F20"/>
              </w:rPr>
              <w:t>Gross . . . . . . . . . . . . . . . . . . . . . . . . . . . .</w:t>
            </w:r>
          </w:p>
        </w:tc>
        <w:tc>
          <w:tcPr>
            <w:tcW w:w="1020" w:type="dxa"/>
            <w:vAlign w:val="bottom"/>
          </w:tcPr>
          <w:p>
            <w:pPr>
              <w:jc w:val="center"/>
              <w:spacing w:after="0"/>
              <w:rPr>
                <w:sz w:val="20"/>
                <w:szCs w:val="20"/>
                <w:color w:val="auto"/>
              </w:rPr>
            </w:pPr>
            <w:r>
              <w:rPr>
                <w:rFonts w:ascii="Arial" w:cs="Arial" w:eastAsia="Arial" w:hAnsi="Arial"/>
                <w:sz w:val="20"/>
                <w:szCs w:val="20"/>
                <w:color w:val="231F20"/>
              </w:rPr>
              <w:t>9.0</w:t>
            </w: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880" w:type="dxa"/>
            <w:vAlign w:val="bottom"/>
            <w:gridSpan w:val="2"/>
          </w:tcPr>
          <w:p>
            <w:pPr>
              <w:jc w:val="center"/>
              <w:spacing w:after="0"/>
              <w:rPr>
                <w:sz w:val="20"/>
                <w:szCs w:val="20"/>
                <w:color w:val="auto"/>
              </w:rPr>
            </w:pPr>
            <w:r>
              <w:rPr>
                <w:rFonts w:ascii="Arial" w:cs="Arial" w:eastAsia="Arial" w:hAnsi="Arial"/>
                <w:sz w:val="20"/>
                <w:szCs w:val="20"/>
                <w:color w:val="231F20"/>
              </w:rPr>
              <w:t>9.0</w:t>
            </w:r>
          </w:p>
        </w:tc>
      </w:tr>
      <w:tr>
        <w:trPr>
          <w:trHeight w:val="240"/>
        </w:trPr>
        <w:tc>
          <w:tcPr>
            <w:tcW w:w="3760" w:type="dxa"/>
            <w:vAlign w:val="bottom"/>
          </w:tcPr>
          <w:p>
            <w:pPr>
              <w:spacing w:after="0"/>
              <w:rPr>
                <w:sz w:val="20"/>
                <w:szCs w:val="20"/>
                <w:color w:val="auto"/>
              </w:rPr>
            </w:pPr>
            <w:r>
              <w:rPr>
                <w:rFonts w:ascii="Arial" w:cs="Arial" w:eastAsia="Arial" w:hAnsi="Arial"/>
                <w:sz w:val="20"/>
                <w:szCs w:val="20"/>
                <w:color w:val="231F20"/>
              </w:rPr>
              <w:t>Net . . . . . . . . . . . . . . . . . . . . . . . . . . . . . .</w:t>
            </w:r>
          </w:p>
        </w:tc>
        <w:tc>
          <w:tcPr>
            <w:tcW w:w="1020" w:type="dxa"/>
            <w:vAlign w:val="bottom"/>
          </w:tcPr>
          <w:p>
            <w:pPr>
              <w:jc w:val="center"/>
              <w:spacing w:after="0"/>
              <w:rPr>
                <w:sz w:val="20"/>
                <w:szCs w:val="20"/>
                <w:color w:val="auto"/>
              </w:rPr>
            </w:pPr>
            <w:r>
              <w:rPr>
                <w:rFonts w:ascii="Arial" w:cs="Arial" w:eastAsia="Arial" w:hAnsi="Arial"/>
                <w:sz w:val="20"/>
                <w:szCs w:val="20"/>
                <w:color w:val="231F20"/>
              </w:rPr>
              <w:t>9.0</w:t>
            </w:r>
          </w:p>
        </w:tc>
        <w:tc>
          <w:tcPr>
            <w:tcW w:w="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4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20"/>
                <w:szCs w:val="20"/>
                <w:color w:val="231F20"/>
                <w:w w:val="99"/>
              </w:rPr>
              <w:t>—</w:t>
            </w:r>
          </w:p>
        </w:tc>
        <w:tc>
          <w:tcPr>
            <w:tcW w:w="880" w:type="dxa"/>
            <w:vAlign w:val="bottom"/>
            <w:gridSpan w:val="2"/>
          </w:tcPr>
          <w:p>
            <w:pPr>
              <w:jc w:val="center"/>
              <w:spacing w:after="0"/>
              <w:rPr>
                <w:sz w:val="20"/>
                <w:szCs w:val="20"/>
                <w:color w:val="auto"/>
              </w:rPr>
            </w:pPr>
            <w:r>
              <w:rPr>
                <w:rFonts w:ascii="Arial" w:cs="Arial" w:eastAsia="Arial" w:hAnsi="Arial"/>
                <w:sz w:val="20"/>
                <w:szCs w:val="20"/>
                <w:color w:val="231F20"/>
              </w:rPr>
              <w:t>9.0</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Productive Wells</w:t>
      </w:r>
    </w:p>
    <w:p>
      <w:pPr>
        <w:spacing w:after="0" w:line="243"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Productive wells are those that produce, or are capable of producing, commercial quantities of hydrocarbons, regardless of whether they produce at a reasonable rate of return. Our average working interest in our producing wells was 98% as of December 31, 2025. Wells are categorized based on the primary product they produce.</w:t>
      </w:r>
    </w:p>
    <w:p>
      <w:pPr>
        <w:sectPr>
          <w:pgSz w:w="11880" w:h="15480" w:orient="portrait"/>
          <w:cols w:equalWidth="0" w:num="1">
            <w:col w:w="9120"/>
          </w:cols>
          <w:pgMar w:left="1380" w:top="1310" w:right="1380" w:bottom="655"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20</w:t>
      </w:r>
    </w:p>
    <w:p>
      <w:pPr>
        <w:sectPr>
          <w:pgSz w:w="11880" w:h="15480" w:orient="portrait"/>
          <w:cols w:equalWidth="0" w:num="1">
            <w:col w:w="9120"/>
          </w:cols>
          <w:pgMar w:left="1380" w:top="1310" w:right="1380" w:bottom="655" w:gutter="0" w:footer="0" w:header="0"/>
          <w:type w:val="continuous"/>
        </w:sectPr>
      </w:pPr>
    </w:p>
    <w:bookmarkStart w:id="24" w:name="page25"/>
    <w:bookmarkEnd w:id="24"/>
    <w:p>
      <w:pPr>
        <w:ind w:right="240" w:firstLine="300"/>
        <w:spacing w:after="0" w:line="246" w:lineRule="auto"/>
        <w:rPr>
          <w:sz w:val="20"/>
          <w:szCs w:val="20"/>
          <w:color w:val="auto"/>
        </w:rPr>
      </w:pPr>
      <w:r>
        <w:rPr>
          <w:rFonts w:ascii="Arial" w:cs="Arial" w:eastAsia="Arial" w:hAnsi="Arial"/>
          <w:sz w:val="20"/>
          <w:szCs w:val="20"/>
          <w:color w:val="231F20"/>
        </w:rPr>
        <w:t>The following table sets forth our productive oil and natural gas wells (both producing and mechanically capable of production) as of December 31, 2025, excluding wells that have been idle for more than five years: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80" w:type="dxa"/>
            <w:vAlign w:val="bottom"/>
          </w:tcPr>
          <w:p>
            <w:pPr>
              <w:spacing w:after="0"/>
              <w:rPr>
                <w:sz w:val="21"/>
                <w:szCs w:val="21"/>
                <w:color w:val="auto"/>
              </w:rPr>
            </w:pPr>
          </w:p>
        </w:tc>
        <w:tc>
          <w:tcPr>
            <w:tcW w:w="940" w:type="dxa"/>
            <w:vAlign w:val="bottom"/>
            <w:tcBorders>
              <w:bottom w:val="single" w:sz="8" w:color="231F20"/>
            </w:tcBorders>
          </w:tcPr>
          <w:p>
            <w:pPr>
              <w:spacing w:after="0"/>
              <w:rPr>
                <w:sz w:val="21"/>
                <w:szCs w:val="21"/>
                <w:color w:val="auto"/>
              </w:rPr>
            </w:pPr>
          </w:p>
        </w:tc>
        <w:tc>
          <w:tcPr>
            <w:tcW w:w="2540" w:type="dxa"/>
            <w:vAlign w:val="bottom"/>
            <w:tcBorders>
              <w:bottom w:val="single" w:sz="8" w:color="231F20"/>
            </w:tcBorders>
            <w:gridSpan w:val="6"/>
          </w:tcPr>
          <w:p>
            <w:pPr>
              <w:spacing w:after="0"/>
              <w:rPr>
                <w:sz w:val="20"/>
                <w:szCs w:val="20"/>
                <w:color w:val="auto"/>
              </w:rPr>
            </w:pPr>
            <w:r>
              <w:rPr>
                <w:rFonts w:ascii="Arial" w:cs="Arial" w:eastAsia="Arial" w:hAnsi="Arial"/>
                <w:sz w:val="20"/>
                <w:szCs w:val="20"/>
                <w:b w:val="1"/>
                <w:bCs w:val="1"/>
                <w:color w:val="231F20"/>
              </w:rPr>
              <w:t>As of December 31, 2025</w:t>
            </w:r>
          </w:p>
        </w:tc>
        <w:tc>
          <w:tcPr>
            <w:tcW w:w="7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880" w:type="dxa"/>
            <w:vAlign w:val="bottom"/>
          </w:tcPr>
          <w:p>
            <w:pPr>
              <w:spacing w:after="0"/>
              <w:rPr>
                <w:sz w:val="18"/>
                <w:szCs w:val="18"/>
                <w:color w:val="auto"/>
              </w:rPr>
            </w:pPr>
          </w:p>
        </w:tc>
        <w:tc>
          <w:tcPr>
            <w:tcW w:w="1820" w:type="dxa"/>
            <w:vAlign w:val="bottom"/>
            <w:gridSpan w:val="3"/>
          </w:tcPr>
          <w:p>
            <w:pPr>
              <w:jc w:val="right"/>
              <w:ind w:right="120"/>
              <w:spacing w:after="0" w:line="212" w:lineRule="exact"/>
              <w:rPr>
                <w:sz w:val="20"/>
                <w:szCs w:val="20"/>
                <w:color w:val="auto"/>
              </w:rPr>
            </w:pPr>
            <w:r>
              <w:rPr>
                <w:rFonts w:ascii="Arial" w:cs="Arial" w:eastAsia="Arial" w:hAnsi="Arial"/>
                <w:sz w:val="20"/>
                <w:szCs w:val="20"/>
                <w:b w:val="1"/>
                <w:bCs w:val="1"/>
                <w:color w:val="231F20"/>
              </w:rPr>
              <w:t>Productive Oil</w:t>
            </w:r>
          </w:p>
        </w:tc>
        <w:tc>
          <w:tcPr>
            <w:tcW w:w="2420" w:type="dxa"/>
            <w:vAlign w:val="bottom"/>
            <w:gridSpan w:val="5"/>
          </w:tcPr>
          <w:p>
            <w:pPr>
              <w:jc w:val="center"/>
              <w:ind w:left="100"/>
              <w:spacing w:after="0" w:line="212" w:lineRule="exact"/>
              <w:rPr>
                <w:sz w:val="20"/>
                <w:szCs w:val="20"/>
                <w:color w:val="auto"/>
              </w:rPr>
            </w:pPr>
            <w:r>
              <w:rPr>
                <w:rFonts w:ascii="Arial" w:cs="Arial" w:eastAsia="Arial" w:hAnsi="Arial"/>
                <w:sz w:val="20"/>
                <w:szCs w:val="20"/>
                <w:b w:val="1"/>
                <w:bCs w:val="1"/>
                <w:color w:val="231F20"/>
              </w:rPr>
              <w:t>Productive Natural Gas</w:t>
            </w:r>
          </w:p>
        </w:tc>
        <w:tc>
          <w:tcPr>
            <w:tcW w:w="0" w:type="dxa"/>
            <w:vAlign w:val="bottom"/>
          </w:tcPr>
          <w:p>
            <w:pPr>
              <w:spacing w:after="0"/>
              <w:rPr>
                <w:sz w:val="1"/>
                <w:szCs w:val="1"/>
                <w:color w:val="auto"/>
              </w:rPr>
            </w:pPr>
          </w:p>
        </w:tc>
      </w:tr>
      <w:tr>
        <w:trPr>
          <w:trHeight w:val="248"/>
        </w:trPr>
        <w:tc>
          <w:tcPr>
            <w:tcW w:w="4880" w:type="dxa"/>
            <w:vAlign w:val="bottom"/>
          </w:tcPr>
          <w:p>
            <w:pPr>
              <w:spacing w:after="0"/>
              <w:rPr>
                <w:sz w:val="21"/>
                <w:szCs w:val="21"/>
                <w:color w:val="auto"/>
              </w:rPr>
            </w:pPr>
          </w:p>
        </w:tc>
        <w:tc>
          <w:tcPr>
            <w:tcW w:w="1820" w:type="dxa"/>
            <w:vAlign w:val="bottom"/>
            <w:tcBorders>
              <w:bottom w:val="single" w:sz="8" w:color="231F20"/>
            </w:tcBorders>
            <w:gridSpan w:val="3"/>
          </w:tcPr>
          <w:p>
            <w:pPr>
              <w:jc w:val="right"/>
              <w:ind w:right="540"/>
              <w:spacing w:after="0"/>
              <w:rPr>
                <w:sz w:val="20"/>
                <w:szCs w:val="20"/>
                <w:color w:val="auto"/>
              </w:rPr>
            </w:pPr>
            <w:r>
              <w:rPr>
                <w:rFonts w:ascii="Arial" w:cs="Arial" w:eastAsia="Arial" w:hAnsi="Arial"/>
                <w:sz w:val="20"/>
                <w:szCs w:val="20"/>
                <w:b w:val="1"/>
                <w:bCs w:val="1"/>
                <w:color w:val="231F20"/>
              </w:rPr>
              <w:t>Wells</w:t>
            </w:r>
          </w:p>
        </w:tc>
        <w:tc>
          <w:tcPr>
            <w:tcW w:w="200" w:type="dxa"/>
            <w:vAlign w:val="bottom"/>
          </w:tcPr>
          <w:p>
            <w:pPr>
              <w:spacing w:after="0"/>
              <w:rPr>
                <w:sz w:val="21"/>
                <w:szCs w:val="21"/>
                <w:color w:val="auto"/>
              </w:rPr>
            </w:pPr>
          </w:p>
        </w:tc>
        <w:tc>
          <w:tcPr>
            <w:tcW w:w="1460" w:type="dxa"/>
            <w:vAlign w:val="bottom"/>
            <w:tcBorders>
              <w:bottom w:val="single" w:sz="8" w:color="231F20"/>
            </w:tcBorders>
            <w:gridSpan w:val="3"/>
          </w:tcPr>
          <w:p>
            <w:pPr>
              <w:jc w:val="center"/>
              <w:ind w:left="680"/>
              <w:spacing w:after="0"/>
              <w:rPr>
                <w:sz w:val="20"/>
                <w:szCs w:val="20"/>
                <w:color w:val="auto"/>
              </w:rPr>
            </w:pPr>
            <w:r>
              <w:rPr>
                <w:rFonts w:ascii="Arial" w:cs="Arial" w:eastAsia="Arial" w:hAnsi="Arial"/>
                <w:sz w:val="20"/>
                <w:szCs w:val="20"/>
                <w:b w:val="1"/>
                <w:bCs w:val="1"/>
                <w:color w:val="231F20"/>
                <w:w w:val="99"/>
              </w:rPr>
              <w:t>Wells</w:t>
            </w:r>
          </w:p>
        </w:tc>
        <w:tc>
          <w:tcPr>
            <w:tcW w:w="7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880" w:type="dxa"/>
            <w:vAlign w:val="bottom"/>
          </w:tcPr>
          <w:p>
            <w:pPr>
              <w:spacing w:after="0"/>
              <w:rPr>
                <w:sz w:val="22"/>
                <w:szCs w:val="22"/>
                <w:color w:val="auto"/>
              </w:rPr>
            </w:pPr>
          </w:p>
        </w:tc>
        <w:tc>
          <w:tcPr>
            <w:tcW w:w="940" w:type="dxa"/>
            <w:vAlign w:val="bottom"/>
            <w:tcBorders>
              <w:bottom w:val="single" w:sz="8" w:color="231F20"/>
            </w:tcBorders>
          </w:tcPr>
          <w:p>
            <w:pPr>
              <w:jc w:val="right"/>
              <w:spacing w:after="0" w:line="260" w:lineRule="exact"/>
              <w:rPr>
                <w:sz w:val="20"/>
                <w:szCs w:val="20"/>
                <w:color w:val="auto"/>
              </w:rPr>
            </w:pPr>
            <w:r>
              <w:rPr>
                <w:rFonts w:ascii="Arial" w:cs="Arial" w:eastAsia="Arial" w:hAnsi="Arial"/>
                <w:sz w:val="20"/>
                <w:szCs w:val="20"/>
                <w:b w:val="1"/>
                <w:bCs w:val="1"/>
                <w:color w:val="231F20"/>
              </w:rPr>
              <w:t>Gross</w:t>
            </w:r>
            <w:r>
              <w:rPr>
                <w:rFonts w:ascii="Arial" w:cs="Arial" w:eastAsia="Arial" w:hAnsi="Arial"/>
                <w:sz w:val="26"/>
                <w:szCs w:val="26"/>
                <w:b w:val="1"/>
                <w:bCs w:val="1"/>
                <w:color w:val="231F20"/>
                <w:vertAlign w:val="superscript"/>
              </w:rPr>
              <w:t>(a)</w:t>
            </w:r>
          </w:p>
        </w:tc>
        <w:tc>
          <w:tcPr>
            <w:tcW w:w="200" w:type="dxa"/>
            <w:vAlign w:val="bottom"/>
          </w:tcPr>
          <w:p>
            <w:pPr>
              <w:spacing w:after="0"/>
              <w:rPr>
                <w:sz w:val="22"/>
                <w:szCs w:val="22"/>
                <w:color w:val="auto"/>
              </w:rPr>
            </w:pPr>
          </w:p>
        </w:tc>
        <w:tc>
          <w:tcPr>
            <w:tcW w:w="680" w:type="dxa"/>
            <w:vAlign w:val="bottom"/>
            <w:tcBorders>
              <w:bottom w:val="single" w:sz="8" w:color="231F20"/>
            </w:tcBorders>
          </w:tcPr>
          <w:p>
            <w:pPr>
              <w:jc w:val="right"/>
              <w:spacing w:after="0" w:line="260" w:lineRule="exact"/>
              <w:rPr>
                <w:sz w:val="20"/>
                <w:szCs w:val="20"/>
                <w:color w:val="auto"/>
              </w:rPr>
            </w:pPr>
            <w:r>
              <w:rPr>
                <w:rFonts w:ascii="Arial" w:cs="Arial" w:eastAsia="Arial" w:hAnsi="Arial"/>
                <w:sz w:val="20"/>
                <w:szCs w:val="20"/>
                <w:b w:val="1"/>
                <w:bCs w:val="1"/>
                <w:color w:val="231F20"/>
              </w:rPr>
              <w:t>Net</w:t>
            </w:r>
            <w:r>
              <w:rPr>
                <w:rFonts w:ascii="Arial" w:cs="Arial" w:eastAsia="Arial" w:hAnsi="Arial"/>
                <w:sz w:val="26"/>
                <w:szCs w:val="26"/>
                <w:b w:val="1"/>
                <w:bCs w:val="1"/>
                <w:color w:val="231F20"/>
                <w:vertAlign w:val="superscript"/>
              </w:rPr>
              <w:t>(b)</w:t>
            </w:r>
          </w:p>
        </w:tc>
        <w:tc>
          <w:tcPr>
            <w:tcW w:w="200" w:type="dxa"/>
            <w:vAlign w:val="bottom"/>
          </w:tcPr>
          <w:p>
            <w:pPr>
              <w:spacing w:after="0"/>
              <w:rPr>
                <w:sz w:val="22"/>
                <w:szCs w:val="22"/>
                <w:color w:val="auto"/>
              </w:rPr>
            </w:pPr>
          </w:p>
        </w:tc>
        <w:tc>
          <w:tcPr>
            <w:tcW w:w="1140" w:type="dxa"/>
            <w:vAlign w:val="bottom"/>
            <w:tcBorders>
              <w:bottom w:val="single" w:sz="8" w:color="231F20"/>
            </w:tcBorders>
          </w:tcPr>
          <w:p>
            <w:pPr>
              <w:jc w:val="right"/>
              <w:ind w:right="100"/>
              <w:spacing w:after="0" w:line="260" w:lineRule="exact"/>
              <w:rPr>
                <w:sz w:val="20"/>
                <w:szCs w:val="20"/>
                <w:color w:val="auto"/>
              </w:rPr>
            </w:pPr>
            <w:r>
              <w:rPr>
                <w:rFonts w:ascii="Arial" w:cs="Arial" w:eastAsia="Arial" w:hAnsi="Arial"/>
                <w:sz w:val="20"/>
                <w:szCs w:val="20"/>
                <w:b w:val="1"/>
                <w:bCs w:val="1"/>
                <w:color w:val="231F20"/>
              </w:rPr>
              <w:t>Gross</w:t>
            </w:r>
            <w:r>
              <w:rPr>
                <w:rFonts w:ascii="Arial" w:cs="Arial" w:eastAsia="Arial" w:hAnsi="Arial"/>
                <w:sz w:val="26"/>
                <w:szCs w:val="26"/>
                <w:b w:val="1"/>
                <w:bCs w:val="1"/>
                <w:color w:val="231F20"/>
                <w:vertAlign w:val="superscript"/>
              </w:rPr>
              <w:t>(a)</w:t>
            </w:r>
          </w:p>
        </w:tc>
        <w:tc>
          <w:tcPr>
            <w:tcW w:w="200" w:type="dxa"/>
            <w:vAlign w:val="bottom"/>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ind w:right="100"/>
              <w:spacing w:after="0" w:line="260" w:lineRule="exact"/>
              <w:rPr>
                <w:sz w:val="20"/>
                <w:szCs w:val="20"/>
                <w:color w:val="auto"/>
              </w:rPr>
            </w:pPr>
            <w:r>
              <w:rPr>
                <w:rFonts w:ascii="Arial" w:cs="Arial" w:eastAsia="Arial" w:hAnsi="Arial"/>
                <w:sz w:val="20"/>
                <w:szCs w:val="20"/>
                <w:b w:val="1"/>
                <w:bCs w:val="1"/>
                <w:color w:val="231F20"/>
                <w:w w:val="99"/>
              </w:rPr>
              <w:t>Net</w:t>
            </w:r>
            <w:r>
              <w:rPr>
                <w:rFonts w:ascii="Arial" w:cs="Arial" w:eastAsia="Arial" w:hAnsi="Arial"/>
                <w:sz w:val="26"/>
                <w:szCs w:val="26"/>
                <w:b w:val="1"/>
                <w:bCs w:val="1"/>
                <w:color w:val="231F20"/>
                <w:w w:val="99"/>
                <w:vertAlign w:val="superscript"/>
              </w:rPr>
              <w:t>(b)</w:t>
            </w:r>
          </w:p>
        </w:tc>
        <w:tc>
          <w:tcPr>
            <w:tcW w:w="0" w:type="dxa"/>
            <w:vAlign w:val="bottom"/>
          </w:tcPr>
          <w:p>
            <w:pPr>
              <w:spacing w:after="0"/>
              <w:rPr>
                <w:sz w:val="1"/>
                <w:szCs w:val="1"/>
                <w:color w:val="auto"/>
              </w:rPr>
            </w:pPr>
          </w:p>
        </w:tc>
      </w:tr>
      <w:tr>
        <w:trPr>
          <w:trHeight w:val="280"/>
        </w:trPr>
        <w:tc>
          <w:tcPr>
            <w:tcW w:w="4880" w:type="dxa"/>
            <w:vAlign w:val="bottom"/>
          </w:tcPr>
          <w:p>
            <w:pPr>
              <w:spacing w:after="0"/>
              <w:rPr>
                <w:sz w:val="20"/>
                <w:szCs w:val="20"/>
                <w:color w:val="auto"/>
              </w:rPr>
            </w:pPr>
            <w:r>
              <w:rPr>
                <w:rFonts w:ascii="Arial" w:cs="Arial" w:eastAsia="Arial" w:hAnsi="Arial"/>
                <w:sz w:val="20"/>
                <w:szCs w:val="20"/>
                <w:color w:val="231F20"/>
              </w:rPr>
              <w:t>San Joaquin Basin . . . . . . . . . . . . . . . . . . . . . . . . . . . .</w:t>
            </w:r>
          </w:p>
        </w:tc>
        <w:tc>
          <w:tcPr>
            <w:tcW w:w="940" w:type="dxa"/>
            <w:vAlign w:val="bottom"/>
          </w:tcPr>
          <w:p>
            <w:pPr>
              <w:jc w:val="right"/>
              <w:ind w:right="60"/>
              <w:spacing w:after="0"/>
              <w:rPr>
                <w:sz w:val="20"/>
                <w:szCs w:val="20"/>
                <w:color w:val="auto"/>
              </w:rPr>
            </w:pPr>
            <w:r>
              <w:rPr>
                <w:rFonts w:ascii="Arial" w:cs="Arial" w:eastAsia="Arial" w:hAnsi="Arial"/>
                <w:sz w:val="20"/>
                <w:szCs w:val="20"/>
                <w:color w:val="231F20"/>
              </w:rPr>
              <w:t>18,455</w:t>
            </w:r>
          </w:p>
        </w:tc>
        <w:tc>
          <w:tcPr>
            <w:tcW w:w="880" w:type="dxa"/>
            <w:vAlign w:val="bottom"/>
            <w:gridSpan w:val="2"/>
          </w:tcPr>
          <w:p>
            <w:pPr>
              <w:jc w:val="right"/>
              <w:spacing w:after="0"/>
              <w:rPr>
                <w:sz w:val="20"/>
                <w:szCs w:val="20"/>
                <w:color w:val="auto"/>
              </w:rPr>
            </w:pPr>
            <w:r>
              <w:rPr>
                <w:rFonts w:ascii="Arial" w:cs="Arial" w:eastAsia="Arial" w:hAnsi="Arial"/>
                <w:sz w:val="20"/>
                <w:szCs w:val="20"/>
                <w:color w:val="231F20"/>
              </w:rPr>
              <w:t>18,077</w:t>
            </w: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231F20"/>
              </w:rPr>
              <w:t>81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Arial" w:cs="Arial" w:eastAsia="Arial" w:hAnsi="Arial"/>
                <w:sz w:val="20"/>
                <w:szCs w:val="20"/>
                <w:color w:val="231F20"/>
              </w:rPr>
              <w:t>81</w:t>
            </w:r>
          </w:p>
        </w:tc>
        <w:tc>
          <w:tcPr>
            <w:tcW w:w="0" w:type="dxa"/>
            <w:vAlign w:val="bottom"/>
          </w:tcPr>
          <w:p>
            <w:pPr>
              <w:spacing w:after="0"/>
              <w:rPr>
                <w:sz w:val="1"/>
                <w:szCs w:val="1"/>
                <w:color w:val="auto"/>
              </w:rPr>
            </w:pPr>
          </w:p>
        </w:tc>
      </w:tr>
      <w:tr>
        <w:trPr>
          <w:trHeight w:val="240"/>
        </w:trPr>
        <w:tc>
          <w:tcPr>
            <w:tcW w:w="4880" w:type="dxa"/>
            <w:vAlign w:val="bottom"/>
          </w:tcPr>
          <w:p>
            <w:pPr>
              <w:spacing w:after="0"/>
              <w:rPr>
                <w:sz w:val="20"/>
                <w:szCs w:val="20"/>
                <w:color w:val="auto"/>
              </w:rPr>
            </w:pPr>
            <w:r>
              <w:rPr>
                <w:rFonts w:ascii="Arial" w:cs="Arial" w:eastAsia="Arial" w:hAnsi="Arial"/>
                <w:sz w:val="20"/>
                <w:szCs w:val="20"/>
                <w:color w:val="231F20"/>
              </w:rPr>
              <w:t>Los Angeles Basin  . . . . . . . . . . . . . . . . . . . . . . . . . . . .</w:t>
            </w:r>
          </w:p>
        </w:tc>
        <w:tc>
          <w:tcPr>
            <w:tcW w:w="940" w:type="dxa"/>
            <w:vAlign w:val="bottom"/>
          </w:tcPr>
          <w:p>
            <w:pPr>
              <w:jc w:val="right"/>
              <w:ind w:right="60"/>
              <w:spacing w:after="0"/>
              <w:rPr>
                <w:sz w:val="20"/>
                <w:szCs w:val="20"/>
                <w:color w:val="auto"/>
              </w:rPr>
            </w:pPr>
            <w:r>
              <w:rPr>
                <w:rFonts w:ascii="Arial" w:cs="Arial" w:eastAsia="Arial" w:hAnsi="Arial"/>
                <w:sz w:val="20"/>
                <w:szCs w:val="20"/>
                <w:color w:val="231F20"/>
              </w:rPr>
              <w:t>1,689</w:t>
            </w:r>
          </w:p>
        </w:tc>
        <w:tc>
          <w:tcPr>
            <w:tcW w:w="880" w:type="dxa"/>
            <w:vAlign w:val="bottom"/>
            <w:gridSpan w:val="2"/>
          </w:tcPr>
          <w:p>
            <w:pPr>
              <w:jc w:val="right"/>
              <w:spacing w:after="0"/>
              <w:rPr>
                <w:sz w:val="20"/>
                <w:szCs w:val="20"/>
                <w:color w:val="auto"/>
              </w:rPr>
            </w:pPr>
            <w:r>
              <w:rPr>
                <w:rFonts w:ascii="Arial" w:cs="Arial" w:eastAsia="Arial" w:hAnsi="Arial"/>
                <w:sz w:val="20"/>
                <w:szCs w:val="20"/>
                <w:color w:val="231F20"/>
              </w:rPr>
              <w:t>1,598</w:t>
            </w:r>
          </w:p>
        </w:tc>
        <w:tc>
          <w:tcPr>
            <w:tcW w:w="200" w:type="dxa"/>
            <w:vAlign w:val="bottom"/>
          </w:tcPr>
          <w:p>
            <w:pPr>
              <w:spacing w:after="0"/>
              <w:rPr>
                <w:sz w:val="20"/>
                <w:szCs w:val="20"/>
                <w:color w:val="auto"/>
              </w:rPr>
            </w:pPr>
          </w:p>
        </w:tc>
        <w:tc>
          <w:tcPr>
            <w:tcW w:w="1460" w:type="dxa"/>
            <w:vAlign w:val="bottom"/>
            <w:gridSpan w:val="3"/>
          </w:tcPr>
          <w:p>
            <w:pPr>
              <w:jc w:val="right"/>
              <w:ind w:right="720"/>
              <w:spacing w:after="0"/>
              <w:rPr>
                <w:sz w:val="20"/>
                <w:szCs w:val="20"/>
                <w:color w:val="auto"/>
              </w:rPr>
            </w:pPr>
            <w:r>
              <w:rPr>
                <w:rFonts w:ascii="Arial" w:cs="Arial" w:eastAsia="Arial" w:hAnsi="Arial"/>
                <w:sz w:val="20"/>
                <w:szCs w:val="20"/>
                <w:color w:val="231F20"/>
              </w:rPr>
              <w:t>—</w:t>
            </w:r>
          </w:p>
        </w:tc>
        <w:tc>
          <w:tcPr>
            <w:tcW w:w="760" w:type="dxa"/>
            <w:vAlign w:val="bottom"/>
          </w:tcPr>
          <w:p>
            <w:pPr>
              <w:jc w:val="right"/>
              <w:ind w:right="18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4880" w:type="dxa"/>
            <w:vAlign w:val="bottom"/>
          </w:tcPr>
          <w:p>
            <w:pPr>
              <w:spacing w:after="0"/>
              <w:rPr>
                <w:sz w:val="20"/>
                <w:szCs w:val="20"/>
                <w:color w:val="auto"/>
              </w:rPr>
            </w:pPr>
            <w:r>
              <w:rPr>
                <w:rFonts w:ascii="Arial" w:cs="Arial" w:eastAsia="Arial" w:hAnsi="Arial"/>
                <w:sz w:val="20"/>
                <w:szCs w:val="20"/>
                <w:color w:val="231F20"/>
              </w:rPr>
              <w:t>Sacramento Basin  . . . . . . . . . . . . . . . . . . . . . . . . . . . .</w:t>
            </w:r>
          </w:p>
        </w:tc>
        <w:tc>
          <w:tcPr>
            <w:tcW w:w="940" w:type="dxa"/>
            <w:vAlign w:val="bottom"/>
          </w:tcPr>
          <w:p>
            <w:pPr>
              <w:jc w:val="right"/>
              <w:ind w:right="60"/>
              <w:spacing w:after="0"/>
              <w:rPr>
                <w:sz w:val="20"/>
                <w:szCs w:val="20"/>
                <w:color w:val="auto"/>
              </w:rPr>
            </w:pPr>
            <w:r>
              <w:rPr>
                <w:rFonts w:ascii="Arial" w:cs="Arial" w:eastAsia="Arial" w:hAnsi="Arial"/>
                <w:sz w:val="20"/>
                <w:szCs w:val="20"/>
                <w:color w:val="231F20"/>
              </w:rPr>
              <w:t>6</w:t>
            </w:r>
          </w:p>
        </w:tc>
        <w:tc>
          <w:tcPr>
            <w:tcW w:w="880" w:type="dxa"/>
            <w:vAlign w:val="bottom"/>
            <w:gridSpan w:val="2"/>
          </w:tcPr>
          <w:p>
            <w:pPr>
              <w:jc w:val="right"/>
              <w:spacing w:after="0"/>
              <w:rPr>
                <w:sz w:val="20"/>
                <w:szCs w:val="20"/>
                <w:color w:val="auto"/>
              </w:rPr>
            </w:pPr>
            <w:r>
              <w:rPr>
                <w:rFonts w:ascii="Arial" w:cs="Arial" w:eastAsia="Arial" w:hAnsi="Arial"/>
                <w:sz w:val="20"/>
                <w:szCs w:val="20"/>
                <w:color w:val="231F20"/>
              </w:rPr>
              <w:t>1</w:t>
            </w: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231F20"/>
              </w:rPr>
              <w:t>672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80"/>
              <w:spacing w:after="0"/>
              <w:rPr>
                <w:sz w:val="20"/>
                <w:szCs w:val="20"/>
                <w:color w:val="auto"/>
              </w:rPr>
            </w:pPr>
            <w:r>
              <w:rPr>
                <w:rFonts w:ascii="Arial" w:cs="Arial" w:eastAsia="Arial" w:hAnsi="Arial"/>
                <w:sz w:val="20"/>
                <w:szCs w:val="20"/>
                <w:color w:val="231F20"/>
              </w:rPr>
              <w:t>623</w:t>
            </w:r>
          </w:p>
        </w:tc>
        <w:tc>
          <w:tcPr>
            <w:tcW w:w="0" w:type="dxa"/>
            <w:vAlign w:val="bottom"/>
          </w:tcPr>
          <w:p>
            <w:pPr>
              <w:spacing w:after="0"/>
              <w:rPr>
                <w:sz w:val="1"/>
                <w:szCs w:val="1"/>
                <w:color w:val="auto"/>
              </w:rPr>
            </w:pPr>
          </w:p>
        </w:tc>
      </w:tr>
      <w:tr>
        <w:trPr>
          <w:trHeight w:val="240"/>
        </w:trPr>
        <w:tc>
          <w:tcPr>
            <w:tcW w:w="4880" w:type="dxa"/>
            <w:vAlign w:val="bottom"/>
          </w:tcPr>
          <w:p>
            <w:pPr>
              <w:spacing w:after="0"/>
              <w:rPr>
                <w:sz w:val="20"/>
                <w:szCs w:val="20"/>
                <w:color w:val="auto"/>
              </w:rPr>
            </w:pPr>
            <w:r>
              <w:rPr>
                <w:rFonts w:ascii="Arial" w:cs="Arial" w:eastAsia="Arial" w:hAnsi="Arial"/>
                <w:sz w:val="20"/>
                <w:szCs w:val="20"/>
                <w:color w:val="231F20"/>
              </w:rPr>
              <w:t>Uinta Basin . . . . . . . . . . . . . . . . . . . . . . . . . . . . . . . . . .</w:t>
            </w:r>
          </w:p>
        </w:tc>
        <w:tc>
          <w:tcPr>
            <w:tcW w:w="940" w:type="dxa"/>
            <w:vAlign w:val="bottom"/>
          </w:tcPr>
          <w:p>
            <w:pPr>
              <w:jc w:val="right"/>
              <w:ind w:right="60"/>
              <w:spacing w:after="0"/>
              <w:rPr>
                <w:sz w:val="20"/>
                <w:szCs w:val="20"/>
                <w:color w:val="auto"/>
              </w:rPr>
            </w:pPr>
            <w:r>
              <w:rPr>
                <w:rFonts w:ascii="Arial" w:cs="Arial" w:eastAsia="Arial" w:hAnsi="Arial"/>
                <w:sz w:val="20"/>
                <w:szCs w:val="20"/>
                <w:color w:val="231F20"/>
              </w:rPr>
              <w:t>1,200</w:t>
            </w:r>
          </w:p>
        </w:tc>
        <w:tc>
          <w:tcPr>
            <w:tcW w:w="880" w:type="dxa"/>
            <w:vAlign w:val="bottom"/>
            <w:gridSpan w:val="2"/>
          </w:tcPr>
          <w:p>
            <w:pPr>
              <w:jc w:val="right"/>
              <w:spacing w:after="0"/>
              <w:rPr>
                <w:sz w:val="20"/>
                <w:szCs w:val="20"/>
                <w:color w:val="auto"/>
              </w:rPr>
            </w:pPr>
            <w:r>
              <w:rPr>
                <w:rFonts w:ascii="Arial" w:cs="Arial" w:eastAsia="Arial" w:hAnsi="Arial"/>
                <w:sz w:val="20"/>
                <w:szCs w:val="20"/>
                <w:color w:val="231F20"/>
              </w:rPr>
              <w:t>1,170</w:t>
            </w: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231F20"/>
              </w:rPr>
              <w:t>168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80"/>
              <w:spacing w:after="0"/>
              <w:rPr>
                <w:sz w:val="20"/>
                <w:szCs w:val="20"/>
                <w:color w:val="auto"/>
              </w:rPr>
            </w:pPr>
            <w:r>
              <w:rPr>
                <w:rFonts w:ascii="Arial" w:cs="Arial" w:eastAsia="Arial" w:hAnsi="Arial"/>
                <w:sz w:val="20"/>
                <w:szCs w:val="20"/>
                <w:color w:val="231F20"/>
              </w:rPr>
              <w:t>168</w:t>
            </w:r>
          </w:p>
        </w:tc>
        <w:tc>
          <w:tcPr>
            <w:tcW w:w="0" w:type="dxa"/>
            <w:vAlign w:val="bottom"/>
          </w:tcPr>
          <w:p>
            <w:pPr>
              <w:spacing w:after="0"/>
              <w:rPr>
                <w:sz w:val="1"/>
                <w:szCs w:val="1"/>
                <w:color w:val="auto"/>
              </w:rPr>
            </w:pPr>
          </w:p>
        </w:tc>
      </w:tr>
      <w:tr>
        <w:trPr>
          <w:trHeight w:val="240"/>
        </w:trPr>
        <w:tc>
          <w:tcPr>
            <w:tcW w:w="4880" w:type="dxa"/>
            <w:vAlign w:val="bottom"/>
          </w:tcPr>
          <w:p>
            <w:pPr>
              <w:spacing w:after="0"/>
              <w:rPr>
                <w:sz w:val="20"/>
                <w:szCs w:val="20"/>
                <w:color w:val="auto"/>
              </w:rPr>
            </w:pPr>
            <w:r>
              <w:rPr>
                <w:rFonts w:ascii="Arial" w:cs="Arial" w:eastAsia="Arial" w:hAnsi="Arial"/>
                <w:sz w:val="20"/>
                <w:szCs w:val="20"/>
                <w:color w:val="231F20"/>
              </w:rPr>
              <w:t>Other Basins . . . . . . . . . . . . . . . . . . . . . . . . . . . . . . . . .</w:t>
            </w:r>
          </w:p>
        </w:tc>
        <w:tc>
          <w:tcPr>
            <w:tcW w:w="940" w:type="dxa"/>
            <w:vAlign w:val="bottom"/>
          </w:tcPr>
          <w:p>
            <w:pPr>
              <w:jc w:val="right"/>
              <w:ind w:right="60"/>
              <w:spacing w:after="0"/>
              <w:rPr>
                <w:sz w:val="20"/>
                <w:szCs w:val="20"/>
                <w:color w:val="auto"/>
              </w:rPr>
            </w:pPr>
            <w:r>
              <w:rPr>
                <w:rFonts w:ascii="Arial" w:cs="Arial" w:eastAsia="Arial" w:hAnsi="Arial"/>
                <w:sz w:val="20"/>
                <w:szCs w:val="20"/>
                <w:color w:val="231F20"/>
              </w:rPr>
              <w:t>687</w:t>
            </w:r>
          </w:p>
        </w:tc>
        <w:tc>
          <w:tcPr>
            <w:tcW w:w="880" w:type="dxa"/>
            <w:vAlign w:val="bottom"/>
            <w:gridSpan w:val="2"/>
          </w:tcPr>
          <w:p>
            <w:pPr>
              <w:jc w:val="right"/>
              <w:spacing w:after="0"/>
              <w:rPr>
                <w:sz w:val="20"/>
                <w:szCs w:val="20"/>
                <w:color w:val="auto"/>
              </w:rPr>
            </w:pPr>
            <w:r>
              <w:rPr>
                <w:rFonts w:ascii="Arial" w:cs="Arial" w:eastAsia="Arial" w:hAnsi="Arial"/>
                <w:sz w:val="20"/>
                <w:szCs w:val="20"/>
                <w:color w:val="231F20"/>
              </w:rPr>
              <w:t>687</w:t>
            </w: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80"/>
              <w:spacing w:after="0"/>
              <w:rPr>
                <w:sz w:val="20"/>
                <w:szCs w:val="20"/>
                <w:color w:val="auto"/>
              </w:rPr>
            </w:pPr>
            <w:r>
              <w:rPr>
                <w:rFonts w:ascii="Arial" w:cs="Arial" w:eastAsia="Arial" w:hAnsi="Arial"/>
                <w:sz w:val="20"/>
                <w:szCs w:val="20"/>
                <w:color w:val="231F20"/>
              </w:rPr>
              <w:t>4</w:t>
            </w:r>
          </w:p>
        </w:tc>
        <w:tc>
          <w:tcPr>
            <w:tcW w:w="0" w:type="dxa"/>
            <w:vAlign w:val="bottom"/>
          </w:tcPr>
          <w:p>
            <w:pPr>
              <w:spacing w:after="0"/>
              <w:rPr>
                <w:sz w:val="1"/>
                <w:szCs w:val="1"/>
                <w:color w:val="auto"/>
              </w:rPr>
            </w:pPr>
          </w:p>
        </w:tc>
      </w:tr>
      <w:tr>
        <w:trPr>
          <w:trHeight w:val="30"/>
        </w:trPr>
        <w:tc>
          <w:tcPr>
            <w:tcW w:w="488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80" w:type="dxa"/>
            <w:vAlign w:val="bottom"/>
          </w:tcPr>
          <w:p>
            <w:pPr>
              <w:spacing w:after="0"/>
              <w:rPr>
                <w:sz w:val="20"/>
                <w:szCs w:val="20"/>
                <w:color w:val="auto"/>
              </w:rPr>
            </w:pPr>
            <w:r>
              <w:rPr>
                <w:rFonts w:ascii="Arial" w:cs="Arial" w:eastAsia="Arial" w:hAnsi="Arial"/>
                <w:sz w:val="20"/>
                <w:szCs w:val="20"/>
                <w:color w:val="231F20"/>
                <w:w w:val="99"/>
              </w:rPr>
              <w:t>Total . . . . . . . . . . . . . . . . . . . . . . . . . . . . . . . . . . . . . . . .</w:t>
            </w:r>
          </w:p>
        </w:tc>
        <w:tc>
          <w:tcPr>
            <w:tcW w:w="940" w:type="dxa"/>
            <w:vAlign w:val="bottom"/>
          </w:tcPr>
          <w:p>
            <w:pPr>
              <w:jc w:val="right"/>
              <w:ind w:right="60"/>
              <w:spacing w:after="0"/>
              <w:rPr>
                <w:sz w:val="20"/>
                <w:szCs w:val="20"/>
                <w:color w:val="auto"/>
              </w:rPr>
            </w:pPr>
            <w:r>
              <w:rPr>
                <w:rFonts w:ascii="Arial" w:cs="Arial" w:eastAsia="Arial" w:hAnsi="Arial"/>
                <w:sz w:val="20"/>
                <w:szCs w:val="20"/>
                <w:color w:val="231F20"/>
              </w:rPr>
              <w:t>22,037</w:t>
            </w:r>
          </w:p>
        </w:tc>
        <w:tc>
          <w:tcPr>
            <w:tcW w:w="880" w:type="dxa"/>
            <w:vAlign w:val="bottom"/>
            <w:gridSpan w:val="2"/>
          </w:tcPr>
          <w:p>
            <w:pPr>
              <w:jc w:val="right"/>
              <w:spacing w:after="0"/>
              <w:rPr>
                <w:sz w:val="20"/>
                <w:szCs w:val="20"/>
                <w:color w:val="auto"/>
              </w:rPr>
            </w:pPr>
            <w:r>
              <w:rPr>
                <w:rFonts w:ascii="Arial" w:cs="Arial" w:eastAsia="Arial" w:hAnsi="Arial"/>
                <w:sz w:val="20"/>
                <w:szCs w:val="20"/>
                <w:color w:val="231F20"/>
              </w:rPr>
              <w:t>21,533</w:t>
            </w: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231F20"/>
              </w:rPr>
              <w:t>925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180"/>
              <w:spacing w:after="0"/>
              <w:rPr>
                <w:sz w:val="20"/>
                <w:szCs w:val="20"/>
                <w:color w:val="auto"/>
              </w:rPr>
            </w:pPr>
            <w:r>
              <w:rPr>
                <w:rFonts w:ascii="Arial" w:cs="Arial" w:eastAsia="Arial" w:hAnsi="Arial"/>
                <w:sz w:val="20"/>
                <w:szCs w:val="20"/>
                <w:color w:val="231F20"/>
              </w:rPr>
              <w:t>876</w:t>
            </w:r>
          </w:p>
        </w:tc>
        <w:tc>
          <w:tcPr>
            <w:tcW w:w="0" w:type="dxa"/>
            <w:vAlign w:val="bottom"/>
          </w:tcPr>
          <w:p>
            <w:pPr>
              <w:spacing w:after="0"/>
              <w:rPr>
                <w:sz w:val="1"/>
                <w:szCs w:val="1"/>
                <w:color w:val="auto"/>
              </w:rPr>
            </w:pPr>
          </w:p>
        </w:tc>
      </w:tr>
      <w:tr>
        <w:trPr>
          <w:trHeight w:val="28"/>
        </w:trPr>
        <w:tc>
          <w:tcPr>
            <w:tcW w:w="4880" w:type="dxa"/>
            <w:vAlign w:val="bottom"/>
            <w:vMerge w:val="restart"/>
          </w:tcPr>
          <w:p>
            <w:pPr>
              <w:spacing w:after="0"/>
              <w:rPr>
                <w:sz w:val="20"/>
                <w:szCs w:val="20"/>
                <w:color w:val="auto"/>
              </w:rPr>
            </w:pPr>
            <w:r>
              <w:rPr>
                <w:rFonts w:ascii="Arial" w:cs="Arial" w:eastAsia="Arial" w:hAnsi="Arial"/>
                <w:sz w:val="20"/>
                <w:szCs w:val="20"/>
                <w:color w:val="231F20"/>
              </w:rPr>
              <w:t>Multiple completion wells included in the total</w:t>
            </w:r>
          </w:p>
        </w:tc>
        <w:tc>
          <w:tcPr>
            <w:tcW w:w="9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vMerge w:val="continue"/>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880" w:type="dxa"/>
            <w:vAlign w:val="bottom"/>
            <w:vMerge w:val="continue"/>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880" w:type="dxa"/>
            <w:vAlign w:val="bottom"/>
          </w:tcPr>
          <w:p>
            <w:pPr>
              <w:ind w:left="200"/>
              <w:spacing w:after="0"/>
              <w:rPr>
                <w:sz w:val="20"/>
                <w:szCs w:val="20"/>
                <w:color w:val="auto"/>
              </w:rPr>
            </w:pPr>
            <w:r>
              <w:rPr>
                <w:rFonts w:ascii="Arial" w:cs="Arial" w:eastAsia="Arial" w:hAnsi="Arial"/>
                <w:sz w:val="20"/>
                <w:szCs w:val="20"/>
                <w:color w:val="231F20"/>
              </w:rPr>
              <w:t>above . . . . . . . . . . . . . . . . . . . . . . . . . . . . . . . . . . . . .</w:t>
            </w:r>
          </w:p>
        </w:tc>
        <w:tc>
          <w:tcPr>
            <w:tcW w:w="940" w:type="dxa"/>
            <w:vAlign w:val="bottom"/>
          </w:tcPr>
          <w:p>
            <w:pPr>
              <w:jc w:val="right"/>
              <w:ind w:right="60"/>
              <w:spacing w:after="0"/>
              <w:rPr>
                <w:sz w:val="20"/>
                <w:szCs w:val="20"/>
                <w:color w:val="auto"/>
              </w:rPr>
            </w:pPr>
            <w:r>
              <w:rPr>
                <w:rFonts w:ascii="Arial" w:cs="Arial" w:eastAsia="Arial" w:hAnsi="Arial"/>
                <w:sz w:val="20"/>
                <w:szCs w:val="20"/>
                <w:color w:val="231F20"/>
              </w:rPr>
              <w:t>326</w:t>
            </w:r>
          </w:p>
        </w:tc>
        <w:tc>
          <w:tcPr>
            <w:tcW w:w="880" w:type="dxa"/>
            <w:vAlign w:val="bottom"/>
            <w:gridSpan w:val="2"/>
          </w:tcPr>
          <w:p>
            <w:pPr>
              <w:jc w:val="right"/>
              <w:spacing w:after="0"/>
              <w:rPr>
                <w:sz w:val="20"/>
                <w:szCs w:val="20"/>
                <w:color w:val="auto"/>
              </w:rPr>
            </w:pPr>
            <w:r>
              <w:rPr>
                <w:rFonts w:ascii="Arial" w:cs="Arial" w:eastAsia="Arial" w:hAnsi="Arial"/>
                <w:sz w:val="20"/>
                <w:szCs w:val="20"/>
                <w:color w:val="231F20"/>
              </w:rPr>
              <w:t>324</w:t>
            </w:r>
          </w:p>
        </w:tc>
        <w:tc>
          <w:tcPr>
            <w:tcW w:w="1340" w:type="dxa"/>
            <w:vAlign w:val="bottom"/>
            <w:gridSpan w:val="2"/>
          </w:tcPr>
          <w:p>
            <w:pPr>
              <w:jc w:val="right"/>
              <w:ind w:right="300"/>
              <w:spacing w:after="0"/>
              <w:rPr>
                <w:sz w:val="20"/>
                <w:szCs w:val="20"/>
                <w:color w:val="auto"/>
              </w:rPr>
            </w:pPr>
            <w:r>
              <w:rPr>
                <w:rFonts w:ascii="Arial" w:cs="Arial" w:eastAsia="Arial" w:hAnsi="Arial"/>
                <w:sz w:val="20"/>
                <w:szCs w:val="20"/>
                <w:color w:val="231F20"/>
              </w:rPr>
              <w:t>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80"/>
              <w:spacing w:after="0"/>
              <w:rPr>
                <w:sz w:val="20"/>
                <w:szCs w:val="20"/>
                <w:color w:val="auto"/>
              </w:rPr>
            </w:pPr>
            <w:r>
              <w:rPr>
                <w:rFonts w:ascii="Arial" w:cs="Arial" w:eastAsia="Arial" w:hAnsi="Arial"/>
                <w:sz w:val="20"/>
                <w:szCs w:val="20"/>
                <w:color w:val="231F20"/>
              </w:rPr>
              <w:t>17</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40" w:hanging="320"/>
        <w:spacing w:after="0"/>
        <w:tabs>
          <w:tab w:leader="none" w:pos="640"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The total number of wells in which interests are owned.</w:t>
      </w:r>
    </w:p>
    <w:p>
      <w:pPr>
        <w:spacing w:after="0" w:line="16" w:lineRule="exact"/>
        <w:rPr>
          <w:rFonts w:ascii="Arial" w:cs="Arial" w:eastAsia="Arial" w:hAnsi="Arial"/>
          <w:sz w:val="16"/>
          <w:szCs w:val="16"/>
          <w:color w:val="231F20"/>
        </w:rPr>
      </w:pPr>
    </w:p>
    <w:p>
      <w:pPr>
        <w:ind w:left="640" w:hanging="320"/>
        <w:spacing w:after="0"/>
        <w:tabs>
          <w:tab w:leader="none" w:pos="640"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Net wells include wells reduced to our fractional interest.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Exploration Inventory</w:t>
      </w:r>
    </w:p>
    <w:p>
      <w:pPr>
        <w:spacing w:after="0" w:line="208" w:lineRule="exact"/>
        <w:rPr>
          <w:sz w:val="20"/>
          <w:szCs w:val="20"/>
          <w:color w:val="auto"/>
        </w:rPr>
      </w:pPr>
    </w:p>
    <w:p>
      <w:pPr>
        <w:ind w:right="500" w:firstLine="300"/>
        <w:spacing w:after="0" w:line="248" w:lineRule="auto"/>
        <w:rPr>
          <w:sz w:val="20"/>
          <w:szCs w:val="20"/>
          <w:color w:val="auto"/>
        </w:rPr>
      </w:pPr>
      <w:r>
        <w:rPr>
          <w:rFonts w:ascii="Arial" w:cs="Arial" w:eastAsia="Arial" w:hAnsi="Arial"/>
          <w:sz w:val="20"/>
          <w:szCs w:val="20"/>
          <w:color w:val="231F20"/>
        </w:rPr>
        <w:t>We maintain a portfolio of exploration prospects in the San Joaquin basin, supported by an extensive library of 3D and 2D seismic data used to identify, evaluate and refine exploration opportunities. From time to time, we select exploration projects for investment when our business outlook and the prospect’s potential to advance our strategic objectives justify the associated risks.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Marketing Arrangements</w:t>
      </w:r>
    </w:p>
    <w:p>
      <w:pPr>
        <w:spacing w:after="0" w:line="206" w:lineRule="exact"/>
        <w:rPr>
          <w:sz w:val="20"/>
          <w:szCs w:val="20"/>
          <w:color w:val="auto"/>
        </w:rPr>
      </w:pPr>
    </w:p>
    <w:p>
      <w:pPr>
        <w:ind w:right="240" w:firstLine="300"/>
        <w:spacing w:after="0" w:line="247" w:lineRule="auto"/>
        <w:rPr>
          <w:sz w:val="20"/>
          <w:szCs w:val="20"/>
          <w:color w:val="auto"/>
        </w:rPr>
      </w:pPr>
      <w:r>
        <w:rPr>
          <w:rFonts w:ascii="Arial" w:cs="Arial" w:eastAsia="Arial" w:hAnsi="Arial"/>
          <w:sz w:val="20"/>
          <w:szCs w:val="20"/>
          <w:color w:val="231F20"/>
        </w:rPr>
        <w:t xml:space="preserve">Sales of our oil, natural gas and NGLs we produce are shown in the table below for the years ended December 31, 2025, 2024 and 2023. For more information on our revenues, see </w:t>
      </w:r>
      <w:r>
        <w:rPr>
          <w:rFonts w:ascii="Arial" w:cs="Arial" w:eastAsia="Arial" w:hAnsi="Arial"/>
          <w:sz w:val="20"/>
          <w:szCs w:val="20"/>
          <w:i w:val="1"/>
          <w:iCs w:val="1"/>
          <w:color w:val="231F20"/>
        </w:rPr>
        <w:t>Part II, Item 8</w:t>
      </w:r>
      <w:r>
        <w:rPr>
          <w:rFonts w:ascii="Arial" w:cs="Arial" w:eastAsia="Arial" w:hAnsi="Arial"/>
          <w:sz w:val="20"/>
          <w:szCs w:val="20"/>
          <w:color w:val="231F20"/>
        </w:rPr>
        <w:t xml:space="preserve"> </w:t>
      </w:r>
      <w:r>
        <w:rPr>
          <w:rFonts w:ascii="Arial" w:cs="Arial" w:eastAsia="Arial" w:hAnsi="Arial"/>
          <w:sz w:val="20"/>
          <w:szCs w:val="20"/>
          <w:i w:val="1"/>
          <w:iCs w:val="1"/>
          <w:color w:val="231F20"/>
        </w:rPr>
        <w:t>– Financial Statements and Supplementary Data, Note 15 Revenue.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40" w:type="dxa"/>
            <w:vAlign w:val="bottom"/>
          </w:tcPr>
          <w:p>
            <w:pPr>
              <w:spacing w:after="0"/>
              <w:rPr>
                <w:sz w:val="21"/>
                <w:szCs w:val="21"/>
                <w:color w:val="auto"/>
              </w:rPr>
            </w:pPr>
          </w:p>
        </w:tc>
        <w:tc>
          <w:tcPr>
            <w:tcW w:w="2480" w:type="dxa"/>
            <w:vAlign w:val="bottom"/>
            <w:gridSpan w:val="8"/>
          </w:tcPr>
          <w:p>
            <w:pPr>
              <w:jc w:val="center"/>
              <w:spacing w:after="0"/>
              <w:rPr>
                <w:sz w:val="20"/>
                <w:szCs w:val="20"/>
                <w:color w:val="auto"/>
              </w:rPr>
            </w:pPr>
            <w:r>
              <w:rPr>
                <w:rFonts w:ascii="Arial" w:cs="Arial" w:eastAsia="Arial" w:hAnsi="Arial"/>
                <w:sz w:val="20"/>
                <w:szCs w:val="20"/>
                <w:b w:val="1"/>
                <w:bCs w:val="1"/>
                <w:color w:val="231F20"/>
              </w:rPr>
              <w:t>Year ended December 31,</w:t>
            </w:r>
          </w:p>
        </w:tc>
      </w:tr>
      <w:tr>
        <w:trPr>
          <w:trHeight w:val="260"/>
        </w:trPr>
        <w:tc>
          <w:tcPr>
            <w:tcW w:w="6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200" w:type="dxa"/>
            <w:vAlign w:val="bottom"/>
            <w:tcBorders>
              <w:top w:val="single" w:sz="8" w:color="231F20"/>
            </w:tcBorders>
          </w:tcPr>
          <w:p>
            <w:pPr>
              <w:spacing w:after="0"/>
              <w:rPr>
                <w:sz w:val="22"/>
                <w:szCs w:val="22"/>
                <w:color w:val="auto"/>
              </w:rPr>
            </w:pPr>
          </w:p>
        </w:tc>
        <w:tc>
          <w:tcPr>
            <w:tcW w:w="600" w:type="dxa"/>
            <w:vAlign w:val="bottom"/>
            <w:tcBorders>
              <w:top w:val="single" w:sz="8" w:color="231F20"/>
              <w:bottom w:val="single" w:sz="8" w:color="231F20"/>
            </w:tcBorders>
          </w:tcPr>
          <w:p>
            <w:pPr>
              <w:jc w:val="center"/>
              <w:spacing w:after="0"/>
              <w:rPr>
                <w:sz w:val="20"/>
                <w:szCs w:val="20"/>
                <w:color w:val="auto"/>
              </w:rPr>
            </w:pPr>
            <w:r>
              <w:rPr>
                <w:rFonts w:ascii="Arial" w:cs="Arial" w:eastAsia="Arial" w:hAnsi="Arial"/>
                <w:sz w:val="20"/>
                <w:szCs w:val="20"/>
                <w:b w:val="1"/>
                <w:bCs w:val="1"/>
                <w:color w:val="231F20"/>
                <w:w w:val="98"/>
              </w:rPr>
              <w:t>2024</w:t>
            </w:r>
          </w:p>
        </w:tc>
        <w:tc>
          <w:tcPr>
            <w:tcW w:w="160" w:type="dxa"/>
            <w:vAlign w:val="bottom"/>
            <w:tcBorders>
              <w:top w:val="single" w:sz="8" w:color="231F20"/>
            </w:tcBorders>
          </w:tcPr>
          <w:p>
            <w:pPr>
              <w:spacing w:after="0"/>
              <w:rPr>
                <w:sz w:val="22"/>
                <w:szCs w:val="22"/>
                <w:color w:val="auto"/>
              </w:rPr>
            </w:pPr>
          </w:p>
        </w:tc>
        <w:tc>
          <w:tcPr>
            <w:tcW w:w="40" w:type="dxa"/>
            <w:vAlign w:val="bottom"/>
            <w:tcBorders>
              <w:top w:val="single" w:sz="8" w:color="231F20"/>
            </w:tcBorders>
          </w:tcPr>
          <w:p>
            <w:pPr>
              <w:spacing w:after="0"/>
              <w:rPr>
                <w:sz w:val="22"/>
                <w:szCs w:val="22"/>
                <w:color w:val="auto"/>
              </w:rPr>
            </w:pPr>
          </w:p>
        </w:tc>
        <w:tc>
          <w:tcPr>
            <w:tcW w:w="62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2023</w:t>
            </w:r>
          </w:p>
        </w:tc>
        <w:tc>
          <w:tcPr>
            <w:tcW w:w="100" w:type="dxa"/>
            <w:vAlign w:val="bottom"/>
          </w:tcPr>
          <w:p>
            <w:pPr>
              <w:spacing w:after="0"/>
              <w:rPr>
                <w:sz w:val="22"/>
                <w:szCs w:val="22"/>
                <w:color w:val="auto"/>
              </w:rPr>
            </w:pPr>
          </w:p>
        </w:tc>
      </w:t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color w:val="231F20"/>
                <w:w w:val="98"/>
              </w:rPr>
              <w:t>(in millions)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6740" w:type="dxa"/>
            <w:vAlign w:val="bottom"/>
          </w:tcPr>
          <w:p>
            <w:pPr>
              <w:jc w:val="right"/>
              <w:spacing w:after="0"/>
              <w:rPr>
                <w:sz w:val="20"/>
                <w:szCs w:val="20"/>
                <w:color w:val="auto"/>
              </w:rPr>
            </w:pPr>
            <w:r>
              <w:rPr>
                <w:rFonts w:ascii="Arial" w:cs="Arial" w:eastAsia="Arial" w:hAnsi="Arial"/>
                <w:sz w:val="20"/>
                <w:szCs w:val="20"/>
                <w:color w:val="231F20"/>
                <w:w w:val="95"/>
              </w:rPr>
              <w:t>Oil  . . . . . . . . . . . . . . . . . . . . . . . . . . . . . . . . . . . . . . . . . . . . . . . . . . . . . . . . . . . .</w:t>
            </w:r>
          </w:p>
        </w:tc>
        <w:tc>
          <w:tcPr>
            <w:tcW w:w="760" w:type="dxa"/>
            <w:vAlign w:val="bottom"/>
            <w:gridSpan w:val="2"/>
          </w:tcPr>
          <w:p>
            <w:pPr>
              <w:jc w:val="right"/>
              <w:spacing w:after="0"/>
              <w:rPr>
                <w:sz w:val="20"/>
                <w:szCs w:val="20"/>
                <w:color w:val="auto"/>
              </w:rPr>
            </w:pPr>
            <w:r>
              <w:rPr>
                <w:rFonts w:ascii="Arial" w:cs="Arial" w:eastAsia="Arial" w:hAnsi="Arial"/>
                <w:sz w:val="20"/>
                <w:szCs w:val="20"/>
                <w:color w:val="231F20"/>
              </w:rPr>
              <w:t>$2,647</w:t>
            </w:r>
          </w:p>
        </w:tc>
        <w:tc>
          <w:tcPr>
            <w:tcW w:w="960" w:type="dxa"/>
            <w:vAlign w:val="bottom"/>
            <w:gridSpan w:val="3"/>
          </w:tcPr>
          <w:p>
            <w:pPr>
              <w:jc w:val="right"/>
              <w:ind w:right="160"/>
              <w:spacing w:after="0"/>
              <w:rPr>
                <w:sz w:val="20"/>
                <w:szCs w:val="20"/>
                <w:color w:val="auto"/>
              </w:rPr>
            </w:pPr>
            <w:r>
              <w:rPr>
                <w:rFonts w:ascii="Arial" w:cs="Arial" w:eastAsia="Arial" w:hAnsi="Arial"/>
                <w:sz w:val="20"/>
                <w:szCs w:val="20"/>
                <w:color w:val="231F20"/>
              </w:rPr>
              <w:t>$2,255</w:t>
            </w:r>
          </w:p>
        </w:tc>
        <w:tc>
          <w:tcPr>
            <w:tcW w:w="760" w:type="dxa"/>
            <w:vAlign w:val="bottom"/>
            <w:gridSpan w:val="3"/>
          </w:tcPr>
          <w:p>
            <w:pPr>
              <w:jc w:val="right"/>
              <w:ind w:right="100"/>
              <w:spacing w:after="0"/>
              <w:rPr>
                <w:sz w:val="20"/>
                <w:szCs w:val="20"/>
                <w:color w:val="auto"/>
              </w:rPr>
            </w:pPr>
            <w:r>
              <w:rPr>
                <w:rFonts w:ascii="Arial" w:cs="Arial" w:eastAsia="Arial" w:hAnsi="Arial"/>
                <w:sz w:val="20"/>
                <w:szCs w:val="20"/>
                <w:color w:val="231F20"/>
              </w:rPr>
              <w:t>$1,534</w:t>
            </w:r>
          </w:p>
        </w:tc>
      </w:tr>
      <w:tr>
        <w:trPr>
          <w:trHeight w:val="240"/>
        </w:trPr>
        <w:tc>
          <w:tcPr>
            <w:tcW w:w="6740" w:type="dxa"/>
            <w:vAlign w:val="bottom"/>
          </w:tcPr>
          <w:p>
            <w:pPr>
              <w:jc w:val="right"/>
              <w:spacing w:after="0"/>
              <w:rPr>
                <w:sz w:val="20"/>
                <w:szCs w:val="20"/>
                <w:color w:val="auto"/>
              </w:rPr>
            </w:pPr>
            <w:r>
              <w:rPr>
                <w:rFonts w:ascii="Arial" w:cs="Arial" w:eastAsia="Arial" w:hAnsi="Arial"/>
                <w:sz w:val="20"/>
                <w:szCs w:val="20"/>
                <w:color w:val="231F20"/>
                <w:w w:val="95"/>
              </w:rPr>
              <w:t>NGLs . . . . . . . . . . . . . . . . . . . . . . . . . . . . . . . . . . . . . . . . . . . . . . . . . . . . . . . . . .</w:t>
            </w:r>
          </w:p>
        </w:tc>
        <w:tc>
          <w:tcPr>
            <w:tcW w:w="760" w:type="dxa"/>
            <w:vAlign w:val="bottom"/>
            <w:gridSpan w:val="2"/>
          </w:tcPr>
          <w:p>
            <w:pPr>
              <w:jc w:val="right"/>
              <w:spacing w:after="0"/>
              <w:rPr>
                <w:sz w:val="20"/>
                <w:szCs w:val="20"/>
                <w:color w:val="auto"/>
              </w:rPr>
            </w:pPr>
            <w:r>
              <w:rPr>
                <w:rFonts w:ascii="Arial" w:cs="Arial" w:eastAsia="Arial" w:hAnsi="Arial"/>
                <w:sz w:val="20"/>
                <w:szCs w:val="20"/>
                <w:color w:val="231F20"/>
              </w:rPr>
              <w:t>164</w:t>
            </w:r>
          </w:p>
        </w:tc>
        <w:tc>
          <w:tcPr>
            <w:tcW w:w="960" w:type="dxa"/>
            <w:vAlign w:val="bottom"/>
            <w:gridSpan w:val="3"/>
          </w:tcPr>
          <w:p>
            <w:pPr>
              <w:jc w:val="right"/>
              <w:ind w:right="160"/>
              <w:spacing w:after="0"/>
              <w:rPr>
                <w:sz w:val="20"/>
                <w:szCs w:val="20"/>
                <w:color w:val="auto"/>
              </w:rPr>
            </w:pPr>
            <w:r>
              <w:rPr>
                <w:rFonts w:ascii="Arial" w:cs="Arial" w:eastAsia="Arial" w:hAnsi="Arial"/>
                <w:sz w:val="20"/>
                <w:szCs w:val="20"/>
                <w:color w:val="231F20"/>
              </w:rPr>
              <w:t>186</w:t>
            </w:r>
          </w:p>
        </w:tc>
        <w:tc>
          <w:tcPr>
            <w:tcW w:w="760" w:type="dxa"/>
            <w:vAlign w:val="bottom"/>
            <w:gridSpan w:val="3"/>
          </w:tcPr>
          <w:p>
            <w:pPr>
              <w:jc w:val="right"/>
              <w:ind w:right="100"/>
              <w:spacing w:after="0"/>
              <w:rPr>
                <w:sz w:val="20"/>
                <w:szCs w:val="20"/>
                <w:color w:val="auto"/>
              </w:rPr>
            </w:pPr>
            <w:r>
              <w:rPr>
                <w:rFonts w:ascii="Arial" w:cs="Arial" w:eastAsia="Arial" w:hAnsi="Arial"/>
                <w:sz w:val="20"/>
                <w:szCs w:val="20"/>
                <w:color w:val="231F20"/>
              </w:rPr>
              <w:t>198</w:t>
            </w:r>
          </w:p>
        </w:tc>
      </w:tr>
      <w:tr>
        <w:trPr>
          <w:trHeight w:val="240"/>
        </w:trPr>
        <w:tc>
          <w:tcPr>
            <w:tcW w:w="6740" w:type="dxa"/>
            <w:vAlign w:val="bottom"/>
          </w:tcPr>
          <w:p>
            <w:pPr>
              <w:jc w:val="right"/>
              <w:spacing w:after="0"/>
              <w:rPr>
                <w:sz w:val="20"/>
                <w:szCs w:val="20"/>
                <w:color w:val="auto"/>
              </w:rPr>
            </w:pPr>
            <w:r>
              <w:rPr>
                <w:rFonts w:ascii="Arial" w:cs="Arial" w:eastAsia="Arial" w:hAnsi="Arial"/>
                <w:sz w:val="20"/>
                <w:szCs w:val="20"/>
                <w:color w:val="231F20"/>
                <w:w w:val="96"/>
              </w:rPr>
              <w:t>Natural gas . . . . . . . . . . . . . . . . . . . . . . . . . . . . . . . . . . . . . . . . . . . . . . . . . . . . .</w:t>
            </w:r>
          </w:p>
        </w:tc>
        <w:tc>
          <w:tcPr>
            <w:tcW w:w="760" w:type="dxa"/>
            <w:vAlign w:val="bottom"/>
            <w:gridSpan w:val="2"/>
          </w:tcPr>
          <w:p>
            <w:pPr>
              <w:jc w:val="right"/>
              <w:spacing w:after="0"/>
              <w:rPr>
                <w:sz w:val="20"/>
                <w:szCs w:val="20"/>
                <w:color w:val="auto"/>
              </w:rPr>
            </w:pPr>
            <w:r>
              <w:rPr>
                <w:rFonts w:ascii="Arial" w:cs="Arial" w:eastAsia="Arial" w:hAnsi="Arial"/>
                <w:sz w:val="20"/>
                <w:szCs w:val="20"/>
                <w:color w:val="231F20"/>
              </w:rPr>
              <w:t>99</w:t>
            </w:r>
          </w:p>
        </w:tc>
        <w:tc>
          <w:tcPr>
            <w:tcW w:w="960" w:type="dxa"/>
            <w:vAlign w:val="bottom"/>
            <w:gridSpan w:val="3"/>
          </w:tcPr>
          <w:p>
            <w:pPr>
              <w:jc w:val="right"/>
              <w:ind w:right="160"/>
              <w:spacing w:after="0"/>
              <w:rPr>
                <w:sz w:val="20"/>
                <w:szCs w:val="20"/>
                <w:color w:val="auto"/>
              </w:rPr>
            </w:pPr>
            <w:r>
              <w:rPr>
                <w:rFonts w:ascii="Arial" w:cs="Arial" w:eastAsia="Arial" w:hAnsi="Arial"/>
                <w:sz w:val="20"/>
                <w:szCs w:val="20"/>
                <w:color w:val="231F20"/>
              </w:rPr>
              <w:t>96</w:t>
            </w:r>
          </w:p>
        </w:tc>
        <w:tc>
          <w:tcPr>
            <w:tcW w:w="760" w:type="dxa"/>
            <w:vAlign w:val="bottom"/>
            <w:gridSpan w:val="3"/>
          </w:tcPr>
          <w:p>
            <w:pPr>
              <w:jc w:val="right"/>
              <w:ind w:right="100"/>
              <w:spacing w:after="0"/>
              <w:rPr>
                <w:sz w:val="20"/>
                <w:szCs w:val="20"/>
                <w:color w:val="auto"/>
              </w:rPr>
            </w:pPr>
            <w:r>
              <w:rPr>
                <w:rFonts w:ascii="Arial" w:cs="Arial" w:eastAsia="Arial" w:hAnsi="Arial"/>
                <w:sz w:val="20"/>
                <w:szCs w:val="20"/>
                <w:color w:val="231F20"/>
              </w:rPr>
              <w:t>423</w:t>
            </w:r>
          </w:p>
        </w:tc>
      </w:tr>
      <w:tr>
        <w:trPr>
          <w:trHeight w:val="28"/>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272"/>
        </w:trPr>
        <w:tc>
          <w:tcPr>
            <w:tcW w:w="6740" w:type="dxa"/>
            <w:vAlign w:val="bottom"/>
          </w:tcPr>
          <w:p>
            <w:pPr>
              <w:jc w:val="right"/>
              <w:spacing w:after="0"/>
              <w:rPr>
                <w:sz w:val="20"/>
                <w:szCs w:val="20"/>
                <w:color w:val="auto"/>
              </w:rPr>
            </w:pPr>
            <w:r>
              <w:rPr>
                <w:rFonts w:ascii="Arial" w:cs="Arial" w:eastAsia="Arial" w:hAnsi="Arial"/>
                <w:sz w:val="20"/>
                <w:szCs w:val="20"/>
                <w:color w:val="231F20"/>
              </w:rPr>
              <w:t>Oil, natural gas and NGL sales  . . . . . . . . . . . . . . . . . . . . . . . . . . . . . . . . .</w:t>
            </w:r>
          </w:p>
        </w:tc>
        <w:tc>
          <w:tcPr>
            <w:tcW w:w="760" w:type="dxa"/>
            <w:vAlign w:val="bottom"/>
            <w:gridSpan w:val="2"/>
          </w:tcPr>
          <w:p>
            <w:pPr>
              <w:jc w:val="right"/>
              <w:spacing w:after="0"/>
              <w:rPr>
                <w:sz w:val="20"/>
                <w:szCs w:val="20"/>
                <w:color w:val="auto"/>
              </w:rPr>
            </w:pPr>
            <w:r>
              <w:rPr>
                <w:rFonts w:ascii="Arial" w:cs="Arial" w:eastAsia="Arial" w:hAnsi="Arial"/>
                <w:sz w:val="20"/>
                <w:szCs w:val="20"/>
                <w:color w:val="231F20"/>
              </w:rPr>
              <w:t>$2,910</w:t>
            </w:r>
          </w:p>
        </w:tc>
        <w:tc>
          <w:tcPr>
            <w:tcW w:w="960" w:type="dxa"/>
            <w:vAlign w:val="bottom"/>
            <w:gridSpan w:val="3"/>
          </w:tcPr>
          <w:p>
            <w:pPr>
              <w:jc w:val="right"/>
              <w:ind w:right="160"/>
              <w:spacing w:after="0"/>
              <w:rPr>
                <w:sz w:val="20"/>
                <w:szCs w:val="20"/>
                <w:color w:val="auto"/>
              </w:rPr>
            </w:pPr>
            <w:r>
              <w:rPr>
                <w:rFonts w:ascii="Arial" w:cs="Arial" w:eastAsia="Arial" w:hAnsi="Arial"/>
                <w:sz w:val="20"/>
                <w:szCs w:val="20"/>
                <w:color w:val="231F20"/>
              </w:rPr>
              <w:t>$2,537</w:t>
            </w:r>
          </w:p>
        </w:tc>
        <w:tc>
          <w:tcPr>
            <w:tcW w:w="760" w:type="dxa"/>
            <w:vAlign w:val="bottom"/>
            <w:gridSpan w:val="3"/>
          </w:tcPr>
          <w:p>
            <w:pPr>
              <w:jc w:val="right"/>
              <w:ind w:right="100"/>
              <w:spacing w:after="0"/>
              <w:rPr>
                <w:sz w:val="20"/>
                <w:szCs w:val="20"/>
                <w:color w:val="auto"/>
              </w:rPr>
            </w:pPr>
            <w:r>
              <w:rPr>
                <w:rFonts w:ascii="Arial" w:cs="Arial" w:eastAsia="Arial" w:hAnsi="Arial"/>
                <w:sz w:val="20"/>
                <w:szCs w:val="20"/>
                <w:color w:val="231F20"/>
              </w:rPr>
              <w:t>$2,155</w:t>
            </w:r>
          </w:p>
        </w:tc>
      </w:tr>
      <w:tr>
        <w:trPr>
          <w:trHeight w:val="28"/>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Oil</w:t>
      </w:r>
    </w:p>
    <w:p>
      <w:pPr>
        <w:spacing w:after="0" w:line="206"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231F20"/>
        </w:rPr>
        <w:t>We sell nearly all of our crude oil produced in California to local California refiners. A majority of our crude oil production is connected to third-party pipelines and California refining markets via our gathering systems. The majority of our production from our Uinta assets is sold to the Salt Lake City market, with some sold to the Gulf Coast market. We do not refine or process the crude oil we produce and do not have any significant long-term transportation arrangements.</w:t>
      </w:r>
    </w:p>
    <w:p>
      <w:pPr>
        <w:spacing w:after="0" w:line="203" w:lineRule="exact"/>
        <w:rPr>
          <w:sz w:val="20"/>
          <w:szCs w:val="20"/>
          <w:color w:val="auto"/>
        </w:rPr>
      </w:pPr>
    </w:p>
    <w:p>
      <w:pPr>
        <w:ind w:right="200" w:firstLine="300"/>
        <w:spacing w:after="0" w:line="266" w:lineRule="auto"/>
        <w:rPr>
          <w:sz w:val="20"/>
          <w:szCs w:val="20"/>
          <w:color w:val="auto"/>
        </w:rPr>
      </w:pPr>
      <w:r>
        <w:rPr>
          <w:rFonts w:ascii="Arial" w:cs="Arial" w:eastAsia="Arial" w:hAnsi="Arial"/>
          <w:sz w:val="19"/>
          <w:szCs w:val="19"/>
          <w:color w:val="231F20"/>
        </w:rPr>
        <w:t>In 2025, the marketing arrangements for the majority of our production no longer rely on local postings but are instead based directly on Brent prices subject to applicable adjustments. International waterborne-based Brent prices are relevant because there is limited crude pipeline infrastructure available to transport crude overland from other parts of the United States into California. We believe</w:t>
      </w:r>
    </w:p>
    <w:p>
      <w:pPr>
        <w:sectPr>
          <w:pgSz w:w="11880" w:h="15480" w:orient="portrait"/>
          <w:cols w:equalWidth="0" w:num="1">
            <w:col w:w="9220"/>
          </w:cols>
          <w:pgMar w:left="1380" w:top="1316" w:right="1280" w:bottom="653" w:gutter="0" w:footer="0" w:header="0"/>
        </w:sect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231F20"/>
        </w:rPr>
        <w:t>21</w:t>
      </w:r>
    </w:p>
    <w:p>
      <w:pPr>
        <w:sectPr>
          <w:pgSz w:w="11880" w:h="15480" w:orient="portrait"/>
          <w:cols w:equalWidth="0" w:num="1">
            <w:col w:w="9220"/>
          </w:cols>
          <w:pgMar w:left="1380" w:top="1316" w:right="1280" w:bottom="653" w:gutter="0" w:footer="0" w:header="0"/>
          <w:type w:val="continuous"/>
        </w:sectPr>
      </w:pPr>
    </w:p>
    <w:bookmarkStart w:id="25" w:name="page26"/>
    <w:bookmarkEnd w:id="25"/>
    <w:p>
      <w:pPr>
        <w:ind w:right="100"/>
        <w:spacing w:after="0" w:line="246" w:lineRule="auto"/>
        <w:rPr>
          <w:sz w:val="20"/>
          <w:szCs w:val="20"/>
          <w:color w:val="auto"/>
        </w:rPr>
      </w:pPr>
      <w:r>
        <w:rPr>
          <w:rFonts w:ascii="Arial" w:cs="Arial" w:eastAsia="Arial" w:hAnsi="Arial"/>
          <w:sz w:val="20"/>
          <w:szCs w:val="20"/>
          <w:color w:val="231F20"/>
        </w:rPr>
        <w:t>that these limitations will continue to contribute to higher realizations in California than most other U.S. oil markets for comparable grades. The prices received for our Utah production have typically been based on local postings that are tied to WTI prices.</w:t>
      </w:r>
    </w:p>
    <w:p>
      <w:pPr>
        <w:spacing w:after="0" w:line="249" w:lineRule="exact"/>
        <w:rPr>
          <w:sz w:val="20"/>
          <w:szCs w:val="20"/>
          <w:color w:val="auto"/>
        </w:rPr>
      </w:pPr>
    </w:p>
    <w:p>
      <w:pPr>
        <w:ind w:right="140" w:firstLine="300"/>
        <w:spacing w:after="0" w:line="246" w:lineRule="auto"/>
        <w:rPr>
          <w:sz w:val="20"/>
          <w:szCs w:val="20"/>
          <w:color w:val="auto"/>
        </w:rPr>
      </w:pPr>
      <w:r>
        <w:rPr>
          <w:rFonts w:ascii="Arial" w:cs="Arial" w:eastAsia="Arial" w:hAnsi="Arial"/>
          <w:sz w:val="20"/>
          <w:szCs w:val="20"/>
          <w:color w:val="231F20"/>
        </w:rPr>
        <w:t xml:space="preserve">We have entered into derivative contracts to provide price protection for sales of produced oil. See </w:t>
      </w:r>
      <w:r>
        <w:rPr>
          <w:rFonts w:ascii="Arial" w:cs="Arial" w:eastAsia="Arial" w:hAnsi="Arial"/>
          <w:sz w:val="20"/>
          <w:szCs w:val="20"/>
          <w:i w:val="1"/>
          <w:iCs w:val="1"/>
          <w:color w:val="231F20"/>
        </w:rPr>
        <w:t xml:space="preserve">Part II, Item 8 – Financial Statements and Supplementary Data, Note 7 Derivatives </w:t>
      </w:r>
      <w:r>
        <w:rPr>
          <w:rFonts w:ascii="Arial" w:cs="Arial" w:eastAsia="Arial" w:hAnsi="Arial"/>
          <w:sz w:val="20"/>
          <w:szCs w:val="20"/>
          <w:color w:val="231F20"/>
        </w:rPr>
        <w:t>for more</w:t>
      </w:r>
      <w:r>
        <w:rPr>
          <w:rFonts w:ascii="Arial" w:cs="Arial" w:eastAsia="Arial" w:hAnsi="Arial"/>
          <w:sz w:val="20"/>
          <w:szCs w:val="20"/>
          <w:i w:val="1"/>
          <w:iCs w:val="1"/>
          <w:color w:val="231F20"/>
        </w:rPr>
        <w:t xml:space="preserve"> </w:t>
      </w:r>
      <w:r>
        <w:rPr>
          <w:rFonts w:ascii="Arial" w:cs="Arial" w:eastAsia="Arial" w:hAnsi="Arial"/>
          <w:sz w:val="20"/>
          <w:szCs w:val="20"/>
          <w:color w:val="231F20"/>
        </w:rPr>
        <w:t>information on our Brent-based derivative contracts.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Natural Gas</w:t>
      </w:r>
    </w:p>
    <w:p>
      <w:pPr>
        <w:spacing w:after="0" w:line="251" w:lineRule="exact"/>
        <w:rPr>
          <w:sz w:val="20"/>
          <w:szCs w:val="20"/>
          <w:color w:val="auto"/>
        </w:rPr>
      </w:pPr>
    </w:p>
    <w:p>
      <w:pPr>
        <w:ind w:right="320" w:firstLine="300"/>
        <w:spacing w:after="0" w:line="249" w:lineRule="auto"/>
        <w:rPr>
          <w:sz w:val="20"/>
          <w:szCs w:val="20"/>
          <w:color w:val="auto"/>
        </w:rPr>
      </w:pPr>
      <w:r>
        <w:rPr>
          <w:rFonts w:ascii="Arial" w:cs="Arial" w:eastAsia="Arial" w:hAnsi="Arial"/>
          <w:sz w:val="20"/>
          <w:szCs w:val="20"/>
          <w:color w:val="231F20"/>
        </w:rPr>
        <w:t>We sell all of our natural gas not used in our operations into the California and Utah markets. A majority of these sales are made at index-based prices tied to SoCal Border pricing which can differ from NYMEX pricing. SoCal Border pricing reflects local market fundamentals, such as storage capacity and the availability of transportation capacity between the market and producing areas. Transportation capacity availability, transportation pricing, and gas processing prices in other areas may influence California prices because California imports nearly 95% of its natural gas from other states and Canada. We deliver our natural gas to customers using firm capacity contracts that have variable pricing on actual volumes shipped. Currently, we have sufficient capacity to ship our production volumes and we believe that we have the ability to enter into additional capacity agreements as needed.</w:t>
      </w:r>
    </w:p>
    <w:p>
      <w:pPr>
        <w:spacing w:after="0" w:line="250"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 xml:space="preserve">In addition to selling natural gas, we also use natural gas in steam generation for our steamfloods and for power generation. We have entered into derivative contracts to provide price protection for the purchase of natural gas used in our steamflood operations. See </w:t>
      </w:r>
      <w:r>
        <w:rPr>
          <w:rFonts w:ascii="Arial" w:cs="Arial" w:eastAsia="Arial" w:hAnsi="Arial"/>
          <w:sz w:val="20"/>
          <w:szCs w:val="20"/>
          <w:i w:val="1"/>
          <w:iCs w:val="1"/>
          <w:color w:val="231F20"/>
        </w:rPr>
        <w:t>Part II, Item 8 – Financial Statements</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and Supplementary Data, Note 7 Derivatives </w:t>
      </w:r>
      <w:r>
        <w:rPr>
          <w:rFonts w:ascii="Arial" w:cs="Arial" w:eastAsia="Arial" w:hAnsi="Arial"/>
          <w:sz w:val="20"/>
          <w:szCs w:val="20"/>
          <w:color w:val="231F20"/>
        </w:rPr>
        <w:t>for more information on our natural gas derivative</w:t>
      </w:r>
      <w:r>
        <w:rPr>
          <w:rFonts w:ascii="Arial" w:cs="Arial" w:eastAsia="Arial" w:hAnsi="Arial"/>
          <w:sz w:val="20"/>
          <w:szCs w:val="20"/>
          <w:i w:val="1"/>
          <w:iCs w:val="1"/>
          <w:color w:val="231F20"/>
        </w:rPr>
        <w:t xml:space="preserve"> </w:t>
      </w:r>
      <w:r>
        <w:rPr>
          <w:rFonts w:ascii="Arial" w:cs="Arial" w:eastAsia="Arial" w:hAnsi="Arial"/>
          <w:sz w:val="20"/>
          <w:szCs w:val="20"/>
          <w:color w:val="231F20"/>
        </w:rPr>
        <w:t>contracts.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NGLs</w:t>
      </w:r>
    </w:p>
    <w:p>
      <w:pPr>
        <w:spacing w:after="0" w:line="251"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NGL prices vary by liquid type and realizations are closely correlated to the different commodity prices to which they relate. Prices can also fluctuate due to the demand for certain chemical products (for which NGLs are used as feedstock) and due to infrastructure constraints and seasonality. Finally, our results are also affected by the performance of our natural gas-processing plants. We process our wet gas to extract NGLs and other natural gas byproducts. We then deliver dry gas to pipelines and separately sell the remaining products as NGLs. The efficiency with which we extract liquids from the wet gas stream affects our production volumes and operating results. Our natural gas-processing plants also facilitate access to third-party delivery points near the Elk Hills field.</w:t>
      </w:r>
    </w:p>
    <w:p>
      <w:pPr>
        <w:spacing w:after="0" w:line="247"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We currently have a pipeline transportation contract to ship approximately 6,000 barrels per day of NGLs through March 2026. Our contract to transport NGLs requires us to cash settle any shortfall between the contractual throughput minimums and volumes actually shipped. We expect to continue to meet all our throughput minimums under this contract.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Delivery Commitments</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We have commitments to certain refineries and other buyers to deliver oil, natural gas and NGLs.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As of December 31, 2025, we had delivery commitments as shown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231F20"/>
                <w:w w:val="94"/>
              </w:rPr>
              <w:t>2026</w:t>
            </w:r>
          </w:p>
        </w:tc>
        <w:tc>
          <w:tcPr>
            <w:tcW w:w="6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231F20"/>
              </w:rPr>
              <w:t>2027</w:t>
            </w:r>
          </w:p>
        </w:tc>
        <w:tc>
          <w:tcPr>
            <w:tcW w:w="66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231F20"/>
              </w:rPr>
              <w:t>2028</w:t>
            </w:r>
          </w:p>
        </w:tc>
        <w:tc>
          <w:tcPr>
            <w:tcW w:w="640" w:type="dxa"/>
            <w:vAlign w:val="bottom"/>
            <w:gridSpan w:val="3"/>
          </w:tcPr>
          <w:p>
            <w:pPr>
              <w:jc w:val="center"/>
              <w:spacing w:after="0"/>
              <w:rPr>
                <w:sz w:val="20"/>
                <w:szCs w:val="20"/>
                <w:color w:val="auto"/>
              </w:rPr>
            </w:pPr>
            <w:r>
              <w:rPr>
                <w:rFonts w:ascii="Arial" w:cs="Arial" w:eastAsia="Arial" w:hAnsi="Arial"/>
                <w:sz w:val="20"/>
                <w:szCs w:val="20"/>
                <w:b w:val="1"/>
                <w:bCs w:val="1"/>
                <w:color w:val="231F20"/>
                <w:w w:val="98"/>
              </w:rPr>
              <w:t>2029</w:t>
            </w:r>
          </w:p>
        </w:tc>
        <w:tc>
          <w:tcPr>
            <w:tcW w:w="540" w:type="dxa"/>
            <w:vAlign w:val="bottom"/>
            <w:gridSpan w:val="2"/>
          </w:tcPr>
          <w:p>
            <w:pPr>
              <w:jc w:val="center"/>
              <w:spacing w:after="0"/>
              <w:rPr>
                <w:sz w:val="20"/>
                <w:szCs w:val="20"/>
                <w:color w:val="auto"/>
              </w:rPr>
            </w:pPr>
            <w:r>
              <w:rPr>
                <w:rFonts w:ascii="Arial" w:cs="Arial" w:eastAsia="Arial" w:hAnsi="Arial"/>
                <w:sz w:val="20"/>
                <w:szCs w:val="20"/>
                <w:b w:val="1"/>
                <w:bCs w:val="1"/>
                <w:color w:val="231F20"/>
                <w:w w:val="98"/>
              </w:rPr>
              <w:t>2030</w:t>
            </w:r>
          </w:p>
        </w:tc>
      </w:tr>
      <w:tr>
        <w:trPr>
          <w:trHeight w:val="282"/>
        </w:trPr>
        <w:tc>
          <w:tcPr>
            <w:tcW w:w="6000" w:type="dxa"/>
            <w:vAlign w:val="bottom"/>
          </w:tcPr>
          <w:p>
            <w:pPr>
              <w:spacing w:after="0"/>
              <w:rPr>
                <w:sz w:val="20"/>
                <w:szCs w:val="20"/>
                <w:color w:val="auto"/>
              </w:rPr>
            </w:pPr>
            <w:r>
              <w:rPr>
                <w:rFonts w:ascii="Arial" w:cs="Arial" w:eastAsia="Arial" w:hAnsi="Arial"/>
                <w:sz w:val="20"/>
                <w:szCs w:val="20"/>
                <w:color w:val="231F20"/>
                <w:w w:val="97"/>
              </w:rPr>
              <w:t>Oil (MMBbl)  . . . . . . . . . . . . . . . . . . . . . . . . . . . . . . . . . . . . . . . . . . . . .</w:t>
            </w:r>
          </w:p>
        </w:tc>
        <w:tc>
          <w:tcPr>
            <w:tcW w:w="100" w:type="dxa"/>
            <w:vAlign w:val="bottom"/>
          </w:tcPr>
          <w:p>
            <w:pPr>
              <w:spacing w:after="0"/>
              <w:rPr>
                <w:sz w:val="24"/>
                <w:szCs w:val="24"/>
                <w:color w:val="auto"/>
              </w:rPr>
            </w:pPr>
          </w:p>
        </w:tc>
        <w:tc>
          <w:tcPr>
            <w:tcW w:w="440" w:type="dxa"/>
            <w:vAlign w:val="bottom"/>
            <w:tcBorders>
              <w:top w:val="single" w:sz="8" w:color="231F20"/>
            </w:tcBorders>
          </w:tcPr>
          <w:p>
            <w:pPr>
              <w:jc w:val="right"/>
              <w:spacing w:after="0"/>
              <w:rPr>
                <w:sz w:val="20"/>
                <w:szCs w:val="20"/>
                <w:color w:val="auto"/>
              </w:rPr>
            </w:pPr>
            <w:r>
              <w:rPr>
                <w:rFonts w:ascii="Arial" w:cs="Arial" w:eastAsia="Arial" w:hAnsi="Arial"/>
                <w:sz w:val="20"/>
                <w:szCs w:val="20"/>
                <w:color w:val="231F20"/>
              </w:rPr>
              <w:t>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231F20"/>
            </w:tcBorders>
          </w:tcPr>
          <w:p>
            <w:pPr>
              <w:jc w:val="right"/>
              <w:spacing w:after="0"/>
              <w:rPr>
                <w:sz w:val="20"/>
                <w:szCs w:val="20"/>
                <w:color w:val="auto"/>
              </w:rPr>
            </w:pPr>
            <w:r>
              <w:rPr>
                <w:rFonts w:ascii="Arial" w:cs="Arial" w:eastAsia="Arial" w:hAnsi="Arial"/>
                <w:sz w:val="20"/>
                <w:szCs w:val="20"/>
                <w:color w:val="231F20"/>
              </w:rPr>
              <w:t>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231F20"/>
            </w:tcBorders>
          </w:tcPr>
          <w:p>
            <w:pPr>
              <w:jc w:val="right"/>
              <w:ind w:right="20"/>
              <w:spacing w:after="0"/>
              <w:rPr>
                <w:sz w:val="20"/>
                <w:szCs w:val="20"/>
                <w:color w:val="auto"/>
              </w:rPr>
            </w:pPr>
            <w:r>
              <w:rPr>
                <w:rFonts w:ascii="Arial" w:cs="Arial" w:eastAsia="Arial" w:hAnsi="Arial"/>
                <w:sz w:val="20"/>
                <w:szCs w:val="20"/>
                <w:color w:val="231F20"/>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231F20"/>
            </w:tcBorders>
          </w:tcPr>
          <w:p>
            <w:pPr>
              <w:jc w:val="center"/>
              <w:spacing w:after="0"/>
              <w:rPr>
                <w:sz w:val="20"/>
                <w:szCs w:val="20"/>
                <w:color w:val="auto"/>
              </w:rPr>
            </w:pPr>
            <w:r>
              <w:rPr>
                <w:rFonts w:ascii="Arial" w:cs="Arial" w:eastAsia="Arial" w:hAnsi="Arial"/>
                <w:sz w:val="20"/>
                <w:szCs w:val="20"/>
                <w:color w:val="231F20"/>
                <w:w w:val="99"/>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231F20"/>
            </w:tcBorders>
          </w:tcPr>
          <w:p>
            <w:pPr>
              <w:jc w:val="center"/>
              <w:spacing w:after="0"/>
              <w:rPr>
                <w:sz w:val="20"/>
                <w:szCs w:val="20"/>
                <w:color w:val="auto"/>
              </w:rPr>
            </w:pPr>
            <w:r>
              <w:rPr>
                <w:rFonts w:ascii="Arial" w:cs="Arial" w:eastAsia="Arial" w:hAnsi="Arial"/>
                <w:sz w:val="20"/>
                <w:szCs w:val="20"/>
                <w:color w:val="231F20"/>
                <w:w w:val="99"/>
              </w:rPr>
              <w:t>—</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231F20"/>
                <w:w w:val="97"/>
              </w:rPr>
              <w:t>NGL (MMBbl) . . . . . . . . . . . . . . . . . . . . . . . . . . . . . . . . . . . . . . . . . . . .</w:t>
            </w:r>
          </w:p>
        </w:tc>
        <w:tc>
          <w:tcPr>
            <w:tcW w:w="540" w:type="dxa"/>
            <w:vAlign w:val="bottom"/>
            <w:gridSpan w:val="2"/>
          </w:tcPr>
          <w:p>
            <w:pPr>
              <w:jc w:val="right"/>
              <w:spacing w:after="0"/>
              <w:rPr>
                <w:sz w:val="20"/>
                <w:szCs w:val="20"/>
                <w:color w:val="auto"/>
              </w:rPr>
            </w:pPr>
            <w:r>
              <w:rPr>
                <w:rFonts w:ascii="Arial" w:cs="Arial" w:eastAsia="Arial" w:hAnsi="Arial"/>
                <w:sz w:val="20"/>
                <w:szCs w:val="20"/>
                <w:color w:val="231F20"/>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20"/>
                <w:szCs w:val="20"/>
                <w:color w:val="231F20"/>
                <w:w w:val="99"/>
              </w:rPr>
              <w:t>—</w:t>
            </w:r>
          </w:p>
        </w:tc>
        <w:tc>
          <w:tcPr>
            <w:tcW w:w="1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20"/>
                <w:szCs w:val="20"/>
                <w:color w:val="231F20"/>
                <w:w w:val="99"/>
              </w:rPr>
              <w:t>—</w:t>
            </w:r>
          </w:p>
        </w:tc>
      </w:tr>
      <w:tr>
        <w:trPr>
          <w:trHeight w:val="240"/>
        </w:trPr>
        <w:tc>
          <w:tcPr>
            <w:tcW w:w="6000" w:type="dxa"/>
            <w:vAlign w:val="bottom"/>
          </w:tcPr>
          <w:p>
            <w:pPr>
              <w:spacing w:after="0"/>
              <w:rPr>
                <w:sz w:val="20"/>
                <w:szCs w:val="20"/>
                <w:color w:val="auto"/>
              </w:rPr>
            </w:pPr>
            <w:r>
              <w:rPr>
                <w:rFonts w:ascii="Arial" w:cs="Arial" w:eastAsia="Arial" w:hAnsi="Arial"/>
                <w:sz w:val="20"/>
                <w:szCs w:val="20"/>
                <w:color w:val="231F20"/>
                <w:w w:val="98"/>
              </w:rPr>
              <w:t>Natural gas (Bcf) . . . . . . . . . . . . . . . . . . . . . . . . . . . . . . . . . . . . . . . . .</w:t>
            </w:r>
          </w:p>
        </w:tc>
        <w:tc>
          <w:tcPr>
            <w:tcW w:w="540" w:type="dxa"/>
            <w:vAlign w:val="bottom"/>
            <w:gridSpan w:val="2"/>
          </w:tcPr>
          <w:p>
            <w:pPr>
              <w:jc w:val="right"/>
              <w:spacing w:after="0"/>
              <w:rPr>
                <w:sz w:val="20"/>
                <w:szCs w:val="20"/>
                <w:color w:val="auto"/>
              </w:rPr>
            </w:pPr>
            <w:r>
              <w:rPr>
                <w:rFonts w:ascii="Arial" w:cs="Arial" w:eastAsia="Arial" w:hAnsi="Arial"/>
                <w:sz w:val="20"/>
                <w:szCs w:val="20"/>
                <w:color w:val="231F20"/>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20"/>
                <w:szCs w:val="20"/>
                <w:color w:val="231F20"/>
                <w:w w:val="99"/>
              </w:rPr>
              <w:t>—</w:t>
            </w:r>
          </w:p>
        </w:tc>
        <w:tc>
          <w:tcPr>
            <w:tcW w:w="10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20"/>
                <w:szCs w:val="20"/>
                <w:color w:val="231F20"/>
                <w:w w:val="99"/>
              </w:rPr>
              <w:t>—</w:t>
            </w:r>
          </w:p>
        </w:tc>
      </w:tr>
    </w:tbl>
    <w:p>
      <w:pPr>
        <w:spacing w:after="0" w:line="200" w:lineRule="exact"/>
        <w:rPr>
          <w:sz w:val="20"/>
          <w:szCs w:val="20"/>
          <w:color w:val="auto"/>
        </w:rPr>
      </w:pPr>
    </w:p>
    <w:p>
      <w:pPr>
        <w:sectPr>
          <w:pgSz w:w="11880" w:h="15480" w:orient="portrait"/>
          <w:cols w:equalWidth="0" w:num="1">
            <w:col w:w="9120"/>
          </w:cols>
          <w:pgMar w:left="1380" w:top="1316" w:right="1380" w:bottom="655" w:gutter="0" w:footer="0" w:header="0"/>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22</w:t>
      </w:r>
    </w:p>
    <w:p>
      <w:pPr>
        <w:sectPr>
          <w:pgSz w:w="11880" w:h="15480" w:orient="portrait"/>
          <w:cols w:equalWidth="0" w:num="1">
            <w:col w:w="9120"/>
          </w:cols>
          <w:pgMar w:left="1380" w:top="1316" w:right="1380" w:bottom="655" w:gutter="0" w:footer="0" w:header="0"/>
          <w:type w:val="continuous"/>
        </w:sectPr>
      </w:pPr>
    </w:p>
    <w:bookmarkStart w:id="26" w:name="page27"/>
    <w:bookmarkEnd w:id="26"/>
    <w:p>
      <w:pPr>
        <w:ind w:right="180" w:firstLine="300"/>
        <w:spacing w:after="0" w:line="266" w:lineRule="auto"/>
        <w:rPr>
          <w:sz w:val="20"/>
          <w:szCs w:val="20"/>
          <w:color w:val="auto"/>
        </w:rPr>
      </w:pPr>
      <w:r>
        <w:rPr>
          <w:rFonts w:ascii="Arial" w:cs="Arial" w:eastAsia="Arial" w:hAnsi="Arial"/>
          <w:sz w:val="19"/>
          <w:szCs w:val="19"/>
          <w:color w:val="231F20"/>
        </w:rPr>
        <w:t>We expect to fulfill our delivery commitments predominantly from producing our proved developed reserves and to a lesser extent from third party volumes acquired in connection with our marketing activities. We typically enter into index-based contracts with prices set at the time of delivery.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Our Principal Customers</w:t>
      </w:r>
    </w:p>
    <w:p>
      <w:pPr>
        <w:spacing w:after="0" w:line="230" w:lineRule="exact"/>
        <w:rPr>
          <w:sz w:val="20"/>
          <w:szCs w:val="20"/>
          <w:color w:val="auto"/>
        </w:rPr>
      </w:pPr>
    </w:p>
    <w:p>
      <w:pPr>
        <w:ind w:right="580" w:firstLine="300"/>
        <w:spacing w:after="0" w:line="245" w:lineRule="auto"/>
        <w:rPr>
          <w:sz w:val="20"/>
          <w:szCs w:val="20"/>
          <w:color w:val="auto"/>
        </w:rPr>
      </w:pPr>
      <w:r>
        <w:rPr>
          <w:rFonts w:ascii="Arial" w:cs="Arial" w:eastAsia="Arial" w:hAnsi="Arial"/>
          <w:sz w:val="20"/>
          <w:szCs w:val="20"/>
          <w:color w:val="231F20"/>
        </w:rPr>
        <w:t>We primarily sell crude oil, natural gas and NGLs to California refineries, marketers and other purchasers that have access to transportation and storage facilities.</w:t>
      </w:r>
    </w:p>
    <w:p>
      <w:pPr>
        <w:spacing w:after="0" w:line="223"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In October 2025, Phillips 66 closed its Wilmington refinery in Los Angeles, California. In April 2025, Valero notified the California Energy Commission of its intent to idle, restructure, or cease refining operations at its Benicia refinery in the San Francisco Bay Area by the end of April 2026. In January 2026, Valero confirmed its plans to cease refining operations at Benicia and presently does not expect any changes to the previously announced timeline. We have historically sold a portion of our crude oil to these refineries.</w:t>
      </w:r>
    </w:p>
    <w:p>
      <w:pPr>
        <w:spacing w:after="0" w:line="22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Following the closure of the Phillips 66 refinery, and assuming Valero’s Benicia refinery ceases operations, six major petroleum refineries will remain in California, each with a refining capacity exceeding 75,000 barrels per day. Five of these refineries currently purchase California crude oil. If Valero’s Benicia refinery ceases operations, California would have approximately 1.1 million barrels per day of refining capacity available to process California crude oil, which is approximately four times the volume of crude oil produced in the state. However, the ability of producers to access the entirety of this refining capacity would be limited by available pipeline transportation and in-take constraints at individual refineries. Based on currently available refining capacity and our flexibility in marketing our crude oil production, we do not expect that a cessation of operations at these refineries, including the Valero Benicia refinery, would have a material adverse effect on our ability to market our crude oil.</w:t>
      </w:r>
    </w:p>
    <w:p>
      <w:pPr>
        <w:spacing w:after="0" w:line="223"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231F20"/>
        </w:rPr>
        <w:t xml:space="preserve">In December 2025, crude oil shipments on the San Pablo Bay Pipeline </w:t>
      </w:r>
      <w:r>
        <w:rPr>
          <w:rFonts w:ascii="Arial" w:cs="Arial" w:eastAsia="Arial" w:hAnsi="Arial"/>
          <w:sz w:val="20"/>
          <w:szCs w:val="20"/>
          <w:i w:val="1"/>
          <w:iCs w:val="1"/>
          <w:color w:val="231F20"/>
        </w:rPr>
        <w:t>–</w:t>
      </w:r>
      <w:r>
        <w:rPr>
          <w:rFonts w:ascii="Arial" w:cs="Arial" w:eastAsia="Arial" w:hAnsi="Arial"/>
          <w:sz w:val="20"/>
          <w:szCs w:val="20"/>
          <w:color w:val="231F20"/>
        </w:rPr>
        <w:t xml:space="preserve"> the primary inland pipeline carrying crude from California fields to Bay Area refiners </w:t>
      </w:r>
      <w:r>
        <w:rPr>
          <w:rFonts w:ascii="Arial" w:cs="Arial" w:eastAsia="Arial" w:hAnsi="Arial"/>
          <w:sz w:val="20"/>
          <w:szCs w:val="20"/>
          <w:i w:val="1"/>
          <w:iCs w:val="1"/>
          <w:color w:val="231F20"/>
        </w:rPr>
        <w:t>–</w:t>
      </w:r>
      <w:r>
        <w:rPr>
          <w:rFonts w:ascii="Arial" w:cs="Arial" w:eastAsia="Arial" w:hAnsi="Arial"/>
          <w:sz w:val="20"/>
          <w:szCs w:val="20"/>
          <w:color w:val="231F20"/>
        </w:rPr>
        <w:t xml:space="preserve"> were effectively suspended after refinery demand declined and producers ceased nominations, reducing volumes to zero. The closure of this pipeline effectively eliminated our access to Bay Area refineries and we modified our marketing, transportation and shipping arrangements to reach alternative markets in Southern California. As a result, we expect to experience higher transportation costs as well as greater reliance on southbound transportation capacity. These effects are likely to continue for as long as the suspension of pipeline flow persists, and could persist should the pipeline be permanently idled. In addition, any significant increase in in-state crude oil production, including from offshore platforms, could further stress available transportation capacity and negatively impact price realizations. At this time, we cannot predict whether or when crude shipments on the San Pablo Bay Pipeline will resume.</w:t>
      </w:r>
    </w:p>
    <w:p>
      <w:pPr>
        <w:spacing w:after="0" w:line="222" w:lineRule="exact"/>
        <w:rPr>
          <w:sz w:val="20"/>
          <w:szCs w:val="20"/>
          <w:color w:val="auto"/>
        </w:rPr>
      </w:pPr>
    </w:p>
    <w:p>
      <w:pPr>
        <w:ind w:right="320" w:firstLine="300"/>
        <w:spacing w:after="0" w:line="248" w:lineRule="auto"/>
        <w:rPr>
          <w:sz w:val="20"/>
          <w:szCs w:val="20"/>
          <w:color w:val="auto"/>
        </w:rPr>
      </w:pPr>
      <w:r>
        <w:rPr>
          <w:rFonts w:ascii="Arial" w:cs="Arial" w:eastAsia="Arial" w:hAnsi="Arial"/>
          <w:sz w:val="20"/>
          <w:szCs w:val="20"/>
          <w:color w:val="231F20"/>
        </w:rPr>
        <w:t>The loss of refineries in the Bay Area and related pipeline transportation capacity and any additional closures in the future could increase our transportation costs and negatively impact realizations and materially adversely affect our business, financial condition, results of operations or cash flow.</w:t>
      </w:r>
    </w:p>
    <w:p>
      <w:pPr>
        <w:spacing w:after="0" w:line="222" w:lineRule="exact"/>
        <w:rPr>
          <w:sz w:val="20"/>
          <w:szCs w:val="20"/>
          <w:color w:val="auto"/>
        </w:rPr>
      </w:pPr>
    </w:p>
    <w:p>
      <w:pPr>
        <w:jc w:val="both"/>
        <w:ind w:right="280" w:firstLine="300"/>
        <w:spacing w:after="0" w:line="247" w:lineRule="auto"/>
        <w:rPr>
          <w:sz w:val="20"/>
          <w:szCs w:val="20"/>
          <w:color w:val="auto"/>
        </w:rPr>
      </w:pPr>
      <w:r>
        <w:rPr>
          <w:rFonts w:ascii="Arial" w:cs="Arial" w:eastAsia="Arial" w:hAnsi="Arial"/>
          <w:sz w:val="20"/>
          <w:szCs w:val="20"/>
          <w:color w:val="231F20"/>
        </w:rPr>
        <w:t xml:space="preserve">Our ability to sell our products can be affected by a variety of factors that are beyond our control. See </w:t>
      </w:r>
      <w:r>
        <w:rPr>
          <w:rFonts w:ascii="Arial" w:cs="Arial" w:eastAsia="Arial" w:hAnsi="Arial"/>
          <w:sz w:val="20"/>
          <w:szCs w:val="20"/>
          <w:i w:val="1"/>
          <w:iCs w:val="1"/>
          <w:color w:val="231F20"/>
        </w:rPr>
        <w:t>Part II, Item 8 – Financial Statements and Supplementary Data, Note 1 Nature of our Business,</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Summary of Significant Accounting Policies and Other </w:t>
      </w:r>
      <w:r>
        <w:rPr>
          <w:rFonts w:ascii="Arial" w:cs="Arial" w:eastAsia="Arial" w:hAnsi="Arial"/>
          <w:sz w:val="20"/>
          <w:szCs w:val="20"/>
          <w:color w:val="231F20"/>
        </w:rPr>
        <w:t>for more information on our customers</w:t>
      </w:r>
      <w:r>
        <w:rPr>
          <w:rFonts w:ascii="Arial" w:cs="Arial" w:eastAsia="Arial" w:hAnsi="Arial"/>
          <w:sz w:val="20"/>
          <w:szCs w:val="20"/>
          <w:i w:val="1"/>
          <w:iCs w:val="1"/>
          <w:color w:val="231F20"/>
        </w:rPr>
        <w: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Competition</w:t>
      </w:r>
    </w:p>
    <w:p>
      <w:pPr>
        <w:spacing w:after="0" w:line="228" w:lineRule="exact"/>
        <w:rPr>
          <w:sz w:val="20"/>
          <w:szCs w:val="20"/>
          <w:color w:val="auto"/>
        </w:rPr>
      </w:pPr>
    </w:p>
    <w:p>
      <w:pPr>
        <w:ind w:right="140" w:firstLine="300"/>
        <w:spacing w:after="0" w:line="246" w:lineRule="auto"/>
        <w:rPr>
          <w:sz w:val="20"/>
          <w:szCs w:val="20"/>
          <w:color w:val="auto"/>
        </w:rPr>
      </w:pPr>
      <w:r>
        <w:rPr>
          <w:rFonts w:ascii="Arial" w:cs="Arial" w:eastAsia="Arial" w:hAnsi="Arial"/>
          <w:sz w:val="20"/>
          <w:szCs w:val="20"/>
          <w:color w:val="231F20"/>
        </w:rPr>
        <w:t>Our competitors are primarily other exploration and production companies that produce oil, natural gas and NGLs. We compete locally against independent producers and a major international oil company which operate in California. We also compete with foreign oil and gas companies since</w:t>
      </w:r>
    </w:p>
    <w:p>
      <w:pPr>
        <w:sectPr>
          <w:pgSz w:w="11880" w:h="15480" w:orient="portrait"/>
          <w:cols w:equalWidth="0" w:num="1">
            <w:col w:w="9120"/>
          </w:cols>
          <w:pgMar w:left="1380" w:top="1316" w:right="1380" w:bottom="655"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23</w:t>
      </w:r>
    </w:p>
    <w:p>
      <w:pPr>
        <w:sectPr>
          <w:pgSz w:w="11880" w:h="15480" w:orient="portrait"/>
          <w:cols w:equalWidth="0" w:num="1">
            <w:col w:w="9120"/>
          </w:cols>
          <w:pgMar w:left="1380" w:top="1316" w:right="1380" w:bottom="655" w:gutter="0" w:footer="0" w:header="0"/>
          <w:type w:val="continuous"/>
        </w:sectPr>
      </w:pPr>
    </w:p>
    <w:bookmarkStart w:id="27" w:name="page28"/>
    <w:bookmarkEnd w:id="27"/>
    <w:p>
      <w:pPr>
        <w:ind w:right="40"/>
        <w:spacing w:after="0" w:line="249" w:lineRule="auto"/>
        <w:rPr>
          <w:sz w:val="20"/>
          <w:szCs w:val="20"/>
          <w:color w:val="auto"/>
        </w:rPr>
      </w:pPr>
      <w:r>
        <w:rPr>
          <w:rFonts w:ascii="Arial" w:cs="Arial" w:eastAsia="Arial" w:hAnsi="Arial"/>
          <w:sz w:val="20"/>
          <w:szCs w:val="20"/>
          <w:color w:val="231F20"/>
        </w:rPr>
        <w:t>California imports over 75% of the oil it consumes and nearly 95% of its natural gas needs. We believe that our proximity to the California refineries gives us a competitive advantage over importers due to lower transportation costs. Further, California refineries are generally designed to process crude with characteristics similar to those of our production. However, efforts to construct new interstate pipelines to transport refined products or to increase waterborne imports of refined products, if successful, could alter local supply dynamics and affect competitive conditions in our market. The California natural gas market is serviced from a network of pipelines, including interstate and intrastate pipelines.</w:t>
      </w:r>
    </w:p>
    <w:p>
      <w:pPr>
        <w:spacing w:after="0" w:line="202"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In Utah, we compete locally against independent producers that operate in the area. Additionally, we compete to transport our oil to refineries within Utah. Competition for pipeline and transportation capacity, including access to interstate pipelines and rail facilities, may affect realized pricing and basis differentials.</w:t>
      </w:r>
    </w:p>
    <w:p>
      <w:pPr>
        <w:spacing w:after="0" w:line="201"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231F20"/>
        </w:rPr>
        <w:t>We compete for third-party services in California and Utah to profitably develop our assets, to find or acquire additional reserves, to sell our production and to find and retain qualified personnel. The regulatory environment in California could negatively impact the number of oil field service providers, drilling and workover rigs, pipe and other oil field equipment in the state. We have not experienced shortages or delays in the delivery of materials or services from our vendors in either California or Utah.</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Carbon Management Segment</w:t>
      </w:r>
    </w:p>
    <w:p>
      <w:pPr>
        <w:spacing w:after="0" w:line="209" w:lineRule="exact"/>
        <w:rPr>
          <w:sz w:val="20"/>
          <w:szCs w:val="20"/>
          <w:color w:val="auto"/>
        </w:rPr>
      </w:pPr>
    </w:p>
    <w:p>
      <w:pPr>
        <w:ind w:right="160" w:firstLine="300"/>
        <w:spacing w:after="0" w:line="223" w:lineRule="auto"/>
        <w:rPr>
          <w:sz w:val="20"/>
          <w:szCs w:val="20"/>
          <w:color w:val="auto"/>
        </w:rPr>
      </w:pPr>
      <w:r>
        <w:rPr>
          <w:rFonts w:ascii="Arial" w:cs="Arial" w:eastAsia="Arial" w:hAnsi="Arial"/>
          <w:sz w:val="20"/>
          <w:szCs w:val="20"/>
          <w:color w:val="231F20"/>
        </w:rPr>
        <w:t>Our carbon management segment, which we refer to as Carbon TerraVault, pursues the development of carbon capture and sequestration projects. We expect that our Carbon TerraVault CCS projects will inject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captured from industrial, power, agriculture and other emissions sources into subsurface reservoirs and permanently store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deep underground. We also expect to invest in projects that rely on CCS technology in connection with reducing our own emissions, including a project at our cryogenic gas processing plant discussed below. In addition, we may participate in the development of projects that are the source of these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emissions.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CCS Permitting</w:t>
      </w:r>
    </w:p>
    <w:p>
      <w:pPr>
        <w:spacing w:after="0" w:line="207" w:lineRule="exact"/>
        <w:rPr>
          <w:sz w:val="20"/>
          <w:szCs w:val="20"/>
          <w:color w:val="auto"/>
        </w:rPr>
      </w:pPr>
    </w:p>
    <w:p>
      <w:pPr>
        <w:ind w:right="40" w:firstLine="300"/>
        <w:spacing w:after="0" w:line="229" w:lineRule="auto"/>
        <w:rPr>
          <w:sz w:val="20"/>
          <w:szCs w:val="20"/>
          <w:color w:val="auto"/>
        </w:rPr>
      </w:pPr>
      <w:r>
        <w:rPr>
          <w:rFonts w:ascii="Arial" w:cs="Arial" w:eastAsia="Arial" w:hAnsi="Arial"/>
          <w:sz w:val="20"/>
          <w:szCs w:val="20"/>
          <w:color w:val="231F20"/>
        </w:rPr>
        <w:t>In December 2024, the EPA issued Class VI permits, the first permits issued in California, for underground injection and storage of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into the 26R reservoir which is located at our Elk Hills field. The permits became effective on February 6, 2025. The 26R reservoir is part of our Carbon TerraVault JV as discussed further below.</w:t>
      </w:r>
    </w:p>
    <w:p>
      <w:pPr>
        <w:spacing w:after="0" w:line="208" w:lineRule="exact"/>
        <w:rPr>
          <w:sz w:val="20"/>
          <w:szCs w:val="20"/>
          <w:color w:val="auto"/>
        </w:rPr>
      </w:pPr>
    </w:p>
    <w:p>
      <w:pPr>
        <w:ind w:firstLine="300"/>
        <w:spacing w:after="0" w:line="266" w:lineRule="auto"/>
        <w:rPr>
          <w:sz w:val="20"/>
          <w:szCs w:val="20"/>
          <w:color w:val="auto"/>
        </w:rPr>
      </w:pPr>
      <w:r>
        <w:rPr>
          <w:rFonts w:ascii="Arial" w:cs="Arial" w:eastAsia="Arial" w:hAnsi="Arial"/>
          <w:sz w:val="19"/>
          <w:szCs w:val="19"/>
          <w:color w:val="231F20"/>
        </w:rPr>
        <w:t>We have submitted permit applications with the EPA for another permanent sequestration project at our Elk Hills field, four permanent sequestration projects in the Sacramento basin and two permanent sequestration projects in Central California that are under review by the EPA. We acquired one permit application with the EPA for sequestration projects in the Belridge field as part of the Aera Merger.</w:t>
      </w:r>
    </w:p>
    <w:p>
      <w:pPr>
        <w:spacing w:after="0" w:line="183" w:lineRule="exact"/>
        <w:rPr>
          <w:sz w:val="20"/>
          <w:szCs w:val="20"/>
          <w:color w:val="auto"/>
        </w:rPr>
      </w:pPr>
    </w:p>
    <w:p>
      <w:pPr>
        <w:ind w:right="60" w:firstLine="300"/>
        <w:spacing w:after="0" w:line="246" w:lineRule="auto"/>
        <w:rPr>
          <w:sz w:val="20"/>
          <w:szCs w:val="20"/>
          <w:color w:val="auto"/>
        </w:rPr>
      </w:pPr>
      <w:r>
        <w:rPr>
          <w:rFonts w:ascii="Arial" w:cs="Arial" w:eastAsia="Arial" w:hAnsi="Arial"/>
          <w:sz w:val="20"/>
          <w:szCs w:val="20"/>
          <w:color w:val="231F20"/>
        </w:rPr>
        <w:t>The timing, review and approval of our permit applications by the EPA are uncertain and we can give no assurances that these permit applications will be reviewed and approved in a timely manner or at all.</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CCS Projects</w:t>
      </w:r>
    </w:p>
    <w:p>
      <w:pPr>
        <w:spacing w:after="0" w:line="207" w:lineRule="exact"/>
        <w:rPr>
          <w:sz w:val="20"/>
          <w:szCs w:val="20"/>
          <w:color w:val="auto"/>
        </w:rPr>
      </w:pPr>
    </w:p>
    <w:p>
      <w:pPr>
        <w:ind w:firstLine="300"/>
        <w:spacing w:after="0" w:line="236" w:lineRule="auto"/>
        <w:rPr>
          <w:sz w:val="20"/>
          <w:szCs w:val="20"/>
          <w:color w:val="auto"/>
        </w:rPr>
      </w:pPr>
      <w:r>
        <w:rPr>
          <w:rFonts w:ascii="Arial" w:cs="Arial" w:eastAsia="Arial" w:hAnsi="Arial"/>
          <w:sz w:val="20"/>
          <w:szCs w:val="20"/>
          <w:color w:val="231F20"/>
        </w:rPr>
        <w:t>We recently completed construction of carbon capture equipment at our cryogenic gas processing facility at the Elk Hills field and are currently commissioning the facility. This project which will remove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from inlet gas for injection into the nearby 26R storage reservoir (owned by the Carbon TerraVault JV) in spring 2026, subject to EPA approval. We expect this project will increase operational efficiency of the cryogenic gas processing plant, improve propane recovery from inlet gas, and reduce the carbon intensity of the electricity generated at our Elk Hills power plant.</w:t>
      </w:r>
    </w:p>
    <w:p>
      <w:pPr>
        <w:sectPr>
          <w:pgSz w:w="11880" w:h="15480" w:orient="portrait"/>
          <w:cols w:equalWidth="0" w:num="1">
            <w:col w:w="9100"/>
          </w:cols>
          <w:pgMar w:left="1380" w:top="1316" w:right="1400" w:bottom="655"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24</w:t>
      </w:r>
    </w:p>
    <w:p>
      <w:pPr>
        <w:sectPr>
          <w:pgSz w:w="11880" w:h="15480" w:orient="portrait"/>
          <w:cols w:equalWidth="0" w:num="1">
            <w:col w:w="9100"/>
          </w:cols>
          <w:pgMar w:left="1380" w:top="1316" w:right="1400" w:bottom="655" w:gutter="0" w:footer="0" w:header="0"/>
          <w:type w:val="continuous"/>
        </w:sectPr>
      </w:pPr>
    </w:p>
    <w:bookmarkStart w:id="28" w:name="page29"/>
    <w:bookmarkEnd w:id="28"/>
    <w:p>
      <w:pPr>
        <w:ind w:firstLine="300"/>
        <w:spacing w:after="0" w:line="248" w:lineRule="auto"/>
        <w:rPr>
          <w:sz w:val="20"/>
          <w:szCs w:val="20"/>
          <w:color w:val="auto"/>
        </w:rPr>
      </w:pPr>
      <w:r>
        <w:rPr>
          <w:rFonts w:ascii="Arial" w:cs="Arial" w:eastAsia="Arial" w:hAnsi="Arial"/>
          <w:sz w:val="20"/>
          <w:szCs w:val="20"/>
          <w:color w:val="231F20"/>
        </w:rPr>
        <w:t xml:space="preserve">We expect that the size and scope of projects providing for the capture of emissions will continue to grow as we develop our carbon management segment. We expect to minimize the amount of capital we spend on these projects through partnerships and joint ventures, including the Carbon TerraVault JV. For more information about the risks involved in our carbon management segment, see </w:t>
      </w:r>
      <w:r>
        <w:rPr>
          <w:rFonts w:ascii="Arial" w:cs="Arial" w:eastAsia="Arial" w:hAnsi="Arial"/>
          <w:sz w:val="20"/>
          <w:szCs w:val="20"/>
          <w:i w:val="1"/>
          <w:iCs w:val="1"/>
          <w:color w:val="231F20"/>
        </w:rPr>
        <w:t>Part I, Item</w:t>
      </w:r>
      <w:r>
        <w:rPr>
          <w:rFonts w:ascii="Arial" w:cs="Arial" w:eastAsia="Arial" w:hAnsi="Arial"/>
          <w:sz w:val="20"/>
          <w:szCs w:val="20"/>
          <w:color w:val="231F20"/>
        </w:rPr>
        <w:t xml:space="preserve"> </w:t>
      </w:r>
      <w:r>
        <w:rPr>
          <w:rFonts w:ascii="Arial" w:cs="Arial" w:eastAsia="Arial" w:hAnsi="Arial"/>
          <w:sz w:val="20"/>
          <w:szCs w:val="20"/>
          <w:i w:val="1"/>
          <w:iCs w:val="1"/>
          <w:color w:val="231F20"/>
        </w:rPr>
        <w:t>1A – Risk Factors.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Carbon TerraVault JV</w:t>
      </w:r>
    </w:p>
    <w:p>
      <w:pPr>
        <w:spacing w:after="0" w:line="167" w:lineRule="exact"/>
        <w:rPr>
          <w:sz w:val="20"/>
          <w:szCs w:val="20"/>
          <w:color w:val="auto"/>
        </w:rPr>
      </w:pPr>
    </w:p>
    <w:p>
      <w:pPr>
        <w:ind w:right="40" w:firstLine="300"/>
        <w:spacing w:after="0" w:line="239" w:lineRule="auto"/>
        <w:rPr>
          <w:sz w:val="20"/>
          <w:szCs w:val="20"/>
          <w:color w:val="auto"/>
        </w:rPr>
      </w:pPr>
      <w:r>
        <w:rPr>
          <w:rFonts w:ascii="Arial" w:cs="Arial" w:eastAsia="Arial" w:hAnsi="Arial"/>
          <w:sz w:val="20"/>
          <w:szCs w:val="20"/>
          <w:color w:val="231F20"/>
        </w:rPr>
        <w:t>In August 2022, we entered into a joint venture with Brookfield. We hold a 51% interest in the Carbon TerraVault JV and Brookfield holds a 49% interest. Our initial contribution included rights to inject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into the 26R reservoir in our Elk Hills field for permanent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storage. Brookfield has contributed $92 million to date. The remaining amount of Brookfield’s initial investment is based on the permitted storage capacity, subject to certain contractual adjustments. This remaining amount will be contributed to the joint venture upon entering into contracts for the injection of specified volumes with respect to the 26R reservoir. The parties have certain put and call rights with respect to the 26R reservoir if certain milestones are not met.</w:t>
      </w:r>
    </w:p>
    <w:p>
      <w:pPr>
        <w:spacing w:after="0" w:line="171" w:lineRule="exact"/>
        <w:rPr>
          <w:sz w:val="20"/>
          <w:szCs w:val="20"/>
          <w:color w:val="auto"/>
        </w:rPr>
      </w:pPr>
    </w:p>
    <w:p>
      <w:pPr>
        <w:ind w:right="120" w:firstLine="300"/>
        <w:spacing w:after="0" w:line="223" w:lineRule="auto"/>
        <w:rPr>
          <w:sz w:val="20"/>
          <w:szCs w:val="20"/>
          <w:color w:val="auto"/>
        </w:rPr>
      </w:pPr>
      <w:r>
        <w:rPr>
          <w:rFonts w:ascii="Arial" w:cs="Arial" w:eastAsia="Arial" w:hAnsi="Arial"/>
          <w:sz w:val="20"/>
          <w:szCs w:val="20"/>
          <w:color w:val="231F20"/>
        </w:rPr>
        <w:t>Both Brookfield and CRC have granted the other party a right to participate in projects that involve the capture, transportation and storage of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 California. These projects may be developed throughout the Carbon TerraVault JV or other joint ventures. This right expires upon the earlier of</w:t>
      </w:r>
    </w:p>
    <w:p>
      <w:pPr>
        <w:spacing w:after="0" w:line="15" w:lineRule="exact"/>
        <w:rPr>
          <w:sz w:val="20"/>
          <w:szCs w:val="20"/>
          <w:color w:val="auto"/>
        </w:rPr>
      </w:pPr>
    </w:p>
    <w:p>
      <w:pPr>
        <w:spacing w:after="0" w:line="249" w:lineRule="auto"/>
        <w:tabs>
          <w:tab w:leader="none" w:pos="301" w:val="left"/>
        </w:tabs>
        <w:numPr>
          <w:ilvl w:val="0"/>
          <w:numId w:val="16"/>
        </w:numPr>
        <w:rPr>
          <w:rFonts w:ascii="Arial" w:cs="Arial" w:eastAsia="Arial" w:hAnsi="Arial"/>
          <w:sz w:val="20"/>
          <w:szCs w:val="20"/>
          <w:color w:val="231F20"/>
        </w:rPr>
      </w:pPr>
      <w:r>
        <w:rPr>
          <w:rFonts w:ascii="Arial" w:cs="Arial" w:eastAsia="Arial" w:hAnsi="Arial"/>
          <w:sz w:val="20"/>
          <w:szCs w:val="20"/>
          <w:color w:val="231F20"/>
        </w:rPr>
        <w:t>August 2027, (2) when a final investment decision has been approved by the investment committee of the Carbon TerraVault JV for storage projects representing in excess of 5 million metric tons per annum (MMTPA) in the aggregate, or (3) when Brookfield has made contributions to the joint venture in excess of $500 million (unless Brookfield elects to increase its commitment). The non-presenting party has the option to accept, decline or defer its decision to participate. If the decision is deferred, then the presenting party may continue to pursue development; however during this time and prior to a final investment decision, the non-presenting party may elect to participate provided they pay their share of the project development costs incurred up to that point. The joint venture does not have a definitive term and terminates upon either party holding all of the ownership interests in the joint venture.</w:t>
      </w:r>
    </w:p>
    <w:p>
      <w:pPr>
        <w:spacing w:after="0" w:line="162" w:lineRule="exact"/>
        <w:rPr>
          <w:sz w:val="20"/>
          <w:szCs w:val="20"/>
          <w:color w:val="auto"/>
        </w:rPr>
      </w:pPr>
    </w:p>
    <w:p>
      <w:pPr>
        <w:ind w:right="220" w:firstLine="300"/>
        <w:spacing w:after="0" w:line="247" w:lineRule="auto"/>
        <w:rPr>
          <w:sz w:val="20"/>
          <w:szCs w:val="20"/>
          <w:color w:val="auto"/>
        </w:rPr>
      </w:pPr>
      <w:r>
        <w:rPr>
          <w:rFonts w:ascii="Arial" w:cs="Arial" w:eastAsia="Arial" w:hAnsi="Arial"/>
          <w:sz w:val="20"/>
          <w:szCs w:val="20"/>
          <w:color w:val="231F20"/>
        </w:rPr>
        <w:t xml:space="preserve">Refer to </w:t>
      </w:r>
      <w:r>
        <w:rPr>
          <w:rFonts w:ascii="Arial" w:cs="Arial" w:eastAsia="Arial" w:hAnsi="Arial"/>
          <w:sz w:val="20"/>
          <w:szCs w:val="20"/>
          <w:i w:val="1"/>
          <w:iCs w:val="1"/>
          <w:color w:val="231F20"/>
        </w:rPr>
        <w:t>Part II, Item 8 – Financial Statements and Supplementary Data, Note 4 Investments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Related Party Transactions </w:t>
      </w:r>
      <w:r>
        <w:rPr>
          <w:rFonts w:ascii="Arial" w:cs="Arial" w:eastAsia="Arial" w:hAnsi="Arial"/>
          <w:sz w:val="20"/>
          <w:szCs w:val="20"/>
          <w:color w:val="231F20"/>
        </w:rPr>
        <w:t>for more information on our Carbon TerraVault JV.</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Competition</w:t>
      </w:r>
    </w:p>
    <w:p>
      <w:pPr>
        <w:spacing w:after="0" w:line="167" w:lineRule="exact"/>
        <w:rPr>
          <w:sz w:val="20"/>
          <w:szCs w:val="20"/>
          <w:color w:val="auto"/>
        </w:rPr>
      </w:pPr>
    </w:p>
    <w:p>
      <w:pPr>
        <w:ind w:right="200" w:firstLine="300"/>
        <w:spacing w:after="0" w:line="245" w:lineRule="auto"/>
        <w:rPr>
          <w:sz w:val="20"/>
          <w:szCs w:val="20"/>
          <w:color w:val="auto"/>
        </w:rPr>
      </w:pPr>
      <w:r>
        <w:rPr>
          <w:rFonts w:ascii="Arial" w:cs="Arial" w:eastAsia="Arial" w:hAnsi="Arial"/>
          <w:sz w:val="20"/>
          <w:szCs w:val="20"/>
          <w:color w:val="231F20"/>
        </w:rPr>
        <w:t>We compete with other potential storage providers to acquire and develop storage reservoirs and enter into agreements with existing and future emission sources.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Responsible Net Zero Goal</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In May 2025, our Board of Directors adopted the following net zero emissions goal (Responsible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Net Zero):</w:t>
      </w:r>
    </w:p>
    <w:p>
      <w:pPr>
        <w:spacing w:after="0" w:line="169" w:lineRule="exact"/>
        <w:rPr>
          <w:sz w:val="20"/>
          <w:szCs w:val="20"/>
          <w:color w:val="auto"/>
        </w:rPr>
      </w:pPr>
    </w:p>
    <w:p>
      <w:pPr>
        <w:ind w:left="1200" w:right="140"/>
        <w:spacing w:after="0" w:line="249" w:lineRule="auto"/>
        <w:rPr>
          <w:sz w:val="20"/>
          <w:szCs w:val="20"/>
          <w:color w:val="auto"/>
        </w:rPr>
      </w:pPr>
      <w:r>
        <w:rPr>
          <w:rFonts w:ascii="Arial" w:cs="Arial" w:eastAsia="Arial" w:hAnsi="Arial"/>
          <w:sz w:val="20"/>
          <w:szCs w:val="20"/>
          <w:color w:val="231F20"/>
        </w:rPr>
        <w:t>Our goal is to achieve at least an 80% reduction of absolute Scope 1 and 2 greenhouse gas emissions and neutralize the remaining Scope 1 and 2 emissions to achieve Net Zero by 2045. Our near-term ambition is to achieve a 20% reduction in the average carbon intensity of all CRC oil and gas production by 2035, thereby reducing our customers’ Scope 3 emissions. We are committed to responsibly producing energy in a manner consistent with the UN’s Sustainable Development Goals.</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Our Responsible Net Zero goal is based on the following considerations:</w:t>
      </w:r>
    </w:p>
    <w:p>
      <w:pPr>
        <w:spacing w:after="0" w:line="169" w:lineRule="exact"/>
        <w:rPr>
          <w:sz w:val="20"/>
          <w:szCs w:val="20"/>
          <w:color w:val="auto"/>
        </w:rPr>
      </w:pPr>
    </w:p>
    <w:p>
      <w:pPr>
        <w:ind w:left="600" w:right="220" w:hanging="300"/>
        <w:spacing w:after="0" w:line="246" w:lineRule="auto"/>
        <w:tabs>
          <w:tab w:leader="none" w:pos="600" w:val="left"/>
        </w:tabs>
        <w:numPr>
          <w:ilvl w:val="0"/>
          <w:numId w:val="17"/>
        </w:numPr>
        <w:rPr>
          <w:rFonts w:ascii="Arial" w:cs="Arial" w:eastAsia="Arial" w:hAnsi="Arial"/>
          <w:sz w:val="20"/>
          <w:szCs w:val="20"/>
          <w:color w:val="231F20"/>
        </w:rPr>
      </w:pPr>
      <w:r>
        <w:rPr>
          <w:rFonts w:ascii="Arial" w:cs="Arial" w:eastAsia="Arial" w:hAnsi="Arial"/>
          <w:sz w:val="20"/>
          <w:szCs w:val="20"/>
          <w:color w:val="231F20"/>
        </w:rPr>
        <w:t>We use 2020 total Scope 1 and 2 GHG emissions (including those of Aera) as our baseline to measure progress towards our Responsible Net Zero goal. Our emissions are based on calculations reported to the California Air Resources Board (CARB).</w:t>
      </w:r>
    </w:p>
    <w:p>
      <w:pPr>
        <w:sectPr>
          <w:pgSz w:w="11880" w:h="15480" w:orient="portrait"/>
          <w:cols w:equalWidth="0" w:num="1">
            <w:col w:w="9080"/>
          </w:cols>
          <w:pgMar w:left="1380" w:top="1316" w:right="1420" w:bottom="655" w:gutter="0" w:footer="0" w:header="0"/>
        </w:sect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25</w:t>
      </w:r>
    </w:p>
    <w:p>
      <w:pPr>
        <w:sectPr>
          <w:pgSz w:w="11880" w:h="15480" w:orient="portrait"/>
          <w:cols w:equalWidth="0" w:num="1">
            <w:col w:w="9080"/>
          </w:cols>
          <w:pgMar w:left="1380" w:top="1316" w:right="1420" w:bottom="655" w:gutter="0" w:footer="0" w:header="0"/>
          <w:type w:val="continuous"/>
        </w:sectPr>
      </w:pPr>
    </w:p>
    <w:bookmarkStart w:id="29" w:name="page30"/>
    <w:bookmarkEnd w:id="29"/>
    <w:p>
      <w:pPr>
        <w:ind w:left="600" w:right="60" w:hanging="300"/>
        <w:spacing w:after="0" w:line="248" w:lineRule="auto"/>
        <w:tabs>
          <w:tab w:leader="none" w:pos="60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The term “neutralize” as it relates to Scope 1 GHG emissions refers to the planned use of either carbon offsets generated and claimed internally or carbon offsets purchased and claimed through the third party carbon market (including California’s Cap-and-Trade Program). For Scope 2 GHG emissions, the term “neutralize” refers to the use of contractual instruments such as renewable energy certificates or carbon offsets.</w:t>
      </w:r>
    </w:p>
    <w:p>
      <w:pPr>
        <w:spacing w:after="0" w:line="11" w:lineRule="exact"/>
        <w:rPr>
          <w:rFonts w:ascii="Arial" w:cs="Arial" w:eastAsia="Arial" w:hAnsi="Arial"/>
          <w:sz w:val="20"/>
          <w:szCs w:val="20"/>
          <w:color w:val="231F20"/>
        </w:rPr>
      </w:pPr>
    </w:p>
    <w:p>
      <w:pPr>
        <w:ind w:left="600" w:right="120" w:hanging="300"/>
        <w:spacing w:after="0" w:line="243" w:lineRule="auto"/>
        <w:tabs>
          <w:tab w:leader="none" w:pos="60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The term “carbon offsets” refers to greenhouse gas emission reductions arising from third-party certified projects that remove, reduce, or avoid GHG emissions from the atmosphere.</w:t>
      </w:r>
    </w:p>
    <w:p>
      <w:pPr>
        <w:spacing w:after="0" w:line="14" w:lineRule="exact"/>
        <w:rPr>
          <w:rFonts w:ascii="Arial" w:cs="Arial" w:eastAsia="Arial" w:hAnsi="Arial"/>
          <w:sz w:val="20"/>
          <w:szCs w:val="20"/>
          <w:color w:val="231F20"/>
        </w:rPr>
      </w:pPr>
    </w:p>
    <w:p>
      <w:pPr>
        <w:ind w:left="600" w:right="20" w:hanging="300"/>
        <w:spacing w:after="0" w:line="249" w:lineRule="auto"/>
        <w:tabs>
          <w:tab w:leader="none" w:pos="60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References to UN Sustainable Development Goals (UN SDGs) refer primarily to goals regarding income inequality, biodiversity, corruption, Scope 1 and 2 GHG emissions carbon intensity, fair labor and gender treatment. Operating a business consistent with UN SDGs is inherently a subjective determination regarding which UN SDGs to prioritize, how to weigh such matters against commercial considerations and to what extent a business activity promotes or is consistent with a given UN SDG.</w:t>
      </w:r>
    </w:p>
    <w:p>
      <w:pPr>
        <w:spacing w:after="0" w:line="8" w:lineRule="exact"/>
        <w:rPr>
          <w:rFonts w:ascii="Arial" w:cs="Arial" w:eastAsia="Arial" w:hAnsi="Arial"/>
          <w:sz w:val="20"/>
          <w:szCs w:val="20"/>
          <w:color w:val="231F20"/>
        </w:rPr>
      </w:pPr>
    </w:p>
    <w:p>
      <w:pPr>
        <w:ind w:left="600" w:right="320" w:hanging="300"/>
        <w:spacing w:after="0" w:line="246" w:lineRule="auto"/>
        <w:tabs>
          <w:tab w:leader="none" w:pos="60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Future acquisitions and divestitures, as well as changes to methodology in accounting for carbon emissions or adjustments to historical carbon calculations as well as the use of third-party data or validation processes, could cause us to change our Responsible Net Zero goal.</w:t>
      </w:r>
    </w:p>
    <w:p>
      <w:pPr>
        <w:spacing w:after="0" w:line="12" w:lineRule="exact"/>
        <w:rPr>
          <w:rFonts w:ascii="Arial" w:cs="Arial" w:eastAsia="Arial" w:hAnsi="Arial"/>
          <w:sz w:val="20"/>
          <w:szCs w:val="20"/>
          <w:color w:val="231F20"/>
        </w:rPr>
      </w:pPr>
    </w:p>
    <w:p>
      <w:pPr>
        <w:ind w:left="600" w:right="60" w:hanging="300"/>
        <w:spacing w:after="0" w:line="249" w:lineRule="auto"/>
        <w:tabs>
          <w:tab w:leader="none" w:pos="600"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 xml:space="preserve">Assumptions, estimates, goals and similar statements and concepts regarding our Responsible Net Zero goal contain or assume forward looking statements within the meaning of federal securities laws and are subject to risks and uncertainties that could cause actual results to differ materially from those expressed in, or implied by, such statements. For a discussion of these risks and uncertainties, please refer to the </w:t>
      </w:r>
      <w:r>
        <w:rPr>
          <w:rFonts w:ascii="Arial" w:cs="Arial" w:eastAsia="Arial" w:hAnsi="Arial"/>
          <w:sz w:val="20"/>
          <w:szCs w:val="20"/>
          <w:i w:val="1"/>
          <w:iCs w:val="1"/>
          <w:color w:val="231F20"/>
        </w:rPr>
        <w:t>Risk Factors</w:t>
      </w:r>
      <w:r>
        <w:rPr>
          <w:rFonts w:ascii="Arial" w:cs="Arial" w:eastAsia="Arial" w:hAnsi="Arial"/>
          <w:sz w:val="20"/>
          <w:szCs w:val="20"/>
          <w:color w:val="231F20"/>
        </w:rPr>
        <w:t xml:space="preserve"> and </w:t>
      </w:r>
      <w:r>
        <w:rPr>
          <w:rFonts w:ascii="Arial" w:cs="Arial" w:eastAsia="Arial" w:hAnsi="Arial"/>
          <w:sz w:val="20"/>
          <w:szCs w:val="20"/>
          <w:i w:val="1"/>
          <w:iCs w:val="1"/>
          <w:color w:val="231F20"/>
        </w:rPr>
        <w:t>Forward-Looking Statements</w:t>
      </w:r>
      <w:r>
        <w:rPr>
          <w:rFonts w:ascii="Arial" w:cs="Arial" w:eastAsia="Arial" w:hAnsi="Arial"/>
          <w:sz w:val="20"/>
          <w:szCs w:val="20"/>
          <w:color w:val="231F20"/>
        </w:rPr>
        <w:t xml:space="preserve"> described in our Annual Report on our most recent Form 10-K and any subsequently filed Quarterly Reports on Form 10-Q and Current Reports on Form 8-K filed with the United States Securities and Exchange Commission.</w:t>
      </w:r>
    </w:p>
    <w:p>
      <w:pPr>
        <w:spacing w:after="0" w:line="211"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Our Responsible Net Zero goal replaces our previously adopted Full Scope Net Zero goal. This change was primarily driven by the impact of the Aera Merger, which nearly doubled the size of our asset base and impacted the overall carbon intensity of our operations. The continuing lack of regulatory clarity around the measurement of Scope 3 GHG emissions (including the impact of carbon capture and sequestration in such calculations) also contributed to this change.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Infrastructure</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Our infrastructure includes the plants and facilities shown in the table below.</w:t>
      </w:r>
    </w:p>
    <w:p>
      <w:pPr>
        <w:spacing w:after="0" w:line="167" w:lineRule="exact"/>
        <w:rPr>
          <w:sz w:val="20"/>
          <w:szCs w:val="20"/>
          <w:color w:val="auto"/>
        </w:rPr>
      </w:pPr>
    </w:p>
    <w:p>
      <w:pPr>
        <w:ind w:left="840"/>
        <w:spacing w:after="0"/>
        <w:tabs>
          <w:tab w:leader="none" w:pos="2760" w:val="left"/>
          <w:tab w:leader="none" w:pos="3800" w:val="left"/>
          <w:tab w:leader="none" w:pos="6360" w:val="left"/>
        </w:tabs>
        <w:rPr>
          <w:sz w:val="20"/>
          <w:szCs w:val="20"/>
          <w:color w:val="auto"/>
        </w:rPr>
      </w:pPr>
      <w:r>
        <w:rPr>
          <w:rFonts w:ascii="Arial" w:cs="Arial" w:eastAsia="Arial" w:hAnsi="Arial"/>
          <w:sz w:val="18"/>
          <w:szCs w:val="18"/>
          <w:b w:val="1"/>
          <w:bCs w:val="1"/>
          <w:color w:val="231F20"/>
        </w:rPr>
        <w:t>Description</w:t>
      </w:r>
      <w:r>
        <w:rPr>
          <w:sz w:val="20"/>
          <w:szCs w:val="20"/>
          <w:color w:val="auto"/>
        </w:rPr>
        <w:tab/>
      </w:r>
      <w:r>
        <w:rPr>
          <w:rFonts w:ascii="Arial" w:cs="Arial" w:eastAsia="Arial" w:hAnsi="Arial"/>
          <w:sz w:val="18"/>
          <w:szCs w:val="18"/>
          <w:b w:val="1"/>
          <w:bCs w:val="1"/>
          <w:color w:val="231F20"/>
        </w:rPr>
        <w:t>Quantity</w:t>
      </w:r>
      <w:r>
        <w:rPr>
          <w:sz w:val="20"/>
          <w:szCs w:val="20"/>
          <w:color w:val="auto"/>
        </w:rPr>
        <w:tab/>
      </w:r>
      <w:r>
        <w:rPr>
          <w:rFonts w:ascii="Arial" w:cs="Arial" w:eastAsia="Arial" w:hAnsi="Arial"/>
          <w:sz w:val="18"/>
          <w:szCs w:val="18"/>
          <w:b w:val="1"/>
          <w:bCs w:val="1"/>
          <w:color w:val="231F20"/>
        </w:rPr>
        <w:t>Unit</w:t>
      </w:r>
      <w:r>
        <w:rPr>
          <w:sz w:val="20"/>
          <w:szCs w:val="20"/>
          <w:color w:val="auto"/>
        </w:rPr>
        <w:tab/>
      </w:r>
      <w:r>
        <w:rPr>
          <w:rFonts w:ascii="Arial" w:cs="Arial" w:eastAsia="Arial" w:hAnsi="Arial"/>
          <w:sz w:val="18"/>
          <w:szCs w:val="18"/>
          <w:b w:val="1"/>
          <w:bCs w:val="1"/>
          <w:color w:val="231F20"/>
        </w:rPr>
        <w:t>Capacity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168592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9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pt" to="132.75pt,1.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1711325</wp:posOffset>
                </wp:positionH>
                <wp:positionV relativeFrom="paragraph">
                  <wp:posOffset>21590</wp:posOffset>
                </wp:positionV>
                <wp:extent cx="57785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8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75pt,1.7pt" to="180.25pt,1.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2314575</wp:posOffset>
                </wp:positionH>
                <wp:positionV relativeFrom="paragraph">
                  <wp:posOffset>21590</wp:posOffset>
                </wp:positionV>
                <wp:extent cx="45085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08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25pt,1.7pt" to="217.75pt,1.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2790825</wp:posOffset>
                </wp:positionH>
                <wp:positionV relativeFrom="paragraph">
                  <wp:posOffset>21590</wp:posOffset>
                </wp:positionV>
                <wp:extent cx="300037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037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75pt,1.7pt" to="456pt,1.7pt" o:allowincell="f" strokecolor="#231F20" strokeweight="1pt"/>
            </w:pict>
          </mc:Fallback>
        </mc:AlternateConten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231F20"/>
                <w:w w:val="99"/>
              </w:rPr>
              <w:t>Uinta</w:t>
            </w:r>
          </w:p>
        </w:tc>
        <w:tc>
          <w:tcPr>
            <w:tcW w:w="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231F20"/>
                <w:w w:val="99"/>
              </w:rPr>
              <w:t>Other</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0"/>
        </w:trPr>
        <w:tc>
          <w:tcPr>
            <w:tcW w:w="2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Borders>
              <w:bottom w:val="single" w:sz="8" w:color="231F20"/>
            </w:tcBorders>
          </w:tcPr>
          <w:p>
            <w:pPr>
              <w:ind w:left="100"/>
              <w:spacing w:after="0"/>
              <w:rPr>
                <w:sz w:val="20"/>
                <w:szCs w:val="20"/>
                <w:color w:val="auto"/>
              </w:rPr>
            </w:pPr>
            <w:r>
              <w:rPr>
                <w:rFonts w:ascii="Arial" w:cs="Arial" w:eastAsia="Arial" w:hAnsi="Arial"/>
                <w:sz w:val="18"/>
                <w:szCs w:val="18"/>
                <w:b w:val="1"/>
                <w:bCs w:val="1"/>
                <w:color w:val="231F20"/>
              </w:rPr>
              <w:t>San Joaquin Basin</w:t>
            </w:r>
          </w:p>
        </w:tc>
        <w:tc>
          <w:tcPr>
            <w:tcW w:w="40" w:type="dxa"/>
            <w:vAlign w:val="bottom"/>
          </w:tcPr>
          <w:p>
            <w:pPr>
              <w:spacing w:after="0"/>
              <w:rPr>
                <w:sz w:val="20"/>
                <w:szCs w:val="20"/>
                <w:color w:val="auto"/>
              </w:rPr>
            </w:pPr>
          </w:p>
        </w:tc>
        <w:tc>
          <w:tcPr>
            <w:tcW w:w="1060" w:type="dxa"/>
            <w:vAlign w:val="bottom"/>
            <w:tcBorders>
              <w:bottom w:val="single" w:sz="8" w:color="231F20"/>
            </w:tcBorders>
          </w:tcPr>
          <w:p>
            <w:pPr>
              <w:jc w:val="center"/>
              <w:spacing w:after="0"/>
              <w:rPr>
                <w:sz w:val="20"/>
                <w:szCs w:val="20"/>
                <w:color w:val="auto"/>
              </w:rPr>
            </w:pPr>
            <w:r>
              <w:rPr>
                <w:rFonts w:ascii="Arial" w:cs="Arial" w:eastAsia="Arial" w:hAnsi="Arial"/>
                <w:sz w:val="20"/>
                <w:szCs w:val="20"/>
                <w:b w:val="1"/>
                <w:bCs w:val="1"/>
                <w:color w:val="231F20"/>
              </w:rPr>
              <w:t>Basins</w:t>
            </w:r>
          </w:p>
        </w:tc>
        <w:tc>
          <w:tcPr>
            <w:tcW w:w="40" w:type="dxa"/>
            <w:vAlign w:val="bottom"/>
          </w:tcPr>
          <w:p>
            <w:pPr>
              <w:spacing w:after="0"/>
              <w:rPr>
                <w:sz w:val="20"/>
                <w:szCs w:val="20"/>
                <w:color w:val="auto"/>
              </w:rPr>
            </w:pPr>
          </w:p>
        </w:tc>
        <w:tc>
          <w:tcPr>
            <w:tcW w:w="960" w:type="dxa"/>
            <w:vAlign w:val="bottom"/>
            <w:tcBorders>
              <w:bottom w:val="single" w:sz="8" w:color="231F20"/>
            </w:tcBorders>
          </w:tcPr>
          <w:p>
            <w:pPr>
              <w:jc w:val="center"/>
              <w:spacing w:after="0"/>
              <w:rPr>
                <w:sz w:val="20"/>
                <w:szCs w:val="20"/>
                <w:color w:val="auto"/>
              </w:rPr>
            </w:pPr>
            <w:r>
              <w:rPr>
                <w:rFonts w:ascii="Arial" w:cs="Arial" w:eastAsia="Arial" w:hAnsi="Arial"/>
                <w:sz w:val="18"/>
                <w:szCs w:val="18"/>
                <w:b w:val="1"/>
                <w:bCs w:val="1"/>
                <w:color w:val="231F20"/>
              </w:rPr>
              <w:t>Basins</w:t>
            </w:r>
          </w:p>
        </w:tc>
        <w:tc>
          <w:tcPr>
            <w:tcW w:w="40" w:type="dxa"/>
            <w:vAlign w:val="bottom"/>
          </w:tcPr>
          <w:p>
            <w:pPr>
              <w:spacing w:after="0"/>
              <w:rPr>
                <w:sz w:val="20"/>
                <w:szCs w:val="20"/>
                <w:color w:val="auto"/>
              </w:rPr>
            </w:pPr>
          </w:p>
        </w:tc>
        <w:tc>
          <w:tcPr>
            <w:tcW w:w="780" w:type="dxa"/>
            <w:vAlign w:val="bottom"/>
            <w:tcBorders>
              <w:bottom w:val="single" w:sz="8" w:color="231F20"/>
            </w:tcBorders>
          </w:tcPr>
          <w:p>
            <w:pPr>
              <w:ind w:left="180"/>
              <w:spacing w:after="0"/>
              <w:rPr>
                <w:sz w:val="20"/>
                <w:szCs w:val="20"/>
                <w:color w:val="auto"/>
              </w:rPr>
            </w:pPr>
            <w:r>
              <w:rPr>
                <w:rFonts w:ascii="Arial" w:cs="Arial" w:eastAsia="Arial" w:hAnsi="Arial"/>
                <w:sz w:val="18"/>
                <w:szCs w:val="18"/>
                <w:b w:val="1"/>
                <w:bCs w:val="1"/>
                <w:color w:val="231F20"/>
              </w:rPr>
              <w:t>Total</w:t>
            </w:r>
          </w:p>
        </w:tc>
      </w:tr>
      <w:tr>
        <w:trPr>
          <w:trHeight w:val="256"/>
        </w:trPr>
        <w:tc>
          <w:tcPr>
            <w:tcW w:w="2800" w:type="dxa"/>
            <w:vAlign w:val="bottom"/>
          </w:tcPr>
          <w:p>
            <w:pPr>
              <w:spacing w:after="0"/>
              <w:rPr>
                <w:sz w:val="20"/>
                <w:szCs w:val="20"/>
                <w:color w:val="auto"/>
              </w:rPr>
            </w:pPr>
            <w:r>
              <w:rPr>
                <w:rFonts w:ascii="Arial" w:cs="Arial" w:eastAsia="Arial" w:hAnsi="Arial"/>
                <w:sz w:val="18"/>
                <w:szCs w:val="18"/>
                <w:color w:val="231F20"/>
              </w:rPr>
              <w:t>Gas Processing Plants  . . . . . . . .</w:t>
            </w:r>
          </w:p>
        </w:tc>
        <w:tc>
          <w:tcPr>
            <w:tcW w:w="740" w:type="dxa"/>
            <w:vAlign w:val="bottom"/>
          </w:tcPr>
          <w:p>
            <w:pPr>
              <w:jc w:val="center"/>
              <w:spacing w:after="0"/>
              <w:rPr>
                <w:sz w:val="20"/>
                <w:szCs w:val="20"/>
                <w:color w:val="auto"/>
              </w:rPr>
            </w:pPr>
            <w:r>
              <w:rPr>
                <w:rFonts w:ascii="Arial" w:cs="Arial" w:eastAsia="Arial" w:hAnsi="Arial"/>
                <w:sz w:val="18"/>
                <w:szCs w:val="18"/>
                <w:color w:val="231F20"/>
                <w:w w:val="99"/>
              </w:rPr>
              <w:t>6</w:t>
            </w:r>
          </w:p>
        </w:tc>
        <w:tc>
          <w:tcPr>
            <w:tcW w:w="860" w:type="dxa"/>
            <w:vAlign w:val="bottom"/>
          </w:tcPr>
          <w:p>
            <w:pPr>
              <w:jc w:val="center"/>
              <w:spacing w:after="0"/>
              <w:rPr>
                <w:sz w:val="20"/>
                <w:szCs w:val="20"/>
                <w:color w:val="auto"/>
              </w:rPr>
            </w:pPr>
            <w:r>
              <w:rPr>
                <w:rFonts w:ascii="Arial" w:cs="Arial" w:eastAsia="Arial" w:hAnsi="Arial"/>
                <w:sz w:val="18"/>
                <w:szCs w:val="18"/>
                <w:color w:val="231F20"/>
              </w:rPr>
              <w:t>MMcf/d</w:t>
            </w:r>
          </w:p>
        </w:tc>
        <w:tc>
          <w:tcPr>
            <w:tcW w:w="1800" w:type="dxa"/>
            <w:vAlign w:val="bottom"/>
          </w:tcPr>
          <w:p>
            <w:pPr>
              <w:jc w:val="center"/>
              <w:spacing w:after="0"/>
              <w:rPr>
                <w:sz w:val="20"/>
                <w:szCs w:val="20"/>
                <w:color w:val="auto"/>
              </w:rPr>
            </w:pPr>
            <w:r>
              <w:rPr>
                <w:rFonts w:ascii="Arial" w:cs="Arial" w:eastAsia="Arial" w:hAnsi="Arial"/>
                <w:sz w:val="18"/>
                <w:szCs w:val="18"/>
                <w:color w:val="231F20"/>
                <w:w w:val="99"/>
              </w:rPr>
              <w:t>335</w:t>
            </w:r>
          </w:p>
        </w:tc>
        <w:tc>
          <w:tcPr>
            <w:tcW w:w="1100" w:type="dxa"/>
            <w:vAlign w:val="bottom"/>
            <w:gridSpan w:val="2"/>
          </w:tcPr>
          <w:p>
            <w:pPr>
              <w:jc w:val="center"/>
              <w:spacing w:after="0"/>
              <w:rPr>
                <w:sz w:val="20"/>
                <w:szCs w:val="20"/>
                <w:color w:val="auto"/>
              </w:rPr>
            </w:pPr>
            <w:r>
              <w:rPr>
                <w:rFonts w:ascii="Arial" w:cs="Arial" w:eastAsia="Arial" w:hAnsi="Arial"/>
                <w:sz w:val="18"/>
                <w:szCs w:val="18"/>
                <w:color w:val="231F20"/>
                <w:w w:val="99"/>
              </w:rPr>
              <w:t>25</w:t>
            </w:r>
          </w:p>
        </w:tc>
        <w:tc>
          <w:tcPr>
            <w:tcW w:w="1000" w:type="dxa"/>
            <w:vAlign w:val="bottom"/>
            <w:gridSpan w:val="2"/>
          </w:tcPr>
          <w:p>
            <w:pPr>
              <w:jc w:val="center"/>
              <w:spacing w:after="0"/>
              <w:rPr>
                <w:sz w:val="20"/>
                <w:szCs w:val="20"/>
                <w:color w:val="auto"/>
              </w:rPr>
            </w:pPr>
            <w:r>
              <w:rPr>
                <w:rFonts w:ascii="Arial" w:cs="Arial" w:eastAsia="Arial" w:hAnsi="Arial"/>
                <w:sz w:val="18"/>
                <w:szCs w:val="18"/>
                <w:color w:val="231F20"/>
                <w:w w:val="99"/>
              </w:rPr>
              <w:t>10</w:t>
            </w:r>
          </w:p>
        </w:tc>
        <w:tc>
          <w:tcPr>
            <w:tcW w:w="820" w:type="dxa"/>
            <w:vAlign w:val="bottom"/>
            <w:gridSpan w:val="2"/>
          </w:tcPr>
          <w:p>
            <w:pPr>
              <w:jc w:val="center"/>
              <w:spacing w:after="0"/>
              <w:rPr>
                <w:sz w:val="20"/>
                <w:szCs w:val="20"/>
                <w:color w:val="auto"/>
              </w:rPr>
            </w:pPr>
            <w:r>
              <w:rPr>
                <w:rFonts w:ascii="Arial" w:cs="Arial" w:eastAsia="Arial" w:hAnsi="Arial"/>
                <w:sz w:val="18"/>
                <w:szCs w:val="18"/>
                <w:color w:val="231F20"/>
                <w:w w:val="99"/>
              </w:rPr>
              <w:t>370</w:t>
            </w:r>
          </w:p>
        </w:tc>
      </w:tr>
      <w:tr>
        <w:trPr>
          <w:trHeight w:val="239"/>
        </w:trPr>
        <w:tc>
          <w:tcPr>
            <w:tcW w:w="2800" w:type="dxa"/>
            <w:vAlign w:val="bottom"/>
          </w:tcPr>
          <w:p>
            <w:pPr>
              <w:spacing w:after="0" w:line="239" w:lineRule="exact"/>
              <w:rPr>
                <w:sz w:val="20"/>
                <w:szCs w:val="20"/>
                <w:color w:val="auto"/>
              </w:rPr>
            </w:pPr>
            <w:r>
              <w:rPr>
                <w:rFonts w:ascii="Arial" w:cs="Arial" w:eastAsia="Arial" w:hAnsi="Arial"/>
                <w:sz w:val="18"/>
                <w:szCs w:val="18"/>
                <w:color w:val="231F20"/>
                <w:w w:val="99"/>
              </w:rPr>
              <w:t>Power Plants</w:t>
            </w:r>
            <w:r>
              <w:rPr>
                <w:rFonts w:ascii="Arial" w:cs="Arial" w:eastAsia="Arial" w:hAnsi="Arial"/>
                <w:sz w:val="23"/>
                <w:szCs w:val="23"/>
                <w:color w:val="231F20"/>
                <w:w w:val="99"/>
                <w:vertAlign w:val="superscript"/>
              </w:rPr>
              <w:t>(a)</w:t>
            </w:r>
            <w:r>
              <w:rPr>
                <w:rFonts w:ascii="Arial" w:cs="Arial" w:eastAsia="Arial" w:hAnsi="Arial"/>
                <w:sz w:val="18"/>
                <w:szCs w:val="18"/>
                <w:color w:val="231F20"/>
                <w:w w:val="99"/>
              </w:rPr>
              <w:t xml:space="preserve">  . . . . . . . . . . . . . . .</w:t>
            </w:r>
          </w:p>
        </w:tc>
        <w:tc>
          <w:tcPr>
            <w:tcW w:w="740" w:type="dxa"/>
            <w:vAlign w:val="bottom"/>
          </w:tcPr>
          <w:p>
            <w:pPr>
              <w:jc w:val="center"/>
              <w:spacing w:after="0"/>
              <w:rPr>
                <w:sz w:val="20"/>
                <w:szCs w:val="20"/>
                <w:color w:val="auto"/>
              </w:rPr>
            </w:pPr>
            <w:r>
              <w:rPr>
                <w:rFonts w:ascii="Arial" w:cs="Arial" w:eastAsia="Arial" w:hAnsi="Arial"/>
                <w:sz w:val="18"/>
                <w:szCs w:val="18"/>
                <w:color w:val="231F20"/>
                <w:w w:val="99"/>
              </w:rPr>
              <w:t>11</w:t>
            </w:r>
          </w:p>
        </w:tc>
        <w:tc>
          <w:tcPr>
            <w:tcW w:w="860" w:type="dxa"/>
            <w:vAlign w:val="bottom"/>
          </w:tcPr>
          <w:p>
            <w:pPr>
              <w:jc w:val="center"/>
              <w:spacing w:after="0"/>
              <w:rPr>
                <w:sz w:val="20"/>
                <w:szCs w:val="20"/>
                <w:color w:val="auto"/>
              </w:rPr>
            </w:pPr>
            <w:r>
              <w:rPr>
                <w:rFonts w:ascii="Arial" w:cs="Arial" w:eastAsia="Arial" w:hAnsi="Arial"/>
                <w:sz w:val="18"/>
                <w:szCs w:val="18"/>
                <w:color w:val="231F20"/>
                <w:w w:val="99"/>
              </w:rPr>
              <w:t>MW</w:t>
            </w:r>
          </w:p>
        </w:tc>
        <w:tc>
          <w:tcPr>
            <w:tcW w:w="1800" w:type="dxa"/>
            <w:vAlign w:val="bottom"/>
          </w:tcPr>
          <w:p>
            <w:pPr>
              <w:jc w:val="center"/>
              <w:spacing w:after="0"/>
              <w:rPr>
                <w:sz w:val="20"/>
                <w:szCs w:val="20"/>
                <w:color w:val="auto"/>
              </w:rPr>
            </w:pPr>
            <w:r>
              <w:rPr>
                <w:rFonts w:ascii="Arial" w:cs="Arial" w:eastAsia="Arial" w:hAnsi="Arial"/>
                <w:sz w:val="18"/>
                <w:szCs w:val="18"/>
                <w:color w:val="231F20"/>
                <w:w w:val="99"/>
              </w:rPr>
              <w:t>855</w:t>
            </w:r>
          </w:p>
        </w:tc>
        <w:tc>
          <w:tcPr>
            <w:tcW w:w="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820" w:type="dxa"/>
            <w:vAlign w:val="bottom"/>
            <w:gridSpan w:val="2"/>
          </w:tcPr>
          <w:p>
            <w:pPr>
              <w:jc w:val="center"/>
              <w:spacing w:after="0"/>
              <w:rPr>
                <w:sz w:val="20"/>
                <w:szCs w:val="20"/>
                <w:color w:val="auto"/>
              </w:rPr>
            </w:pPr>
            <w:r>
              <w:rPr>
                <w:rFonts w:ascii="Arial" w:cs="Arial" w:eastAsia="Arial" w:hAnsi="Arial"/>
                <w:sz w:val="18"/>
                <w:szCs w:val="18"/>
                <w:color w:val="231F20"/>
                <w:w w:val="99"/>
              </w:rPr>
              <w:t>855</w:t>
            </w:r>
          </w:p>
        </w:tc>
      </w:tr>
      <w:tr>
        <w:trPr>
          <w:trHeight w:val="201"/>
        </w:trPr>
        <w:tc>
          <w:tcPr>
            <w:tcW w:w="2800" w:type="dxa"/>
            <w:vAlign w:val="bottom"/>
          </w:tcPr>
          <w:p>
            <w:pPr>
              <w:spacing w:after="0" w:line="201" w:lineRule="exact"/>
              <w:rPr>
                <w:sz w:val="20"/>
                <w:szCs w:val="20"/>
                <w:color w:val="auto"/>
              </w:rPr>
            </w:pPr>
            <w:r>
              <w:rPr>
                <w:rFonts w:ascii="Arial" w:cs="Arial" w:eastAsia="Arial" w:hAnsi="Arial"/>
                <w:sz w:val="18"/>
                <w:szCs w:val="18"/>
                <w:color w:val="231F20"/>
              </w:rPr>
              <w:t>Steam Generators/Plants  . . . . . .</w:t>
            </w: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231F20"/>
                <w:w w:val="99"/>
              </w:rPr>
              <w:t>221</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231F20"/>
                <w:w w:val="99"/>
              </w:rPr>
              <w:t>MBbl/d</w:t>
            </w:r>
          </w:p>
        </w:tc>
        <w:tc>
          <w:tcPr>
            <w:tcW w:w="1800" w:type="dxa"/>
            <w:vAlign w:val="bottom"/>
          </w:tcPr>
          <w:p>
            <w:pPr>
              <w:jc w:val="center"/>
              <w:spacing w:after="0" w:line="201" w:lineRule="exact"/>
              <w:rPr>
                <w:sz w:val="20"/>
                <w:szCs w:val="20"/>
                <w:color w:val="auto"/>
              </w:rPr>
            </w:pPr>
            <w:r>
              <w:rPr>
                <w:rFonts w:ascii="Arial" w:cs="Arial" w:eastAsia="Arial" w:hAnsi="Arial"/>
                <w:sz w:val="18"/>
                <w:szCs w:val="18"/>
                <w:color w:val="231F20"/>
                <w:w w:val="99"/>
              </w:rPr>
              <w:t>681</w:t>
            </w:r>
          </w:p>
        </w:tc>
        <w:tc>
          <w:tcPr>
            <w:tcW w:w="4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231F20"/>
                <w:w w:val="99"/>
              </w:rPr>
              <w:t>—</w:t>
            </w:r>
          </w:p>
        </w:tc>
        <w:tc>
          <w:tcPr>
            <w:tcW w:w="4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231F20"/>
                <w:w w:val="99"/>
              </w:rPr>
              <w:t>—</w:t>
            </w:r>
          </w:p>
        </w:tc>
        <w:tc>
          <w:tcPr>
            <w:tcW w:w="820" w:type="dxa"/>
            <w:vAlign w:val="bottom"/>
            <w:gridSpan w:val="2"/>
          </w:tcPr>
          <w:p>
            <w:pPr>
              <w:jc w:val="center"/>
              <w:spacing w:after="0" w:line="201" w:lineRule="exact"/>
              <w:rPr>
                <w:sz w:val="20"/>
                <w:szCs w:val="20"/>
                <w:color w:val="auto"/>
              </w:rPr>
            </w:pPr>
            <w:r>
              <w:rPr>
                <w:rFonts w:ascii="Arial" w:cs="Arial" w:eastAsia="Arial" w:hAnsi="Arial"/>
                <w:sz w:val="18"/>
                <w:szCs w:val="18"/>
                <w:color w:val="231F20"/>
                <w:w w:val="99"/>
              </w:rPr>
              <w:t>681</w:t>
            </w:r>
          </w:p>
        </w:tc>
      </w:tr>
      <w:tr>
        <w:trPr>
          <w:trHeight w:val="220"/>
        </w:trPr>
        <w:tc>
          <w:tcPr>
            <w:tcW w:w="2800" w:type="dxa"/>
            <w:vAlign w:val="bottom"/>
          </w:tcPr>
          <w:p>
            <w:pPr>
              <w:spacing w:after="0"/>
              <w:rPr>
                <w:sz w:val="20"/>
                <w:szCs w:val="20"/>
                <w:color w:val="auto"/>
              </w:rPr>
            </w:pPr>
            <w:r>
              <w:rPr>
                <w:rFonts w:ascii="Arial" w:cs="Arial" w:eastAsia="Arial" w:hAnsi="Arial"/>
                <w:sz w:val="18"/>
                <w:szCs w:val="18"/>
                <w:color w:val="231F20"/>
              </w:rPr>
              <w:t>Compressors  . . . . . . . . . . . . . . . .</w:t>
            </w:r>
          </w:p>
        </w:tc>
        <w:tc>
          <w:tcPr>
            <w:tcW w:w="740" w:type="dxa"/>
            <w:vAlign w:val="bottom"/>
          </w:tcPr>
          <w:p>
            <w:pPr>
              <w:jc w:val="center"/>
              <w:spacing w:after="0"/>
              <w:rPr>
                <w:sz w:val="20"/>
                <w:szCs w:val="20"/>
                <w:color w:val="auto"/>
              </w:rPr>
            </w:pPr>
            <w:r>
              <w:rPr>
                <w:rFonts w:ascii="Arial" w:cs="Arial" w:eastAsia="Arial" w:hAnsi="Arial"/>
                <w:sz w:val="18"/>
                <w:szCs w:val="18"/>
                <w:color w:val="231F20"/>
              </w:rPr>
              <w:t>1,372</w:t>
            </w:r>
          </w:p>
        </w:tc>
        <w:tc>
          <w:tcPr>
            <w:tcW w:w="860" w:type="dxa"/>
            <w:vAlign w:val="bottom"/>
          </w:tcPr>
          <w:p>
            <w:pPr>
              <w:jc w:val="center"/>
              <w:spacing w:after="0"/>
              <w:rPr>
                <w:sz w:val="20"/>
                <w:szCs w:val="20"/>
                <w:color w:val="auto"/>
              </w:rPr>
            </w:pPr>
            <w:r>
              <w:rPr>
                <w:rFonts w:ascii="Arial" w:cs="Arial" w:eastAsia="Arial" w:hAnsi="Arial"/>
                <w:sz w:val="18"/>
                <w:szCs w:val="18"/>
                <w:color w:val="231F20"/>
                <w:w w:val="99"/>
              </w:rPr>
              <w:t>MHp</w:t>
            </w:r>
          </w:p>
        </w:tc>
        <w:tc>
          <w:tcPr>
            <w:tcW w:w="1800" w:type="dxa"/>
            <w:vAlign w:val="bottom"/>
          </w:tcPr>
          <w:p>
            <w:pPr>
              <w:jc w:val="center"/>
              <w:spacing w:after="0"/>
              <w:rPr>
                <w:sz w:val="20"/>
                <w:szCs w:val="20"/>
                <w:color w:val="auto"/>
              </w:rPr>
            </w:pPr>
            <w:r>
              <w:rPr>
                <w:rFonts w:ascii="Arial" w:cs="Arial" w:eastAsia="Arial" w:hAnsi="Arial"/>
                <w:sz w:val="18"/>
                <w:szCs w:val="18"/>
                <w:color w:val="231F20"/>
                <w:w w:val="99"/>
              </w:rPr>
              <w:t>356</w:t>
            </w:r>
          </w:p>
        </w:tc>
        <w:tc>
          <w:tcPr>
            <w:tcW w:w="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231F20"/>
                <w:w w:val="99"/>
              </w:rPr>
              <w:t>31</w:t>
            </w:r>
          </w:p>
        </w:tc>
        <w:tc>
          <w:tcPr>
            <w:tcW w:w="820" w:type="dxa"/>
            <w:vAlign w:val="bottom"/>
            <w:gridSpan w:val="2"/>
          </w:tcPr>
          <w:p>
            <w:pPr>
              <w:jc w:val="center"/>
              <w:spacing w:after="0"/>
              <w:rPr>
                <w:sz w:val="20"/>
                <w:szCs w:val="20"/>
                <w:color w:val="auto"/>
              </w:rPr>
            </w:pPr>
            <w:r>
              <w:rPr>
                <w:rFonts w:ascii="Arial" w:cs="Arial" w:eastAsia="Arial" w:hAnsi="Arial"/>
                <w:sz w:val="18"/>
                <w:szCs w:val="18"/>
                <w:color w:val="231F20"/>
                <w:w w:val="99"/>
              </w:rPr>
              <w:t>387</w:t>
            </w:r>
          </w:p>
        </w:tc>
      </w:tr>
      <w:tr>
        <w:trPr>
          <w:trHeight w:val="220"/>
        </w:trPr>
        <w:tc>
          <w:tcPr>
            <w:tcW w:w="2800" w:type="dxa"/>
            <w:vAlign w:val="bottom"/>
          </w:tcPr>
          <w:p>
            <w:pPr>
              <w:spacing w:after="0"/>
              <w:rPr>
                <w:sz w:val="20"/>
                <w:szCs w:val="20"/>
                <w:color w:val="auto"/>
              </w:rPr>
            </w:pPr>
            <w:r>
              <w:rPr>
                <w:rFonts w:ascii="Arial" w:cs="Arial" w:eastAsia="Arial" w:hAnsi="Arial"/>
                <w:sz w:val="18"/>
                <w:szCs w:val="18"/>
                <w:color w:val="231F20"/>
              </w:rPr>
              <w:t>Water Management Systems . . .</w:t>
            </w:r>
          </w:p>
        </w:tc>
        <w:tc>
          <w:tcPr>
            <w:tcW w:w="7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231F20"/>
              </w:rPr>
              <w:t>MBw/d</w:t>
            </w:r>
          </w:p>
        </w:tc>
        <w:tc>
          <w:tcPr>
            <w:tcW w:w="1800" w:type="dxa"/>
            <w:vAlign w:val="bottom"/>
          </w:tcPr>
          <w:p>
            <w:pPr>
              <w:jc w:val="center"/>
              <w:spacing w:after="0"/>
              <w:rPr>
                <w:sz w:val="20"/>
                <w:szCs w:val="20"/>
                <w:color w:val="auto"/>
              </w:rPr>
            </w:pPr>
            <w:r>
              <w:rPr>
                <w:rFonts w:ascii="Arial" w:cs="Arial" w:eastAsia="Arial" w:hAnsi="Arial"/>
                <w:sz w:val="18"/>
                <w:szCs w:val="18"/>
                <w:color w:val="231F20"/>
                <w:w w:val="97"/>
              </w:rPr>
              <w:t>3,922</w:t>
            </w:r>
          </w:p>
        </w:tc>
        <w:tc>
          <w:tcPr>
            <w:tcW w:w="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231F20"/>
                <w:w w:val="99"/>
              </w:rPr>
              <w:t>420</w:t>
            </w:r>
          </w:p>
        </w:tc>
        <w:tc>
          <w:tcPr>
            <w:tcW w:w="820" w:type="dxa"/>
            <w:vAlign w:val="bottom"/>
            <w:gridSpan w:val="2"/>
          </w:tcPr>
          <w:p>
            <w:pPr>
              <w:jc w:val="center"/>
              <w:spacing w:after="0"/>
              <w:rPr>
                <w:sz w:val="20"/>
                <w:szCs w:val="20"/>
                <w:color w:val="auto"/>
              </w:rPr>
            </w:pPr>
            <w:r>
              <w:rPr>
                <w:rFonts w:ascii="Arial" w:cs="Arial" w:eastAsia="Arial" w:hAnsi="Arial"/>
                <w:sz w:val="18"/>
                <w:szCs w:val="18"/>
                <w:color w:val="231F20"/>
              </w:rPr>
              <w:t>4,342</w:t>
            </w:r>
          </w:p>
        </w:tc>
      </w:tr>
      <w:tr>
        <w:trPr>
          <w:trHeight w:val="220"/>
        </w:trPr>
        <w:tc>
          <w:tcPr>
            <w:tcW w:w="2800" w:type="dxa"/>
            <w:vAlign w:val="bottom"/>
          </w:tcPr>
          <w:p>
            <w:pPr>
              <w:spacing w:after="0"/>
              <w:rPr>
                <w:sz w:val="20"/>
                <w:szCs w:val="20"/>
                <w:color w:val="auto"/>
              </w:rPr>
            </w:pPr>
            <w:r>
              <w:rPr>
                <w:rFonts w:ascii="Arial" w:cs="Arial" w:eastAsia="Arial" w:hAnsi="Arial"/>
                <w:sz w:val="18"/>
                <w:szCs w:val="18"/>
                <w:color w:val="231F20"/>
              </w:rPr>
              <w:t>Water Softeners . . . . . . . . . . . . . .</w:t>
            </w:r>
          </w:p>
        </w:tc>
        <w:tc>
          <w:tcPr>
            <w:tcW w:w="740" w:type="dxa"/>
            <w:vAlign w:val="bottom"/>
          </w:tcPr>
          <w:p>
            <w:pPr>
              <w:jc w:val="center"/>
              <w:spacing w:after="0"/>
              <w:rPr>
                <w:sz w:val="20"/>
                <w:szCs w:val="20"/>
                <w:color w:val="auto"/>
              </w:rPr>
            </w:pPr>
            <w:r>
              <w:rPr>
                <w:rFonts w:ascii="Arial" w:cs="Arial" w:eastAsia="Arial" w:hAnsi="Arial"/>
                <w:sz w:val="18"/>
                <w:szCs w:val="18"/>
                <w:color w:val="231F20"/>
                <w:w w:val="99"/>
              </w:rPr>
              <w:t>137</w:t>
            </w:r>
          </w:p>
        </w:tc>
        <w:tc>
          <w:tcPr>
            <w:tcW w:w="860" w:type="dxa"/>
            <w:vAlign w:val="bottom"/>
          </w:tcPr>
          <w:p>
            <w:pPr>
              <w:jc w:val="center"/>
              <w:spacing w:after="0"/>
              <w:rPr>
                <w:sz w:val="20"/>
                <w:szCs w:val="20"/>
                <w:color w:val="auto"/>
              </w:rPr>
            </w:pPr>
            <w:r>
              <w:rPr>
                <w:rFonts w:ascii="Arial" w:cs="Arial" w:eastAsia="Arial" w:hAnsi="Arial"/>
                <w:sz w:val="18"/>
                <w:szCs w:val="18"/>
                <w:color w:val="231F20"/>
              </w:rPr>
              <w:t>MBw/d</w:t>
            </w:r>
          </w:p>
        </w:tc>
        <w:tc>
          <w:tcPr>
            <w:tcW w:w="1800" w:type="dxa"/>
            <w:vAlign w:val="bottom"/>
          </w:tcPr>
          <w:p>
            <w:pPr>
              <w:jc w:val="center"/>
              <w:spacing w:after="0"/>
              <w:rPr>
                <w:sz w:val="20"/>
                <w:szCs w:val="20"/>
                <w:color w:val="auto"/>
              </w:rPr>
            </w:pPr>
            <w:r>
              <w:rPr>
                <w:rFonts w:ascii="Arial" w:cs="Arial" w:eastAsia="Arial" w:hAnsi="Arial"/>
                <w:sz w:val="18"/>
                <w:szCs w:val="18"/>
                <w:color w:val="231F20"/>
                <w:w w:val="99"/>
              </w:rPr>
              <w:t>400</w:t>
            </w:r>
          </w:p>
        </w:tc>
        <w:tc>
          <w:tcPr>
            <w:tcW w:w="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820" w:type="dxa"/>
            <w:vAlign w:val="bottom"/>
            <w:gridSpan w:val="2"/>
          </w:tcPr>
          <w:p>
            <w:pPr>
              <w:jc w:val="center"/>
              <w:spacing w:after="0"/>
              <w:rPr>
                <w:sz w:val="20"/>
                <w:szCs w:val="20"/>
                <w:color w:val="auto"/>
              </w:rPr>
            </w:pPr>
            <w:r>
              <w:rPr>
                <w:rFonts w:ascii="Arial" w:cs="Arial" w:eastAsia="Arial" w:hAnsi="Arial"/>
                <w:sz w:val="18"/>
                <w:szCs w:val="18"/>
                <w:color w:val="231F20"/>
                <w:w w:val="99"/>
              </w:rPr>
              <w:t>400</w:t>
            </w:r>
          </w:p>
        </w:tc>
      </w:tr>
      <w:tr>
        <w:trPr>
          <w:trHeight w:val="220"/>
        </w:trPr>
        <w:tc>
          <w:tcPr>
            <w:tcW w:w="2800" w:type="dxa"/>
            <w:vAlign w:val="bottom"/>
          </w:tcPr>
          <w:p>
            <w:pPr>
              <w:spacing w:after="0"/>
              <w:rPr>
                <w:sz w:val="20"/>
                <w:szCs w:val="20"/>
                <w:color w:val="auto"/>
              </w:rPr>
            </w:pPr>
            <w:r>
              <w:rPr>
                <w:rFonts w:ascii="Arial" w:cs="Arial" w:eastAsia="Arial" w:hAnsi="Arial"/>
                <w:sz w:val="18"/>
                <w:szCs w:val="18"/>
                <w:color w:val="231F20"/>
              </w:rPr>
              <w:t>Tank Storage . . . . . . . . . . . . . . . .</w:t>
            </w:r>
          </w:p>
        </w:tc>
        <w:tc>
          <w:tcPr>
            <w:tcW w:w="7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231F20"/>
                <w:w w:val="99"/>
              </w:rPr>
              <w:t>MBbls</w:t>
            </w:r>
          </w:p>
        </w:tc>
        <w:tc>
          <w:tcPr>
            <w:tcW w:w="1800" w:type="dxa"/>
            <w:vAlign w:val="bottom"/>
          </w:tcPr>
          <w:p>
            <w:pPr>
              <w:jc w:val="center"/>
              <w:spacing w:after="0"/>
              <w:rPr>
                <w:sz w:val="20"/>
                <w:szCs w:val="20"/>
                <w:color w:val="auto"/>
              </w:rPr>
            </w:pPr>
            <w:r>
              <w:rPr>
                <w:rFonts w:ascii="Arial" w:cs="Arial" w:eastAsia="Arial" w:hAnsi="Arial"/>
                <w:sz w:val="18"/>
                <w:szCs w:val="18"/>
                <w:color w:val="231F20"/>
                <w:w w:val="97"/>
              </w:rPr>
              <w:t>3,202</w:t>
            </w:r>
          </w:p>
        </w:tc>
        <w:tc>
          <w:tcPr>
            <w:tcW w:w="1100" w:type="dxa"/>
            <w:vAlign w:val="bottom"/>
            <w:gridSpan w:val="2"/>
          </w:tcPr>
          <w:p>
            <w:pPr>
              <w:jc w:val="center"/>
              <w:spacing w:after="0"/>
              <w:rPr>
                <w:sz w:val="20"/>
                <w:szCs w:val="20"/>
                <w:color w:val="auto"/>
              </w:rPr>
            </w:pPr>
            <w:r>
              <w:rPr>
                <w:rFonts w:ascii="Arial" w:cs="Arial" w:eastAsia="Arial" w:hAnsi="Arial"/>
                <w:sz w:val="18"/>
                <w:szCs w:val="18"/>
                <w:color w:val="231F20"/>
                <w:w w:val="99"/>
              </w:rPr>
              <w:t>660</w:t>
            </w:r>
          </w:p>
        </w:tc>
        <w:tc>
          <w:tcPr>
            <w:tcW w:w="1000" w:type="dxa"/>
            <w:vAlign w:val="bottom"/>
            <w:gridSpan w:val="2"/>
          </w:tcPr>
          <w:p>
            <w:pPr>
              <w:jc w:val="center"/>
              <w:spacing w:after="0"/>
              <w:rPr>
                <w:sz w:val="20"/>
                <w:szCs w:val="20"/>
                <w:color w:val="auto"/>
              </w:rPr>
            </w:pPr>
            <w:r>
              <w:rPr>
                <w:rFonts w:ascii="Arial" w:cs="Arial" w:eastAsia="Arial" w:hAnsi="Arial"/>
                <w:sz w:val="18"/>
                <w:szCs w:val="18"/>
                <w:color w:val="231F20"/>
                <w:w w:val="99"/>
              </w:rPr>
              <w:t>163</w:t>
            </w:r>
          </w:p>
        </w:tc>
        <w:tc>
          <w:tcPr>
            <w:tcW w:w="820" w:type="dxa"/>
            <w:vAlign w:val="bottom"/>
            <w:gridSpan w:val="2"/>
          </w:tcPr>
          <w:p>
            <w:pPr>
              <w:jc w:val="center"/>
              <w:spacing w:after="0"/>
              <w:rPr>
                <w:sz w:val="20"/>
                <w:szCs w:val="20"/>
                <w:color w:val="auto"/>
              </w:rPr>
            </w:pPr>
            <w:r>
              <w:rPr>
                <w:rFonts w:ascii="Arial" w:cs="Arial" w:eastAsia="Arial" w:hAnsi="Arial"/>
                <w:sz w:val="18"/>
                <w:szCs w:val="18"/>
                <w:color w:val="231F20"/>
              </w:rPr>
              <w:t>4,025</w:t>
            </w:r>
          </w:p>
        </w:tc>
      </w:tr>
      <w:tr>
        <w:trPr>
          <w:trHeight w:val="220"/>
        </w:trPr>
        <w:tc>
          <w:tcPr>
            <w:tcW w:w="2800" w:type="dxa"/>
            <w:vAlign w:val="bottom"/>
          </w:tcPr>
          <w:p>
            <w:pPr>
              <w:spacing w:after="0"/>
              <w:rPr>
                <w:sz w:val="20"/>
                <w:szCs w:val="20"/>
                <w:color w:val="auto"/>
              </w:rPr>
            </w:pPr>
            <w:r>
              <w:rPr>
                <w:rFonts w:ascii="Arial" w:cs="Arial" w:eastAsia="Arial" w:hAnsi="Arial"/>
                <w:sz w:val="18"/>
                <w:szCs w:val="18"/>
                <w:color w:val="231F20"/>
              </w:rPr>
              <w:t>Oil and NGL Storage . . . . . . . . . .</w:t>
            </w:r>
          </w:p>
        </w:tc>
        <w:tc>
          <w:tcPr>
            <w:tcW w:w="7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231F20"/>
                <w:w w:val="99"/>
              </w:rPr>
              <w:t>MBbls</w:t>
            </w:r>
          </w:p>
        </w:tc>
        <w:tc>
          <w:tcPr>
            <w:tcW w:w="1800" w:type="dxa"/>
            <w:vAlign w:val="bottom"/>
          </w:tcPr>
          <w:p>
            <w:pPr>
              <w:jc w:val="center"/>
              <w:spacing w:after="0"/>
              <w:rPr>
                <w:sz w:val="20"/>
                <w:szCs w:val="20"/>
                <w:color w:val="auto"/>
              </w:rPr>
            </w:pPr>
            <w:r>
              <w:rPr>
                <w:rFonts w:ascii="Arial" w:cs="Arial" w:eastAsia="Arial" w:hAnsi="Arial"/>
                <w:sz w:val="18"/>
                <w:szCs w:val="18"/>
                <w:color w:val="231F20"/>
                <w:w w:val="99"/>
              </w:rPr>
              <w:t>799</w:t>
            </w:r>
          </w:p>
        </w:tc>
        <w:tc>
          <w:tcPr>
            <w:tcW w:w="1100" w:type="dxa"/>
            <w:vAlign w:val="bottom"/>
            <w:gridSpan w:val="2"/>
          </w:tcPr>
          <w:p>
            <w:pPr>
              <w:jc w:val="center"/>
              <w:spacing w:after="0"/>
              <w:rPr>
                <w:sz w:val="20"/>
                <w:szCs w:val="20"/>
                <w:color w:val="auto"/>
              </w:rPr>
            </w:pPr>
            <w:r>
              <w:rPr>
                <w:rFonts w:ascii="Arial" w:cs="Arial" w:eastAsia="Arial" w:hAnsi="Arial"/>
                <w:sz w:val="18"/>
                <w:szCs w:val="18"/>
                <w:color w:val="231F20"/>
                <w:w w:val="99"/>
              </w:rPr>
              <w:t>4</w:t>
            </w:r>
          </w:p>
        </w:tc>
        <w:tc>
          <w:tcPr>
            <w:tcW w:w="1000" w:type="dxa"/>
            <w:vAlign w:val="bottom"/>
            <w:gridSpan w:val="2"/>
          </w:tcPr>
          <w:p>
            <w:pPr>
              <w:jc w:val="center"/>
              <w:spacing w:after="0"/>
              <w:rPr>
                <w:sz w:val="20"/>
                <w:szCs w:val="20"/>
                <w:color w:val="auto"/>
              </w:rPr>
            </w:pPr>
            <w:r>
              <w:rPr>
                <w:rFonts w:ascii="Arial" w:cs="Arial" w:eastAsia="Arial" w:hAnsi="Arial"/>
                <w:sz w:val="18"/>
                <w:szCs w:val="18"/>
                <w:color w:val="231F20"/>
                <w:w w:val="99"/>
              </w:rPr>
              <w:t>46</w:t>
            </w:r>
          </w:p>
        </w:tc>
        <w:tc>
          <w:tcPr>
            <w:tcW w:w="820" w:type="dxa"/>
            <w:vAlign w:val="bottom"/>
            <w:gridSpan w:val="2"/>
          </w:tcPr>
          <w:p>
            <w:pPr>
              <w:jc w:val="center"/>
              <w:spacing w:after="0"/>
              <w:rPr>
                <w:sz w:val="20"/>
                <w:szCs w:val="20"/>
                <w:color w:val="auto"/>
              </w:rPr>
            </w:pPr>
            <w:r>
              <w:rPr>
                <w:rFonts w:ascii="Arial" w:cs="Arial" w:eastAsia="Arial" w:hAnsi="Arial"/>
                <w:sz w:val="18"/>
                <w:szCs w:val="18"/>
                <w:color w:val="231F20"/>
                <w:w w:val="99"/>
              </w:rPr>
              <w:t>849</w:t>
            </w:r>
          </w:p>
        </w:tc>
      </w:tr>
      <w:tr>
        <w:trPr>
          <w:trHeight w:val="220"/>
        </w:trPr>
        <w:tc>
          <w:tcPr>
            <w:tcW w:w="2800" w:type="dxa"/>
            <w:vAlign w:val="bottom"/>
          </w:tcPr>
          <w:p>
            <w:pPr>
              <w:spacing w:after="0"/>
              <w:rPr>
                <w:sz w:val="20"/>
                <w:szCs w:val="20"/>
                <w:color w:val="auto"/>
              </w:rPr>
            </w:pPr>
            <w:r>
              <w:rPr>
                <w:rFonts w:ascii="Arial" w:cs="Arial" w:eastAsia="Arial" w:hAnsi="Arial"/>
                <w:sz w:val="18"/>
                <w:szCs w:val="18"/>
                <w:color w:val="231F20"/>
              </w:rPr>
              <w:t>Carbon capture equipment . . . . .</w:t>
            </w:r>
          </w:p>
        </w:tc>
        <w:tc>
          <w:tcPr>
            <w:tcW w:w="740" w:type="dxa"/>
            <w:vAlign w:val="bottom"/>
          </w:tcPr>
          <w:p>
            <w:pPr>
              <w:jc w:val="center"/>
              <w:spacing w:after="0"/>
              <w:rPr>
                <w:sz w:val="20"/>
                <w:szCs w:val="20"/>
                <w:color w:val="auto"/>
              </w:rPr>
            </w:pPr>
            <w:r>
              <w:rPr>
                <w:rFonts w:ascii="Arial" w:cs="Arial" w:eastAsia="Arial" w:hAnsi="Arial"/>
                <w:sz w:val="18"/>
                <w:szCs w:val="18"/>
                <w:color w:val="231F20"/>
                <w:w w:val="99"/>
              </w:rPr>
              <w:t>1</w:t>
            </w:r>
          </w:p>
        </w:tc>
        <w:tc>
          <w:tcPr>
            <w:tcW w:w="860" w:type="dxa"/>
            <w:vAlign w:val="bottom"/>
          </w:tcPr>
          <w:p>
            <w:pPr>
              <w:jc w:val="center"/>
              <w:spacing w:after="0"/>
              <w:rPr>
                <w:sz w:val="20"/>
                <w:szCs w:val="20"/>
                <w:color w:val="auto"/>
              </w:rPr>
            </w:pPr>
            <w:r>
              <w:rPr>
                <w:rFonts w:ascii="Arial" w:cs="Arial" w:eastAsia="Arial" w:hAnsi="Arial"/>
                <w:sz w:val="18"/>
                <w:szCs w:val="18"/>
                <w:color w:val="231F20"/>
                <w:w w:val="99"/>
              </w:rPr>
              <w:t>KMTPA</w:t>
            </w:r>
          </w:p>
        </w:tc>
        <w:tc>
          <w:tcPr>
            <w:tcW w:w="1800" w:type="dxa"/>
            <w:vAlign w:val="bottom"/>
          </w:tcPr>
          <w:p>
            <w:pPr>
              <w:jc w:val="center"/>
              <w:spacing w:after="0"/>
              <w:rPr>
                <w:sz w:val="20"/>
                <w:szCs w:val="20"/>
                <w:color w:val="auto"/>
              </w:rPr>
            </w:pPr>
            <w:r>
              <w:rPr>
                <w:rFonts w:ascii="Arial" w:cs="Arial" w:eastAsia="Arial" w:hAnsi="Arial"/>
                <w:sz w:val="18"/>
                <w:szCs w:val="18"/>
                <w:color w:val="231F20"/>
                <w:w w:val="99"/>
              </w:rPr>
              <w:t>100</w:t>
            </w:r>
          </w:p>
        </w:tc>
        <w:tc>
          <w:tcPr>
            <w:tcW w:w="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231F20"/>
                <w:w w:val="99"/>
              </w:rPr>
              <w:t>—</w:t>
            </w:r>
          </w:p>
        </w:tc>
        <w:tc>
          <w:tcPr>
            <w:tcW w:w="820" w:type="dxa"/>
            <w:vAlign w:val="bottom"/>
            <w:gridSpan w:val="2"/>
          </w:tcPr>
          <w:p>
            <w:pPr>
              <w:jc w:val="center"/>
              <w:spacing w:after="0"/>
              <w:rPr>
                <w:sz w:val="20"/>
                <w:szCs w:val="20"/>
                <w:color w:val="auto"/>
              </w:rPr>
            </w:pPr>
            <w:r>
              <w:rPr>
                <w:rFonts w:ascii="Arial" w:cs="Arial" w:eastAsia="Arial" w:hAnsi="Arial"/>
                <w:sz w:val="18"/>
                <w:szCs w:val="18"/>
                <w:color w:val="231F20"/>
                <w:w w:val="99"/>
              </w:rPr>
              <w:t>100</w:t>
            </w:r>
          </w:p>
        </w:tc>
      </w:tr>
      <w:tr>
        <w:trPr>
          <w:trHeight w:val="220"/>
        </w:trPr>
        <w:tc>
          <w:tcPr>
            <w:tcW w:w="2800" w:type="dxa"/>
            <w:vAlign w:val="bottom"/>
          </w:tcPr>
          <w:p>
            <w:pPr>
              <w:spacing w:after="0"/>
              <w:rPr>
                <w:sz w:val="20"/>
                <w:szCs w:val="20"/>
                <w:color w:val="auto"/>
              </w:rPr>
            </w:pPr>
            <w:r>
              <w:rPr>
                <w:rFonts w:ascii="Arial" w:cs="Arial" w:eastAsia="Arial" w:hAnsi="Arial"/>
                <w:sz w:val="18"/>
                <w:szCs w:val="18"/>
                <w:color w:val="231F20"/>
              </w:rPr>
              <w:t>Pipelines . . . . . . . . . . . . . . . . . . . .</w:t>
            </w:r>
          </w:p>
        </w:tc>
        <w:tc>
          <w:tcPr>
            <w:tcW w:w="7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231F20"/>
                <w:w w:val="99"/>
              </w:rPr>
              <w:t>Miles</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231F20"/>
              </w:rPr>
              <w:t>&gt;12,000</w:t>
            </w:r>
          </w:p>
        </w:tc>
      </w:tr>
    </w:tbl>
    <w:p>
      <w:pPr>
        <w:spacing w:after="0" w:line="138" w:lineRule="exact"/>
        <w:rPr>
          <w:sz w:val="20"/>
          <w:szCs w:val="20"/>
          <w:color w:val="auto"/>
        </w:rPr>
      </w:pPr>
    </w:p>
    <w:p>
      <w:pPr>
        <w:ind w:left="400" w:right="20" w:hanging="320"/>
        <w:spacing w:after="0" w:line="253" w:lineRule="auto"/>
        <w:tabs>
          <w:tab w:leader="none" w:pos="400" w:val="left"/>
        </w:tabs>
        <w:numPr>
          <w:ilvl w:val="0"/>
          <w:numId w:val="19"/>
        </w:numPr>
        <w:rPr>
          <w:rFonts w:ascii="Arial" w:cs="Arial" w:eastAsia="Arial" w:hAnsi="Arial"/>
          <w:sz w:val="16"/>
          <w:szCs w:val="16"/>
          <w:color w:val="231F20"/>
        </w:rPr>
      </w:pPr>
      <w:r>
        <w:rPr>
          <w:rFonts w:ascii="Arial" w:cs="Arial" w:eastAsia="Arial" w:hAnsi="Arial"/>
          <w:sz w:val="16"/>
          <w:szCs w:val="16"/>
          <w:color w:val="231F20"/>
        </w:rPr>
        <w:t>Includes 120 MW attributable to our 50% interest in the Midway Sunset Power Plant. Does not include the Long Beach Unit Power Plant described below or microturbines that generate limited power.</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26</w:t>
      </w:r>
    </w:p>
    <w:p>
      <w:pPr>
        <w:sectPr>
          <w:pgSz w:w="11880" w:h="15480" w:orient="portrait"/>
          <w:cols w:equalWidth="0" w:num="1">
            <w:col w:w="9120"/>
          </w:cols>
          <w:pgMar w:left="1380" w:top="1316" w:right="1380" w:bottom="655" w:gutter="0" w:footer="0" w:header="0"/>
          <w:type w:val="continuous"/>
        </w:sectPr>
      </w:pPr>
    </w:p>
    <w:bookmarkStart w:id="30" w:name="page31"/>
    <w:bookmarkEnd w:id="30"/>
    <w:p>
      <w:pPr>
        <w:spacing w:after="0"/>
        <w:rPr>
          <w:sz w:val="20"/>
          <w:szCs w:val="20"/>
          <w:color w:val="auto"/>
        </w:rPr>
      </w:pPr>
      <w:r>
        <w:rPr>
          <w:rFonts w:ascii="Arial" w:cs="Arial" w:eastAsia="Arial" w:hAnsi="Arial"/>
          <w:sz w:val="20"/>
          <w:szCs w:val="20"/>
          <w:b w:val="1"/>
          <w:bCs w:val="1"/>
          <w:i w:val="1"/>
          <w:iCs w:val="1"/>
          <w:color w:val="231F20"/>
        </w:rPr>
        <w:t>Power Generation Assets</w:t>
      </w:r>
    </w:p>
    <w:p>
      <w:pPr>
        <w:spacing w:after="0" w:line="25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We own and/or operate power generation facilities with a combined 855 MW of capacity. A material portion of the electrical output of these facilities is used in our oil and natural gas operations at nearby fields. Generating capacity that is not used in our operations is offered into the California Independent System Operator (CAISO) wholesale power market. We enter into resource adequacy capacity contracts with load-serving entities which are tasked with ensuring there is sufficient available generating capacity to support their forecasted customer energy demand. Our contracts for resource adequacy are at market prices and generally for a term that does not exceed twelve months. The actual electrical output of our power generating facilities varies over time based on operating conditions, pricing and other conditions. Our significant power generating facilities are described below.</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San Joaquin Basin</w:t>
      </w:r>
    </w:p>
    <w:p>
      <w:pPr>
        <w:spacing w:after="0" w:line="257" w:lineRule="exact"/>
        <w:rPr>
          <w:sz w:val="20"/>
          <w:szCs w:val="20"/>
          <w:color w:val="auto"/>
        </w:rPr>
      </w:pPr>
    </w:p>
    <w:p>
      <w:pPr>
        <w:ind w:firstLine="300"/>
        <w:spacing w:after="0" w:line="247" w:lineRule="auto"/>
        <w:rPr>
          <w:sz w:val="20"/>
          <w:szCs w:val="20"/>
          <w:color w:val="auto"/>
        </w:rPr>
      </w:pPr>
      <w:r>
        <w:rPr>
          <w:rFonts w:ascii="Arial" w:cs="Arial" w:eastAsia="Arial" w:hAnsi="Arial"/>
          <w:sz w:val="20"/>
          <w:szCs w:val="20"/>
          <w:color w:val="231F20"/>
        </w:rPr>
        <w:t>Elk Hills Power Plant – We own a 550 MW combined-cycle cogeneration power plant, located adjacent to the Elk Hills natural gas processing facility. The plant runs at varying levels based on power pricing and other market conditions.</w:t>
      </w:r>
    </w:p>
    <w:p>
      <w:pPr>
        <w:spacing w:after="0" w:line="250"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The Elk Hills power plant supplies electricity to Elk Hills field and the power needs of the field remain relatively constant throughout the year. Because the output of the plant varies, we expect approximately 25% to 60% of the electricity generated in 2026 will be used in our oil and natural gas operations. The remaining facility capacity is available to the resource adequacy market and is offered to the CAISO wholesale market.</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Midway Sunset Cogeneration Facilities</w:t>
      </w:r>
    </w:p>
    <w:p>
      <w:pPr>
        <w:spacing w:after="0" w:line="255" w:lineRule="exact"/>
        <w:rPr>
          <w:sz w:val="20"/>
          <w:szCs w:val="20"/>
          <w:color w:val="auto"/>
        </w:rPr>
      </w:pPr>
    </w:p>
    <w:p>
      <w:pPr>
        <w:ind w:left="600" w:right="300" w:hanging="300"/>
        <w:spacing w:after="0" w:line="249" w:lineRule="auto"/>
        <w:tabs>
          <w:tab w:leader="none" w:pos="600" w:val="left"/>
        </w:tabs>
        <w:numPr>
          <w:ilvl w:val="0"/>
          <w:numId w:val="20"/>
        </w:numPr>
        <w:rPr>
          <w:rFonts w:ascii="Arial" w:cs="Arial" w:eastAsia="Arial" w:hAnsi="Arial"/>
          <w:sz w:val="20"/>
          <w:szCs w:val="20"/>
          <w:color w:val="231F20"/>
        </w:rPr>
      </w:pPr>
      <w:r>
        <w:rPr>
          <w:rFonts w:ascii="Arial" w:cs="Arial" w:eastAsia="Arial" w:hAnsi="Arial"/>
          <w:sz w:val="20"/>
          <w:szCs w:val="20"/>
          <w:color w:val="231F20"/>
        </w:rPr>
        <w:t xml:space="preserve">We own a 50% interest in a 240 MW cogeneration power plant located in the Midway Sunset field in Kern County and the remaining 50% is held by San Joaquin Energy Company, a subsidiary of NRG Energy, Inc. Our investment in this joint venture is accounted for using the equity method of accounting as discussed in </w:t>
      </w:r>
      <w:r>
        <w:rPr>
          <w:rFonts w:ascii="Arial" w:cs="Arial" w:eastAsia="Arial" w:hAnsi="Arial"/>
          <w:sz w:val="20"/>
          <w:szCs w:val="20"/>
          <w:i w:val="1"/>
          <w:iCs w:val="1"/>
          <w:color w:val="231F20"/>
        </w:rPr>
        <w:t>Part II, Item 8 – Financial Statements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Supplementary Data, Note 4 Investments and Related Party Transactions. </w:t>
      </w:r>
      <w:r>
        <w:rPr>
          <w:rFonts w:ascii="Arial" w:cs="Arial" w:eastAsia="Arial" w:hAnsi="Arial"/>
          <w:sz w:val="20"/>
          <w:szCs w:val="20"/>
          <w:color w:val="231F20"/>
        </w:rPr>
        <w:t>The electricity</w:t>
      </w:r>
      <w:r>
        <w:rPr>
          <w:rFonts w:ascii="Arial" w:cs="Arial" w:eastAsia="Arial" w:hAnsi="Arial"/>
          <w:sz w:val="20"/>
          <w:szCs w:val="20"/>
          <w:i w:val="1"/>
          <w:iCs w:val="1"/>
          <w:color w:val="231F20"/>
        </w:rPr>
        <w:t xml:space="preserve"> </w:t>
      </w:r>
      <w:r>
        <w:rPr>
          <w:rFonts w:ascii="Arial" w:cs="Arial" w:eastAsia="Arial" w:hAnsi="Arial"/>
          <w:sz w:val="20"/>
          <w:szCs w:val="20"/>
          <w:color w:val="231F20"/>
        </w:rPr>
        <w:t>generated by this plant is sold to CAISO and the facility also participates in the resource adequacy capacity market.</w:t>
      </w:r>
    </w:p>
    <w:p>
      <w:pPr>
        <w:spacing w:after="0" w:line="9" w:lineRule="exact"/>
        <w:rPr>
          <w:rFonts w:ascii="Arial" w:cs="Arial" w:eastAsia="Arial" w:hAnsi="Arial"/>
          <w:sz w:val="20"/>
          <w:szCs w:val="20"/>
          <w:color w:val="231F20"/>
        </w:rPr>
      </w:pPr>
    </w:p>
    <w:p>
      <w:pPr>
        <w:ind w:left="600" w:hanging="300"/>
        <w:spacing w:after="0" w:line="249" w:lineRule="auto"/>
        <w:tabs>
          <w:tab w:leader="none" w:pos="600" w:val="left"/>
        </w:tabs>
        <w:numPr>
          <w:ilvl w:val="0"/>
          <w:numId w:val="20"/>
        </w:numPr>
        <w:rPr>
          <w:rFonts w:ascii="Arial" w:cs="Arial" w:eastAsia="Arial" w:hAnsi="Arial"/>
          <w:sz w:val="20"/>
          <w:szCs w:val="20"/>
          <w:color w:val="231F20"/>
        </w:rPr>
      </w:pPr>
      <w:r>
        <w:rPr>
          <w:rFonts w:ascii="Arial" w:cs="Arial" w:eastAsia="Arial" w:hAnsi="Arial"/>
          <w:sz w:val="20"/>
          <w:szCs w:val="20"/>
          <w:color w:val="231F20"/>
        </w:rPr>
        <w:t>Following the Berry Merger, we own three natural gas burning cogeneration plants, each located in the Midway Sunset field in Kern County, that produce electricity and steam. These include a 36 MW facility, an 18 MW facility, and a 5 MW facility. We use a portion of the electricity generated by these cogeneration facilities to support our oil and natural gas operations in the area. Excess electricity is either sold to a California public utility under a power purchase agreement that expires in November 2026 or offered to the CAISO and the resource adequacy capacity market.</w:t>
      </w:r>
    </w:p>
    <w:p>
      <w:pPr>
        <w:spacing w:after="0" w:line="250" w:lineRule="exact"/>
        <w:rPr>
          <w:sz w:val="20"/>
          <w:szCs w:val="20"/>
          <w:color w:val="auto"/>
        </w:rPr>
      </w:pPr>
    </w:p>
    <w:p>
      <w:pPr>
        <w:ind w:right="180" w:firstLine="300"/>
        <w:spacing w:after="0" w:line="245" w:lineRule="auto"/>
        <w:rPr>
          <w:sz w:val="20"/>
          <w:szCs w:val="20"/>
          <w:color w:val="auto"/>
        </w:rPr>
      </w:pPr>
      <w:r>
        <w:rPr>
          <w:rFonts w:ascii="Arial" w:cs="Arial" w:eastAsia="Arial" w:hAnsi="Arial"/>
          <w:sz w:val="20"/>
          <w:szCs w:val="20"/>
          <w:color w:val="231F20"/>
        </w:rPr>
        <w:t>Belridge Power Plant – We own a 62 MW cogeneration power plant located in the Belridge field in Kern County, California. The electricity generated by this plant is used in our operations.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Los Angeles Basin</w:t>
      </w:r>
    </w:p>
    <w:p>
      <w:pPr>
        <w:spacing w:after="0" w:line="257" w:lineRule="exact"/>
        <w:rPr>
          <w:sz w:val="20"/>
          <w:szCs w:val="20"/>
          <w:color w:val="auto"/>
        </w:rPr>
      </w:pPr>
    </w:p>
    <w:p>
      <w:pPr>
        <w:ind w:right="40" w:firstLine="300"/>
        <w:spacing w:after="0" w:line="246" w:lineRule="auto"/>
        <w:rPr>
          <w:sz w:val="20"/>
          <w:szCs w:val="20"/>
          <w:color w:val="auto"/>
        </w:rPr>
      </w:pPr>
      <w:r>
        <w:rPr>
          <w:rFonts w:ascii="Arial" w:cs="Arial" w:eastAsia="Arial" w:hAnsi="Arial"/>
          <w:sz w:val="20"/>
          <w:szCs w:val="20"/>
          <w:color w:val="231F20"/>
        </w:rPr>
        <w:t>Long Beach Unit Power Plant – We operate a 48 MW power generating facility that is owned by the Long Beach Unit in the Wilmington field. The electricity generated by this plant is used in our operations.</w:t>
      </w:r>
    </w:p>
    <w:p>
      <w:pPr>
        <w:spacing w:after="0" w:line="253" w:lineRule="exact"/>
        <w:rPr>
          <w:sz w:val="20"/>
          <w:szCs w:val="20"/>
          <w:color w:val="auto"/>
        </w:rPr>
      </w:pPr>
    </w:p>
    <w:p>
      <w:pPr>
        <w:ind w:right="360" w:firstLine="300"/>
        <w:spacing w:after="0" w:line="243" w:lineRule="auto"/>
        <w:rPr>
          <w:sz w:val="20"/>
          <w:szCs w:val="20"/>
          <w:color w:val="auto"/>
        </w:rPr>
      </w:pPr>
      <w:r>
        <w:rPr>
          <w:rFonts w:ascii="Arial" w:cs="Arial" w:eastAsia="Arial" w:hAnsi="Arial"/>
          <w:sz w:val="20"/>
          <w:szCs w:val="20"/>
          <w:color w:val="231F20"/>
        </w:rPr>
        <w:t>In addition, we own and/or operate a number of smaller gas-fired power plants that are primarily used to generate power for our oil and natural gas operations.</w:t>
      </w:r>
    </w:p>
    <w:p>
      <w:pPr>
        <w:sectPr>
          <w:pgSz w:w="11880" w:h="15480" w:orient="portrait"/>
          <w:cols w:equalWidth="0" w:num="1">
            <w:col w:w="9120"/>
          </w:cols>
          <w:pgMar w:left="1380" w:top="1312" w:right="1380" w:bottom="655"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27</w:t>
      </w:r>
    </w:p>
    <w:p>
      <w:pPr>
        <w:sectPr>
          <w:pgSz w:w="11880" w:h="15480" w:orient="portrait"/>
          <w:cols w:equalWidth="0" w:num="1">
            <w:col w:w="9120"/>
          </w:cols>
          <w:pgMar w:left="1380" w:top="1312" w:right="1380" w:bottom="655"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i w:val="1"/>
          <w:iCs w:val="1"/>
          <w:color w:val="231F20"/>
        </w:rPr>
        <w:t>Other Infrastructure Assets</w:t>
      </w:r>
    </w:p>
    <w:p>
      <w:pPr>
        <w:spacing w:after="0" w:line="207"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color w:val="231F20"/>
        </w:rPr>
        <w:t>Gas processing infrastructure used in our oil and gas segment includes the Elk Hills cryogenic gas plant with a capacity of 200 MMcf/d of inlet gas and one low temperature separation plant used as a backup facility.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 We own, control and operate water management and steam-generation infrastructure. We soften and self-supply water to generate steam, reducing our operating costs. This is integral to our oil and natural gas operations in the San Joaquin basin. Our tank storage capacity throughout California gives us flexibility for a period of time to store crude oil and NGLs, allowing us to continue production and avoid or delay any field shutdowns in the event of temporary power, pipeline or other shutdowns. Our pipelines are dedicated almost entirely to collecting our oil and natural gas production and are in close proximity to field-specific facilities such as tank farms or central processing sites. Our oil pipelines connect to multiple third-party transportation pipelines. In addition, virtually all of our natural gas facilities connect with major third-party natural gas pipeline systems.</w:t>
      </w:r>
    </w:p>
    <w:p>
      <w:pPr>
        <w:spacing w:after="0" w:line="199" w:lineRule="exact"/>
        <w:rPr>
          <w:sz w:val="20"/>
          <w:szCs w:val="20"/>
          <w:color w:val="auto"/>
        </w:rPr>
      </w:pPr>
    </w:p>
    <w:p>
      <w:pPr>
        <w:ind w:right="260" w:firstLine="300"/>
        <w:spacing w:after="0" w:line="249" w:lineRule="auto"/>
        <w:rPr>
          <w:sz w:val="20"/>
          <w:szCs w:val="20"/>
          <w:color w:val="auto"/>
        </w:rPr>
      </w:pPr>
      <w:r>
        <w:rPr>
          <w:rFonts w:ascii="Arial" w:cs="Arial" w:eastAsia="Arial" w:hAnsi="Arial"/>
          <w:sz w:val="20"/>
          <w:szCs w:val="20"/>
          <w:color w:val="231F20"/>
        </w:rPr>
        <w:t>We also own a natural gas processing plant in the Brundage Canyon area located in Duchesne County, Utah with capacity of approximately 25 MMcf/d. We have natural gas gathering systems consisting of approximately 500 miles of pipeline and associated compression and metering facilities that connect to numerous sales outlets in the area. We also have extensive gas infrastructure and available takeaway capacity in place to support additional development along with existing gas transportation contracts. This facility takes delivery from gathering and compression facilities we operate.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Human Capital Management</w:t>
      </w:r>
    </w:p>
    <w:p>
      <w:pPr>
        <w:spacing w:after="0" w:line="207"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We had approximately 2,500 employees as of December 31, 2025, as compared to approximately 1,550 as of December 31, 2024, all of whom were located in the United States. The significant growth in headcount of approximately 990 employees relates to the Berry Merger that closed in December 2025. Approximately 640 of these employees are employed by our subsidiary C&amp;J Well Services. Approximately 250 of our employees are covered by a collective bargaining agreement. We also utilize the services of many third-party contractors throughout our operations.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Development</w:t>
      </w:r>
    </w:p>
    <w:p>
      <w:pPr>
        <w:spacing w:after="0" w:line="20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We provide various employee development opportunities to enhance leadership growth and expand career opportunities. Our employees undergo mandatory annual training on our policies including health and safety, business ethics, harassment, IT security and others. In addition to training, our employees receive regular performance and career development discussions from their direct managers. We utilize an annual performance review process for all employees.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Culture and Engagement</w:t>
      </w:r>
    </w:p>
    <w:p>
      <w:pPr>
        <w:spacing w:after="0" w:line="207" w:lineRule="exact"/>
        <w:rPr>
          <w:sz w:val="20"/>
          <w:szCs w:val="20"/>
          <w:color w:val="auto"/>
        </w:rPr>
      </w:pPr>
    </w:p>
    <w:p>
      <w:pPr>
        <w:ind w:right="200" w:firstLine="300"/>
        <w:spacing w:after="0" w:line="247" w:lineRule="auto"/>
        <w:rPr>
          <w:sz w:val="20"/>
          <w:szCs w:val="20"/>
          <w:color w:val="auto"/>
        </w:rPr>
      </w:pPr>
      <w:r>
        <w:rPr>
          <w:rFonts w:ascii="Arial" w:cs="Arial" w:eastAsia="Arial" w:hAnsi="Arial"/>
          <w:sz w:val="20"/>
          <w:szCs w:val="20"/>
          <w:color w:val="231F20"/>
        </w:rPr>
        <w:t>Our goal is to foster an open and welcoming culture and we are committed to advancing a workplace culture that is hospitable to all backgrounds and perspectives. We believe this encourages workforce engagement and leads to more thoughtful and innovative business decisions.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Safety and Environmental Stewardship</w:t>
      </w:r>
    </w:p>
    <w:p>
      <w:pPr>
        <w:spacing w:after="0" w:line="207" w:lineRule="exact"/>
        <w:rPr>
          <w:sz w:val="20"/>
          <w:szCs w:val="20"/>
          <w:color w:val="auto"/>
        </w:rPr>
      </w:pPr>
    </w:p>
    <w:p>
      <w:pPr>
        <w:ind w:right="400" w:firstLine="300"/>
        <w:spacing w:after="0" w:line="246" w:lineRule="auto"/>
        <w:rPr>
          <w:sz w:val="20"/>
          <w:szCs w:val="20"/>
          <w:color w:val="auto"/>
        </w:rPr>
      </w:pPr>
      <w:r>
        <w:rPr>
          <w:rFonts w:ascii="Arial" w:cs="Arial" w:eastAsia="Arial" w:hAnsi="Arial"/>
          <w:sz w:val="20"/>
          <w:szCs w:val="20"/>
          <w:color w:val="231F20"/>
        </w:rPr>
        <w:t>Our unwavering commitment to health, safety and the environment defines how we operate our business. We prepare our workforce to work safely through comprehensive training, safe work practices, technology and rigorous maintenance and asset integrity programs. Each year, we set</w:t>
      </w:r>
    </w:p>
    <w:p>
      <w:pPr>
        <w:sectPr>
          <w:pgSz w:w="11880" w:h="15480" w:orient="portrait"/>
          <w:cols w:equalWidth="0" w:num="1">
            <w:col w:w="9120"/>
          </w:cols>
          <w:pgMar w:left="1380" w:top="1312" w:right="1380" w:bottom="653"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28</w:t>
      </w:r>
    </w:p>
    <w:p>
      <w:pPr>
        <w:sectPr>
          <w:pgSz w:w="11880" w:h="15480" w:orient="portrait"/>
          <w:cols w:equalWidth="0" w:num="1">
            <w:col w:w="9120"/>
          </w:cols>
          <w:pgMar w:left="1380" w:top="1312" w:right="1380" w:bottom="653" w:gutter="0" w:footer="0" w:header="0"/>
          <w:type w:val="continuous"/>
        </w:sectPr>
      </w:pPr>
    </w:p>
    <w:bookmarkStart w:id="32" w:name="page33"/>
    <w:bookmarkEnd w:id="32"/>
    <w:p>
      <w:pPr>
        <w:ind w:right="140"/>
        <w:spacing w:after="0" w:line="249" w:lineRule="auto"/>
        <w:rPr>
          <w:sz w:val="20"/>
          <w:szCs w:val="20"/>
          <w:color w:val="auto"/>
        </w:rPr>
      </w:pPr>
      <w:r>
        <w:rPr>
          <w:rFonts w:ascii="Arial" w:cs="Arial" w:eastAsia="Arial" w:hAnsi="Arial"/>
          <w:sz w:val="20"/>
          <w:szCs w:val="20"/>
          <w:color w:val="231F20"/>
        </w:rPr>
        <w:t>thresholds for TRIR and gross barrels spilled as quantitative metrics that directly impact incentive compensation for all of our employees. We registered a workforce TRIR of 0.40 and recorded 1,124 gross barrels of production fluids spilled in 2025, excluding Berry operations. We have achieved exemplary safety performance over the last several years by promoting a culture of safety where all employees, contractors and vendors are empowered with Stop Work Authority to cease any activity – without repercussions – to prevent a safety or environmental accident.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Engagement and Retention</w:t>
      </w:r>
    </w:p>
    <w:p>
      <w:pPr>
        <w:spacing w:after="0" w:line="19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We survey our employees annually to ensure employee sentiment is collected and heard each year allowing us to assess engagement levels and drivers to determine areas of improvement to enhance engagement and retention. The results of the engagement surveys are reviewed by senior management and our Board of Directors. Senior leadership also hosts regular townhalls so employees can engage with them through question-and-answer sessions.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Reorganization</w:t>
      </w:r>
    </w:p>
    <w:p>
      <w:pPr>
        <w:spacing w:after="0" w:line="199"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231F20"/>
        </w:rPr>
        <w:t>In February 2026, we undertook a reduction in force following the Berry Merger that resulted in a reduction of our headcount and we expect to recognize a charge of approximately $22 million in other operating expenses, net on our condensed consolidated statement of operations for the three months ended March 31, 2026, which primarily includes severance.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Seasonality</w:t>
      </w:r>
    </w:p>
    <w:p>
      <w:pPr>
        <w:spacing w:after="0" w:line="199"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231F20"/>
        </w:rPr>
        <w:t>Certain of our operating costs and the prices for our products fluctuate throughout the year. For example, prices for natural gas (that we both market to third parties and purchase for use in our operations) tend to be higher in the winter and summer months. However, seasonality overall does not have a material effect on our earnings during the year.</w:t>
      </w:r>
    </w:p>
    <w:p>
      <w:pPr>
        <w:spacing w:after="0" w:line="193" w:lineRule="exact"/>
        <w:rPr>
          <w:sz w:val="20"/>
          <w:szCs w:val="20"/>
          <w:color w:val="auto"/>
        </w:rPr>
      </w:pPr>
    </w:p>
    <w:p>
      <w:pPr>
        <w:ind w:right="200" w:firstLine="300"/>
        <w:spacing w:after="0" w:line="247" w:lineRule="auto"/>
        <w:rPr>
          <w:sz w:val="20"/>
          <w:szCs w:val="20"/>
          <w:color w:val="auto"/>
        </w:rPr>
      </w:pPr>
      <w:r>
        <w:rPr>
          <w:rFonts w:ascii="Arial" w:cs="Arial" w:eastAsia="Arial" w:hAnsi="Arial"/>
          <w:sz w:val="20"/>
          <w:szCs w:val="20"/>
          <w:color w:val="231F20"/>
        </w:rPr>
        <w:t>Our operations have been, and in the future could be, impacted by winter weather conditions, especially in Utah, and by electrical storms and high temperatures in the spring and summer, as well as by wildfires and rain.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Regulation of the Industries in Which We Operate</w:t>
      </w:r>
    </w:p>
    <w:p>
      <w:pPr>
        <w:spacing w:after="0" w:line="199"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231F20"/>
        </w:rPr>
        <w:t>Our operations are subject to a wide range of federal, state and local laws and regulations. Those that specifically relate to oil and natural gas exploration and production and carbon sequestration, utilization and storage are described in this section. CalGEM is the primary regulator of the oil and natural gas production industry in California and the California State Lands Commission provides additional administration of the state’s surface and mineral interests. With respect to our assets in Utah, we operate under leases regulated by federal agencies, including the Bureau of Land Management (BLM), as well as on lands regulated by the Utah Division of Oil, Gas and Mining.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Regulation of Exploration and Production Activities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Well Permitting</w:t>
      </w:r>
    </w:p>
    <w:p>
      <w:pPr>
        <w:spacing w:after="0" w:line="201" w:lineRule="exact"/>
        <w:rPr>
          <w:sz w:val="20"/>
          <w:szCs w:val="20"/>
          <w:color w:val="auto"/>
        </w:rPr>
      </w:pPr>
    </w:p>
    <w:p>
      <w:pPr>
        <w:ind w:right="380" w:firstLine="300"/>
        <w:spacing w:after="0" w:line="248" w:lineRule="auto"/>
        <w:rPr>
          <w:sz w:val="20"/>
          <w:szCs w:val="20"/>
          <w:color w:val="auto"/>
        </w:rPr>
      </w:pPr>
      <w:r>
        <w:rPr>
          <w:rFonts w:ascii="Arial" w:cs="Arial" w:eastAsia="Arial" w:hAnsi="Arial"/>
          <w:sz w:val="20"/>
          <w:szCs w:val="20"/>
          <w:color w:val="231F20"/>
        </w:rPr>
        <w:t>During 2025, we continued to experience delays from CalGEM in obtaining new well, sidetrack, deepening and workover permits. These delays resulted from a combination of more stringent environmental review requirements, limited agency resources and policy directives outside of our control. During 2025, we (including our Berry subsidiary) received permits for 506 workovers, six deepenings and 346 sidetracks, and no permits for new oil and gas wells.</w:t>
      </w:r>
    </w:p>
    <w:p>
      <w:pPr>
        <w:spacing w:after="0" w:line="196" w:lineRule="exact"/>
        <w:rPr>
          <w:sz w:val="20"/>
          <w:szCs w:val="20"/>
          <w:color w:val="auto"/>
        </w:rPr>
      </w:pPr>
    </w:p>
    <w:p>
      <w:pPr>
        <w:ind w:firstLine="300"/>
        <w:spacing w:after="0" w:line="271" w:lineRule="auto"/>
        <w:rPr>
          <w:sz w:val="20"/>
          <w:szCs w:val="20"/>
          <w:color w:val="auto"/>
        </w:rPr>
      </w:pPr>
      <w:r>
        <w:rPr>
          <w:rFonts w:ascii="Arial" w:cs="Arial" w:eastAsia="Arial" w:hAnsi="Arial"/>
          <w:sz w:val="19"/>
          <w:szCs w:val="19"/>
          <w:color w:val="231F20"/>
        </w:rPr>
        <w:t>CalGEM resumed issuing permits for new oil and gas wells beginning in January 2026 following the enactment of Senate Bill 237. As of January 31, 2026, we had received 16 permits for new oil and gas</w:t>
      </w:r>
    </w:p>
    <w:p>
      <w:pPr>
        <w:sectPr>
          <w:pgSz w:w="11880" w:h="15480" w:orient="portrait"/>
          <w:cols w:equalWidth="0" w:num="1">
            <w:col w:w="9080"/>
          </w:cols>
          <w:pgMar w:left="1380" w:top="1316" w:right="1420" w:bottom="655" w:gutter="0" w:footer="0" w:header="0"/>
        </w:sect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29</w:t>
      </w:r>
    </w:p>
    <w:p>
      <w:pPr>
        <w:sectPr>
          <w:pgSz w:w="11880" w:h="15480" w:orient="portrait"/>
          <w:cols w:equalWidth="0" w:num="1">
            <w:col w:w="9080"/>
          </w:cols>
          <w:pgMar w:left="1380" w:top="1316" w:right="1420" w:bottom="655" w:gutter="0" w:footer="0" w:header="0"/>
          <w:type w:val="continuous"/>
        </w:sectPr>
      </w:pPr>
    </w:p>
    <w:bookmarkStart w:id="33" w:name="page34"/>
    <w:bookmarkEnd w:id="33"/>
    <w:p>
      <w:pPr>
        <w:ind w:right="640"/>
        <w:spacing w:after="0" w:line="243" w:lineRule="auto"/>
        <w:rPr>
          <w:sz w:val="20"/>
          <w:szCs w:val="20"/>
          <w:color w:val="auto"/>
        </w:rPr>
      </w:pPr>
      <w:r>
        <w:rPr>
          <w:rFonts w:ascii="Arial" w:cs="Arial" w:eastAsia="Arial" w:hAnsi="Arial"/>
          <w:sz w:val="20"/>
          <w:szCs w:val="20"/>
          <w:color w:val="231F20"/>
        </w:rPr>
        <w:t>wells and expect to receive additional permits during the course of the year. We also expect the issuance of workover, deepening and sidetrack permits to increase throughout 2026.</w:t>
      </w:r>
    </w:p>
    <w:p>
      <w:pPr>
        <w:spacing w:after="0" w:line="17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 xml:space="preserve">We currently hold sufficient permits to undertake a majority of our 2026 capital program. Now that CalGEM has resumed issuing permits through the Kern County EIR process, we expect to obtain additional new well permits for the remainder of our 2026 capital program on a timely basis. See </w:t>
      </w:r>
      <w:r>
        <w:rPr>
          <w:rFonts w:ascii="Arial" w:cs="Arial" w:eastAsia="Arial" w:hAnsi="Arial"/>
          <w:sz w:val="20"/>
          <w:szCs w:val="20"/>
          <w:i w:val="1"/>
          <w:iCs w:val="1"/>
          <w:color w:val="231F20"/>
        </w:rPr>
        <w:t xml:space="preserve">Liquidity and Capital Resources </w:t>
      </w:r>
      <w:r>
        <w:rPr>
          <w:rFonts w:ascii="Arial" w:cs="Arial" w:eastAsia="Arial" w:hAnsi="Arial"/>
          <w:sz w:val="20"/>
          <w:szCs w:val="20"/>
          <w:color w:val="231F20"/>
        </w:rPr>
        <w:t>for more information. For more information on our permitting risks, see</w:t>
      </w:r>
      <w:r>
        <w:rPr>
          <w:rFonts w:ascii="Arial" w:cs="Arial" w:eastAsia="Arial" w:hAnsi="Arial"/>
          <w:sz w:val="20"/>
          <w:szCs w:val="20"/>
          <w:i w:val="1"/>
          <w:iCs w:val="1"/>
          <w:color w:val="231F20"/>
        </w:rPr>
        <w:t xml:space="preserve"> Part 1, Item IA – Risk Factors </w:t>
      </w:r>
      <w:r>
        <w:rPr>
          <w:rFonts w:ascii="Arial" w:cs="Arial" w:eastAsia="Arial" w:hAnsi="Arial"/>
          <w:sz w:val="20"/>
          <w:szCs w:val="20"/>
          <w:color w:val="231F20"/>
        </w:rPr>
        <w:t>–</w:t>
      </w:r>
      <w:r>
        <w:rPr>
          <w:rFonts w:ascii="Arial" w:cs="Arial" w:eastAsia="Arial" w:hAnsi="Arial"/>
          <w:sz w:val="20"/>
          <w:szCs w:val="20"/>
          <w:i w:val="1"/>
          <w:iCs w:val="1"/>
          <w:color w:val="231F20"/>
        </w:rPr>
        <w:t xml:space="preserve"> Risks Related to Regulation and Government Action, 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Kern County EIR Litigation</w:t>
      </w:r>
    </w:p>
    <w:p>
      <w:pPr>
        <w:spacing w:after="0" w:line="17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231F20"/>
        </w:rPr>
        <w:t>Since June 2022, our oil and gas drilling activities have been significantly impaired as a result of litigation by certain environmental activists. This litigation primarily challenged Kern County’s adoption of an ordinance that provided for the countywide development of oil and natural gas wells on the grounds that the Environmental Impact Report (EIR) prepared by the county for the project failed to satisfy the requirements of CEQA. The litigation resulted in numerous court rulings, orders and appeals. Following the enactment of SB 237 as described below, the trial court issued an order on the merits of the case that lifted the stay that had effectively prevented the issuance of new well drilling permits in Kern County. The deadline for appeals passed on February 2, 2026, with no appeal filed. Developments in the enactment of SB 237 or in the permitting process more broadly that are adverse to Kern County could further adversely affect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Regulatory Activity</w:t>
      </w:r>
    </w:p>
    <w:p>
      <w:pPr>
        <w:spacing w:after="0" w:line="17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In recent years, the California Legislature and Governor have significantly expanded the jurisdiction, duties and enforcement authority of CalGEM, the State Lands Commission and other state agencies with respect to oil and natural gas activities through legislation and policy pronouncements. CalGEM’s responsibilities now include public health and safety and the reduction or mitigation of greenhouse gas emissions while meeting the state’s energy needs. The scope and limits of this expanded authority, and the manner in which it may be exercised, remain subject to interpretation and legal challenge, creating uncertainty regarding certain aspects of oil and natural gas operations in California. For example, CalGEM published a rulemaking, effective in 2024, prohibiting well stimulation treatment in connection with oil production. Prior to the rulemaking, CalGEM denied certain well stimulation treatment permits in Kern County (as part of the well stimulation treatment permitting phase out). The legality and validity of CalGEM’s denial of such permits is subject to challenge, with litigation pending at this time. Along with other plaintiffs, we are seeking declaratory and other relief.</w:t>
      </w:r>
    </w:p>
    <w:p>
      <w:pPr>
        <w:spacing w:after="0" w:line="177"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CalGEM is also required to study and prioritize idle wells with emissions, evaluate abandonment and restoration costs, and review and adjust bonding requirements. CalGEM and other state agencies have also significantly revised their regulations, regulatory interpretations and data collection and reporting requirements.</w:t>
      </w:r>
    </w:p>
    <w:p>
      <w:pPr>
        <w:spacing w:after="0" w:line="169"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In addition, certain local governments have proposed or adopted ordinances that would restrict certain drilling activities in general, including by imposing setback distances, limiting well stimulation, completion or injection activities, or banning certain operations outright. Other local governments have also sought to ban natural gas or the transportation of natural gas through their cities.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Senate Bill 237 (Oil and Gas Permitting)</w:t>
      </w:r>
    </w:p>
    <w:p>
      <w:pPr>
        <w:spacing w:after="0" w:line="175" w:lineRule="exact"/>
        <w:rPr>
          <w:sz w:val="20"/>
          <w:szCs w:val="20"/>
          <w:color w:val="auto"/>
        </w:rPr>
      </w:pPr>
    </w:p>
    <w:p>
      <w:pPr>
        <w:ind w:right="240" w:firstLine="300"/>
        <w:spacing w:after="0" w:line="245" w:lineRule="auto"/>
        <w:rPr>
          <w:sz w:val="20"/>
          <w:szCs w:val="20"/>
          <w:color w:val="auto"/>
        </w:rPr>
      </w:pPr>
      <w:r>
        <w:rPr>
          <w:rFonts w:ascii="Arial" w:cs="Arial" w:eastAsia="Arial" w:hAnsi="Arial"/>
          <w:sz w:val="20"/>
          <w:szCs w:val="20"/>
          <w:color w:val="231F20"/>
        </w:rPr>
        <w:t>Senate Bill 237 (SB 237), enacted in September 2025, implements a number of changes to help facilitate new and continued oil and gas production in Kern County. Among other provisions, SB 237</w:t>
      </w:r>
    </w:p>
    <w:p>
      <w:pPr>
        <w:sectPr>
          <w:pgSz w:w="11880" w:h="15480" w:orient="portrait"/>
          <w:cols w:equalWidth="0" w:num="1">
            <w:col w:w="9080"/>
          </w:cols>
          <w:pgMar w:left="1380" w:top="1316" w:right="1420" w:bottom="655" w:gutter="0" w:footer="0" w:header="0"/>
        </w:sect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30</w:t>
      </w:r>
    </w:p>
    <w:p>
      <w:pPr>
        <w:sectPr>
          <w:pgSz w:w="11880" w:h="15480" w:orient="portrait"/>
          <w:cols w:equalWidth="0" w:num="1">
            <w:col w:w="9080"/>
          </w:cols>
          <w:pgMar w:left="1380" w:top="1316" w:right="1420" w:bottom="655" w:gutter="0" w:footer="0" w:header="0"/>
          <w:type w:val="continuous"/>
        </w:sectPr>
      </w:pPr>
    </w:p>
    <w:bookmarkStart w:id="34" w:name="page35"/>
    <w:bookmarkEnd w:id="34"/>
    <w:p>
      <w:pPr>
        <w:spacing w:after="0" w:line="249" w:lineRule="auto"/>
        <w:rPr>
          <w:sz w:val="20"/>
          <w:szCs w:val="20"/>
          <w:color w:val="auto"/>
        </w:rPr>
      </w:pPr>
      <w:r>
        <w:rPr>
          <w:rFonts w:ascii="Arial" w:cs="Arial" w:eastAsia="Arial" w:hAnsi="Arial"/>
          <w:sz w:val="20"/>
          <w:szCs w:val="20"/>
          <w:color w:val="231F20"/>
        </w:rPr>
        <w:t>deems Kern County’s Second Supplemental EIR (SSEIR) sufficient for full compliance with the requirements of the California Environmental Quality Act (CEQA). Projects that satisfy the SSEIR, certified pursuant to the Kern County Oil and Gas Ordinance, are deemed sufficient and no further environmental review or additional mitigation measures are required. The provisions of SB 237 became effective as of January 1, 2026, and allow for the issuance of up to 2,000 new drill wells per year for up to ten years in Kern County. We believe that the adoption of SB 237 will support operational continuity and investment planning by California’s oil and gas industry and, due to the increased clarity around permitting standards, will help enhance long-term development opportunities in Kern County, benefiting our asset base located in the region.</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Assembly Bill 1207 (Cap-and-Invest Extension)</w:t>
      </w:r>
    </w:p>
    <w:p>
      <w:pPr>
        <w:spacing w:after="0" w:line="257" w:lineRule="exact"/>
        <w:rPr>
          <w:sz w:val="20"/>
          <w:szCs w:val="20"/>
          <w:color w:val="auto"/>
        </w:rPr>
      </w:pPr>
    </w:p>
    <w:p>
      <w:pPr>
        <w:ind w:right="240" w:firstLine="300"/>
        <w:spacing w:after="0" w:line="249" w:lineRule="auto"/>
        <w:rPr>
          <w:sz w:val="20"/>
          <w:szCs w:val="20"/>
          <w:color w:val="auto"/>
        </w:rPr>
      </w:pPr>
      <w:r>
        <w:rPr>
          <w:rFonts w:ascii="Arial" w:cs="Arial" w:eastAsia="Arial" w:hAnsi="Arial"/>
          <w:sz w:val="20"/>
          <w:szCs w:val="20"/>
          <w:color w:val="231F20"/>
        </w:rPr>
        <w:t>Assembly Bill 1207 (AB 1207), enacted in September 2025, extends California’s greenhouse gas cap-and-invest program through 2045, providing long-term policy certainty for covered entities under the Program. The legislation also establishes emission reduction initiatives, enhanced reporting requirements and a Climate Mitigation Fund to support consumer rebates and investments to reduce household energy costs.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Senate Bill 614 (Carbon Dioxide Pipeline Regulation)</w:t>
      </w:r>
    </w:p>
    <w:p>
      <w:pPr>
        <w:spacing w:after="0" w:line="257" w:lineRule="exact"/>
        <w:rPr>
          <w:sz w:val="20"/>
          <w:szCs w:val="20"/>
          <w:color w:val="auto"/>
        </w:rPr>
      </w:pPr>
    </w:p>
    <w:p>
      <w:pPr>
        <w:ind w:right="100" w:firstLine="300"/>
        <w:spacing w:after="0" w:line="229" w:lineRule="auto"/>
        <w:rPr>
          <w:sz w:val="20"/>
          <w:szCs w:val="20"/>
          <w:color w:val="auto"/>
        </w:rPr>
      </w:pPr>
      <w:r>
        <w:rPr>
          <w:rFonts w:ascii="Arial" w:cs="Arial" w:eastAsia="Arial" w:hAnsi="Arial"/>
          <w:sz w:val="20"/>
          <w:szCs w:val="20"/>
          <w:color w:val="231F20"/>
        </w:rPr>
        <w:t>Senate Bill 614 (SB 614), enacted in October 2025, revises the definition of “pipeline” for purposes of the Elder California Pipeline Safety Act of 1981 to include intrastate pipelines used for the transportation of carbon dioxide (CO</w:t>
      </w:r>
      <w:r>
        <w:rPr>
          <w:rFonts w:ascii="Arial" w:cs="Arial" w:eastAsia="Arial" w:hAnsi="Arial"/>
          <w:sz w:val="26"/>
          <w:szCs w:val="26"/>
          <w:color w:val="231F20"/>
          <w:vertAlign w:val="subscript"/>
        </w:rPr>
        <w:t>2</w:t>
      </w:r>
      <w:r>
        <w:rPr>
          <w:rFonts w:ascii="Arial" w:cs="Arial" w:eastAsia="Arial" w:hAnsi="Arial"/>
          <w:sz w:val="20"/>
          <w:szCs w:val="20"/>
          <w:color w:val="231F20"/>
        </w:rPr>
        <w:t>). The law requires the Office of the State Fire Marshal to adopt implementing regulations regarding the safe transportation of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 pipelines by July 1, 2026, establishing a pathway to lifting the current moratorium on the construction and operation of new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pipeline operations in the state. The legislation mandates stringent design, routing, and disclosure standards consistent with or exceeding a proposed revision to federal requirements under the Pipeline and Hazardous Materials Safety Administration that was subsequently withdrawn prior to federal enactment (Draft PHMSA Regulations). Under SB 614,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pipelines within a single facility and for which construction was permitted before July 1, 2025, shall not be required to subsequently comply with those regulations that pertain to design and construction if the pipeline is constructed to meet the standards of the Draft PHMSA Regulations. The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pipelines comprising our Carbon Terra Vault I (CTV I) project at our Elk Hills field were permitted prior to July 1, 2025, and have been constructed to meet the standards of the Draft PHMSA Regulations. Upon implementation, SB 614 is expected to help enable the development of carbon-capture and storage projects that rely upon capture of carbon dioxide from an emission source that is remote from the facility into which the emissions will be sequestered.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Pipeline Transportation</w:t>
      </w:r>
    </w:p>
    <w:p>
      <w:pPr>
        <w:spacing w:after="0" w:line="25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Federal and state pipeline regulations have also been revised by both CalGEM and the Office of the State Fire Marshal over recent years, including requirements relating to integrity management, risk assessments, and spill prevention, amongst others. Additionally, PHMSA has, from time to time, issued new regulations expanding or otherwise revising pipeline integrity requirements. For example, in January 2025, PHMSA released a final rule enhancing requirements for detecting and repairing leaks on new and existing natural gas distribution, gas transmission and gas gathering pipelines. However, the current administration withdrew the final rule and, accordingly, it has not been codified. Prior to that, in September 2023, PHMSA published a proposed rule that would enhance the safety requirements for gas distribution pipelines and would require updates to distribution integrity management programs, emergency response plans, operations and maintenance manuals, and other safety practices. The Federal Register indicates that PHMSA is analyzing comments to the proposed rule through December 2026.</w:t>
      </w:r>
    </w:p>
    <w:p>
      <w:pPr>
        <w:sectPr>
          <w:pgSz w:w="11880" w:h="15480" w:orient="portrait"/>
          <w:cols w:equalWidth="0" w:num="1">
            <w:col w:w="9120"/>
          </w:cols>
          <w:pgMar w:left="1380" w:top="1316" w:right="1380" w:bottom="65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31</w:t>
      </w:r>
    </w:p>
    <w:p>
      <w:pPr>
        <w:sectPr>
          <w:pgSz w:w="11880" w:h="15480" w:orient="portrait"/>
          <w:cols w:equalWidth="0" w:num="1">
            <w:col w:w="9120"/>
          </w:cols>
          <w:pgMar w:left="1380" w:top="1316" w:right="1380" w:bottom="653"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i w:val="1"/>
          <w:iCs w:val="1"/>
          <w:u w:val="single" w:color="auto"/>
          <w:color w:val="231F20"/>
        </w:rPr>
        <w:t>Waste Emissions Charge</w:t>
      </w:r>
    </w:p>
    <w:p>
      <w:pPr>
        <w:spacing w:after="0" w:line="217" w:lineRule="exact"/>
        <w:rPr>
          <w:sz w:val="20"/>
          <w:szCs w:val="20"/>
          <w:color w:val="auto"/>
        </w:rPr>
      </w:pPr>
    </w:p>
    <w:p>
      <w:pPr>
        <w:ind w:right="160" w:firstLine="300"/>
        <w:spacing w:after="0" w:line="264" w:lineRule="auto"/>
        <w:rPr>
          <w:sz w:val="20"/>
          <w:szCs w:val="20"/>
          <w:color w:val="auto"/>
        </w:rPr>
      </w:pPr>
      <w:r>
        <w:rPr>
          <w:rFonts w:ascii="Arial" w:cs="Arial" w:eastAsia="Arial" w:hAnsi="Arial"/>
          <w:sz w:val="19"/>
          <w:szCs w:val="19"/>
          <w:color w:val="231F20"/>
        </w:rPr>
        <w:t>In May 2025, following a joint resolution of disapproval under the Congressional Review Act, the EPA issued a final rule to remove the Waste Emission Charge (WEC) regulations, originally adopted under the Inflation Reduction Act, from the Code of Federal Regulations. As a result, the fees associated with methane emissions from certain oil and gas facilities that would have been due to the EPA in September 2025 were not collected. Although the underlying statute still requires a methane charge, An Act to Provide for Reconciliation Pursuant to Title II of H. Con. Res. 14th and commonly referred to as the One Big Beautiful Bill Act, postponed implementation from 2024 to 2034.</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Water Injection</w:t>
      </w:r>
    </w:p>
    <w:p>
      <w:pPr>
        <w:spacing w:after="0" w:line="21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Our operations in the Wilmington Oil Field use injection wells to reinject produced water under approved waterflooding plans. CalGEM has issued a directive to reduce the injection well pressure in a gradual manner in accordance with a five-year injection reduction work plan. The first phase of reduction commenced July 1, 2024, and a second reduction began in January 2025. The next phase of reduction continues to be on hold while we evaluate the impact of the previously implemented reductions together with CalGEM. We currently estimate a negligible impact on production and reserves under the existing work plan. However, material changes to the existing plan could require revisions to these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Activism</w:t>
      </w:r>
    </w:p>
    <w:p>
      <w:pPr>
        <w:spacing w:after="0" w:line="21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Opposition toward oil and gas drilling and development activity has been growing over time. Companies in the oil and gas industry are often the target of efforts to delay or prevent oil and gas development by non-governmental organizations and individuals. This opposition also extends to our carbon management segment as certain activists oppose carbon capture and sequestration efforts by the oil and gas industry. These activists use a variety of tactics that primarily rely on allegations regarding safety, environmental compliance and business practices. At both the state and federal level, these tactics include seeking changes to laws, pressuring governmental agencies to promulgate regulations or engage in rulemaking, or pursuing litigation.</w:t>
      </w:r>
    </w:p>
    <w:p>
      <w:pPr>
        <w:spacing w:after="0" w:line="211"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 xml:space="preserve">For example, in November 2024, environmental groups collectively filed CEQA litigation against Kern County alleging CEQA violations in connection with the County’s approval of conditional use permits for our CTV I project at our Elk Hills Field. At this time, we cannot predict the outcome of this challenge with any certainty. Such lawsuits have the potential to delay timely construction of our CCS projects and commencement of operations and could otherwise have a material adverse effect on our business, results of operations and financial condition. Please see </w:t>
      </w:r>
      <w:r>
        <w:rPr>
          <w:rFonts w:ascii="Arial" w:cs="Arial" w:eastAsia="Arial" w:hAnsi="Arial"/>
          <w:sz w:val="20"/>
          <w:szCs w:val="20"/>
          <w:i w:val="1"/>
          <w:iCs w:val="1"/>
          <w:color w:val="231F20"/>
        </w:rPr>
        <w:t>Regulation of Carbon Capture,</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Sequestration and Storage – CCS Project Permitting </w:t>
      </w:r>
      <w:r>
        <w:rPr>
          <w:rFonts w:ascii="Arial" w:cs="Arial" w:eastAsia="Arial" w:hAnsi="Arial"/>
          <w:sz w:val="20"/>
          <w:szCs w:val="20"/>
          <w:color w:val="231F20"/>
        </w:rPr>
        <w:t>below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Regulation of Health, Safety and Environmental Matters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Endangered Species Act, Migratory Bird Treaty Act, Comprehensive Environmental Response, Compensation, and Liability Act, Resource Conservation and Recovery Act and the National Environmental Policy Act (NEPA), among others. California imposes additional laws that are analogous to, and often more stringent than comparable federal laws.</w:t>
      </w:r>
    </w:p>
    <w:p>
      <w:pPr>
        <w:sectPr>
          <w:pgSz w:w="11880" w:h="15480" w:orient="portrait"/>
          <w:cols w:equalWidth="0" w:num="1">
            <w:col w:w="9100"/>
          </w:cols>
          <w:pgMar w:left="1380" w:top="1310" w:right="140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32</w:t>
      </w:r>
    </w:p>
    <w:p>
      <w:pPr>
        <w:sectPr>
          <w:pgSz w:w="11880" w:h="15480" w:orient="portrait"/>
          <w:cols w:equalWidth="0" w:num="1">
            <w:col w:w="9100"/>
          </w:cols>
          <w:pgMar w:left="1380" w:top="1310" w:right="1400" w:bottom="653" w:gutter="0" w:footer="0" w:header="0"/>
          <w:type w:val="continuous"/>
        </w:sectPr>
      </w:pPr>
    </w:p>
    <w:bookmarkStart w:id="36" w:name="page37"/>
    <w:bookmarkEnd w:id="36"/>
    <w:p>
      <w:pPr>
        <w:ind w:left="300"/>
        <w:spacing w:after="0"/>
        <w:rPr>
          <w:sz w:val="20"/>
          <w:szCs w:val="20"/>
          <w:color w:val="auto"/>
        </w:rPr>
      </w:pPr>
      <w:r>
        <w:rPr>
          <w:rFonts w:ascii="Arial" w:cs="Arial" w:eastAsia="Arial" w:hAnsi="Arial"/>
          <w:sz w:val="20"/>
          <w:szCs w:val="20"/>
          <w:color w:val="231F20"/>
        </w:rPr>
        <w:t>These laws and regulations, among other things:</w:t>
      </w:r>
    </w:p>
    <w:p>
      <w:pPr>
        <w:spacing w:after="0" w:line="209" w:lineRule="exact"/>
        <w:rPr>
          <w:sz w:val="20"/>
          <w:szCs w:val="20"/>
          <w:color w:val="auto"/>
        </w:rPr>
      </w:pPr>
    </w:p>
    <w:p>
      <w:pPr>
        <w:ind w:left="600" w:right="180" w:hanging="300"/>
        <w:spacing w:after="0" w:line="246" w:lineRule="auto"/>
        <w:tabs>
          <w:tab w:leader="none" w:pos="60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establish air, soil and water quality standards and require monitoring, reporting and attainment plans that may include mitigation measures or restrictions on development or operations in certain regions, including the San Joaquin Valley;</w:t>
      </w:r>
    </w:p>
    <w:p>
      <w:pPr>
        <w:spacing w:after="0" w:line="12" w:lineRule="exact"/>
        <w:rPr>
          <w:rFonts w:ascii="Arial" w:cs="Arial" w:eastAsia="Arial" w:hAnsi="Arial"/>
          <w:sz w:val="20"/>
          <w:szCs w:val="20"/>
          <w:color w:val="231F20"/>
        </w:rPr>
      </w:pPr>
    </w:p>
    <w:p>
      <w:pPr>
        <w:ind w:left="600" w:right="680" w:hanging="300"/>
        <w:spacing w:after="0" w:line="263" w:lineRule="auto"/>
        <w:tabs>
          <w:tab w:leader="none" w:pos="600" w:val="left"/>
        </w:tabs>
        <w:numPr>
          <w:ilvl w:val="0"/>
          <w:numId w:val="21"/>
        </w:numPr>
        <w:rPr>
          <w:rFonts w:ascii="Arial" w:cs="Arial" w:eastAsia="Arial" w:hAnsi="Arial"/>
          <w:sz w:val="19"/>
          <w:szCs w:val="19"/>
          <w:color w:val="231F20"/>
        </w:rPr>
      </w:pPr>
      <w:r>
        <w:rPr>
          <w:rFonts w:ascii="Arial" w:cs="Arial" w:eastAsia="Arial" w:hAnsi="Arial"/>
          <w:sz w:val="19"/>
          <w:szCs w:val="19"/>
          <w:color w:val="231F20"/>
        </w:rPr>
        <w:t>require permits, approvals and mitigation measures before drilling, workover, production, underground injection, waste disposal or facility construction activities may commence;</w:t>
      </w:r>
    </w:p>
    <w:p>
      <w:pPr>
        <w:spacing w:after="0" w:line="1" w:lineRule="exact"/>
        <w:rPr>
          <w:rFonts w:ascii="Arial" w:cs="Arial" w:eastAsia="Arial" w:hAnsi="Arial"/>
          <w:sz w:val="19"/>
          <w:szCs w:val="19"/>
          <w:color w:val="231F20"/>
        </w:rPr>
      </w:pPr>
    </w:p>
    <w:p>
      <w:pPr>
        <w:ind w:left="600" w:right="780" w:hanging="300"/>
        <w:spacing w:after="0" w:line="263" w:lineRule="auto"/>
        <w:tabs>
          <w:tab w:leader="none" w:pos="600" w:val="left"/>
        </w:tabs>
        <w:numPr>
          <w:ilvl w:val="0"/>
          <w:numId w:val="21"/>
        </w:numPr>
        <w:rPr>
          <w:rFonts w:ascii="Arial" w:cs="Arial" w:eastAsia="Arial" w:hAnsi="Arial"/>
          <w:sz w:val="19"/>
          <w:szCs w:val="19"/>
          <w:color w:val="231F20"/>
        </w:rPr>
      </w:pPr>
      <w:r>
        <w:rPr>
          <w:rFonts w:ascii="Arial" w:cs="Arial" w:eastAsia="Arial" w:hAnsi="Arial"/>
          <w:sz w:val="19"/>
          <w:szCs w:val="19"/>
          <w:color w:val="231F20"/>
        </w:rPr>
        <w:t>require the installation and operation of safety systems and pollution control equipment, including leak detection, monitoring, inspection, maintenance and repair programs;</w:t>
      </w:r>
    </w:p>
    <w:p>
      <w:pPr>
        <w:spacing w:after="0" w:line="1" w:lineRule="exact"/>
        <w:rPr>
          <w:rFonts w:ascii="Arial" w:cs="Arial" w:eastAsia="Arial" w:hAnsi="Arial"/>
          <w:sz w:val="19"/>
          <w:szCs w:val="19"/>
          <w:color w:val="231F20"/>
        </w:rPr>
      </w:pPr>
    </w:p>
    <w:p>
      <w:pPr>
        <w:ind w:left="600" w:right="380" w:hanging="300"/>
        <w:spacing w:after="0" w:line="243" w:lineRule="auto"/>
        <w:tabs>
          <w:tab w:leader="none" w:pos="60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restrict the use of water, land, habitat and other natural resources and impose conservation, reclamation, energy efficiency or renewable energy requirements;</w:t>
      </w:r>
    </w:p>
    <w:p>
      <w:pPr>
        <w:spacing w:after="0" w:line="14" w:lineRule="exact"/>
        <w:rPr>
          <w:rFonts w:ascii="Arial" w:cs="Arial" w:eastAsia="Arial" w:hAnsi="Arial"/>
          <w:sz w:val="20"/>
          <w:szCs w:val="20"/>
          <w:color w:val="231F20"/>
        </w:rPr>
      </w:pPr>
    </w:p>
    <w:p>
      <w:pPr>
        <w:ind w:left="600" w:right="220" w:hanging="300"/>
        <w:spacing w:after="0" w:line="246" w:lineRule="auto"/>
        <w:tabs>
          <w:tab w:leader="none" w:pos="60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regulate the generation, handling, storage, transportation and disposal of solid and hazardous wastes, including requirements related to well plugging and abandonment and facility decommissioning;</w:t>
      </w:r>
    </w:p>
    <w:p>
      <w:pPr>
        <w:spacing w:after="0" w:line="12" w:lineRule="exact"/>
        <w:rPr>
          <w:rFonts w:ascii="Arial" w:cs="Arial" w:eastAsia="Arial" w:hAnsi="Arial"/>
          <w:sz w:val="20"/>
          <w:szCs w:val="20"/>
          <w:color w:val="231F20"/>
        </w:rPr>
      </w:pPr>
    </w:p>
    <w:p>
      <w:pPr>
        <w:ind w:left="600" w:right="480" w:hanging="300"/>
        <w:spacing w:after="0" w:line="243" w:lineRule="auto"/>
        <w:tabs>
          <w:tab w:leader="none" w:pos="60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limit or prohibit operations in certain protected areas or require habitat conservation or land dedication;</w:t>
      </w:r>
    </w:p>
    <w:p>
      <w:pPr>
        <w:spacing w:after="0" w:line="14" w:lineRule="exact"/>
        <w:rPr>
          <w:rFonts w:ascii="Arial" w:cs="Arial" w:eastAsia="Arial" w:hAnsi="Arial"/>
          <w:sz w:val="20"/>
          <w:szCs w:val="20"/>
          <w:color w:val="231F20"/>
        </w:rPr>
      </w:pPr>
    </w:p>
    <w:p>
      <w:pPr>
        <w:ind w:left="600" w:right="660" w:hanging="300"/>
        <w:spacing w:after="0" w:line="245" w:lineRule="auto"/>
        <w:tabs>
          <w:tab w:leader="none" w:pos="60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impose liabilities, including strict or joint and several liability, for unauthorized releases or discharges of regulated materials;</w:t>
      </w:r>
    </w:p>
    <w:p>
      <w:pPr>
        <w:spacing w:after="0" w:line="5" w:lineRule="exact"/>
        <w:rPr>
          <w:rFonts w:ascii="Arial" w:cs="Arial" w:eastAsia="Arial" w:hAnsi="Arial"/>
          <w:sz w:val="20"/>
          <w:szCs w:val="20"/>
          <w:color w:val="231F20"/>
        </w:rPr>
      </w:pPr>
    </w:p>
    <w:p>
      <w:pPr>
        <w:ind w:left="600" w:hanging="300"/>
        <w:spacing w:after="0"/>
        <w:tabs>
          <w:tab w:leader="none" w:pos="60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impose taxes, fees or other charges related to environmental compliance;</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require environmental analyses, recordkeeping and reporting; and</w:t>
      </w:r>
    </w:p>
    <w:p>
      <w:pPr>
        <w:spacing w:after="0" w:line="14" w:lineRule="exact"/>
        <w:rPr>
          <w:rFonts w:ascii="Arial" w:cs="Arial" w:eastAsia="Arial" w:hAnsi="Arial"/>
          <w:sz w:val="20"/>
          <w:szCs w:val="20"/>
          <w:color w:val="231F20"/>
        </w:rPr>
      </w:pPr>
    </w:p>
    <w:p>
      <w:pPr>
        <w:ind w:left="600" w:right="900" w:hanging="300"/>
        <w:spacing w:after="0" w:line="245" w:lineRule="auto"/>
        <w:tabs>
          <w:tab w:leader="none" w:pos="600" w:val="left"/>
        </w:tabs>
        <w:numPr>
          <w:ilvl w:val="0"/>
          <w:numId w:val="21"/>
        </w:numPr>
        <w:rPr>
          <w:rFonts w:ascii="Arial" w:cs="Arial" w:eastAsia="Arial" w:hAnsi="Arial"/>
          <w:sz w:val="20"/>
          <w:szCs w:val="20"/>
          <w:color w:val="231F20"/>
        </w:rPr>
      </w:pPr>
      <w:r>
        <w:rPr>
          <w:rFonts w:ascii="Arial" w:cs="Arial" w:eastAsia="Arial" w:hAnsi="Arial"/>
          <w:sz w:val="20"/>
          <w:szCs w:val="20"/>
          <w:color w:val="231F20"/>
        </w:rPr>
        <w:t>may expose us to administrative proceedings, civil litigation or enforcement actions by governmental authorities or third parties.</w:t>
      </w:r>
    </w:p>
    <w:p>
      <w:pPr>
        <w:spacing w:after="0" w:line="202"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Compliance with these requirements can restrict operations or increase costs. For example, California continues to regulate underground injection activities under the Safe Drinking Water Act, including through ongoing coordination among CalGEM, the State Water Resources Control Board and the U.S. Environmental Protection Agency (EPA) regarding aquifer exemptions and well integrity. While a significant number of aquifer exemption applications have been approved, certain applications remain subject to additional technical review, and permitting timelines and conditions may continue to evolve. These processes have resulted, and could continue to result, in permit delays, operational restrictions or additional compliance costs.</w:t>
      </w:r>
    </w:p>
    <w:p>
      <w:pPr>
        <w:spacing w:after="0" w:line="203"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At the federal level, the scope and application of NEPA requirements remain uncertain. Following the change in presidential administration, the Council on Environmental Quality (CEQ) rescinded all of its regulations implementing NEPA and withdrew its interim guidance on the consideration of greenhouse gas emissions and climate change under NEPA. In September 2025, the CEQ issued new guidance to federal agencies implementing NEPA, encouraging agencies to limit their NEPA reviews, rely more heavily on sponsor-prepared documents, and streamline the NEPA process. Subsequently, several agencies have made significant changes to their NEPA rules and procedures. As a result of these changes, the standards and procedures governing environmental review of federal actions, including oil and natural gas activities on federal lands, remain in flux and may result in delays or additional analysis requirements.</w:t>
      </w:r>
    </w:p>
    <w:p>
      <w:pPr>
        <w:spacing w:after="0" w:line="20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There is also uncertainty regarding the availability and timing of certain federal funding programs. In early 2025, the federal government temporarily paused and subsequently resumed disbursement of certain grants and loans appropriated under the Inflation Reduction Act and the Infrastructure Investment and Jobs Act while undertaking a broader review of federal spending processes. Although these actions did not alter statutory tax credit provisions, any future disruption, delay or withdrawal of federal funding could adversely affect the development, timing or economics of projects in which we or our counterparties participate.</w:t>
      </w:r>
    </w:p>
    <w:p>
      <w:pPr>
        <w:spacing w:after="0" w:line="202" w:lineRule="exact"/>
        <w:rPr>
          <w:sz w:val="20"/>
          <w:szCs w:val="20"/>
          <w:color w:val="auto"/>
        </w:rPr>
      </w:pPr>
    </w:p>
    <w:p>
      <w:pPr>
        <w:ind w:right="180" w:firstLine="300"/>
        <w:spacing w:after="0" w:line="243" w:lineRule="auto"/>
        <w:rPr>
          <w:sz w:val="20"/>
          <w:szCs w:val="20"/>
          <w:color w:val="auto"/>
        </w:rPr>
      </w:pPr>
      <w:r>
        <w:rPr>
          <w:rFonts w:ascii="Arial" w:cs="Arial" w:eastAsia="Arial" w:hAnsi="Arial"/>
          <w:sz w:val="20"/>
          <w:szCs w:val="20"/>
          <w:color w:val="231F20"/>
        </w:rPr>
        <w:t>California continues to implement policies addressing water scarcity and drought conditions that may restrict groundwater extraction or increase water costs. Water management, including our ability</w:t>
      </w:r>
    </w:p>
    <w:p>
      <w:pPr>
        <w:sectPr>
          <w:pgSz w:w="11880" w:h="15480" w:orient="portrait"/>
          <w:cols w:equalWidth="0" w:num="1">
            <w:col w:w="9100"/>
          </w:cols>
          <w:pgMar w:left="1380" w:top="1310" w:right="1400" w:bottom="653"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33</w:t>
      </w:r>
    </w:p>
    <w:p>
      <w:pPr>
        <w:sectPr>
          <w:pgSz w:w="11880" w:h="15480" w:orient="portrait"/>
          <w:cols w:equalWidth="0" w:num="1">
            <w:col w:w="9100"/>
          </w:cols>
          <w:pgMar w:left="1380" w:top="1310" w:right="1400" w:bottom="653" w:gutter="0" w:footer="0" w:header="0"/>
          <w:type w:val="continuous"/>
        </w:sectPr>
      </w:pPr>
    </w:p>
    <w:bookmarkStart w:id="37" w:name="page38"/>
    <w:bookmarkEnd w:id="37"/>
    <w:p>
      <w:pPr>
        <w:ind w:right="140"/>
        <w:spacing w:after="0" w:line="249" w:lineRule="auto"/>
        <w:rPr>
          <w:sz w:val="20"/>
          <w:szCs w:val="20"/>
          <w:color w:val="auto"/>
        </w:rPr>
      </w:pPr>
      <w:r>
        <w:rPr>
          <w:rFonts w:ascii="Arial" w:cs="Arial" w:eastAsia="Arial" w:hAnsi="Arial"/>
          <w:sz w:val="20"/>
          <w:szCs w:val="20"/>
          <w:color w:val="231F20"/>
        </w:rPr>
        <w:t>to recycle, reuse and dispose of produced water, and to access third-party water supplies on commercially reasonable terms and in compliance with applicable laws and permits, is critical to our operations. We treat and reuse water produced in our operations for pressure management, waterflooding, steamflooding and drilling activities, and we also supply reclaimed produced water to certain agricultural users. We additionally rely on water from local and regional suppliers, including for power generation and steam operations. While our operations have not to date been materially impacted by restrictions on third-party water supplies, future limitations or increased costs could adversely affect our operations.</w:t>
      </w:r>
    </w:p>
    <w:p>
      <w:pPr>
        <w:spacing w:after="0" w:line="185"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231F20"/>
        </w:rPr>
        <w:t>Federal, state and local agencies may assert overlapping jurisdiction in these areas, and certain laws and regulations may apply retroactively. These regimes may impose liability on us for past conditions or activities, including those attributable to prior owners or operators, regardless of fault or the legality of the original conduct.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Regulation of Carbon Capture, Sequestration and Storage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Unitization Senate Bill No. 905</w:t>
      </w:r>
    </w:p>
    <w:p>
      <w:pPr>
        <w:spacing w:after="0" w:line="19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Senate Bill No. 905 (SB 905), enacted on September 16, 2022, contemplates the development of unitization, permitting and pipeline safety regulations over a multi-year period to facilitate the development of CCS projects in California, though the legislation does not provide for compulsory unitization. Senate Bill No. 905 also provides for a unified permitting process to simplify the permitting process for CCS projects, although this will be optional for project applicants. Additionally, the law contemplates the implementation of a new regulatory program incorporating standards that are not yet defined and that could affect the timing of future CCS projects in California. The California Air Resources Board has been tasked with developing this proposed framework and this work is still pending at this time. We believe that our Carbon TerraVault projects will continue to be developed on a timeline consistent with our initial expectations as these initial projects are not reliant on the unitization or permitting regulations being developed under Senate Bill No. 905.</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Pipelines and Senate Bill No. 614</w:t>
      </w:r>
    </w:p>
    <w:p>
      <w:pPr>
        <w:spacing w:after="0" w:line="153" w:lineRule="exact"/>
        <w:rPr>
          <w:sz w:val="20"/>
          <w:szCs w:val="20"/>
          <w:color w:val="auto"/>
        </w:rPr>
      </w:pPr>
    </w:p>
    <w:p>
      <w:pPr>
        <w:ind w:right="380" w:firstLine="300"/>
        <w:spacing w:after="0" w:line="227" w:lineRule="auto"/>
        <w:rPr>
          <w:sz w:val="20"/>
          <w:szCs w:val="20"/>
          <w:color w:val="auto"/>
        </w:rPr>
      </w:pPr>
      <w:r>
        <w:rPr>
          <w:rFonts w:ascii="Arial" w:cs="Arial" w:eastAsia="Arial" w:hAnsi="Arial"/>
          <w:sz w:val="20"/>
          <w:szCs w:val="20"/>
          <w:color w:val="231F20"/>
        </w:rPr>
        <w:t>Our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pipelines comprising our CTV I project are subject to Senate Bill No. 614, discussed in more detail above.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CCS Project Permitting</w:t>
      </w:r>
    </w:p>
    <w:p>
      <w:pPr>
        <w:spacing w:after="0" w:line="191"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On October 21, 2024, the Kern County Board of Supervisors approved the issuance of the conditional use permits and certified the EIR for our first CCS project, Carbon TerraVault I (CTV I). On November 22, 2024, a group of non-governmental organizations filed suit against the County of Kern and its Board of Supervisors, challenging the certification of the EIR alleging non-compliance with CEQA. In addition to challenging the EIR, the Petitioners stated their intention to seek injunctive relief for a stay of the project, but to date have not yet sought such relief. This litigation is ongoing, and we cannot predict the outcome of this litigation with certainty.</w:t>
      </w:r>
    </w:p>
    <w:p>
      <w:pPr>
        <w:spacing w:after="0" w:line="184" w:lineRule="exact"/>
        <w:rPr>
          <w:sz w:val="20"/>
          <w:szCs w:val="20"/>
          <w:color w:val="auto"/>
        </w:rPr>
      </w:pPr>
    </w:p>
    <w:p>
      <w:pPr>
        <w:ind w:right="60" w:firstLine="300"/>
        <w:spacing w:after="0" w:line="222" w:lineRule="auto"/>
        <w:rPr>
          <w:sz w:val="20"/>
          <w:szCs w:val="20"/>
          <w:color w:val="auto"/>
        </w:rPr>
      </w:pPr>
      <w:r>
        <w:rPr>
          <w:rFonts w:ascii="Arial" w:cs="Arial" w:eastAsia="Arial" w:hAnsi="Arial"/>
          <w:sz w:val="20"/>
          <w:szCs w:val="20"/>
          <w:color w:val="231F20"/>
        </w:rPr>
        <w:t>The EPA issued Class VI underground injection control (UIC) permits for the construction and operation of four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injection wells at the site of the CTV I 26R underground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storage reservoir at our Elk Hills Field. The EPA’s permits became effective February 3, 2025.</w:t>
      </w:r>
    </w:p>
    <w:p>
      <w:pPr>
        <w:spacing w:after="0" w:line="192" w:lineRule="exact"/>
        <w:rPr>
          <w:sz w:val="20"/>
          <w:szCs w:val="20"/>
          <w:color w:val="auto"/>
        </w:rPr>
      </w:pPr>
    </w:p>
    <w:p>
      <w:pPr>
        <w:ind w:right="120" w:firstLine="300"/>
        <w:spacing w:after="0" w:line="223" w:lineRule="auto"/>
        <w:rPr>
          <w:sz w:val="20"/>
          <w:szCs w:val="20"/>
          <w:color w:val="auto"/>
        </w:rPr>
      </w:pPr>
      <w:r>
        <w:rPr>
          <w:rFonts w:ascii="Arial" w:cs="Arial" w:eastAsia="Arial" w:hAnsi="Arial"/>
          <w:sz w:val="20"/>
          <w:szCs w:val="20"/>
          <w:color w:val="231F20"/>
        </w:rPr>
        <w:t>Construction and testing of our first two Class VI wells is complete, and final modifications and testing are being conducted at our Elk Hills Field. We anticipate the first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injection at these sites in spring 2026.</w:t>
      </w:r>
    </w:p>
    <w:p>
      <w:pPr>
        <w:spacing w:after="0" w:line="189" w:lineRule="exact"/>
        <w:rPr>
          <w:sz w:val="20"/>
          <w:szCs w:val="20"/>
          <w:color w:val="auto"/>
        </w:rPr>
      </w:pPr>
    </w:p>
    <w:p>
      <w:pPr>
        <w:ind w:right="440" w:firstLine="300"/>
        <w:spacing w:after="0" w:line="243" w:lineRule="auto"/>
        <w:rPr>
          <w:sz w:val="20"/>
          <w:szCs w:val="20"/>
          <w:color w:val="auto"/>
        </w:rPr>
      </w:pPr>
      <w:r>
        <w:rPr>
          <w:rFonts w:ascii="Arial" w:cs="Arial" w:eastAsia="Arial" w:hAnsi="Arial"/>
          <w:sz w:val="20"/>
          <w:szCs w:val="20"/>
          <w:color w:val="231F20"/>
        </w:rPr>
        <w:t>As of February 28, 2026, we have eight Class VI UIC project applications related to our carbon management segment pending with the EPA in different stages of the permitting process.</w:t>
      </w:r>
    </w:p>
    <w:p>
      <w:pPr>
        <w:sectPr>
          <w:pgSz w:w="11880" w:h="15480" w:orient="portrait"/>
          <w:cols w:equalWidth="0" w:num="1">
            <w:col w:w="9100"/>
          </w:cols>
          <w:pgMar w:left="1380" w:top="1316" w:right="1400" w:bottom="655"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34</w:t>
      </w:r>
    </w:p>
    <w:p>
      <w:pPr>
        <w:sectPr>
          <w:pgSz w:w="11880" w:h="15480" w:orient="portrait"/>
          <w:cols w:equalWidth="0" w:num="1">
            <w:col w:w="9100"/>
          </w:cols>
          <w:pgMar w:left="1380" w:top="1316" w:right="1400" w:bottom="655" w:gutter="0" w:footer="0" w:header="0"/>
          <w:type w:val="continuous"/>
        </w:sectPr>
      </w:pPr>
    </w:p>
    <w:bookmarkStart w:id="38" w:name="page39"/>
    <w:bookmarkEnd w:id="38"/>
    <w:p>
      <w:pPr>
        <w:ind w:right="280" w:firstLine="300"/>
        <w:spacing w:after="0" w:line="239" w:lineRule="auto"/>
        <w:rPr>
          <w:sz w:val="20"/>
          <w:szCs w:val="20"/>
          <w:color w:val="auto"/>
        </w:rPr>
      </w:pPr>
      <w:r>
        <w:rPr>
          <w:rFonts w:ascii="Arial" w:cs="Arial" w:eastAsia="Arial" w:hAnsi="Arial"/>
          <w:sz w:val="20"/>
          <w:szCs w:val="20"/>
          <w:color w:val="231F20"/>
        </w:rPr>
        <w:t>We expect a final decision on Class VI UIC permits for our CTV I A1-A2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storage reservoir at Elk Hills and our Class VI permits for CTV II (Union Island) and CTV III (Victoria Island) in 2026. We cannot provide assurances as to the actual timing of EPA’s approval of the Class VI UIC permits, or that those permits will not be challenged, and cannot guarantee how these matters could ultimately delay or otherwise adversely impact our ability to timely execute our CCS projects.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Federal Tax Credits</w:t>
      </w:r>
    </w:p>
    <w:p>
      <w:pPr>
        <w:spacing w:after="0" w:line="18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The Inflation Reduction Act enhanced existing credits for the capture and sequestration of carbon dioxide (45Q credit) by increasing the size of the maximum credit to $85 per metric ton of qualified carbon dioxide when such carbon dioxide is captured from industrial and power generation facilities and to $180 per metric ton of carbon dioxide when a direct air capture facility is utilized to capture such carbon dioxide, and, in each case, when such captured carbon dioxide is disposed of by the taxpayer in secure geological storage. The Inflation Reduction Act also extended the date for when qualifying facilities must begin construction to before January 1, 2033. Further, a direct pay option for the 45Q credit (for a limited five-year period) was added for new projects placed in service after December 31, 2022, and the Inflation Reduction Act provides an option to monetize the 45Q credit through a sale of the 45Q credit to an unrelated taxpayer for tax years beginning after December 31, 2022. These additional energy-related tax incentives enhance the economics for development of CCS projects in California. The accessibility of direct pay, tax equity financing, and the credit transfers market for 45Q credits provided under the Inflation Reduction Act is still developing, and therefore uncertainties and complexities with respect to our (or our partners) ability to efficiently monetize the 45Q credit exist. The One Big Beautiful Bill Act enacted on July 4, 2025, amended section 45Q to restrict certain ownership and debt sources from specified foreign entities.</w:t>
      </w:r>
    </w:p>
    <w:p>
      <w:pPr>
        <w:spacing w:after="0" w:line="193"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 xml:space="preserve">The current administration recently signed several Executive Orders reversing, revoking or rescinding many climate-related actions and has expressed a desire to make modifications to the Inflation Reduction Act. The enactment of any legislation that reduces or eliminates 45Q credits could have an adverse effect on the development of our carbon management business and its prospects. For more information, see </w:t>
      </w:r>
      <w:r>
        <w:rPr>
          <w:rFonts w:ascii="Arial" w:cs="Arial" w:eastAsia="Arial" w:hAnsi="Arial"/>
          <w:sz w:val="20"/>
          <w:szCs w:val="20"/>
          <w:i w:val="1"/>
          <w:iCs w:val="1"/>
          <w:color w:val="231F20"/>
        </w:rPr>
        <w:t>Part 1, Item IA – Risk Factors</w:t>
      </w:r>
      <w:r>
        <w:rPr>
          <w:rFonts w:ascii="Arial" w:cs="Arial" w:eastAsia="Arial" w:hAnsi="Arial"/>
          <w:sz w:val="20"/>
          <w:szCs w:val="20"/>
          <w:color w:val="231F20"/>
        </w:rPr>
        <w:t xml:space="preserve"> – </w:t>
      </w:r>
      <w:r>
        <w:rPr>
          <w:rFonts w:ascii="Arial" w:cs="Arial" w:eastAsia="Arial" w:hAnsi="Arial"/>
          <w:sz w:val="20"/>
          <w:szCs w:val="20"/>
          <w:i w:val="1"/>
          <w:iCs w:val="1"/>
          <w:color w:val="231F20"/>
        </w:rPr>
        <w:t>Risks Related to Carbon TerraVault and Our</w:t>
      </w:r>
      <w:r>
        <w:rPr>
          <w:rFonts w:ascii="Arial" w:cs="Arial" w:eastAsia="Arial" w:hAnsi="Arial"/>
          <w:sz w:val="20"/>
          <w:szCs w:val="20"/>
          <w:color w:val="231F20"/>
        </w:rPr>
        <w:t xml:space="preserve"> </w:t>
      </w:r>
      <w:r>
        <w:rPr>
          <w:rFonts w:ascii="Arial" w:cs="Arial" w:eastAsia="Arial" w:hAnsi="Arial"/>
          <w:sz w:val="20"/>
          <w:szCs w:val="20"/>
          <w:i w:val="1"/>
          <w:iCs w:val="1"/>
          <w:color w:val="231F20"/>
        </w:rPr>
        <w:t>Carbon Management Segment, Our Carbon TerraVault business and other CCS projects depend on financial and tax incentives to be economical, and these incentives may not currently be sufficient for our Carbon TerraVault business and other CCS projects to be economical, may not be fully realized, or could be changed or terminated.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Regulation of Climate Change and Greenhouse Gas (GHG) Emissions</w:t>
      </w:r>
    </w:p>
    <w:p>
      <w:pPr>
        <w:spacing w:after="0" w:line="186"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231F20"/>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While in office, President Biden issued several executive orders on climate change. However, upon the first days in office, the current administration signed several Executive Orders reversing, revoking or rescinding many climate-related actions and it remains to be seen how such Executive Orders may impact our business and what may result from any litigation, administrative or legislative actions relating to such Executive Orders.</w:t>
      </w:r>
    </w:p>
    <w:p>
      <w:pPr>
        <w:spacing w:after="0" w:line="182" w:lineRule="exact"/>
        <w:rPr>
          <w:sz w:val="20"/>
          <w:szCs w:val="20"/>
          <w:color w:val="auto"/>
        </w:rPr>
      </w:pPr>
    </w:p>
    <w:p>
      <w:pPr>
        <w:ind w:right="320" w:firstLine="300"/>
        <w:spacing w:after="0" w:line="245" w:lineRule="auto"/>
        <w:rPr>
          <w:sz w:val="20"/>
          <w:szCs w:val="20"/>
          <w:color w:val="auto"/>
        </w:rPr>
      </w:pPr>
      <w:r>
        <w:rPr>
          <w:rFonts w:ascii="Arial" w:cs="Arial" w:eastAsia="Arial" w:hAnsi="Arial"/>
          <w:sz w:val="20"/>
          <w:szCs w:val="20"/>
          <w:color w:val="231F20"/>
        </w:rPr>
        <w:t>Separately, California has adopted stringent laws and regulations to reduce GHG emissions and may continue to adopt more. The current state laws and regulations:</w:t>
      </w:r>
    </w:p>
    <w:p>
      <w:pPr>
        <w:spacing w:after="0" w:line="181" w:lineRule="exact"/>
        <w:rPr>
          <w:sz w:val="20"/>
          <w:szCs w:val="20"/>
          <w:color w:val="auto"/>
        </w:rPr>
      </w:pPr>
    </w:p>
    <w:p>
      <w:pPr>
        <w:ind w:left="600" w:right="80" w:hanging="300"/>
        <w:spacing w:after="0" w:line="246" w:lineRule="auto"/>
        <w:tabs>
          <w:tab w:leader="none" w:pos="60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established a “cap-and-invest” program for GHG emissions that sets a statewide maximum limit on covered GHG emissions, and this cap declines annually through 2045 (the year that the state’s “cap-and-trade” program currently expires);</w:t>
      </w:r>
    </w:p>
    <w:p>
      <w:pPr>
        <w:spacing w:after="0" w:line="12" w:lineRule="exact"/>
        <w:rPr>
          <w:rFonts w:ascii="Arial" w:cs="Arial" w:eastAsia="Arial" w:hAnsi="Arial"/>
          <w:sz w:val="20"/>
          <w:szCs w:val="20"/>
          <w:color w:val="231F20"/>
        </w:rPr>
      </w:pPr>
    </w:p>
    <w:p>
      <w:pPr>
        <w:ind w:left="600" w:right="100" w:hanging="300"/>
        <w:spacing w:after="0" w:line="243" w:lineRule="auto"/>
        <w:tabs>
          <w:tab w:leader="none" w:pos="600" w:val="left"/>
        </w:tabs>
        <w:numPr>
          <w:ilvl w:val="0"/>
          <w:numId w:val="22"/>
        </w:numPr>
        <w:rPr>
          <w:rFonts w:ascii="Arial" w:cs="Arial" w:eastAsia="Arial" w:hAnsi="Arial"/>
          <w:sz w:val="20"/>
          <w:szCs w:val="20"/>
          <w:color w:val="231F20"/>
        </w:rPr>
      </w:pPr>
      <w:r>
        <w:rPr>
          <w:rFonts w:ascii="Arial" w:cs="Arial" w:eastAsia="Arial" w:hAnsi="Arial"/>
          <w:sz w:val="20"/>
          <w:szCs w:val="20"/>
          <w:color w:val="231F20"/>
        </w:rPr>
        <w:t>require allowances or qualifying offsets for GHGs emitted from California operations and for the volume of natural gas, propane and liquid transportation fuels sold for use in California;</w:t>
      </w:r>
    </w:p>
    <w:p>
      <w:pPr>
        <w:sectPr>
          <w:pgSz w:w="11880" w:h="15480" w:orient="portrait"/>
          <w:cols w:equalWidth="0" w:num="1">
            <w:col w:w="9120"/>
          </w:cols>
          <w:pgMar w:left="1380" w:top="1281" w:right="1380" w:bottom="655"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35</w:t>
      </w:r>
    </w:p>
    <w:p>
      <w:pPr>
        <w:sectPr>
          <w:pgSz w:w="11880" w:h="15480" w:orient="portrait"/>
          <w:cols w:equalWidth="0" w:num="1">
            <w:col w:w="9120"/>
          </w:cols>
          <w:pgMar w:left="1380" w:top="1281" w:right="1380" w:bottom="655" w:gutter="0" w:footer="0" w:header="0"/>
          <w:type w:val="continuous"/>
        </w:sectPr>
      </w:pPr>
    </w:p>
    <w:bookmarkStart w:id="39" w:name="page40"/>
    <w:bookmarkEnd w:id="39"/>
    <w:p>
      <w:pPr>
        <w:ind w:left="600" w:right="100" w:hanging="300"/>
        <w:spacing w:after="0" w:line="248" w:lineRule="auto"/>
        <w:tabs>
          <w:tab w:leader="none" w:pos="60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spacing w:after="0" w:line="11" w:lineRule="exact"/>
        <w:rPr>
          <w:rFonts w:ascii="Arial" w:cs="Arial" w:eastAsia="Arial" w:hAnsi="Arial"/>
          <w:sz w:val="20"/>
          <w:szCs w:val="20"/>
          <w:color w:val="231F20"/>
        </w:rPr>
      </w:pPr>
    </w:p>
    <w:p>
      <w:pPr>
        <w:ind w:left="600" w:right="680" w:hanging="300"/>
        <w:spacing w:after="0" w:line="243" w:lineRule="auto"/>
        <w:tabs>
          <w:tab w:leader="none" w:pos="60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mandated that California derive 60% of its electricity for retail customers from renewable resources by 2030;</w:t>
      </w:r>
    </w:p>
    <w:p>
      <w:pPr>
        <w:spacing w:after="0" w:line="14" w:lineRule="exact"/>
        <w:rPr>
          <w:rFonts w:ascii="Arial" w:cs="Arial" w:eastAsia="Arial" w:hAnsi="Arial"/>
          <w:sz w:val="20"/>
          <w:szCs w:val="20"/>
          <w:color w:val="231F20"/>
        </w:rPr>
      </w:pPr>
    </w:p>
    <w:p>
      <w:pPr>
        <w:ind w:left="600" w:right="100" w:hanging="300"/>
        <w:spacing w:after="0" w:line="243" w:lineRule="auto"/>
        <w:tabs>
          <w:tab w:leader="none" w:pos="60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established a policy to derive all of California’s retail electricity from renewable or “zero-carbon” resources by 2045, subject to required evaluation of the feasibility by state agencies;</w:t>
      </w:r>
    </w:p>
    <w:p>
      <w:pPr>
        <w:spacing w:after="0" w:line="14" w:lineRule="exact"/>
        <w:rPr>
          <w:rFonts w:ascii="Arial" w:cs="Arial" w:eastAsia="Arial" w:hAnsi="Arial"/>
          <w:sz w:val="20"/>
          <w:szCs w:val="20"/>
          <w:color w:val="231F20"/>
        </w:rPr>
      </w:pPr>
    </w:p>
    <w:p>
      <w:pPr>
        <w:ind w:left="600" w:right="280" w:hanging="300"/>
        <w:spacing w:after="0" w:line="246" w:lineRule="auto"/>
        <w:tabs>
          <w:tab w:leader="none" w:pos="60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imposed state goals to double the energy efficiency of buildings by 2030 and to reduce emissions of methane and fluorocarbon gases by 40% and black carbon by 50% below 2013 levels by 2030; and</w:t>
      </w:r>
    </w:p>
    <w:p>
      <w:pPr>
        <w:spacing w:after="0" w:line="12" w:lineRule="exact"/>
        <w:rPr>
          <w:rFonts w:ascii="Arial" w:cs="Arial" w:eastAsia="Arial" w:hAnsi="Arial"/>
          <w:sz w:val="20"/>
          <w:szCs w:val="20"/>
          <w:color w:val="231F20"/>
        </w:rPr>
      </w:pPr>
    </w:p>
    <w:p>
      <w:pPr>
        <w:ind w:left="600" w:hanging="300"/>
        <w:spacing w:after="0" w:line="243" w:lineRule="auto"/>
        <w:tabs>
          <w:tab w:leader="none" w:pos="600" w:val="left"/>
        </w:tabs>
        <w:numPr>
          <w:ilvl w:val="0"/>
          <w:numId w:val="23"/>
        </w:numPr>
        <w:rPr>
          <w:rFonts w:ascii="Arial" w:cs="Arial" w:eastAsia="Arial" w:hAnsi="Arial"/>
          <w:sz w:val="20"/>
          <w:szCs w:val="20"/>
          <w:color w:val="231F20"/>
        </w:rPr>
      </w:pPr>
      <w:r>
        <w:rPr>
          <w:rFonts w:ascii="Arial" w:cs="Arial" w:eastAsia="Arial" w:hAnsi="Arial"/>
          <w:sz w:val="20"/>
          <w:szCs w:val="20"/>
          <w:color w:val="231F20"/>
        </w:rPr>
        <w:t>mandated that all new single family and low–rise multifamily housing construction in California include rooftop solar systems or direct connection to a state–approved community solar system.</w:t>
      </w:r>
    </w:p>
    <w:p>
      <w:pPr>
        <w:spacing w:after="0" w:line="194" w:lineRule="exact"/>
        <w:rPr>
          <w:sz w:val="20"/>
          <w:szCs w:val="20"/>
          <w:color w:val="auto"/>
        </w:rPr>
      </w:pPr>
    </w:p>
    <w:p>
      <w:pPr>
        <w:ind w:firstLine="300"/>
        <w:spacing w:after="0" w:line="266" w:lineRule="auto"/>
        <w:rPr>
          <w:sz w:val="20"/>
          <w:szCs w:val="20"/>
          <w:color w:val="auto"/>
        </w:rPr>
      </w:pPr>
      <w:r>
        <w:rPr>
          <w:rFonts w:ascii="Arial" w:cs="Arial" w:eastAsia="Arial" w:hAnsi="Arial"/>
          <w:sz w:val="19"/>
          <w:szCs w:val="19"/>
          <w:color w:val="231F20"/>
        </w:rPr>
        <w:t>In November 2024, CARB finalized amendments to the LCFS Regulation which included increasing 2030 carbon intensity (CI) targets from 20% to 30% and extending CI reductions to 90% by 2045. Additional updates include additional funding of zero-emission vehicle charging and hydrogen fueling infrastructure, amongst other matters. The final rulemaking package was enacted in June 2025.</w:t>
      </w:r>
    </w:p>
    <w:p>
      <w:pPr>
        <w:spacing w:after="0" w:line="171"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California’s cap-and-invest program is a market-based emissions reduction program to limit GHG emissions. AB 1207, further discussed above, extends the cap-and-invest program through 2045. The program applies to major GHG-emitting sources such as electricity generation and industrial facilities, with set carbon benchmarks that gradually decrease each year. Covered emitters must either reduce their emissions below this benchmark or purchase allowances at auction, incentivizing investment in lower-emissions technologies. However, unlike the LCFS, CARB’s CCS protocol has not yet been incorporated into the cap-and-invest program. The timing for the adoption of a protocol is unclear. Until CARB adopts a CCS protocol for cap-and-invest, the program does not have a mechanism for GHG emissions sequestered using CCS to be incorporated into the program and may be treated no different than unabated emissions. If CARB fails to adopt a CCS protocol for cap-and-invest, this could result in certain projects becoming less or non-economical, which in turn could limit our ability to successfully pursue certain CCS projects in the future. We are exploring alternative approaches to account for carbon capture under the California cap-and-invest program, but we cannot guarantee that CARB will accept these alternative approaches or that we will be able to pursue them in a timely manner to support our carbon capture projects.</w:t>
      </w:r>
    </w:p>
    <w:p>
      <w:pPr>
        <w:spacing w:after="0" w:line="18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 xml:space="preserve">In addition, the current Governor of California and certain municipalities in California have announced their commitment to adhere to GHG reductions called for in the Paris Agreement through executive orders, pledges, resolutions and memoranda of understanding or other agreements with various other countries, U.S. states, Canadian provinces and municipalities. In furtherance of this commitment, in September 2022, the Governor of California signed Assembly Bill No. 1279 into law, which codifies a previously issued executive order by the Governor’s Office requiring the state to achieve carbon neutrality by 2045. In addition, the Governor of California previously issued an executive order directing several agencies to take further actions with respect to reducing emissions of GHGs. The Governor has also directed state agencies to implement other measures to mitigate climate change and strengthen biodiversity, such as via the conservation of 30% of state lands and waters by 2030. For more information, see </w:t>
      </w:r>
      <w:r>
        <w:rPr>
          <w:rFonts w:ascii="Arial" w:cs="Arial" w:eastAsia="Arial" w:hAnsi="Arial"/>
          <w:sz w:val="20"/>
          <w:szCs w:val="20"/>
          <w:i w:val="1"/>
          <w:iCs w:val="1"/>
          <w:color w:val="231F20"/>
        </w:rPr>
        <w:t>Part I, Item 1A – Risk Factors, Risks Related to Regulation</w:t>
      </w:r>
      <w:r>
        <w:rPr>
          <w:rFonts w:ascii="Arial" w:cs="Arial" w:eastAsia="Arial" w:hAnsi="Arial"/>
          <w:sz w:val="20"/>
          <w:szCs w:val="20"/>
          <w:color w:val="231F20"/>
        </w:rPr>
        <w:t xml:space="preserve"> </w:t>
      </w:r>
      <w:r>
        <w:rPr>
          <w:rFonts w:ascii="Arial" w:cs="Arial" w:eastAsia="Arial" w:hAnsi="Arial"/>
          <w:sz w:val="20"/>
          <w:szCs w:val="20"/>
          <w:i w:val="1"/>
          <w:iCs w:val="1"/>
          <w:color w:val="231F20"/>
        </w:rPr>
        <w:t>and Government Action, Recent and future actions by the State of California could reduce both the demand for and supply of oil and natural gas within the state and consequently have a material adverse effect on our business, and financial condition and results of operations.</w:t>
      </w:r>
    </w:p>
    <w:p>
      <w:pPr>
        <w:spacing w:after="0" w:line="200" w:lineRule="exact"/>
        <w:rPr>
          <w:sz w:val="20"/>
          <w:szCs w:val="20"/>
          <w:color w:val="auto"/>
        </w:rPr>
      </w:pPr>
    </w:p>
    <w:p>
      <w:pPr>
        <w:ind w:right="100" w:firstLine="300"/>
        <w:spacing w:after="0" w:line="268" w:lineRule="auto"/>
        <w:rPr>
          <w:sz w:val="20"/>
          <w:szCs w:val="20"/>
          <w:color w:val="auto"/>
        </w:rPr>
      </w:pPr>
      <w:r>
        <w:rPr>
          <w:rFonts w:ascii="Arial" w:cs="Arial" w:eastAsia="Arial" w:hAnsi="Arial"/>
          <w:sz w:val="19"/>
          <w:szCs w:val="19"/>
          <w:color w:val="231F20"/>
        </w:rPr>
        <w:t>The EPA and the CARB have also expanded direct regulation of methane as a contributor to GHG emissions. For example, in December 2023, the EPA finalized more stringent methane rules for new,</w:t>
      </w:r>
    </w:p>
    <w:p>
      <w:pPr>
        <w:sectPr>
          <w:pgSz w:w="11880" w:h="15480" w:orient="portrait"/>
          <w:cols w:equalWidth="0" w:num="1">
            <w:col w:w="9080"/>
          </w:cols>
          <w:pgMar w:left="1380" w:top="1316" w:right="1420" w:bottom="653"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36</w:t>
      </w:r>
    </w:p>
    <w:p>
      <w:pPr>
        <w:sectPr>
          <w:pgSz w:w="11880" w:h="15480" w:orient="portrait"/>
          <w:cols w:equalWidth="0" w:num="1">
            <w:col w:w="9080"/>
          </w:cols>
          <w:pgMar w:left="1380" w:top="1316" w:right="1420" w:bottom="653" w:gutter="0" w:footer="0" w:header="0"/>
          <w:type w:val="continuous"/>
        </w:sectPr>
      </w:pPr>
    </w:p>
    <w:bookmarkStart w:id="40" w:name="page41"/>
    <w:bookmarkEnd w:id="40"/>
    <w:p>
      <w:pPr>
        <w:spacing w:after="0" w:line="249" w:lineRule="auto"/>
        <w:rPr>
          <w:sz w:val="20"/>
          <w:szCs w:val="20"/>
          <w:color w:val="auto"/>
        </w:rPr>
      </w:pPr>
      <w:r>
        <w:rPr>
          <w:rFonts w:ascii="Arial" w:cs="Arial" w:eastAsia="Arial" w:hAnsi="Arial"/>
          <w:sz w:val="20"/>
          <w:szCs w:val="20"/>
          <w:color w:val="231F20"/>
        </w:rPr>
        <w:t>modified, and reconstructed facilities, known as OOOOb, as well as standards for existing sources, known as OOOOc. However, the rule is currently being challenged and, in December 2025, the EPA finalized a rule extending various compliance deadlines pursuant to OOOOb and OOOOc. Additionally, following the change in administration, further proposals have been made to repeal or otherwise modify these requirements, including the EPA’s GHG “Endangerment Finding,” which underpins the majority of EPA’s GHG regulations. We cannot predict whether such efforts will ultimately be successful.</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Regulation of Transportation, Marketing and Sale of Our Products</w:t>
      </w:r>
    </w:p>
    <w:p>
      <w:pPr>
        <w:spacing w:after="0" w:line="255" w:lineRule="exact"/>
        <w:rPr>
          <w:sz w:val="20"/>
          <w:szCs w:val="20"/>
          <w:color w:val="auto"/>
        </w:rPr>
      </w:pPr>
    </w:p>
    <w:p>
      <w:pPr>
        <w:ind w:right="840" w:firstLine="300"/>
        <w:spacing w:after="0" w:line="243" w:lineRule="auto"/>
        <w:rPr>
          <w:sz w:val="20"/>
          <w:szCs w:val="20"/>
          <w:color w:val="auto"/>
        </w:rPr>
      </w:pPr>
      <w:r>
        <w:rPr>
          <w:rFonts w:ascii="Arial" w:cs="Arial" w:eastAsia="Arial" w:hAnsi="Arial"/>
          <w:sz w:val="20"/>
          <w:szCs w:val="20"/>
          <w:color w:val="231F20"/>
        </w:rPr>
        <w:t>Our sales prices of oil, NGLs and natural gas in the U.S. are set by the market and are not presently regulated.</w:t>
      </w:r>
    </w:p>
    <w:p>
      <w:pPr>
        <w:spacing w:after="0" w:line="254" w:lineRule="exact"/>
        <w:rPr>
          <w:sz w:val="20"/>
          <w:szCs w:val="20"/>
          <w:color w:val="auto"/>
        </w:rPr>
      </w:pPr>
    </w:p>
    <w:p>
      <w:pPr>
        <w:ind w:right="100" w:firstLine="300"/>
        <w:spacing w:after="0" w:line="246" w:lineRule="auto"/>
        <w:rPr>
          <w:sz w:val="20"/>
          <w:szCs w:val="20"/>
          <w:color w:val="auto"/>
        </w:rPr>
      </w:pPr>
      <w:r>
        <w:rPr>
          <w:rFonts w:ascii="Arial" w:cs="Arial" w:eastAsia="Arial" w:hAnsi="Arial"/>
          <w:sz w:val="20"/>
          <w:szCs w:val="20"/>
          <w:color w:val="231F20"/>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253" w:lineRule="exact"/>
        <w:rPr>
          <w:sz w:val="20"/>
          <w:szCs w:val="20"/>
          <w:color w:val="auto"/>
        </w:rPr>
      </w:pPr>
    </w:p>
    <w:p>
      <w:pPr>
        <w:ind w:left="600" w:right="200" w:hanging="300"/>
        <w:spacing w:after="0" w:line="245" w:lineRule="auto"/>
        <w:tabs>
          <w:tab w:leader="none" w:pos="60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interstate and intrastate pipeline transportation rates for oil, natural gas and NGLs in regulated pipeline systems;</w:t>
      </w:r>
    </w:p>
    <w:p>
      <w:pPr>
        <w:spacing w:after="0" w:line="5" w:lineRule="exact"/>
        <w:rPr>
          <w:rFonts w:ascii="Arial" w:cs="Arial" w:eastAsia="Arial" w:hAnsi="Arial"/>
          <w:sz w:val="20"/>
          <w:szCs w:val="20"/>
          <w:color w:val="231F20"/>
        </w:rPr>
      </w:pPr>
    </w:p>
    <w:p>
      <w:pPr>
        <w:ind w:left="600" w:hanging="300"/>
        <w:spacing w:after="0"/>
        <w:tabs>
          <w:tab w:leader="none" w:pos="60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prevention of market manipulation in the oil, natural gas, NGL and power markets;</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market transparency rules with respect to natural gas and power markets;</w:t>
      </w:r>
    </w:p>
    <w:p>
      <w:pPr>
        <w:spacing w:after="0" w:line="14" w:lineRule="exact"/>
        <w:rPr>
          <w:rFonts w:ascii="Arial" w:cs="Arial" w:eastAsia="Arial" w:hAnsi="Arial"/>
          <w:sz w:val="20"/>
          <w:szCs w:val="20"/>
          <w:color w:val="231F20"/>
        </w:rPr>
      </w:pPr>
    </w:p>
    <w:p>
      <w:pPr>
        <w:ind w:left="600" w:right="140" w:hanging="300"/>
        <w:spacing w:after="0" w:line="245" w:lineRule="auto"/>
        <w:tabs>
          <w:tab w:leader="none" w:pos="60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the physical and futures energy commodities market, including financial derivative and hedging activity; and</w:t>
      </w:r>
    </w:p>
    <w:p>
      <w:pPr>
        <w:spacing w:after="0" w:line="10" w:lineRule="exact"/>
        <w:rPr>
          <w:rFonts w:ascii="Arial" w:cs="Arial" w:eastAsia="Arial" w:hAnsi="Arial"/>
          <w:sz w:val="20"/>
          <w:szCs w:val="20"/>
          <w:color w:val="231F20"/>
        </w:rPr>
      </w:pPr>
    </w:p>
    <w:p>
      <w:pPr>
        <w:ind w:left="600" w:right="80" w:hanging="300"/>
        <w:spacing w:after="0" w:line="245" w:lineRule="auto"/>
        <w:tabs>
          <w:tab w:leader="none" w:pos="600" w:val="left"/>
        </w:tabs>
        <w:numPr>
          <w:ilvl w:val="0"/>
          <w:numId w:val="24"/>
        </w:numPr>
        <w:rPr>
          <w:rFonts w:ascii="Arial" w:cs="Arial" w:eastAsia="Arial" w:hAnsi="Arial"/>
          <w:sz w:val="20"/>
          <w:szCs w:val="20"/>
          <w:color w:val="231F20"/>
        </w:rPr>
      </w:pPr>
      <w:r>
        <w:rPr>
          <w:rFonts w:ascii="Arial" w:cs="Arial" w:eastAsia="Arial" w:hAnsi="Arial"/>
          <w:sz w:val="20"/>
          <w:szCs w:val="20"/>
          <w:color w:val="231F20"/>
        </w:rPr>
        <w:t>prevention of discrimination in natural gas gathering operations in favor of producers or sources of supply.</w:t>
      </w:r>
    </w:p>
    <w:p>
      <w:pPr>
        <w:spacing w:after="0" w:line="250" w:lineRule="exact"/>
        <w:rPr>
          <w:sz w:val="20"/>
          <w:szCs w:val="20"/>
          <w:color w:val="auto"/>
        </w:rPr>
      </w:pPr>
    </w:p>
    <w:p>
      <w:pPr>
        <w:jc w:val="both"/>
        <w:ind w:right="520" w:firstLine="300"/>
        <w:spacing w:after="0" w:line="247" w:lineRule="auto"/>
        <w:rPr>
          <w:sz w:val="20"/>
          <w:szCs w:val="20"/>
          <w:color w:val="auto"/>
        </w:rPr>
      </w:pPr>
      <w:r>
        <w:rPr>
          <w:rFonts w:ascii="Arial" w:cs="Arial" w:eastAsia="Arial" w:hAnsi="Arial"/>
          <w:sz w:val="20"/>
          <w:szCs w:val="20"/>
          <w:color w:val="231F20"/>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250" w:lineRule="exact"/>
        <w:rPr>
          <w:sz w:val="20"/>
          <w:szCs w:val="20"/>
          <w:color w:val="auto"/>
        </w:rPr>
      </w:pPr>
    </w:p>
    <w:p>
      <w:pPr>
        <w:jc w:val="both"/>
        <w:ind w:right="140" w:firstLine="300"/>
        <w:spacing w:after="0" w:line="248" w:lineRule="auto"/>
        <w:rPr>
          <w:sz w:val="20"/>
          <w:szCs w:val="20"/>
          <w:color w:val="auto"/>
        </w:rPr>
      </w:pPr>
      <w:r>
        <w:rPr>
          <w:rFonts w:ascii="Arial" w:cs="Arial" w:eastAsia="Arial" w:hAnsi="Arial"/>
          <w:sz w:val="20"/>
          <w:szCs w:val="20"/>
          <w:color w:val="231F20"/>
        </w:rPr>
        <w:t>International treaties and regulations also affect the marketing or sale of our products. 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Available Information</w:t>
      </w:r>
    </w:p>
    <w:p>
      <w:pPr>
        <w:spacing w:after="0" w:line="25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We make available, free of charge on our website www.crc.com, our Annual Reports on Form 10-K, Quarterly Reports on Form 10-Q, Current Reports on Form 8-K, Definitive Proxy Statements and amendments to those reports filed or furnished, if any, as soon as reasonably practicable after we electronically file such material with, or furnish it to, the SEC. Unless otherwise provided herein, information contained on our website is not part of this report. The SEC maintains an internet site, http://www.sec.gov, that contains reports, proxy and information statements, and other information regarding issuers that file electronically with the SEC.</w:t>
      </w:r>
    </w:p>
    <w:p>
      <w:pPr>
        <w:spacing w:after="0" w:line="250"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231F20"/>
        </w:rPr>
        <w:t>In addition to its reports filed or furnished with the SEC, the Company publicly discloses material information from time to time in its press releases, at annual meetings of Shareholders, in publicly accessible conferences and investor presentations, and through its website (principally in its Investor Relations page). References to the Company’s website in this Form 10-K are provided as a convenience and do not constitute, and should not be deemed, an incorporation by reference of the information contained on, or available through, the website, and such information should not be considered part of this Form 10-K.</w:t>
      </w:r>
    </w:p>
    <w:p>
      <w:pPr>
        <w:sectPr>
          <w:pgSz w:w="11880" w:h="15480" w:orient="portrait"/>
          <w:cols w:equalWidth="0" w:num="1">
            <w:col w:w="9120"/>
          </w:cols>
          <w:pgMar w:left="1380" w:top="1316" w:right="1380" w:bottom="653"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37</w:t>
      </w:r>
    </w:p>
    <w:p>
      <w:pPr>
        <w:sectPr>
          <w:pgSz w:w="11880" w:h="15480" w:orient="portrait"/>
          <w:cols w:equalWidth="0" w:num="1">
            <w:col w:w="9120"/>
          </w:cols>
          <w:pgMar w:left="1380" w:top="1316" w:right="1380" w:bottom="653" w:gutter="0" w:footer="0" w:header="0"/>
          <w:type w:val="continuous"/>
        </w:sectPr>
      </w:pPr>
    </w:p>
    <w:bookmarkStart w:id="41" w:name="page42"/>
    <w:bookmarkEnd w:id="41"/>
    <w:p>
      <w:pPr>
        <w:spacing w:after="0"/>
        <w:tabs>
          <w:tab w:leader="none" w:pos="1080" w:val="left"/>
        </w:tabs>
        <w:rPr>
          <w:sz w:val="20"/>
          <w:szCs w:val="20"/>
          <w:color w:val="auto"/>
        </w:rPr>
      </w:pPr>
      <w:r>
        <w:rPr>
          <w:rFonts w:ascii="Arial" w:cs="Arial" w:eastAsia="Arial" w:hAnsi="Arial"/>
          <w:sz w:val="20"/>
          <w:szCs w:val="20"/>
          <w:b w:val="1"/>
          <w:bCs w:val="1"/>
          <w:color w:val="231F20"/>
        </w:rPr>
        <w:t>ITEM 1A</w:t>
      </w:r>
      <w:r>
        <w:rPr>
          <w:sz w:val="20"/>
          <w:szCs w:val="20"/>
          <w:color w:val="auto"/>
        </w:rPr>
        <w:tab/>
      </w:r>
      <w:r>
        <w:rPr>
          <w:rFonts w:ascii="Arial" w:cs="Arial" w:eastAsia="Arial" w:hAnsi="Arial"/>
          <w:sz w:val="19"/>
          <w:szCs w:val="19"/>
          <w:b w:val="1"/>
          <w:bCs w:val="1"/>
          <w:color w:val="231F20"/>
        </w:rPr>
        <w:t>RISK FACTORS</w:t>
      </w:r>
    </w:p>
    <w:p>
      <w:pPr>
        <w:spacing w:after="0" w:line="177"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231F20"/>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insignificant.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Summary: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Risks Related to Our Oil and Gas Business</w:t>
      </w:r>
    </w:p>
    <w:p>
      <w:pPr>
        <w:spacing w:after="0" w:line="17" w:lineRule="exact"/>
        <w:rPr>
          <w:sz w:val="20"/>
          <w:szCs w:val="20"/>
          <w:color w:val="auto"/>
        </w:rPr>
      </w:pPr>
    </w:p>
    <w:p>
      <w:pPr>
        <w:jc w:val="both"/>
        <w:ind w:left="600" w:right="160" w:hanging="300"/>
        <w:spacing w:after="0" w:line="246" w:lineRule="auto"/>
        <w:tabs>
          <w:tab w:leader="none" w:pos="60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Prices for our products are volatile and a substantial decline in prices over an extended period could have a material adverse effect on our financial condition, results of operations, cash flow and ability to invest in our assets.</w:t>
      </w:r>
    </w:p>
    <w:p>
      <w:pPr>
        <w:spacing w:after="0" w:line="12" w:lineRule="exact"/>
        <w:rPr>
          <w:rFonts w:ascii="Arial" w:cs="Arial" w:eastAsia="Arial" w:hAnsi="Arial"/>
          <w:sz w:val="20"/>
          <w:szCs w:val="20"/>
          <w:color w:val="231F20"/>
        </w:rPr>
      </w:pPr>
    </w:p>
    <w:p>
      <w:pPr>
        <w:ind w:left="600" w:right="520" w:hanging="300"/>
        <w:spacing w:after="0" w:line="246" w:lineRule="auto"/>
        <w:tabs>
          <w:tab w:leader="none" w:pos="60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Our producing properties are located primarily in California, making us vulnerable to risks associated with having operations concentrated in this geographic area, including drought, earthquake and wildfire risks.</w:t>
      </w:r>
    </w:p>
    <w:p>
      <w:pPr>
        <w:spacing w:after="0" w:line="12" w:lineRule="exact"/>
        <w:rPr>
          <w:rFonts w:ascii="Arial" w:cs="Arial" w:eastAsia="Arial" w:hAnsi="Arial"/>
          <w:sz w:val="20"/>
          <w:szCs w:val="20"/>
          <w:color w:val="231F20"/>
        </w:rPr>
      </w:pPr>
    </w:p>
    <w:p>
      <w:pPr>
        <w:ind w:left="600" w:hanging="300"/>
        <w:spacing w:after="0" w:line="247" w:lineRule="auto"/>
        <w:tabs>
          <w:tab w:leader="none" w:pos="60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Drilling for and producing oil and natural gas carries significant operational risks and uncertainty. We may not drill wells at the times we schedule, or at all. Wells we do drill may not yield production in economic quantities or generate the expected payback.</w:t>
      </w:r>
    </w:p>
    <w:p>
      <w:pPr>
        <w:spacing w:after="0" w:line="9" w:lineRule="exact"/>
        <w:rPr>
          <w:rFonts w:ascii="Arial" w:cs="Arial" w:eastAsia="Arial" w:hAnsi="Arial"/>
          <w:sz w:val="20"/>
          <w:szCs w:val="20"/>
          <w:color w:val="231F20"/>
        </w:rPr>
      </w:pPr>
    </w:p>
    <w:p>
      <w:pPr>
        <w:jc w:val="both"/>
        <w:ind w:left="600" w:right="440" w:hanging="300"/>
        <w:spacing w:after="0" w:line="245" w:lineRule="auto"/>
        <w:tabs>
          <w:tab w:leader="none" w:pos="60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Our business involves substantial capital investments, and we may be unable to fund these investments which could lead to a decline in our oil and natural gas reserves or production.</w:t>
      </w:r>
    </w:p>
    <w:p>
      <w:pPr>
        <w:spacing w:after="0" w:line="10" w:lineRule="exact"/>
        <w:rPr>
          <w:rFonts w:ascii="Arial" w:cs="Arial" w:eastAsia="Arial" w:hAnsi="Arial"/>
          <w:sz w:val="20"/>
          <w:szCs w:val="20"/>
          <w:color w:val="231F20"/>
        </w:rPr>
      </w:pPr>
    </w:p>
    <w:p>
      <w:pPr>
        <w:ind w:left="600" w:right="640" w:hanging="300"/>
        <w:spacing w:after="0" w:line="245" w:lineRule="auto"/>
        <w:tabs>
          <w:tab w:leader="none" w:pos="60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Reductions in California refining and pipeline capacity could adversely affect our ability to market our production and our realized prices.</w:t>
      </w:r>
    </w:p>
    <w:p>
      <w:pPr>
        <w:spacing w:after="0" w:line="10" w:lineRule="exact"/>
        <w:rPr>
          <w:rFonts w:ascii="Arial" w:cs="Arial" w:eastAsia="Arial" w:hAnsi="Arial"/>
          <w:sz w:val="20"/>
          <w:szCs w:val="20"/>
          <w:color w:val="231F20"/>
        </w:rPr>
      </w:pPr>
    </w:p>
    <w:p>
      <w:pPr>
        <w:ind w:left="600" w:right="140" w:hanging="300"/>
        <w:spacing w:after="0" w:line="245" w:lineRule="auto"/>
        <w:tabs>
          <w:tab w:leader="none" w:pos="60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We may be negatively impacted by inflation, including through increased operating, capital and financing costs.</w:t>
      </w:r>
    </w:p>
    <w:p>
      <w:pPr>
        <w:spacing w:after="0" w:line="10" w:lineRule="exact"/>
        <w:rPr>
          <w:rFonts w:ascii="Arial" w:cs="Arial" w:eastAsia="Arial" w:hAnsi="Arial"/>
          <w:sz w:val="20"/>
          <w:szCs w:val="20"/>
          <w:color w:val="231F20"/>
        </w:rPr>
      </w:pPr>
    </w:p>
    <w:p>
      <w:pPr>
        <w:ind w:left="600" w:right="640" w:hanging="300"/>
        <w:spacing w:after="0" w:line="245" w:lineRule="auto"/>
        <w:tabs>
          <w:tab w:leader="none" w:pos="60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We are subject to economic downturns and the effects of public health events which may materially and adversely affect the demand and the market price for our products.</w:t>
      </w:r>
    </w:p>
    <w:p>
      <w:pPr>
        <w:spacing w:after="0" w:line="5" w:lineRule="exact"/>
        <w:rPr>
          <w:rFonts w:ascii="Arial" w:cs="Arial" w:eastAsia="Arial" w:hAnsi="Arial"/>
          <w:sz w:val="20"/>
          <w:szCs w:val="20"/>
          <w:color w:val="231F20"/>
        </w:rPr>
      </w:pPr>
    </w:p>
    <w:p>
      <w:pPr>
        <w:ind w:left="600" w:hanging="300"/>
        <w:spacing w:after="0"/>
        <w:tabs>
          <w:tab w:leader="none" w:pos="600" w:val="left"/>
        </w:tabs>
        <w:numPr>
          <w:ilvl w:val="0"/>
          <w:numId w:val="25"/>
        </w:numPr>
        <w:rPr>
          <w:rFonts w:ascii="Arial" w:cs="Arial" w:eastAsia="Arial" w:hAnsi="Arial"/>
          <w:sz w:val="20"/>
          <w:szCs w:val="20"/>
          <w:color w:val="231F20"/>
        </w:rPr>
      </w:pPr>
      <w:r>
        <w:rPr>
          <w:rFonts w:ascii="Arial" w:cs="Arial" w:eastAsia="Arial" w:hAnsi="Arial"/>
          <w:sz w:val="20"/>
          <w:szCs w:val="20"/>
          <w:color w:val="231F20"/>
        </w:rPr>
        <w:t>The other risk factors described under Risks Related to Our Oil and Gas Business below.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Risks Related to Carbon TerraVault and Our Carbon Management Segment</w:t>
      </w:r>
    </w:p>
    <w:p>
      <w:pPr>
        <w:spacing w:after="0" w:line="15" w:lineRule="exact"/>
        <w:rPr>
          <w:sz w:val="20"/>
          <w:szCs w:val="20"/>
          <w:color w:val="auto"/>
        </w:rPr>
      </w:pPr>
    </w:p>
    <w:p>
      <w:pPr>
        <w:ind w:left="600" w:right="480" w:hanging="300"/>
        <w:spacing w:after="0" w:line="245" w:lineRule="auto"/>
        <w:tabs>
          <w:tab w:leader="none" w:pos="60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We may not be able to grow our Carbon TerraVault business and develop large scale CCS projects.</w:t>
      </w:r>
    </w:p>
    <w:p>
      <w:pPr>
        <w:spacing w:after="0" w:line="10" w:lineRule="exact"/>
        <w:rPr>
          <w:rFonts w:ascii="Arial" w:cs="Arial" w:eastAsia="Arial" w:hAnsi="Arial"/>
          <w:sz w:val="20"/>
          <w:szCs w:val="20"/>
          <w:color w:val="231F20"/>
        </w:rPr>
      </w:pPr>
    </w:p>
    <w:p>
      <w:pPr>
        <w:ind w:left="600" w:right="280" w:hanging="300"/>
        <w:spacing w:after="0" w:line="245" w:lineRule="auto"/>
        <w:tabs>
          <w:tab w:leader="none" w:pos="60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Our ability to achieve our emissions goals, including our Responsible Net Zero objective, and other carbon management objectives is subject to significant risks and uncertainties.</w:t>
      </w:r>
    </w:p>
    <w:p>
      <w:pPr>
        <w:spacing w:after="0" w:line="10" w:lineRule="exact"/>
        <w:rPr>
          <w:rFonts w:ascii="Arial" w:cs="Arial" w:eastAsia="Arial" w:hAnsi="Arial"/>
          <w:sz w:val="20"/>
          <w:szCs w:val="20"/>
          <w:color w:val="231F20"/>
        </w:rPr>
      </w:pPr>
    </w:p>
    <w:p>
      <w:pPr>
        <w:ind w:left="600" w:right="40" w:hanging="300"/>
        <w:spacing w:after="0" w:line="247" w:lineRule="auto"/>
        <w:tabs>
          <w:tab w:leader="none" w:pos="60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Our Carbon TerraVault business and other CCS projects depend on financial and tax incentives to be economical, and these incentives may be insufficient, unavailable, delayed, reduced or terminated.</w:t>
      </w:r>
    </w:p>
    <w:p>
      <w:pPr>
        <w:spacing w:after="0" w:line="9" w:lineRule="exact"/>
        <w:rPr>
          <w:rFonts w:ascii="Arial" w:cs="Arial" w:eastAsia="Arial" w:hAnsi="Arial"/>
          <w:sz w:val="20"/>
          <w:szCs w:val="20"/>
          <w:color w:val="231F20"/>
        </w:rPr>
      </w:pPr>
    </w:p>
    <w:p>
      <w:pPr>
        <w:ind w:left="600" w:right="820" w:hanging="300"/>
        <w:spacing w:after="0" w:line="245" w:lineRule="auto"/>
        <w:tabs>
          <w:tab w:leader="none" w:pos="60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Our Carbon TerraVault JV with Brookfield is subject to inherent uncertainties that could adversely affect our ability to implement our carbon management strategy.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Risk Factors Related to Our Business Generally</w:t>
      </w:r>
    </w:p>
    <w:p>
      <w:pPr>
        <w:spacing w:after="0" w:line="17" w:lineRule="exact"/>
        <w:rPr>
          <w:sz w:val="20"/>
          <w:szCs w:val="20"/>
          <w:color w:val="auto"/>
        </w:rPr>
      </w:pPr>
    </w:p>
    <w:p>
      <w:pPr>
        <w:ind w:left="600" w:right="20" w:hanging="300"/>
        <w:spacing w:after="0" w:line="246" w:lineRule="auto"/>
        <w:tabs>
          <w:tab w:leader="none" w:pos="60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Increasing activism against the industries in which we operate, including the oil and gas industry and our involvement in carbon capture, storage, utilization and sequestration, presents risks to our business.</w:t>
      </w:r>
    </w:p>
    <w:p>
      <w:pPr>
        <w:spacing w:after="0" w:line="12" w:lineRule="exact"/>
        <w:rPr>
          <w:rFonts w:ascii="Arial" w:cs="Arial" w:eastAsia="Arial" w:hAnsi="Arial"/>
          <w:sz w:val="20"/>
          <w:szCs w:val="20"/>
          <w:color w:val="231F20"/>
        </w:rPr>
      </w:pPr>
    </w:p>
    <w:p>
      <w:pPr>
        <w:ind w:left="600" w:right="60" w:hanging="300"/>
        <w:spacing w:after="0" w:line="243" w:lineRule="auto"/>
        <w:tabs>
          <w:tab w:leader="none" w:pos="60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Changes in expectations as to ESG matters may adversely impact our business, regulation and access to capital.</w:t>
      </w:r>
    </w:p>
    <w:p>
      <w:pPr>
        <w:spacing w:after="0" w:line="14" w:lineRule="exact"/>
        <w:rPr>
          <w:rFonts w:ascii="Arial" w:cs="Arial" w:eastAsia="Arial" w:hAnsi="Arial"/>
          <w:sz w:val="20"/>
          <w:szCs w:val="20"/>
          <w:color w:val="231F20"/>
        </w:rPr>
      </w:pPr>
    </w:p>
    <w:p>
      <w:pPr>
        <w:ind w:left="600" w:right="540" w:hanging="300"/>
        <w:spacing w:after="0" w:line="243" w:lineRule="auto"/>
        <w:tabs>
          <w:tab w:leader="none" w:pos="60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Mergers, acquisitions and dispositions, including continued integration of the Berry Merger completed in December 2025, involve substantial risks.</w:t>
      </w:r>
    </w:p>
    <w:p>
      <w:pPr>
        <w:spacing w:after="0" w:line="7" w:lineRule="exact"/>
        <w:rPr>
          <w:rFonts w:ascii="Arial" w:cs="Arial" w:eastAsia="Arial" w:hAnsi="Arial"/>
          <w:sz w:val="20"/>
          <w:szCs w:val="20"/>
          <w:color w:val="231F20"/>
        </w:rPr>
      </w:pPr>
    </w:p>
    <w:p>
      <w:pPr>
        <w:ind w:left="600" w:hanging="300"/>
        <w:spacing w:after="0"/>
        <w:tabs>
          <w:tab w:leader="none" w:pos="600" w:val="left"/>
        </w:tabs>
        <w:numPr>
          <w:ilvl w:val="0"/>
          <w:numId w:val="27"/>
        </w:numPr>
        <w:rPr>
          <w:rFonts w:ascii="Arial" w:cs="Arial" w:eastAsia="Arial" w:hAnsi="Arial"/>
          <w:sz w:val="20"/>
          <w:szCs w:val="20"/>
          <w:color w:val="231F20"/>
        </w:rPr>
      </w:pPr>
      <w:r>
        <w:rPr>
          <w:rFonts w:ascii="Arial" w:cs="Arial" w:eastAsia="Arial" w:hAnsi="Arial"/>
          <w:sz w:val="20"/>
          <w:szCs w:val="20"/>
          <w:color w:val="231F20"/>
        </w:rPr>
        <w:t>The other risks described under Risks Related to Our Business Generally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Risks Related to Regulation and Government Action</w:t>
      </w:r>
    </w:p>
    <w:p>
      <w:pPr>
        <w:spacing w:after="0" w:line="17" w:lineRule="exact"/>
        <w:rPr>
          <w:sz w:val="20"/>
          <w:szCs w:val="20"/>
          <w:color w:val="auto"/>
        </w:rPr>
      </w:pPr>
    </w:p>
    <w:p>
      <w:pPr>
        <w:ind w:left="600" w:right="420" w:hanging="300"/>
        <w:spacing w:after="0" w:line="246" w:lineRule="auto"/>
        <w:tabs>
          <w:tab w:leader="none" w:pos="600" w:val="left"/>
        </w:tabs>
        <w:numPr>
          <w:ilvl w:val="0"/>
          <w:numId w:val="28"/>
        </w:numPr>
        <w:rPr>
          <w:rFonts w:ascii="Arial" w:cs="Arial" w:eastAsia="Arial" w:hAnsi="Arial"/>
          <w:sz w:val="20"/>
          <w:szCs w:val="20"/>
          <w:color w:val="231F20"/>
        </w:rPr>
      </w:pPr>
      <w:r>
        <w:rPr>
          <w:rFonts w:ascii="Arial" w:cs="Arial" w:eastAsia="Arial" w:hAnsi="Arial"/>
          <w:sz w:val="20"/>
          <w:szCs w:val="20"/>
          <w:color w:val="231F20"/>
        </w:rPr>
        <w:t>We may face material delays related to our ability to timely obtain permits necessary for our operations, or be unable to secure such permits on favorable terms or at all as a result of numerous California political, regulatory, and legal developments.</w:t>
      </w:r>
    </w:p>
    <w:p>
      <w:pPr>
        <w:sectPr>
          <w:pgSz w:w="11880" w:h="15480" w:orient="portrait"/>
          <w:cols w:equalWidth="0" w:num="1">
            <w:col w:w="9100"/>
          </w:cols>
          <w:pgMar w:left="1380" w:top="1310" w:right="1400" w:bottom="653"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38</w:t>
      </w:r>
    </w:p>
    <w:p>
      <w:pPr>
        <w:sectPr>
          <w:pgSz w:w="11880" w:h="15480" w:orient="portrait"/>
          <w:cols w:equalWidth="0" w:num="1">
            <w:col w:w="9100"/>
          </w:cols>
          <w:pgMar w:left="1380" w:top="1310" w:right="1400" w:bottom="653" w:gutter="0" w:footer="0" w:header="0"/>
          <w:type w:val="continuous"/>
        </w:sectPr>
      </w:pPr>
    </w:p>
    <w:bookmarkStart w:id="42" w:name="page43"/>
    <w:bookmarkEnd w:id="42"/>
    <w:p>
      <w:pPr>
        <w:ind w:left="600" w:right="180" w:hanging="300"/>
        <w:spacing w:after="0" w:line="243" w:lineRule="auto"/>
        <w:tabs>
          <w:tab w:leader="none" w:pos="60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Our operations in Utah are subject to additional regulatory, permitting and legal risks, including risks associated with federal and tribal lands.</w:t>
      </w:r>
    </w:p>
    <w:p>
      <w:pPr>
        <w:spacing w:after="0" w:line="14" w:lineRule="exact"/>
        <w:rPr>
          <w:rFonts w:ascii="Arial" w:cs="Arial" w:eastAsia="Arial" w:hAnsi="Arial"/>
          <w:sz w:val="20"/>
          <w:szCs w:val="20"/>
          <w:color w:val="231F20"/>
        </w:rPr>
      </w:pPr>
    </w:p>
    <w:p>
      <w:pPr>
        <w:ind w:left="600" w:hanging="300"/>
        <w:spacing w:after="0" w:line="246" w:lineRule="auto"/>
        <w:tabs>
          <w:tab w:leader="none" w:pos="60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We may face increased local restrictions on oil and gas exploration and production operations or even be prohibited from operating in certain areas as a result of recently enacted California legislation.</w:t>
      </w:r>
    </w:p>
    <w:p>
      <w:pPr>
        <w:spacing w:after="0" w:line="12" w:lineRule="exact"/>
        <w:rPr>
          <w:rFonts w:ascii="Arial" w:cs="Arial" w:eastAsia="Arial" w:hAnsi="Arial"/>
          <w:sz w:val="20"/>
          <w:szCs w:val="20"/>
          <w:color w:val="231F20"/>
        </w:rPr>
      </w:pPr>
    </w:p>
    <w:p>
      <w:pPr>
        <w:ind w:left="600" w:right="440" w:hanging="300"/>
        <w:spacing w:after="0" w:line="246" w:lineRule="auto"/>
        <w:tabs>
          <w:tab w:leader="none" w:pos="60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12" w:lineRule="exact"/>
        <w:rPr>
          <w:rFonts w:ascii="Arial" w:cs="Arial" w:eastAsia="Arial" w:hAnsi="Arial"/>
          <w:sz w:val="20"/>
          <w:szCs w:val="20"/>
          <w:color w:val="231F20"/>
        </w:rPr>
      </w:pPr>
    </w:p>
    <w:p>
      <w:pPr>
        <w:ind w:left="600" w:right="160" w:hanging="300"/>
        <w:spacing w:after="0" w:line="248" w:lineRule="auto"/>
        <w:tabs>
          <w:tab w:leader="none" w:pos="60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11" w:lineRule="exact"/>
        <w:rPr>
          <w:rFonts w:ascii="Arial" w:cs="Arial" w:eastAsia="Arial" w:hAnsi="Arial"/>
          <w:sz w:val="20"/>
          <w:szCs w:val="20"/>
          <w:color w:val="231F20"/>
        </w:rPr>
      </w:pPr>
    </w:p>
    <w:p>
      <w:pPr>
        <w:ind w:left="600" w:right="240" w:hanging="300"/>
        <w:spacing w:after="0" w:line="249" w:lineRule="auto"/>
        <w:tabs>
          <w:tab w:leader="none" w:pos="60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Our Carbon TerraVault business and our CCS projects are subject to extensive government regulation much of which is still being developed. Failure to comply with these regulations and obtain the necessary permits, or the development of government regulations that are unfavorable to our CCS projects, could have an adverse effect on our business, results of operations and financial condition.</w:t>
      </w:r>
    </w:p>
    <w:p>
      <w:pPr>
        <w:spacing w:after="0" w:line="2" w:lineRule="exact"/>
        <w:rPr>
          <w:rFonts w:ascii="Arial" w:cs="Arial" w:eastAsia="Arial" w:hAnsi="Arial"/>
          <w:sz w:val="20"/>
          <w:szCs w:val="20"/>
          <w:color w:val="231F20"/>
        </w:rPr>
      </w:pPr>
    </w:p>
    <w:p>
      <w:pPr>
        <w:ind w:left="600" w:hanging="300"/>
        <w:spacing w:after="0"/>
        <w:tabs>
          <w:tab w:leader="none" w:pos="600" w:val="left"/>
        </w:tabs>
        <w:numPr>
          <w:ilvl w:val="0"/>
          <w:numId w:val="29"/>
        </w:numPr>
        <w:rPr>
          <w:rFonts w:ascii="Arial" w:cs="Arial" w:eastAsia="Arial" w:hAnsi="Arial"/>
          <w:sz w:val="20"/>
          <w:szCs w:val="20"/>
          <w:color w:val="231F20"/>
        </w:rPr>
      </w:pPr>
      <w:r>
        <w:rPr>
          <w:rFonts w:ascii="Arial" w:cs="Arial" w:eastAsia="Arial" w:hAnsi="Arial"/>
          <w:sz w:val="20"/>
          <w:szCs w:val="20"/>
          <w:color w:val="231F20"/>
        </w:rPr>
        <w:t>The other risks described under Risks Related to Regulation and Government Action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Risks Related to Our Indebtedness</w:t>
      </w:r>
    </w:p>
    <w:p>
      <w:pPr>
        <w:spacing w:after="0" w:line="15" w:lineRule="exact"/>
        <w:rPr>
          <w:sz w:val="20"/>
          <w:szCs w:val="20"/>
          <w:color w:val="auto"/>
        </w:rPr>
      </w:pPr>
    </w:p>
    <w:p>
      <w:pPr>
        <w:ind w:left="600" w:right="600" w:hanging="300"/>
        <w:spacing w:after="0" w:line="245" w:lineRule="auto"/>
        <w:tabs>
          <w:tab w:leader="none" w:pos="600" w:val="left"/>
        </w:tabs>
        <w:numPr>
          <w:ilvl w:val="0"/>
          <w:numId w:val="30"/>
        </w:numPr>
        <w:rPr>
          <w:rFonts w:ascii="Arial" w:cs="Arial" w:eastAsia="Arial" w:hAnsi="Arial"/>
          <w:sz w:val="20"/>
          <w:szCs w:val="20"/>
          <w:color w:val="231F20"/>
        </w:rPr>
      </w:pPr>
      <w:r>
        <w:rPr>
          <w:rFonts w:ascii="Arial" w:cs="Arial" w:eastAsia="Arial" w:hAnsi="Arial"/>
          <w:sz w:val="20"/>
          <w:szCs w:val="20"/>
          <w:color w:val="231F20"/>
        </w:rPr>
        <w:t>We may not be able to amend or refinance our existing debt to create more operating and financial flexibility and to enhance shareholder returns.</w:t>
      </w:r>
    </w:p>
    <w:p>
      <w:pPr>
        <w:spacing w:after="0" w:line="10" w:lineRule="exact"/>
        <w:rPr>
          <w:rFonts w:ascii="Arial" w:cs="Arial" w:eastAsia="Arial" w:hAnsi="Arial"/>
          <w:sz w:val="20"/>
          <w:szCs w:val="20"/>
          <w:color w:val="231F20"/>
        </w:rPr>
      </w:pPr>
    </w:p>
    <w:p>
      <w:pPr>
        <w:ind w:left="600" w:right="80" w:hanging="300"/>
        <w:spacing w:after="0" w:line="245" w:lineRule="auto"/>
        <w:tabs>
          <w:tab w:leader="none" w:pos="600" w:val="left"/>
        </w:tabs>
        <w:numPr>
          <w:ilvl w:val="0"/>
          <w:numId w:val="30"/>
        </w:numPr>
        <w:rPr>
          <w:rFonts w:ascii="Arial" w:cs="Arial" w:eastAsia="Arial" w:hAnsi="Arial"/>
          <w:sz w:val="20"/>
          <w:szCs w:val="20"/>
          <w:color w:val="231F20"/>
        </w:rPr>
      </w:pPr>
      <w:r>
        <w:rPr>
          <w:rFonts w:ascii="Arial" w:cs="Arial" w:eastAsia="Arial" w:hAnsi="Arial"/>
          <w:sz w:val="20"/>
          <w:szCs w:val="20"/>
          <w:color w:val="231F20"/>
        </w:rPr>
        <w:t>Our existing and future indebtedness may adversely affect our business, financial condition and financial flexibility.</w:t>
      </w:r>
    </w:p>
    <w:p>
      <w:pPr>
        <w:spacing w:after="0" w:line="5" w:lineRule="exact"/>
        <w:rPr>
          <w:rFonts w:ascii="Arial" w:cs="Arial" w:eastAsia="Arial" w:hAnsi="Arial"/>
          <w:sz w:val="20"/>
          <w:szCs w:val="20"/>
          <w:color w:val="231F20"/>
        </w:rPr>
      </w:pPr>
    </w:p>
    <w:p>
      <w:pPr>
        <w:ind w:left="600" w:hanging="300"/>
        <w:spacing w:after="0"/>
        <w:tabs>
          <w:tab w:leader="none" w:pos="600" w:val="left"/>
        </w:tabs>
        <w:numPr>
          <w:ilvl w:val="0"/>
          <w:numId w:val="30"/>
        </w:numPr>
        <w:rPr>
          <w:rFonts w:ascii="Arial" w:cs="Arial" w:eastAsia="Arial" w:hAnsi="Arial"/>
          <w:sz w:val="20"/>
          <w:szCs w:val="20"/>
          <w:color w:val="231F20"/>
        </w:rPr>
      </w:pPr>
      <w:r>
        <w:rPr>
          <w:rFonts w:ascii="Arial" w:cs="Arial" w:eastAsia="Arial" w:hAnsi="Arial"/>
          <w:sz w:val="20"/>
          <w:szCs w:val="20"/>
          <w:color w:val="231F20"/>
        </w:rPr>
        <w:t>The other risks described under Risks Related to Our Indebtedness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Risks Related to Our Common Stock</w:t>
      </w:r>
    </w:p>
    <w:p>
      <w:pPr>
        <w:spacing w:after="0" w:line="15" w:lineRule="exact"/>
        <w:rPr>
          <w:sz w:val="20"/>
          <w:szCs w:val="20"/>
          <w:color w:val="auto"/>
        </w:rPr>
      </w:pPr>
    </w:p>
    <w:p>
      <w:pPr>
        <w:ind w:left="600" w:right="340" w:hanging="300"/>
        <w:spacing w:after="0" w:line="245" w:lineRule="auto"/>
        <w:tabs>
          <w:tab w:leader="none" w:pos="600"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Our ability to pay dividends and repurchase shares of our common stock is subject to certain risks.</w:t>
      </w:r>
    </w:p>
    <w:p>
      <w:pPr>
        <w:spacing w:after="0" w:line="10" w:lineRule="exact"/>
        <w:rPr>
          <w:rFonts w:ascii="Arial" w:cs="Arial" w:eastAsia="Arial" w:hAnsi="Arial"/>
          <w:sz w:val="20"/>
          <w:szCs w:val="20"/>
          <w:color w:val="231F20"/>
        </w:rPr>
      </w:pPr>
    </w:p>
    <w:p>
      <w:pPr>
        <w:ind w:left="600" w:right="40" w:hanging="300"/>
        <w:spacing w:after="0" w:line="245" w:lineRule="auto"/>
        <w:tabs>
          <w:tab w:leader="none" w:pos="600"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The trading price of our common stock may decline, and you may not be able to resell shares of our common stock at prices equal to or greater than the price you paid or at all.</w:t>
      </w:r>
    </w:p>
    <w:p>
      <w:pPr>
        <w:spacing w:after="0" w:line="5" w:lineRule="exact"/>
        <w:rPr>
          <w:rFonts w:ascii="Arial" w:cs="Arial" w:eastAsia="Arial" w:hAnsi="Arial"/>
          <w:sz w:val="20"/>
          <w:szCs w:val="20"/>
          <w:color w:val="231F20"/>
        </w:rPr>
      </w:pPr>
    </w:p>
    <w:p>
      <w:pPr>
        <w:ind w:left="600" w:hanging="300"/>
        <w:spacing w:after="0"/>
        <w:tabs>
          <w:tab w:leader="none" w:pos="600" w:val="left"/>
        </w:tabs>
        <w:numPr>
          <w:ilvl w:val="0"/>
          <w:numId w:val="31"/>
        </w:numPr>
        <w:rPr>
          <w:rFonts w:ascii="Arial" w:cs="Arial" w:eastAsia="Arial" w:hAnsi="Arial"/>
          <w:sz w:val="20"/>
          <w:szCs w:val="20"/>
          <w:color w:val="231F20"/>
        </w:rPr>
      </w:pPr>
      <w:r>
        <w:rPr>
          <w:rFonts w:ascii="Arial" w:cs="Arial" w:eastAsia="Arial" w:hAnsi="Arial"/>
          <w:sz w:val="20"/>
          <w:szCs w:val="20"/>
          <w:color w:val="231F20"/>
        </w:rPr>
        <w:t>The other risks described under Risks Related to Our Common Stock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Our Oil and Gas Business</w:t>
      </w:r>
    </w:p>
    <w:p>
      <w:pPr>
        <w:spacing w:after="0" w:line="250" w:lineRule="exact"/>
        <w:rPr>
          <w:sz w:val="20"/>
          <w:szCs w:val="20"/>
          <w:color w:val="auto"/>
        </w:rPr>
      </w:pPr>
    </w:p>
    <w:p>
      <w:pPr>
        <w:ind w:right="360" w:firstLine="300"/>
        <w:spacing w:after="0" w:line="252" w:lineRule="auto"/>
        <w:rPr>
          <w:sz w:val="20"/>
          <w:szCs w:val="20"/>
          <w:color w:val="auto"/>
        </w:rPr>
      </w:pPr>
      <w:r>
        <w:rPr>
          <w:rFonts w:ascii="Arial" w:cs="Arial" w:eastAsia="Arial" w:hAnsi="Arial"/>
          <w:sz w:val="20"/>
          <w:szCs w:val="20"/>
          <w:b w:val="1"/>
          <w:bCs w:val="1"/>
          <w:i w:val="1"/>
          <w:iCs w:val="1"/>
          <w:color w:val="231F20"/>
        </w:rPr>
        <w:t>Prices for our products are volatile and a substantial decline in prices over an extended period could have a material adverse effect on our financial condition, results of operations, cash flow and ability to invest in our assets.</w:t>
      </w:r>
    </w:p>
    <w:p>
      <w:pPr>
        <w:spacing w:after="0" w:line="240"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Our financial condition, results of operations, cash flow and ability to invest in our assets are highly dependent on oil, natural gas and NGL prices. Prices for these products are volatile and are subject to fluctuations in response to factors beyond our control, including changes in global and regional supply and demand, inventory levels, geopolitical events (including conflicts in Ukraine and Israel and the geopolitical uncertainty in the Middle East and Venezuela), actions by OPEC and other significant producers, economic conditions, public health events, government regulation and policies relating to energy and climate change, weather conditions, natural disasters, transportation and storage constraints, and market speculation. Sustained periods of lower commodity prices could materially and adversely affect our business by reducing our cash flows, limiting our ability to fund capital expenditures, decreasing the value of our proved reserves, reducing our borrowing capacity under our Revolving Credit Facility, limiting our access to capital markets, and impairing our ability to service our indebtedness or comply with financial covenants. While we use commodity price hedging</w:t>
      </w:r>
    </w:p>
    <w:p>
      <w:pPr>
        <w:sectPr>
          <w:pgSz w:w="11880" w:h="15480" w:orient="portrait"/>
          <w:cols w:equalWidth="0" w:num="1">
            <w:col w:w="9120"/>
          </w:cols>
          <w:pgMar w:left="1380" w:top="1316" w:right="1380" w:bottom="65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39</w:t>
      </w:r>
    </w:p>
    <w:p>
      <w:pPr>
        <w:sectPr>
          <w:pgSz w:w="11880" w:h="15480" w:orient="portrait"/>
          <w:cols w:equalWidth="0" w:num="1">
            <w:col w:w="9120"/>
          </w:cols>
          <w:pgMar w:left="1380" w:top="1316" w:right="1380" w:bottom="653" w:gutter="0" w:footer="0" w:header="0"/>
          <w:type w:val="continuous"/>
        </w:sectPr>
      </w:pPr>
    </w:p>
    <w:bookmarkStart w:id="43" w:name="page44"/>
    <w:bookmarkEnd w:id="43"/>
    <w:p>
      <w:pPr>
        <w:ind w:right="220"/>
        <w:spacing w:after="0" w:line="248" w:lineRule="auto"/>
        <w:rPr>
          <w:sz w:val="20"/>
          <w:szCs w:val="20"/>
          <w:color w:val="auto"/>
        </w:rPr>
      </w:pPr>
      <w:r>
        <w:rPr>
          <w:rFonts w:ascii="Arial" w:cs="Arial" w:eastAsia="Arial" w:hAnsi="Arial"/>
          <w:sz w:val="20"/>
          <w:szCs w:val="20"/>
          <w:color w:val="231F20"/>
        </w:rPr>
        <w:t>arrangements to manage a portion of our exposure to price volatility, our hedging program does not provide protection for all of our production, may limit our ability to benefit from price increases, and exposes us to counterparty risk. We may be unable to enter into additional hedging arrangements on acceptable terms or at all.</w:t>
      </w:r>
    </w:p>
    <w:p>
      <w:pPr>
        <w:spacing w:after="0" w:line="210" w:lineRule="exact"/>
        <w:rPr>
          <w:sz w:val="20"/>
          <w:szCs w:val="20"/>
          <w:color w:val="auto"/>
        </w:rPr>
      </w:pPr>
    </w:p>
    <w:p>
      <w:pPr>
        <w:ind w:right="240" w:firstLine="300"/>
        <w:spacing w:after="0" w:line="252" w:lineRule="auto"/>
        <w:rPr>
          <w:sz w:val="20"/>
          <w:szCs w:val="20"/>
          <w:color w:val="auto"/>
        </w:rPr>
      </w:pPr>
      <w:r>
        <w:rPr>
          <w:rFonts w:ascii="Arial" w:cs="Arial" w:eastAsia="Arial" w:hAnsi="Arial"/>
          <w:sz w:val="20"/>
          <w:szCs w:val="20"/>
          <w:b w:val="1"/>
          <w:bCs w:val="1"/>
          <w:i w:val="1"/>
          <w:iCs w:val="1"/>
          <w:color w:val="231F20"/>
        </w:rPr>
        <w:t>Our producing properties are located primarily in California, making us vulnerable to risks associated with having operations concentrated in this geographic area, including drought, earthquake and wildfire risks.</w:t>
      </w:r>
    </w:p>
    <w:p>
      <w:pPr>
        <w:spacing w:after="0" w:line="205"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Our operations are highly concentrated in California. As a result, the success and profitability of our operations may be disproportionately exposed to the effect of regional conditions. Changes in state or regional laws and regulations affecting our operations, local price fluctuations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earthquakes and extreme weather events, and the potential increase to the frequency of drought and flooding. Further, our operations may be exposed to power outages, mechanical failures, industrial accidents or labor difficulties. Certain of our operations depend on a limited number of specialized vendors and service providers in California, and the exit or reduced availability of key suppliers could increase costs, disrupt operations or delay planned activities. Any one of these events has the potential to cause producing wells to be shut in, delay operations and growth plans, decrease cash flows, increase operating and capital costs, prevent development of lease inventory before expiration and limit access to markets for our products.</w:t>
      </w:r>
    </w:p>
    <w:p>
      <w:pPr>
        <w:spacing w:after="0" w:line="207" w:lineRule="exact"/>
        <w:rPr>
          <w:sz w:val="20"/>
          <w:szCs w:val="20"/>
          <w:color w:val="auto"/>
        </w:rPr>
      </w:pPr>
    </w:p>
    <w:p>
      <w:pPr>
        <w:ind w:right="100" w:firstLine="300"/>
        <w:spacing w:after="0" w:line="252" w:lineRule="auto"/>
        <w:rPr>
          <w:sz w:val="20"/>
          <w:szCs w:val="20"/>
          <w:color w:val="auto"/>
        </w:rPr>
      </w:pPr>
      <w:r>
        <w:rPr>
          <w:rFonts w:ascii="Arial" w:cs="Arial" w:eastAsia="Arial" w:hAnsi="Arial"/>
          <w:sz w:val="20"/>
          <w:szCs w:val="20"/>
          <w:b w:val="1"/>
          <w:bCs w:val="1"/>
          <w:i w:val="1"/>
          <w:iCs w:val="1"/>
          <w:color w:val="231F20"/>
        </w:rPr>
        <w:t>Drilling for and producing oil and natural gas carries significant operational risks and uncertainty. We may not drill wells at the times we schedule, or at all. Wells we do drill may not yield production in economic quantities or generate the expected payback.</w:t>
      </w:r>
    </w:p>
    <w:p>
      <w:pPr>
        <w:spacing w:after="0" w:line="20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The development of oil and natural gas properties is subject to numerous operational risks, including the risks of permitting or construction delays, equipment failures, accidents, environmental hazards, unusual or unexpected geologic conditions, adverse weather conditions, title or surface access disputes, cost over-runs, and disappointing drilling results or reservoir performance. Development activities also depend in part on our analysis of geophysical, geologic, engineering, production and other technical data and processes, including the interpretation of 3D seismic data. This analysis is often inconclusive or subject to varying interpretations. Any of the foregoing operational risks could cause actual results to differ materially from the expected payback or cause a well or project to become uneconomic or less profitable than forecast.</w:t>
      </w:r>
    </w:p>
    <w:p>
      <w:pPr>
        <w:spacing w:after="0" w:line="218" w:lineRule="exact"/>
        <w:rPr>
          <w:sz w:val="20"/>
          <w:szCs w:val="20"/>
          <w:color w:val="auto"/>
        </w:rPr>
      </w:pPr>
    </w:p>
    <w:p>
      <w:pPr>
        <w:ind w:right="220" w:firstLine="300"/>
        <w:spacing w:after="0" w:line="264" w:lineRule="auto"/>
        <w:rPr>
          <w:sz w:val="20"/>
          <w:szCs w:val="20"/>
          <w:color w:val="auto"/>
        </w:rPr>
      </w:pPr>
      <w:r>
        <w:rPr>
          <w:rFonts w:ascii="Arial" w:cs="Arial" w:eastAsia="Arial" w:hAnsi="Arial"/>
          <w:sz w:val="19"/>
          <w:szCs w:val="19"/>
          <w:color w:val="231F20"/>
        </w:rPr>
        <w:t>If future drilling activities do not generate sufficient production and reserves, we may be forced to curtail drilling or development of our assets. We make assumptions about the consistency and accuracy of data when we identify locations for new wells or opportunities for workovers, sidetracks and deepenings, and these assumptions may prove inaccurate. We cannot guarantee that well locations will ever be drilled or if we will be able to produce crude oil or natural gas from these drilling locations or from our other drilling activities. In addition, some of our leases could expire if we do not establish production in the leased acreage. The combined net acreage covered by leases expiring in the next three years represented 2% of our total net undeveloped acreage at December 31, 2025.</w:t>
      </w:r>
    </w:p>
    <w:p>
      <w:pPr>
        <w:spacing w:after="0" w:line="198" w:lineRule="exact"/>
        <w:rPr>
          <w:sz w:val="20"/>
          <w:szCs w:val="20"/>
          <w:color w:val="auto"/>
        </w:rPr>
      </w:pPr>
    </w:p>
    <w:p>
      <w:pPr>
        <w:ind w:right="120" w:firstLine="300"/>
        <w:spacing w:after="0" w:line="280" w:lineRule="auto"/>
        <w:rPr>
          <w:sz w:val="20"/>
          <w:szCs w:val="20"/>
          <w:color w:val="auto"/>
        </w:rPr>
      </w:pPr>
      <w:r>
        <w:rPr>
          <w:rFonts w:ascii="Arial" w:cs="Arial" w:eastAsia="Arial" w:hAnsi="Arial"/>
          <w:sz w:val="19"/>
          <w:szCs w:val="19"/>
          <w:b w:val="1"/>
          <w:bCs w:val="1"/>
          <w:i w:val="1"/>
          <w:iCs w:val="1"/>
          <w:color w:val="231F20"/>
        </w:rPr>
        <w:t>Our business involves substantial capital investments, and we may be unable to fund these investments which could lead to a decline in our oil and natural gas reserves or production.</w:t>
      </w:r>
    </w:p>
    <w:p>
      <w:pPr>
        <w:spacing w:after="0" w:line="180" w:lineRule="exact"/>
        <w:rPr>
          <w:sz w:val="20"/>
          <w:szCs w:val="20"/>
          <w:color w:val="auto"/>
        </w:rPr>
      </w:pPr>
    </w:p>
    <w:p>
      <w:pPr>
        <w:ind w:right="120" w:firstLine="300"/>
        <w:spacing w:after="0" w:line="266" w:lineRule="auto"/>
        <w:rPr>
          <w:sz w:val="20"/>
          <w:szCs w:val="20"/>
          <w:color w:val="auto"/>
        </w:rPr>
      </w:pPr>
      <w:r>
        <w:rPr>
          <w:rFonts w:ascii="Arial" w:cs="Arial" w:eastAsia="Arial" w:hAnsi="Arial"/>
          <w:sz w:val="19"/>
          <w:szCs w:val="19"/>
          <w:color w:val="231F20"/>
        </w:rPr>
        <w:t>We intend to fund our 2026 capital program using cash flow from operations. Accordingly, a reduction in operating cash flow could require us to reduce, defer or reprioritize capital investments. In general, the ability to execute our capital plan depends on a number of factors, including production</w:t>
      </w:r>
    </w:p>
    <w:p>
      <w:pPr>
        <w:sectPr>
          <w:pgSz w:w="11880" w:h="15480" w:orient="portrait"/>
          <w:cols w:equalWidth="0" w:num="1">
            <w:col w:w="9120"/>
          </w:cols>
          <w:pgMar w:left="1380" w:top="1316" w:right="1380" w:bottom="653"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40</w:t>
      </w:r>
    </w:p>
    <w:p>
      <w:pPr>
        <w:sectPr>
          <w:pgSz w:w="11880" w:h="15480" w:orient="portrait"/>
          <w:cols w:equalWidth="0" w:num="1">
            <w:col w:w="9120"/>
          </w:cols>
          <w:pgMar w:left="1380" w:top="1316" w:right="1380" w:bottom="653" w:gutter="0" w:footer="0" w:header="0"/>
          <w:type w:val="continuous"/>
        </w:sectPr>
      </w:pPr>
    </w:p>
    <w:bookmarkStart w:id="44" w:name="page45"/>
    <w:bookmarkEnd w:id="44"/>
    <w:p>
      <w:pPr>
        <w:ind w:right="240"/>
        <w:spacing w:after="0" w:line="246" w:lineRule="auto"/>
        <w:rPr>
          <w:sz w:val="20"/>
          <w:szCs w:val="20"/>
          <w:color w:val="auto"/>
        </w:rPr>
      </w:pPr>
      <w:r>
        <w:rPr>
          <w:rFonts w:ascii="Arial" w:cs="Arial" w:eastAsia="Arial" w:hAnsi="Arial"/>
          <w:sz w:val="20"/>
          <w:szCs w:val="20"/>
          <w:color w:val="231F20"/>
        </w:rPr>
        <w:t>levels and commodity prices, regulatory and third-party approvals, our ability to timely drill, complete and stimulate wells, our ability to secure equipment, services and personnel, and our ability to fund capital expenditures.</w:t>
      </w:r>
    </w:p>
    <w:p>
      <w:pPr>
        <w:spacing w:after="0" w:line="223"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Access to future capital may be limited by our lenders, capital markets constraints, activist funds or investors, or poor stock price performance. As a result, we may be unable to deploy capital in the manner planned, which could negatively impact our production, development activities and ability to pursue acquisitions or partnerships.</w:t>
      </w:r>
    </w:p>
    <w:p>
      <w:pPr>
        <w:spacing w:after="0" w:line="219"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Unless we make sufficient capital investments and conduct successful development and exploration activities or acquire properties containing proved reserves, our proved reserves will decline as those reserves are produced. Over time, a sustained decline in our production and reserves could reduce our cash flows, liquidity and ability to satisfy our debt obligations and the value of our reserves.</w:t>
      </w:r>
    </w:p>
    <w:p>
      <w:pPr>
        <w:spacing w:after="0" w:line="215" w:lineRule="exact"/>
        <w:rPr>
          <w:sz w:val="20"/>
          <w:szCs w:val="20"/>
          <w:color w:val="auto"/>
        </w:rPr>
      </w:pPr>
    </w:p>
    <w:p>
      <w:pPr>
        <w:ind w:right="200" w:firstLine="300"/>
        <w:spacing w:after="0" w:line="254" w:lineRule="auto"/>
        <w:rPr>
          <w:sz w:val="20"/>
          <w:szCs w:val="20"/>
          <w:color w:val="auto"/>
        </w:rPr>
      </w:pPr>
      <w:r>
        <w:rPr>
          <w:rFonts w:ascii="Arial" w:cs="Arial" w:eastAsia="Arial" w:hAnsi="Arial"/>
          <w:sz w:val="20"/>
          <w:szCs w:val="20"/>
          <w:b w:val="1"/>
          <w:bCs w:val="1"/>
          <w:i w:val="1"/>
          <w:iCs w:val="1"/>
          <w:color w:val="231F20"/>
        </w:rPr>
        <w:t>Reductions in California refining and pipeline capacity could adversely affect our ability to market our production and our realized prices.</w:t>
      </w:r>
    </w:p>
    <w:p>
      <w:pPr>
        <w:spacing w:after="0" w:line="208"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 xml:space="preserve">We sell nearly all of our crude oil production into California markets. In recent periods, certain California refineries and interconnected pipelines have announced closures or reductions in operations, and additional reductions in refining capacity may occur in the future. Decreases in in-state refining capacity or in the availability of related pipeline throughput may disrupt our ability to efficiently transport and market our crude oil, increase competition among producers for access to remaining refining outlets and reduce the number of available purchasers for our products. For example, the recent shutdown of the San Pablo Bay Pipeline eliminated pipeline access to Bay Area refineries and has prompted us to modify our marketing, transportation and shipping arrangements to reach alternative markets. See </w:t>
      </w:r>
      <w:r>
        <w:rPr>
          <w:rFonts w:ascii="Arial" w:cs="Arial" w:eastAsia="Arial" w:hAnsi="Arial"/>
          <w:sz w:val="20"/>
          <w:szCs w:val="20"/>
          <w:i w:val="1"/>
          <w:iCs w:val="1"/>
          <w:color w:val="231F20"/>
        </w:rPr>
        <w:t>Part I, Item 1 and 2 – Business and Properties, Oil and Natural Gas Segment,</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Marketing Arrangements, Our Principal Customers. </w:t>
      </w:r>
      <w:r>
        <w:rPr>
          <w:rFonts w:ascii="Arial" w:cs="Arial" w:eastAsia="Arial" w:hAnsi="Arial"/>
          <w:sz w:val="20"/>
          <w:szCs w:val="20"/>
          <w:color w:val="231F20"/>
        </w:rPr>
        <w:t>While we seek to manage these risks through</w:t>
      </w:r>
      <w:r>
        <w:rPr>
          <w:rFonts w:ascii="Arial" w:cs="Arial" w:eastAsia="Arial" w:hAnsi="Arial"/>
          <w:sz w:val="20"/>
          <w:szCs w:val="20"/>
          <w:i w:val="1"/>
          <w:iCs w:val="1"/>
          <w:color w:val="231F20"/>
        </w:rPr>
        <w:t xml:space="preserve"> </w:t>
      </w:r>
      <w:r>
        <w:rPr>
          <w:rFonts w:ascii="Arial" w:cs="Arial" w:eastAsia="Arial" w:hAnsi="Arial"/>
          <w:sz w:val="20"/>
          <w:szCs w:val="20"/>
          <w:color w:val="231F20"/>
        </w:rPr>
        <w:t>marketing arrangements and operational flexibility, reduced refining capacity or related pipeline takeaway could adversely affect our ability to efficiently deliver our production to market, negatively impact pricing dynamics for our crude oil and result in lower realized prices or wider differentials in future periods. Any such impacts could have a material adverse effect on our results of operations and cash flows.</w:t>
      </w:r>
    </w:p>
    <w:p>
      <w:pPr>
        <w:spacing w:after="0" w:line="212" w:lineRule="exact"/>
        <w:rPr>
          <w:sz w:val="20"/>
          <w:szCs w:val="20"/>
          <w:color w:val="auto"/>
        </w:rPr>
      </w:pPr>
    </w:p>
    <w:p>
      <w:pPr>
        <w:ind w:right="120" w:firstLine="300"/>
        <w:spacing w:after="0" w:line="254" w:lineRule="auto"/>
        <w:rPr>
          <w:sz w:val="20"/>
          <w:szCs w:val="20"/>
          <w:color w:val="auto"/>
        </w:rPr>
      </w:pPr>
      <w:r>
        <w:rPr>
          <w:rFonts w:ascii="Arial" w:cs="Arial" w:eastAsia="Arial" w:hAnsi="Arial"/>
          <w:sz w:val="20"/>
          <w:szCs w:val="20"/>
          <w:b w:val="1"/>
          <w:bCs w:val="1"/>
          <w:i w:val="1"/>
          <w:iCs w:val="1"/>
          <w:color w:val="231F20"/>
        </w:rPr>
        <w:t>We may be negatively impacted by inflation, including through increased operating, capital and financing costs.</w:t>
      </w:r>
    </w:p>
    <w:p>
      <w:pPr>
        <w:spacing w:after="0" w:line="208"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Increases in inflation may have an adverse effect on us. Operating and capital costs in the oil and natural gas industry are heavily influenced by commodity prices, including the prices we pay for electricity, natural gas and steel-based materials used in our operations. For example, we use natural gas and electricity extensively in our operations, including gas to generate steam for steam floods and electricity to power field operations. If we are unable to generate sufficient electricity for use in our operations, we may need to purchase electricity from third parties. Increases in the volumes or prices of commodities used in our operations could cause increases in our operating expenses. We attempt to manage our exposure to commodity price increases through hedging and longer-term fixed price contracts. However, these measures do not fully protect us from inflationary pressures and may not be available on acceptable terms or at all. Inflation could also result in higher interest rates, which could increase our future financing costs.</w:t>
      </w:r>
    </w:p>
    <w:p>
      <w:pPr>
        <w:spacing w:after="0" w:line="221" w:lineRule="exact"/>
        <w:rPr>
          <w:sz w:val="20"/>
          <w:szCs w:val="20"/>
          <w:color w:val="auto"/>
        </w:rPr>
      </w:pPr>
    </w:p>
    <w:p>
      <w:pPr>
        <w:ind w:right="280" w:firstLine="300"/>
        <w:spacing w:after="0" w:line="254" w:lineRule="auto"/>
        <w:rPr>
          <w:sz w:val="20"/>
          <w:szCs w:val="20"/>
          <w:color w:val="auto"/>
        </w:rPr>
      </w:pPr>
      <w:r>
        <w:rPr>
          <w:rFonts w:ascii="Arial" w:cs="Arial" w:eastAsia="Arial" w:hAnsi="Arial"/>
          <w:sz w:val="20"/>
          <w:szCs w:val="20"/>
          <w:b w:val="1"/>
          <w:bCs w:val="1"/>
          <w:i w:val="1"/>
          <w:iCs w:val="1"/>
          <w:color w:val="231F20"/>
        </w:rPr>
        <w:t>We are subject to economic downturns and the effects of public health events which may materially and adversely affect the demand and the market price for our products.</w:t>
      </w:r>
    </w:p>
    <w:p>
      <w:pPr>
        <w:spacing w:after="0" w:line="208" w:lineRule="exact"/>
        <w:rPr>
          <w:sz w:val="20"/>
          <w:szCs w:val="20"/>
          <w:color w:val="auto"/>
        </w:rPr>
      </w:pPr>
    </w:p>
    <w:p>
      <w:pPr>
        <w:ind w:firstLine="300"/>
        <w:spacing w:after="0" w:line="268" w:lineRule="auto"/>
        <w:rPr>
          <w:sz w:val="20"/>
          <w:szCs w:val="20"/>
          <w:color w:val="auto"/>
        </w:rPr>
      </w:pPr>
      <w:r>
        <w:rPr>
          <w:rFonts w:ascii="Arial" w:cs="Arial" w:eastAsia="Arial" w:hAnsi="Arial"/>
          <w:sz w:val="19"/>
          <w:szCs w:val="19"/>
          <w:color w:val="231F20"/>
        </w:rPr>
        <w:t>The marketing of our oil, natural gas and NGLs depends on the existence of adequate markets for our products. Imbalances between supply and demand, including as a result of economic downturns or</w:t>
      </w:r>
    </w:p>
    <w:p>
      <w:pPr>
        <w:sectPr>
          <w:pgSz w:w="11880" w:h="15480" w:orient="portrait"/>
          <w:cols w:equalWidth="0" w:num="1">
            <w:col w:w="9080"/>
          </w:cols>
          <w:pgMar w:left="1380" w:top="1316" w:right="1420" w:bottom="653"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41</w:t>
      </w:r>
    </w:p>
    <w:p>
      <w:pPr>
        <w:sectPr>
          <w:pgSz w:w="11880" w:h="15480" w:orient="portrait"/>
          <w:cols w:equalWidth="0" w:num="1">
            <w:col w:w="9080"/>
          </w:cols>
          <w:pgMar w:left="1380" w:top="1316" w:right="1420" w:bottom="653" w:gutter="0" w:footer="0" w:header="0"/>
          <w:type w:val="continuous"/>
        </w:sectPr>
      </w:pPr>
    </w:p>
    <w:bookmarkStart w:id="45" w:name="page46"/>
    <w:bookmarkEnd w:id="45"/>
    <w:p>
      <w:pPr>
        <w:ind w:right="220"/>
        <w:spacing w:after="0" w:line="249" w:lineRule="auto"/>
        <w:rPr>
          <w:sz w:val="20"/>
          <w:szCs w:val="20"/>
          <w:color w:val="auto"/>
        </w:rPr>
      </w:pPr>
      <w:r>
        <w:rPr>
          <w:rFonts w:ascii="Arial" w:cs="Arial" w:eastAsia="Arial" w:hAnsi="Arial"/>
          <w:sz w:val="20"/>
          <w:szCs w:val="20"/>
          <w:color w:val="231F20"/>
        </w:rPr>
        <w:t>public health events, could cause significant market volatility and adversely affect commodity prices. The extent and duration of public health events, governmental responses and resulting economic impacts are hard to predict. This uncertainty could force us to reduce operating expenses or capital expenditures, which could negatively affect future production and our reserves. We may experience labor shortages if our employees are unwilling or unable to come to work because of illness, quarantines, government actions or other restrictions in connection with a pandemic. If our suppliers cannot deliver the materials, supplies and services we need, we may need to suspend operations. In addition, we are exposed to changes in commodity prices which have been and will likely remain volatile. We cannot predict the duration and extent of a pandemic’s adverse impact on our operating results.</w:t>
      </w:r>
    </w:p>
    <w:p>
      <w:pPr>
        <w:spacing w:after="0" w:line="224" w:lineRule="exact"/>
        <w:rPr>
          <w:sz w:val="20"/>
          <w:szCs w:val="20"/>
          <w:color w:val="auto"/>
        </w:rPr>
      </w:pPr>
    </w:p>
    <w:p>
      <w:pPr>
        <w:ind w:right="540" w:firstLine="300"/>
        <w:spacing w:after="0" w:line="243" w:lineRule="auto"/>
        <w:rPr>
          <w:sz w:val="20"/>
          <w:szCs w:val="20"/>
          <w:color w:val="auto"/>
        </w:rPr>
      </w:pPr>
      <w:r>
        <w:rPr>
          <w:rFonts w:ascii="Arial" w:cs="Arial" w:eastAsia="Arial" w:hAnsi="Arial"/>
          <w:sz w:val="20"/>
          <w:szCs w:val="20"/>
          <w:color w:val="231F20"/>
        </w:rPr>
        <w:t xml:space="preserve">A public health event that adversely affects global economic conditions could also heighten or exacerbate many of the other risks described in the </w:t>
      </w:r>
      <w:r>
        <w:rPr>
          <w:rFonts w:ascii="Arial" w:cs="Arial" w:eastAsia="Arial" w:hAnsi="Arial"/>
          <w:sz w:val="20"/>
          <w:szCs w:val="20"/>
          <w:i w:val="1"/>
          <w:iCs w:val="1"/>
          <w:color w:val="231F20"/>
        </w:rPr>
        <w:t>Risk Factors</w:t>
      </w:r>
      <w:r>
        <w:rPr>
          <w:rFonts w:ascii="Arial" w:cs="Arial" w:eastAsia="Arial" w:hAnsi="Arial"/>
          <w:sz w:val="20"/>
          <w:szCs w:val="20"/>
          <w:color w:val="231F20"/>
        </w:rPr>
        <w:t xml:space="preserve"> herein.</w:t>
      </w:r>
    </w:p>
    <w:p>
      <w:pPr>
        <w:spacing w:after="0" w:line="220" w:lineRule="exact"/>
        <w:rPr>
          <w:sz w:val="20"/>
          <w:szCs w:val="20"/>
          <w:color w:val="auto"/>
        </w:rPr>
      </w:pPr>
    </w:p>
    <w:p>
      <w:pPr>
        <w:ind w:right="220" w:firstLine="300"/>
        <w:spacing w:after="0" w:line="280" w:lineRule="auto"/>
        <w:rPr>
          <w:sz w:val="20"/>
          <w:szCs w:val="20"/>
          <w:color w:val="auto"/>
        </w:rPr>
      </w:pPr>
      <w:r>
        <w:rPr>
          <w:rFonts w:ascii="Arial" w:cs="Arial" w:eastAsia="Arial" w:hAnsi="Arial"/>
          <w:sz w:val="19"/>
          <w:szCs w:val="19"/>
          <w:b w:val="1"/>
          <w:bCs w:val="1"/>
          <w:i w:val="1"/>
          <w:iCs w:val="1"/>
          <w:color w:val="231F20"/>
        </w:rPr>
        <w:t>The conflicts in Ukraine and Israel and the geopolitical uncertainty in the Middle East and Venezuela have caused price volatility and geopolitical instability which impact our business.</w:t>
      </w:r>
    </w:p>
    <w:p>
      <w:pPr>
        <w:spacing w:after="0" w:line="18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Conflicts and geopolitical tensions have contributed to volatility in the prices of oil, natural gas and NGLs in recent periods. The extent and duration of military actions, sanctions, retaliatory measures and resulting market disruptions are uncertain and could continue to have a substantial impact on the global economy and our business. In addition, any easing, suspension or removal of sanctions on Venezuelan oil production or exports could increase global supply and exert downward pressure on oil prices, which could adversely affect our results of operations and cash flows. In addition, disruptions to global shipping routes, energy infrastructure or transportation corridors, including in or near the Middle East, could further constrain supply, increase costs or contribute to additional price volatility.</w:t>
      </w:r>
    </w:p>
    <w:p>
      <w:pPr>
        <w:spacing w:after="0" w:line="22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Actions by OPEC+ and other producing countries, including decisions to implement, extend, unwind or reinstate production limits, may significantly affect global oil supply and prices. Actual production levels and spare capacity are difficult to assess, and increased production by OPEC+ members or other producing countries could contribute to price declines. These geopolitical developments may also heighten or exacerbate other risks described in this “</w:t>
      </w:r>
      <w:r>
        <w:rPr>
          <w:rFonts w:ascii="Arial" w:cs="Arial" w:eastAsia="Arial" w:hAnsi="Arial"/>
          <w:sz w:val="20"/>
          <w:szCs w:val="20"/>
          <w:i w:val="1"/>
          <w:iCs w:val="1"/>
          <w:color w:val="231F20"/>
        </w:rPr>
        <w:t>Risk Factors</w:t>
      </w:r>
      <w:r>
        <w:rPr>
          <w:rFonts w:ascii="Arial" w:cs="Arial" w:eastAsia="Arial" w:hAnsi="Arial"/>
          <w:sz w:val="20"/>
          <w:szCs w:val="20"/>
          <w:color w:val="231F20"/>
        </w:rPr>
        <w:t>” section.</w:t>
      </w:r>
    </w:p>
    <w:p>
      <w:pPr>
        <w:spacing w:after="0" w:line="212" w:lineRule="exact"/>
        <w:rPr>
          <w:sz w:val="20"/>
          <w:szCs w:val="20"/>
          <w:color w:val="auto"/>
        </w:rPr>
      </w:pPr>
    </w:p>
    <w:p>
      <w:pPr>
        <w:ind w:right="860" w:firstLine="300"/>
        <w:spacing w:after="0" w:line="254" w:lineRule="auto"/>
        <w:rPr>
          <w:sz w:val="20"/>
          <w:szCs w:val="20"/>
          <w:color w:val="auto"/>
        </w:rPr>
      </w:pPr>
      <w:r>
        <w:rPr>
          <w:rFonts w:ascii="Arial" w:cs="Arial" w:eastAsia="Arial" w:hAnsi="Arial"/>
          <w:sz w:val="20"/>
          <w:szCs w:val="20"/>
          <w:b w:val="1"/>
          <w:bCs w:val="1"/>
          <w:i w:val="1"/>
          <w:iCs w:val="1"/>
          <w:color w:val="231F20"/>
        </w:rPr>
        <w:t>Some of our competitors have greater resources than us and we may not be able to successfully compete in acquiring and developing new properties.</w:t>
      </w:r>
    </w:p>
    <w:p>
      <w:pPr>
        <w:spacing w:after="0" w:line="20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We face competition in every aspect of our business, including, but not limited to, acquiring reserves and leases, obtaining goods and services and hiring and retaining employees needed to operate and manage our business and marketing oil, natural gas or NGLs. Competitors include a multinational oil company, independent production companies and individual producers and operators. In California, our competitors are few, which may limit available acquisition opportunities. Some of our competitors have greater financial and other resources than we do. As a result, these competitors may be able to address such competitive factors more effectively than we can or withstand industry downturns more easily than we can.</w:t>
      </w:r>
    </w:p>
    <w:p>
      <w:pPr>
        <w:spacing w:after="0" w:line="217" w:lineRule="exact"/>
        <w:rPr>
          <w:sz w:val="20"/>
          <w:szCs w:val="20"/>
          <w:color w:val="auto"/>
        </w:rPr>
      </w:pPr>
    </w:p>
    <w:p>
      <w:pPr>
        <w:ind w:right="180" w:firstLine="300"/>
        <w:spacing w:after="0" w:line="254" w:lineRule="auto"/>
        <w:rPr>
          <w:sz w:val="20"/>
          <w:szCs w:val="20"/>
          <w:color w:val="auto"/>
        </w:rPr>
      </w:pPr>
      <w:r>
        <w:rPr>
          <w:rFonts w:ascii="Arial" w:cs="Arial" w:eastAsia="Arial" w:hAnsi="Arial"/>
          <w:sz w:val="20"/>
          <w:szCs w:val="20"/>
          <w:b w:val="1"/>
          <w:bCs w:val="1"/>
          <w:i w:val="1"/>
          <w:iCs w:val="1"/>
          <w:color w:val="231F20"/>
        </w:rPr>
        <w:t>Our hedging activities limit our ability to realize the full benefits of increases in commodity prices.</w:t>
      </w:r>
    </w:p>
    <w:p>
      <w:pPr>
        <w:spacing w:after="0" w:line="208"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231F20"/>
        </w:rPr>
        <w:t>We enter into hedges to mitigate our economic exposure to commodity price volatility and ensure our financial strength and liquidity by protecting our cash flows. Our Revolving Credit Facility also includes a covenant that would require us to enter into hedges if the ratio of our indebtedness to Consolidated EBITDAX (as defined in the Revolving Credit Facility) exceeds certain levels. These hedges expose us to the risk of financial losses depending on commodity price movements and may prevent us from realizing the full benefits of price increases. Our ability to realize the benefits of our</w:t>
      </w:r>
    </w:p>
    <w:p>
      <w:pPr>
        <w:sectPr>
          <w:pgSz w:w="11880" w:h="15480" w:orient="portrait"/>
          <w:cols w:equalWidth="0" w:num="1">
            <w:col w:w="9100"/>
          </w:cols>
          <w:pgMar w:left="1380" w:top="1316" w:right="1400" w:bottom="653"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42</w:t>
      </w:r>
    </w:p>
    <w:p>
      <w:pPr>
        <w:sectPr>
          <w:pgSz w:w="11880" w:h="15480" w:orient="portrait"/>
          <w:cols w:equalWidth="0" w:num="1">
            <w:col w:w="9100"/>
          </w:cols>
          <w:pgMar w:left="1380" w:top="1316" w:right="1400" w:bottom="653" w:gutter="0" w:footer="0" w:header="0"/>
          <w:type w:val="continuous"/>
        </w:sectPr>
      </w:pPr>
    </w:p>
    <w:bookmarkStart w:id="46" w:name="page47"/>
    <w:bookmarkEnd w:id="46"/>
    <w:p>
      <w:pPr>
        <w:ind w:right="20"/>
        <w:spacing w:after="0" w:line="248" w:lineRule="auto"/>
        <w:rPr>
          <w:sz w:val="20"/>
          <w:szCs w:val="20"/>
          <w:color w:val="auto"/>
        </w:rPr>
      </w:pPr>
      <w:r>
        <w:rPr>
          <w:rFonts w:ascii="Arial" w:cs="Arial" w:eastAsia="Arial" w:hAnsi="Arial"/>
          <w:sz w:val="20"/>
          <w:szCs w:val="20"/>
          <w:color w:val="231F20"/>
        </w:rPr>
        <w:t>hedges also depends in part upon the counterparties to these contracts honoring their financial obligations. If any of our counterparties are unable to perform their obligations in the future, we could be exposed to increased cash flow volatility that could affect our liquidity. In addition, our level of hedging activity may be impacted by financial regulations that could increase our costs of hedging and/ or limit the number of hedging counterparties available to us.</w:t>
      </w:r>
    </w:p>
    <w:p>
      <w:pPr>
        <w:spacing w:after="0" w:line="247" w:lineRule="exact"/>
        <w:rPr>
          <w:sz w:val="20"/>
          <w:szCs w:val="20"/>
          <w:color w:val="auto"/>
        </w:rPr>
      </w:pPr>
    </w:p>
    <w:p>
      <w:pPr>
        <w:ind w:right="240" w:firstLine="300"/>
        <w:spacing w:after="0" w:line="252" w:lineRule="auto"/>
        <w:rPr>
          <w:sz w:val="20"/>
          <w:szCs w:val="20"/>
          <w:color w:val="auto"/>
        </w:rPr>
      </w:pPr>
      <w:r>
        <w:rPr>
          <w:rFonts w:ascii="Arial" w:cs="Arial" w:eastAsia="Arial" w:hAnsi="Arial"/>
          <w:sz w:val="20"/>
          <w:szCs w:val="20"/>
          <w:b w:val="1"/>
          <w:bCs w:val="1"/>
          <w:i w:val="1"/>
          <w:iCs w:val="1"/>
          <w:color w:val="231F20"/>
        </w:rPr>
        <w:t>Estimates of proved reserves and related future net cash flows are not precise. The actual quantities of our proved reserves and future net cash flows may differ materially from our estimates.</w:t>
      </w:r>
    </w:p>
    <w:p>
      <w:pPr>
        <w:spacing w:after="0" w:line="240"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Estimating proved reserves and related future net cash flows involves significant judgment and uncertainty, and our assumptions may ultimately prove to be inaccurate. In addition, reserve estimates may change over time as additional data becomes available through development and appraisal activities.</w:t>
      </w:r>
    </w:p>
    <w:p>
      <w:pPr>
        <w:spacing w:after="0" w:line="24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 xml:space="preserve">Our ability to maintain or increase our reserves, other than through acquisitions, depends on our ability to drill new wells, which may be limited by permitting constraints. See </w:t>
      </w:r>
      <w:r>
        <w:rPr>
          <w:rFonts w:ascii="Arial" w:cs="Arial" w:eastAsia="Arial" w:hAnsi="Arial"/>
          <w:sz w:val="20"/>
          <w:szCs w:val="20"/>
          <w:i w:val="1"/>
          <w:iCs w:val="1"/>
          <w:color w:val="231F20"/>
        </w:rPr>
        <w:t>Risks Related to</w:t>
      </w:r>
      <w:r>
        <w:rPr>
          <w:rFonts w:ascii="Arial" w:cs="Arial" w:eastAsia="Arial" w:hAnsi="Arial"/>
          <w:sz w:val="20"/>
          <w:szCs w:val="20"/>
          <w:color w:val="231F20"/>
        </w:rPr>
        <w:t xml:space="preserve"> </w:t>
      </w:r>
      <w:r>
        <w:rPr>
          <w:rFonts w:ascii="Arial" w:cs="Arial" w:eastAsia="Arial" w:hAnsi="Arial"/>
          <w:sz w:val="20"/>
          <w:szCs w:val="20"/>
          <w:i w:val="1"/>
          <w:iCs w:val="1"/>
          <w:color w:val="231F20"/>
        </w:rPr>
        <w:t>Regulation and Government Action – 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247"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To the extent we are able to drill new wells, our ability to maintain or increase reserves depends on the success of improved recovery, extension and discovery projects, which are influenced by reservoir characteristics, technology improvements, commodity prices and operating costs. Many of these factors are outside management’s control and will affect whether the historical sources of proved reserves additions continue to provide reserves at similar levels.</w:t>
      </w:r>
    </w:p>
    <w:p>
      <w:pPr>
        <w:spacing w:after="0" w:line="24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Lower commodity prices may reduce the quantity of our proved reserves, particularly those expected to be produced in later years, and may cause certain proved undeveloped reserves to become uneconomic or fail to meet SEC development timing requirements, including the five-year rule. In addition, our reserves information represents estimates prepared by internal engineers. Although a substantial portion of our proved reserve estimates are audited by independent petroleum engineers, we cannot guarantee that the estimates are accurate.</w:t>
      </w:r>
    </w:p>
    <w:p>
      <w:pPr>
        <w:spacing w:after="0" w:line="248"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231F20"/>
        </w:rPr>
        <w:t>Reserves estimation is a partially subjective process that depends on numerous variables and assumptions, including geology, regulatory approvals, capital availability, development effectiveness and commodity prices, many of which are outside of our control. Actual developments that differ from our expectations could cause us to make significant negative revisions to our reserves which could materially adversely affect our business.</w:t>
      </w:r>
    </w:p>
    <w:p>
      <w:pPr>
        <w:spacing w:after="0" w:line="247" w:lineRule="exact"/>
        <w:rPr>
          <w:sz w:val="20"/>
          <w:szCs w:val="20"/>
          <w:color w:val="auto"/>
        </w:rPr>
      </w:pPr>
    </w:p>
    <w:p>
      <w:pPr>
        <w:ind w:right="240" w:firstLine="300"/>
        <w:spacing w:after="0" w:line="252" w:lineRule="auto"/>
        <w:rPr>
          <w:sz w:val="20"/>
          <w:szCs w:val="20"/>
          <w:color w:val="auto"/>
        </w:rPr>
      </w:pPr>
      <w:r>
        <w:rPr>
          <w:rFonts w:ascii="Arial" w:cs="Arial" w:eastAsia="Arial" w:hAnsi="Arial"/>
          <w:sz w:val="20"/>
          <w:szCs w:val="20"/>
          <w:b w:val="1"/>
          <w:bCs w:val="1"/>
          <w:i w:val="1"/>
          <w:iCs w:val="1"/>
          <w:color w:val="231F20"/>
        </w:rPr>
        <w:t>From time to time we may engage in step-out drilling, or drilling in new or emerging plays, which involves heightened uncertainty and may reduce the value of undeveloped acreage if unsuccessful.</w:t>
      </w:r>
    </w:p>
    <w:p>
      <w:pPr>
        <w:spacing w:after="0" w:line="240"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231F20"/>
        </w:rPr>
        <w:t>The risk profile for step-out drilling or drilling in new or emerging plays is higher than for other locations because we have less geologic and production data and drilling history. The economic success of such drilling depends on numerous variables, including commodity prices, capital availability, drilling results, regulatory approvals, costs and transportation capacity. We may not find commercial amounts of oil or natural gas or actual costs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ectPr>
          <w:pgSz w:w="11880" w:h="15480" w:orient="portrait"/>
          <w:cols w:equalWidth="0" w:num="1">
            <w:col w:w="9100"/>
          </w:cols>
          <w:pgMar w:left="1380" w:top="1316" w:right="1400" w:bottom="653"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43</w:t>
      </w:r>
    </w:p>
    <w:p>
      <w:pPr>
        <w:sectPr>
          <w:pgSz w:w="11880" w:h="15480" w:orient="portrait"/>
          <w:cols w:equalWidth="0" w:num="1">
            <w:col w:w="9100"/>
          </w:cols>
          <w:pgMar w:left="1380" w:top="1316" w:right="1400" w:bottom="653"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231F20"/>
        </w:rPr>
        <w:t>Risks Related to Carbon TerraVault and Our Carbon Management Segment</w:t>
      </w:r>
    </w:p>
    <w:p>
      <w:pPr>
        <w:spacing w:after="0" w:line="192" w:lineRule="exact"/>
        <w:rPr>
          <w:sz w:val="20"/>
          <w:szCs w:val="20"/>
          <w:color w:val="auto"/>
        </w:rPr>
      </w:pPr>
    </w:p>
    <w:p>
      <w:pPr>
        <w:ind w:right="260" w:firstLine="300"/>
        <w:spacing w:after="0" w:line="254" w:lineRule="auto"/>
        <w:rPr>
          <w:sz w:val="20"/>
          <w:szCs w:val="20"/>
          <w:color w:val="auto"/>
        </w:rPr>
      </w:pPr>
      <w:r>
        <w:rPr>
          <w:rFonts w:ascii="Arial" w:cs="Arial" w:eastAsia="Arial" w:hAnsi="Arial"/>
          <w:sz w:val="20"/>
          <w:szCs w:val="20"/>
          <w:b w:val="1"/>
          <w:bCs w:val="1"/>
          <w:i w:val="1"/>
          <w:iCs w:val="1"/>
          <w:color w:val="231F20"/>
        </w:rPr>
        <w:t>We may not be able to grow our Carbon TerraVault business and develop large scale CCS projects.</w:t>
      </w:r>
    </w:p>
    <w:p>
      <w:pPr>
        <w:spacing w:after="0" w:line="178"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231F20"/>
        </w:rPr>
        <w:t>We are developing a carbon management business in California that relies on CCS projects, an emerging sector with limited large-scale precedent in the state. These projects are in the early-stages of development and therefore face significant operational, technological and regulatory risks, and our ability to successfully develop these projects depends on a number of factors beyond our control, including the following:</w:t>
      </w:r>
    </w:p>
    <w:p>
      <w:pPr>
        <w:spacing w:after="0" w:line="192" w:lineRule="exact"/>
        <w:rPr>
          <w:sz w:val="20"/>
          <w:szCs w:val="20"/>
          <w:color w:val="auto"/>
        </w:rPr>
      </w:pPr>
    </w:p>
    <w:p>
      <w:pPr>
        <w:ind w:left="600" w:hanging="300"/>
        <w:spacing w:after="0" w:line="249" w:lineRule="auto"/>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Obtaining Class VI permits for carbon dioxide injection and storage from the EPA is a multi-year process, and the time to obtain permits may vary with the complexity and type of storage reservoir. The analysis of the suitability of a reservoir for carbon sequestration is complex and our permit applications are subject to extensive review by the EPA. There can be no assurances that the EPA will release Class VI permits to us when we expect, if at all, and our efforts to obtain Class VI permits could be subject to legal challenges.</w:t>
      </w:r>
    </w:p>
    <w:p>
      <w:pPr>
        <w:spacing w:after="0" w:line="8" w:lineRule="exact"/>
        <w:rPr>
          <w:rFonts w:ascii="Arial" w:cs="Arial" w:eastAsia="Arial" w:hAnsi="Arial"/>
          <w:sz w:val="20"/>
          <w:szCs w:val="20"/>
          <w:color w:val="231F20"/>
        </w:rPr>
      </w:pPr>
    </w:p>
    <w:p>
      <w:pPr>
        <w:ind w:left="600" w:right="180" w:hanging="300"/>
        <w:spacing w:after="0" w:line="249" w:lineRule="auto"/>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Because large-scale CCS projects represent an emerging sector, there are limited precedents to assess the economic feasibility or commercial terms of such projects. In addition, any of the operational, regulatory or financial risks described herein could cause actual results to differ materially from expected payback or cause a project to become uneconomic or less profitable than forecast.</w:t>
      </w:r>
    </w:p>
    <w:p>
      <w:pPr>
        <w:spacing w:after="0" w:line="6" w:lineRule="exact"/>
        <w:rPr>
          <w:rFonts w:ascii="Arial" w:cs="Arial" w:eastAsia="Arial" w:hAnsi="Arial"/>
          <w:sz w:val="20"/>
          <w:szCs w:val="20"/>
          <w:color w:val="231F20"/>
        </w:rPr>
      </w:pPr>
    </w:p>
    <w:p>
      <w:pPr>
        <w:ind w:left="600" w:right="220" w:hanging="300"/>
        <w:spacing w:after="0" w:line="248" w:lineRule="auto"/>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CCS projects may require significant capital investments by us, our joint venture partners and third parties, and sufficient capital or financing may not be available on reasonable terms or at all. In some cases, these projects involve the production of hydrogen, ammonia or other products and markets for some of these products are still emerging.</w:t>
      </w:r>
    </w:p>
    <w:p>
      <w:pPr>
        <w:spacing w:after="0" w:line="9" w:lineRule="exact"/>
        <w:rPr>
          <w:rFonts w:ascii="Arial" w:cs="Arial" w:eastAsia="Arial" w:hAnsi="Arial"/>
          <w:sz w:val="20"/>
          <w:szCs w:val="20"/>
          <w:color w:val="231F20"/>
        </w:rPr>
      </w:pPr>
    </w:p>
    <w:p>
      <w:pPr>
        <w:ind w:left="600" w:right="260" w:hanging="300"/>
        <w:spacing w:after="0" w:line="245" w:lineRule="auto"/>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CCS projects may require long-term agreements with emitters and other third parties, and we may be unable to secure such agreements on acceptable terms or at all.</w:t>
      </w:r>
    </w:p>
    <w:p>
      <w:pPr>
        <w:spacing w:after="0" w:line="10" w:lineRule="exact"/>
        <w:rPr>
          <w:rFonts w:ascii="Arial" w:cs="Arial" w:eastAsia="Arial" w:hAnsi="Arial"/>
          <w:sz w:val="20"/>
          <w:szCs w:val="20"/>
          <w:color w:val="231F20"/>
        </w:rPr>
      </w:pPr>
    </w:p>
    <w:p>
      <w:pPr>
        <w:ind w:left="600" w:right="260" w:hanging="300"/>
        <w:spacing w:after="0" w:line="248" w:lineRule="auto"/>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The development and operation of production facilities for hydrogen, ammonia and other products and associated sequestration facilities are highly complex. There can be no assurances that we or our partners will be able to successfully develop, maintain and operate these production and sequestration facilities.</w:t>
      </w:r>
    </w:p>
    <w:p>
      <w:pPr>
        <w:spacing w:after="0" w:line="9" w:lineRule="exact"/>
        <w:rPr>
          <w:rFonts w:ascii="Arial" w:cs="Arial" w:eastAsia="Arial" w:hAnsi="Arial"/>
          <w:sz w:val="20"/>
          <w:szCs w:val="20"/>
          <w:color w:val="231F20"/>
        </w:rPr>
      </w:pPr>
    </w:p>
    <w:p>
      <w:pPr>
        <w:ind w:left="600" w:right="400" w:hanging="300"/>
        <w:spacing w:after="0" w:line="247" w:lineRule="auto"/>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The performance of certain of our carbon and power-related projects depends in part on the reliable operation of associated power generation facilities, and reduced availability or unplanned outages could adversely affect project economics and expected returns.</w:t>
      </w:r>
    </w:p>
    <w:p>
      <w:pPr>
        <w:spacing w:after="0" w:line="9" w:lineRule="exact"/>
        <w:rPr>
          <w:rFonts w:ascii="Arial" w:cs="Arial" w:eastAsia="Arial" w:hAnsi="Arial"/>
          <w:sz w:val="20"/>
          <w:szCs w:val="20"/>
          <w:color w:val="231F20"/>
        </w:rPr>
      </w:pPr>
    </w:p>
    <w:p>
      <w:pPr>
        <w:ind w:left="600" w:right="60" w:hanging="300"/>
        <w:spacing w:after="0" w:line="245" w:lineRule="auto"/>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Certain of our CCS projects rely on pore space we do not own, and we may be unable to obtain necessary rights from landowners on acceptable terms or at all.</w:t>
      </w:r>
    </w:p>
    <w:p>
      <w:pPr>
        <w:spacing w:after="0" w:line="10" w:lineRule="exact"/>
        <w:rPr>
          <w:rFonts w:ascii="Arial" w:cs="Arial" w:eastAsia="Arial" w:hAnsi="Arial"/>
          <w:sz w:val="20"/>
          <w:szCs w:val="20"/>
          <w:color w:val="231F20"/>
        </w:rPr>
      </w:pPr>
    </w:p>
    <w:p>
      <w:pPr>
        <w:ind w:left="600" w:right="60" w:hanging="300"/>
        <w:spacing w:after="0" w:line="248" w:lineRule="auto"/>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Complex recordkeeping and GHG emissions/sequestration accounting may be required in connection with one or more of our projects, which may increase the costs of such operations. Different methodologies may be required for various regulatory and non-regulatory accounts regarding GHG emissions/sequestration at one or more of our projects, including but not limited to compliance with the EPA’s Mandatory Greenhouse Gas Reporting Program.</w:t>
      </w:r>
    </w:p>
    <w:p>
      <w:pPr>
        <w:spacing w:after="0" w:line="11" w:lineRule="exact"/>
        <w:rPr>
          <w:rFonts w:ascii="Arial" w:cs="Arial" w:eastAsia="Arial" w:hAnsi="Arial"/>
          <w:sz w:val="20"/>
          <w:szCs w:val="20"/>
          <w:color w:val="231F20"/>
        </w:rPr>
      </w:pPr>
    </w:p>
    <w:p>
      <w:pPr>
        <w:ind w:left="600" w:right="100" w:hanging="300"/>
        <w:spacing w:after="0" w:line="246" w:lineRule="auto"/>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Carbon capture may be viewed as a pathway to the continued use of fossil fuels and there may be organized opposition (including lawsuits) to CCS projects from environmental groups, local residents and legislators.</w:t>
      </w:r>
    </w:p>
    <w:p>
      <w:pPr>
        <w:spacing w:after="0" w:line="6" w:lineRule="exact"/>
        <w:rPr>
          <w:rFonts w:ascii="Arial" w:cs="Arial" w:eastAsia="Arial" w:hAnsi="Arial"/>
          <w:sz w:val="20"/>
          <w:szCs w:val="20"/>
          <w:color w:val="231F20"/>
        </w:rPr>
      </w:pPr>
    </w:p>
    <w:p>
      <w:pPr>
        <w:ind w:left="600" w:hanging="300"/>
        <w:spacing w:after="0"/>
        <w:tabs>
          <w:tab w:leader="none" w:pos="60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Other regulatory uncertainties described herein.</w:t>
      </w:r>
    </w:p>
    <w:p>
      <w:pPr>
        <w:spacing w:after="0" w:line="197"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231F20"/>
        </w:rPr>
        <w:t>There can be no assurances that we will successfully develop our CCS projects, including our cryogenic gas plant CCS project or CalCapture, and a failure to do so could have an adverse effect on our carbon management business and its prospects. We do not expect the failure of a single CCS project to create an impact on our overall financial condition or operations. However, as the scale of our CCS projects grows, so will their impact on our overall financial condition and operations. Moreover, our failure to successfully develop our CCS projects would adversely affect our ability to</w:t>
      </w:r>
    </w:p>
    <w:p>
      <w:pPr>
        <w:sectPr>
          <w:pgSz w:w="11880" w:h="15480" w:orient="portrait"/>
          <w:cols w:equalWidth="0" w:num="1">
            <w:col w:w="9100"/>
          </w:cols>
          <w:pgMar w:left="1380" w:top="1310" w:right="1400" w:bottom="653"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44</w:t>
      </w:r>
    </w:p>
    <w:p>
      <w:pPr>
        <w:sectPr>
          <w:pgSz w:w="11880" w:h="15480" w:orient="portrait"/>
          <w:cols w:equalWidth="0" w:num="1">
            <w:col w:w="9100"/>
          </w:cols>
          <w:pgMar w:left="1380" w:top="1310" w:right="1400" w:bottom="653" w:gutter="0" w:footer="0" w:header="0"/>
          <w:type w:val="continuous"/>
        </w:sectPr>
      </w:pPr>
    </w:p>
    <w:bookmarkStart w:id="48" w:name="page49"/>
    <w:bookmarkEnd w:id="48"/>
    <w:p>
      <w:pPr>
        <w:ind w:right="360"/>
        <w:spacing w:after="0" w:line="243" w:lineRule="auto"/>
        <w:rPr>
          <w:sz w:val="20"/>
          <w:szCs w:val="20"/>
          <w:color w:val="auto"/>
        </w:rPr>
      </w:pPr>
      <w:r>
        <w:rPr>
          <w:rFonts w:ascii="Arial" w:cs="Arial" w:eastAsia="Arial" w:hAnsi="Arial"/>
          <w:sz w:val="20"/>
          <w:szCs w:val="20"/>
          <w:color w:val="231F20"/>
        </w:rPr>
        <w:t>claim emissions reductions related to our sequestration activities and our ability to meet our carbon management goals, which in turn could have an adverse effect on our business and reputation.</w:t>
      </w:r>
    </w:p>
    <w:p>
      <w:pPr>
        <w:spacing w:after="0" w:line="220" w:lineRule="exact"/>
        <w:rPr>
          <w:sz w:val="20"/>
          <w:szCs w:val="20"/>
          <w:color w:val="auto"/>
        </w:rPr>
      </w:pPr>
    </w:p>
    <w:p>
      <w:pPr>
        <w:ind w:right="320" w:firstLine="300"/>
        <w:spacing w:after="0" w:line="280" w:lineRule="auto"/>
        <w:rPr>
          <w:sz w:val="20"/>
          <w:szCs w:val="20"/>
          <w:color w:val="auto"/>
        </w:rPr>
      </w:pPr>
      <w:r>
        <w:rPr>
          <w:rFonts w:ascii="Arial" w:cs="Arial" w:eastAsia="Arial" w:hAnsi="Arial"/>
          <w:sz w:val="19"/>
          <w:szCs w:val="19"/>
          <w:b w:val="1"/>
          <w:bCs w:val="1"/>
          <w:i w:val="1"/>
          <w:iCs w:val="1"/>
          <w:color w:val="231F20"/>
        </w:rPr>
        <w:t>Our ability to achieve our emissions goals, including our Responsible Net Zero objective, and other carbon management objectives is subject to significant risks and uncertainties.</w:t>
      </w:r>
    </w:p>
    <w:p>
      <w:pPr>
        <w:spacing w:after="0" w:line="18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We have adopted various sustainability-related targets and objectives, including our Responsible Net Zero objective, and our efforts to establish, pursue and report on these targets expose us to operational, reputational, financial, legal and other risks. Our Responsible Net Zero objective considers Scope 1 and Scope 2 emissions, reflecting an approach that prioritizes operational emissions reductions and carbon management solutions while recognizing the ongoing role of responsibly produced energy and the practical, regulatory and technological constraints associated with achieving absolute net zero emissions.</w:t>
      </w:r>
    </w:p>
    <w:p>
      <w:pPr>
        <w:spacing w:after="0" w:line="220"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Our ability to advance our Responsible Net Zero objective depends in significant part on the successful development of our Carbon TerraVault business and related carbon capture and sequestration projects, as well as continued operational improvements. These efforts are subject to substantial regulatory, technical and commercial uncertainty, including risks related to permitting, financing, third-party participation and evolving regulatory frameworks. If we are unable to successfully develop these projects or achieve anticipated operational improvements, our ability to advance our Responsible Net Zero objective could be materially and adversely affected.</w:t>
      </w:r>
    </w:p>
    <w:p>
      <w:pPr>
        <w:spacing w:after="0" w:line="220"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231F20"/>
        </w:rPr>
        <w:t>In addition, emissions accounting standards, regulatory requirements and climate science continue to evolve. Changes in applicable laws, regulations, guidance or methodologies could affect our ability to claim emissions reductions, accurately report progress or achieve our stated objectives on the timelines contemplated, if at all.</w:t>
      </w:r>
    </w:p>
    <w:p>
      <w:pPr>
        <w:spacing w:after="0" w:line="21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Our adoption of a Responsible Net Zero objective may increase scrutiny from investors, regulators and other stakeholders, some of whom may have differing views regarding the appropriate scope, pace or methods for achieving emissions reductions. A failure or perceived failure to pursue or accurately describe progress toward our Responsible Net Zero objective, or to align related disclosures with evolving regulatory or market expectations, could expose us to regulatory enforcement actions, litigation, reputational harm, increased costs or reduced access to capital.</w:t>
      </w:r>
    </w:p>
    <w:p>
      <w:pPr>
        <w:spacing w:after="0" w:line="214" w:lineRule="exact"/>
        <w:rPr>
          <w:sz w:val="20"/>
          <w:szCs w:val="20"/>
          <w:color w:val="auto"/>
        </w:rPr>
      </w:pPr>
    </w:p>
    <w:p>
      <w:pPr>
        <w:ind w:right="380" w:firstLine="300"/>
        <w:spacing w:after="0" w:line="252" w:lineRule="auto"/>
        <w:rPr>
          <w:sz w:val="20"/>
          <w:szCs w:val="20"/>
          <w:color w:val="auto"/>
        </w:rPr>
      </w:pPr>
      <w:r>
        <w:rPr>
          <w:rFonts w:ascii="Arial" w:cs="Arial" w:eastAsia="Arial" w:hAnsi="Arial"/>
          <w:sz w:val="20"/>
          <w:szCs w:val="20"/>
          <w:b w:val="1"/>
          <w:bCs w:val="1"/>
          <w:i w:val="1"/>
          <w:iCs w:val="1"/>
          <w:color w:val="231F20"/>
        </w:rPr>
        <w:t>Our Carbon TerraVault business and other CCS projects depend on financial and tax incentives to be economical, and these incentives may be insufficient, unavailable, delayed, reduced or terminated</w:t>
      </w:r>
      <w:r>
        <w:rPr>
          <w:rFonts w:ascii="Arial" w:cs="Arial" w:eastAsia="Arial" w:hAnsi="Arial"/>
          <w:sz w:val="20"/>
          <w:szCs w:val="20"/>
          <w:color w:val="231F20"/>
        </w:rPr>
        <w:t>.</w:t>
      </w:r>
    </w:p>
    <w:p>
      <w:pPr>
        <w:spacing w:after="0" w:line="210"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Our Carbon TerraVault business and other CCS projects depend on financial and tax incentives established under federal and state laws, regulations and governmental programs to be economically viable. Governmental incentives are important to the expected economics of our carbon management business and related projects, including the Section 45Q carbon sequestration credit expanded under the Inflation Reduction Act, the One Big Beautiful Bill Act and LCFS credits under California law. The availability and value of these incentives depend on satisfaction of detailed statutory and regulatory requirements, some of which remain subject to evolving guidance, interpretation, audit and enforcement by the U.S. Department of the Treasury, the Internal Revenue Service, the California Air Resources Board and other federal and California state governmental authorities.</w:t>
      </w:r>
    </w:p>
    <w:p>
      <w:pPr>
        <w:spacing w:after="0" w:line="223"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In addition to tax incentives, certain CCS projects may rely on federal grants, loans or other funding programs authorized under the Inflation Reduction Act or the Infrastructure Investment and Jobs Act. Such programs are subject to agency discretion, eligibility criteria, administrative review, funding availability and the risk of delay, modification, reprioritization or cancellation. Changes in federal administration priorities, executive orders, agency rulemaking, enforcement practices or congressional</w:t>
      </w:r>
    </w:p>
    <w:p>
      <w:pPr>
        <w:sectPr>
          <w:pgSz w:w="11880" w:h="15480" w:orient="portrait"/>
          <w:cols w:equalWidth="0" w:num="1">
            <w:col w:w="9100"/>
          </w:cols>
          <w:pgMar w:left="1380" w:top="1316" w:right="1400" w:bottom="653"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45</w:t>
      </w:r>
    </w:p>
    <w:p>
      <w:pPr>
        <w:sectPr>
          <w:pgSz w:w="11880" w:h="15480" w:orient="portrait"/>
          <w:cols w:equalWidth="0" w:num="1">
            <w:col w:w="9100"/>
          </w:cols>
          <w:pgMar w:left="1380" w:top="1316" w:right="1400" w:bottom="653" w:gutter="0" w:footer="0" w:header="0"/>
          <w:type w:val="continuous"/>
        </w:sectPr>
      </w:pPr>
    </w:p>
    <w:bookmarkStart w:id="49" w:name="page50"/>
    <w:bookmarkEnd w:id="49"/>
    <w:p>
      <w:pPr>
        <w:spacing w:after="0" w:line="248" w:lineRule="auto"/>
        <w:rPr>
          <w:sz w:val="20"/>
          <w:szCs w:val="20"/>
          <w:color w:val="auto"/>
        </w:rPr>
      </w:pPr>
      <w:r>
        <w:rPr>
          <w:rFonts w:ascii="Arial" w:cs="Arial" w:eastAsia="Arial" w:hAnsi="Arial"/>
          <w:sz w:val="20"/>
          <w:szCs w:val="20"/>
          <w:color w:val="231F20"/>
        </w:rPr>
        <w:t>action have and could further modify, delay, limit, condition or repeal grants, funding programs or tax incentives applicable to our carbon management business. For example, the current administration has taken steps to reduce the availability of federal grants for CCS projects, including canceling grants that had been previously awarded.</w:t>
      </w:r>
    </w:p>
    <w:p>
      <w:pPr>
        <w:spacing w:after="0" w:line="222"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If incentives such as the Section 45Q credit, LCFS credit or other applicable federal or state programs are eliminated, reduced, delayed, materially restricted or made subject to more burdensome compliance requirements, our Carbon TerraVault projects may become uneconomic or no longer feasible. In addition, the ability to monetize tax credits, including through direct pay, tax equity financing or credit transfers, is uncertain and depends on evolving federal rules, market liquidity, counterparties, pricing dynamics and compliance risk. We cannot assure that we or our partners will be able to efficiently monetize such incentives on acceptable terms or at all.</w:t>
      </w:r>
    </w:p>
    <w:p>
      <w:pPr>
        <w:spacing w:after="0" w:line="223" w:lineRule="exact"/>
        <w:rPr>
          <w:sz w:val="20"/>
          <w:szCs w:val="20"/>
          <w:color w:val="auto"/>
        </w:rPr>
      </w:pPr>
    </w:p>
    <w:p>
      <w:pPr>
        <w:ind w:firstLine="300"/>
        <w:spacing w:after="0" w:line="236" w:lineRule="auto"/>
        <w:rPr>
          <w:sz w:val="20"/>
          <w:szCs w:val="20"/>
          <w:color w:val="auto"/>
        </w:rPr>
      </w:pPr>
      <w:r>
        <w:rPr>
          <w:rFonts w:ascii="Arial" w:cs="Arial" w:eastAsia="Arial" w:hAnsi="Arial"/>
          <w:sz w:val="20"/>
          <w:szCs w:val="20"/>
          <w:color w:val="231F20"/>
        </w:rPr>
        <w:t>Many incentives applicable to CCS projects require long-term secure geological storage of captured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and ongoing compliance with monitoring, reporting and verification requirements. Failure to satisfy these requirements could result in the recapture of tax credits or other incentives, indemnification obligations to partners or counterparties, penalties, increased regulatory scrutiny or other liabilities. Any of the foregoing risks could materially and adversely affect our carbon management business, financial condition, results of operations and prospects.</w:t>
      </w:r>
    </w:p>
    <w:p>
      <w:pPr>
        <w:spacing w:after="0" w:line="224" w:lineRule="exact"/>
        <w:rPr>
          <w:sz w:val="20"/>
          <w:szCs w:val="20"/>
          <w:color w:val="auto"/>
        </w:rPr>
      </w:pPr>
    </w:p>
    <w:p>
      <w:pPr>
        <w:ind w:right="480" w:firstLine="300"/>
        <w:spacing w:after="0" w:line="254" w:lineRule="auto"/>
        <w:rPr>
          <w:sz w:val="20"/>
          <w:szCs w:val="20"/>
          <w:color w:val="auto"/>
        </w:rPr>
      </w:pPr>
      <w:r>
        <w:rPr>
          <w:rFonts w:ascii="Arial" w:cs="Arial" w:eastAsia="Arial" w:hAnsi="Arial"/>
          <w:sz w:val="20"/>
          <w:szCs w:val="20"/>
          <w:b w:val="1"/>
          <w:bCs w:val="1"/>
          <w:i w:val="1"/>
          <w:iCs w:val="1"/>
          <w:color w:val="231F20"/>
        </w:rPr>
        <w:t>Our Carbon TerraVault JV with Brookfield is subject to inherent uncertainties that could adversely affect our ability to implement our carbon management strategy.</w:t>
      </w:r>
    </w:p>
    <w:p>
      <w:pPr>
        <w:spacing w:after="0" w:line="211" w:lineRule="exact"/>
        <w:rPr>
          <w:sz w:val="20"/>
          <w:szCs w:val="20"/>
          <w:color w:val="auto"/>
        </w:rPr>
      </w:pPr>
    </w:p>
    <w:p>
      <w:pPr>
        <w:ind w:right="200" w:firstLine="300"/>
        <w:spacing w:after="0" w:line="266" w:lineRule="auto"/>
        <w:rPr>
          <w:sz w:val="20"/>
          <w:szCs w:val="20"/>
          <w:color w:val="auto"/>
        </w:rPr>
      </w:pPr>
      <w:r>
        <w:rPr>
          <w:rFonts w:ascii="Arial" w:cs="Arial" w:eastAsia="Arial" w:hAnsi="Arial"/>
          <w:sz w:val="19"/>
          <w:szCs w:val="19"/>
          <w:color w:val="231F20"/>
        </w:rPr>
        <w:t>In August 2022, we entered into the Carbon TerraVault JV with Brookfield to pursue the development of a carbon management segment in California. The management and financing of the joint venture are subject to inherent uncertainties, which could delay or prevent CCS projects, require us to seek alternative sources of capital or otherwise affect our carbon management strategy.</w:t>
      </w:r>
    </w:p>
    <w:p>
      <w:pPr>
        <w:spacing w:after="0" w:line="204"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Brookfield has committed an initial $500 million to invest in CCS projects that are jointly approved through Carbon TerraVault JV. The remaining amount of Brookfield’s initial investment will depend on the amount of storage capacity that is permitted subject to certain contractual adjustments. Future storage projects for Brookfield’s initial commitment are subject to approval of the joint venture, including Brookfield. There can be no assurances that any of these funding milestones will be achieved so that Brookfield will fund the rest of its commitment. In addition, the parties have certain put and call rights with respect to the 26R reservoir if certain milestones are not met. The exercise of Brookfield’s put right could materially and adversely affect our carbon management business, financial condition, results of operations and prospects.</w:t>
      </w:r>
    </w:p>
    <w:p>
      <w:pPr>
        <w:spacing w:after="0" w:line="22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Although we own a 51% interest in the Carbon TerraVault JV, we share decision making authority with Brookfield on matters that most significantly impact the economic performance of the joint venture. Any failure to reach a decision with Brookfield could potentially prevent or delay our pursuit of CCS projects or cause such projects to be cancelled. Moreover, if Brookfield does not approve a proposed CCS project that we want to pursue, we will have to seek alternative sources of capital to fund the project and there can be no assurances that such sources of capital will be available.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 Factors Related to Our Business Generally</w:t>
      </w:r>
    </w:p>
    <w:p>
      <w:pPr>
        <w:spacing w:after="0" w:line="225" w:lineRule="exact"/>
        <w:rPr>
          <w:sz w:val="20"/>
          <w:szCs w:val="20"/>
          <w:color w:val="auto"/>
        </w:rPr>
      </w:pPr>
    </w:p>
    <w:p>
      <w:pPr>
        <w:ind w:right="420" w:firstLine="300"/>
        <w:spacing w:after="0" w:line="252" w:lineRule="auto"/>
        <w:rPr>
          <w:sz w:val="20"/>
          <w:szCs w:val="20"/>
          <w:color w:val="auto"/>
        </w:rPr>
      </w:pPr>
      <w:r>
        <w:rPr>
          <w:rFonts w:ascii="Arial" w:cs="Arial" w:eastAsia="Arial" w:hAnsi="Arial"/>
          <w:sz w:val="20"/>
          <w:szCs w:val="20"/>
          <w:b w:val="1"/>
          <w:bCs w:val="1"/>
          <w:i w:val="1"/>
          <w:iCs w:val="1"/>
          <w:color w:val="231F20"/>
        </w:rPr>
        <w:t>Increasing activism against the industries in which we operate, including the oil and gas industry and our involvement in carbon capture, storage, utilization and sequestration, presents risks to our business.</w:t>
      </w:r>
    </w:p>
    <w:p>
      <w:pPr>
        <w:spacing w:after="0" w:line="213" w:lineRule="exact"/>
        <w:rPr>
          <w:sz w:val="20"/>
          <w:szCs w:val="20"/>
          <w:color w:val="auto"/>
        </w:rPr>
      </w:pPr>
    </w:p>
    <w:p>
      <w:pPr>
        <w:ind w:right="60" w:firstLine="300"/>
        <w:spacing w:after="0" w:line="243" w:lineRule="auto"/>
        <w:rPr>
          <w:sz w:val="20"/>
          <w:szCs w:val="20"/>
          <w:color w:val="auto"/>
        </w:rPr>
      </w:pPr>
      <w:r>
        <w:rPr>
          <w:rFonts w:ascii="Arial" w:cs="Arial" w:eastAsia="Arial" w:hAnsi="Arial"/>
          <w:sz w:val="20"/>
          <w:szCs w:val="20"/>
          <w:color w:val="231F20"/>
        </w:rPr>
        <w:t>Opposition toward oil and gas drilling and development activity has increased over time, and companies in the oil and gas industry are often the target of efforts by non-governmental organizations</w:t>
      </w:r>
    </w:p>
    <w:p>
      <w:pPr>
        <w:sectPr>
          <w:pgSz w:w="11880" w:h="15480" w:orient="portrait"/>
          <w:cols w:equalWidth="0" w:num="1">
            <w:col w:w="9120"/>
          </w:cols>
          <w:pgMar w:left="1380" w:top="1316" w:right="1380" w:bottom="655"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46</w:t>
      </w:r>
    </w:p>
    <w:p>
      <w:pPr>
        <w:sectPr>
          <w:pgSz w:w="11880" w:h="15480" w:orient="portrait"/>
          <w:cols w:equalWidth="0" w:num="1">
            <w:col w:w="9120"/>
          </w:cols>
          <w:pgMar w:left="1380" w:top="1316" w:right="1380" w:bottom="655" w:gutter="0" w:footer="0" w:header="0"/>
          <w:type w:val="continuous"/>
        </w:sectPr>
      </w:pPr>
    </w:p>
    <w:bookmarkStart w:id="50" w:name="page51"/>
    <w:bookmarkEnd w:id="50"/>
    <w:p>
      <w:pPr>
        <w:jc w:val="both"/>
        <w:ind w:right="320"/>
        <w:spacing w:after="0" w:line="266" w:lineRule="auto"/>
        <w:rPr>
          <w:sz w:val="20"/>
          <w:szCs w:val="20"/>
          <w:color w:val="auto"/>
        </w:rPr>
      </w:pPr>
      <w:r>
        <w:rPr>
          <w:rFonts w:ascii="Arial" w:cs="Arial" w:eastAsia="Arial" w:hAnsi="Arial"/>
          <w:sz w:val="19"/>
          <w:szCs w:val="19"/>
          <w:color w:val="231F20"/>
        </w:rPr>
        <w:t>and individuals to delay or prevent oil and gas development, including through allegations regarding safety, environmental impacts or compliance and business practices. These efforts include seeking changes to laws, pressuring governmental agencies to engage in rulemaking or pursuing litigation.</w:t>
      </w:r>
    </w:p>
    <w:p>
      <w:pPr>
        <w:spacing w:after="0" w:line="18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 xml:space="preserve">This opposition also extends to our carbon management segment as certain activists oppose carbon capture and sequestration efforts by the oil and gas companies. For example, on November 22, 2024, a group of non-governmental organizations filed a Petition for Writ of Mandate and Complaint for Injunctive Relief against Kern County and its Board of Supervisors (CTV I Complaint) in Kern County for our CTV I project. This litigation is ongoing. See </w:t>
      </w:r>
      <w:r>
        <w:rPr>
          <w:rFonts w:ascii="Arial" w:cs="Arial" w:eastAsia="Arial" w:hAnsi="Arial"/>
          <w:sz w:val="20"/>
          <w:szCs w:val="20"/>
          <w:i w:val="1"/>
          <w:iCs w:val="1"/>
          <w:color w:val="231F20"/>
        </w:rPr>
        <w:t>Regulation of Carbon Capture, Sequestration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Storage – CCS Project Permitting</w:t>
      </w:r>
      <w:r>
        <w:rPr>
          <w:rFonts w:ascii="Arial" w:cs="Arial" w:eastAsia="Arial" w:hAnsi="Arial"/>
          <w:sz w:val="20"/>
          <w:szCs w:val="20"/>
          <w:color w:val="231F20"/>
        </w:rPr>
        <w:t>. Such lawsuits could delay construction or commencement of</w:t>
      </w:r>
      <w:r>
        <w:rPr>
          <w:rFonts w:ascii="Arial" w:cs="Arial" w:eastAsia="Arial" w:hAnsi="Arial"/>
          <w:sz w:val="20"/>
          <w:szCs w:val="20"/>
          <w:i w:val="1"/>
          <w:iCs w:val="1"/>
          <w:color w:val="231F20"/>
        </w:rPr>
        <w:t xml:space="preserve"> </w:t>
      </w:r>
      <w:r>
        <w:rPr>
          <w:rFonts w:ascii="Arial" w:cs="Arial" w:eastAsia="Arial" w:hAnsi="Arial"/>
          <w:sz w:val="20"/>
          <w:szCs w:val="20"/>
          <w:color w:val="231F20"/>
        </w:rPr>
        <w:t>operations and have a material and adverse effect on our carbon management business and its prospects.</w:t>
      </w:r>
    </w:p>
    <w:p>
      <w:pPr>
        <w:spacing w:after="0" w:line="203"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Heightened concerns by certain parties around climate change and GHG emissions have increased pressure on lawmakers, regulators and others to take action, particularly in California, regardless of the merit of these allegations. We may need to incur significant costs associated with responding to these initiatives and such actions may have a material adverse effect on our financial results. Complying with any resulting additional legal or regulatory requirements that are substantial or prevent or interfere with our activities could have a material adverse effect on our business, financial condition and results of operations.</w:t>
      </w:r>
    </w:p>
    <w:p>
      <w:pPr>
        <w:spacing w:after="0" w:line="197" w:lineRule="exact"/>
        <w:rPr>
          <w:sz w:val="20"/>
          <w:szCs w:val="20"/>
          <w:color w:val="auto"/>
        </w:rPr>
      </w:pPr>
    </w:p>
    <w:p>
      <w:pPr>
        <w:ind w:right="160" w:firstLine="300"/>
        <w:spacing w:after="0" w:line="254" w:lineRule="auto"/>
        <w:rPr>
          <w:sz w:val="20"/>
          <w:szCs w:val="20"/>
          <w:color w:val="auto"/>
        </w:rPr>
      </w:pPr>
      <w:r>
        <w:rPr>
          <w:rFonts w:ascii="Arial" w:cs="Arial" w:eastAsia="Arial" w:hAnsi="Arial"/>
          <w:sz w:val="20"/>
          <w:szCs w:val="20"/>
          <w:b w:val="1"/>
          <w:bCs w:val="1"/>
          <w:i w:val="1"/>
          <w:iCs w:val="1"/>
          <w:color w:val="231F20"/>
        </w:rPr>
        <w:t>Changes in expectations as to ESG matters may adversely impact our business, reputation and access to capital.</w:t>
      </w:r>
    </w:p>
    <w:p>
      <w:pPr>
        <w:spacing w:after="0" w:line="190"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We face increased attention and evolving expectations from investors, regulators and other stakeholders regarding ESG matters, including climate change, environmental and social impacts and voluntary or mandatory ESG disclosures. Increased demand for alternative forms of energy may increase costs, reduce demand for our products and contribute to increased investigations and litigation, any of which could adversely affect our business. Increased attention to climate change and environmental conservation, for example, may result in demand shifts for oil and natural gas products and additional governmental investigations and private litigation against us. In some cases, liability or regulatory action may be pursued without regard to our causation of, or contribution to, the asserted harm. While we may participate in various ESG frameworks and certification programs, we cannot guarantee that such participation or certification will achieve intended outcomes or improve perceptions of our products or business.</w:t>
      </w:r>
    </w:p>
    <w:p>
      <w:pPr>
        <w:spacing w:after="0" w:line="207" w:lineRule="exact"/>
        <w:rPr>
          <w:sz w:val="20"/>
          <w:szCs w:val="20"/>
          <w:color w:val="auto"/>
        </w:rPr>
      </w:pPr>
    </w:p>
    <w:p>
      <w:pPr>
        <w:ind w:right="120" w:firstLine="300"/>
        <w:spacing w:after="0" w:line="263" w:lineRule="auto"/>
        <w:rPr>
          <w:sz w:val="20"/>
          <w:szCs w:val="20"/>
          <w:color w:val="auto"/>
        </w:rPr>
      </w:pPr>
      <w:r>
        <w:rPr>
          <w:rFonts w:ascii="Arial" w:cs="Arial" w:eastAsia="Arial" w:hAnsi="Arial"/>
          <w:sz w:val="19"/>
          <w:szCs w:val="19"/>
          <w:color w:val="231F20"/>
        </w:rPr>
        <w:t>Our ESG disclosures may be based on expectations, assumptions or hypothetical scenarios that are uncertain, subject to change and difficult to verify over long time horizons. Such expectations, assumptions or hypothetical scenarios are necessarily uncertain and may be prone to error or subject to misinterpretation given the long timelines involved and the lack of an established approach to identifying, measuring and reporting on many ESG matters. Additionally, while we may also announce various ESG targets, such targets are often aspirational and may be subject to change depending on changed circumstances, methodologies, business forecasts or other factors. We may not be able to meet or make progress against such targets in the manner or on such a timeline as initially contemplated, including, but not limited to as a result of unforeseen costs, inaccurate forecasts or technical difficulties. To the extent we do meet such targets, they may ultimately be achieved through various contractual arrangements, including the purchase of various credits or offsets that may be deemed to mitigate our ESG impact instead of actual changes in our ESG performance. However, we cannot guarantee that there will be sufficient offsets available for purchase given the increased demand from numerous businesses implementing net zero goals, or heightened scrutiny of their methodologies. Some of these arrangements may receive scrutiny from certain constituencies who criticize the methodology of offsets or do not believe offsets should be utilized to neutralize GHG emissions. Also, despite these aspirational goals, we may receive pressure from investors, lenders or</w:t>
      </w:r>
    </w:p>
    <w:p>
      <w:pPr>
        <w:sectPr>
          <w:pgSz w:w="11880" w:h="15480" w:orient="portrait"/>
          <w:cols w:equalWidth="0" w:num="1">
            <w:col w:w="9120"/>
          </w:cols>
          <w:pgMar w:left="1380" w:top="1316" w:right="1380" w:bottom="653"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47</w:t>
      </w:r>
    </w:p>
    <w:p>
      <w:pPr>
        <w:sectPr>
          <w:pgSz w:w="11880" w:h="15480" w:orient="portrait"/>
          <w:cols w:equalWidth="0" w:num="1">
            <w:col w:w="9120"/>
          </w:cols>
          <w:pgMar w:left="1380" w:top="1316" w:right="1380" w:bottom="653" w:gutter="0" w:footer="0" w:header="0"/>
          <w:type w:val="continuous"/>
        </w:sectPr>
      </w:pPr>
    </w:p>
    <w:bookmarkStart w:id="51" w:name="page52"/>
    <w:bookmarkEnd w:id="51"/>
    <w:p>
      <w:pPr>
        <w:jc w:val="both"/>
        <w:ind w:right="180"/>
        <w:spacing w:after="0" w:line="246" w:lineRule="auto"/>
        <w:rPr>
          <w:sz w:val="20"/>
          <w:szCs w:val="20"/>
          <w:color w:val="auto"/>
        </w:rPr>
      </w:pPr>
      <w:r>
        <w:rPr>
          <w:rFonts w:ascii="Arial" w:cs="Arial" w:eastAsia="Arial" w:hAnsi="Arial"/>
          <w:sz w:val="20"/>
          <w:szCs w:val="20"/>
          <w:color w:val="231F20"/>
        </w:rPr>
        <w:t>other groups to adopt more aggressive climate or other ESG-related goals, but we cannot guarantee that we will be able to pursue or implement such goals, in whole or in part, because of potential costs or technical, inaccurate assumptions or operational obstacles.</w:t>
      </w:r>
    </w:p>
    <w:p>
      <w:pPr>
        <w:spacing w:after="0" w:line="18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Certain public statements regarding ESG matters are subject to increasing regulatory, litigation and political scrutiny, including allegations of “greenwashing” or challenges from so-called “anti-ESG” constituencies, which could result in investigations, enforcement actions, litigation or reputational harm. Additionally, certain employment or business practices and social initiatives are the subject of scrutiny by both those calling for the continued advancement of such policies, as well as those who believe they should be curbed, including government actors, and the complex regulatory and legal frameworks applicable to such initiatives continue to evolve. As a result, we may face increased litigation risks from private parties and governmental authorities related to our ESG efforts. Such ESG-related matters may also impact our customers or suppliers, which may adversely impact our business, financial condition or results of operations.</w:t>
      </w:r>
    </w:p>
    <w:p>
      <w:pPr>
        <w:spacing w:after="0" w:line="177" w:lineRule="exact"/>
        <w:rPr>
          <w:sz w:val="20"/>
          <w:szCs w:val="20"/>
          <w:color w:val="auto"/>
        </w:rPr>
      </w:pPr>
    </w:p>
    <w:p>
      <w:pPr>
        <w:ind w:right="740" w:firstLine="300"/>
        <w:spacing w:after="0" w:line="254" w:lineRule="auto"/>
        <w:rPr>
          <w:sz w:val="20"/>
          <w:szCs w:val="20"/>
          <w:color w:val="auto"/>
        </w:rPr>
      </w:pPr>
      <w:r>
        <w:rPr>
          <w:rFonts w:ascii="Arial" w:cs="Arial" w:eastAsia="Arial" w:hAnsi="Arial"/>
          <w:sz w:val="20"/>
          <w:szCs w:val="20"/>
          <w:b w:val="1"/>
          <w:bCs w:val="1"/>
          <w:i w:val="1"/>
          <w:iCs w:val="1"/>
          <w:color w:val="231F20"/>
        </w:rPr>
        <w:t>Mergers, acquisitions and dispositions, including the integration of the Berry Merger completed in December 2025, involve substantial risks.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We engage in acquisition activities from time to time, including the Berry Merger which closed in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December 2025. The Berry Merger and other acquisition activities carry risks that we may:</w:t>
      </w:r>
    </w:p>
    <w:p>
      <w:pPr>
        <w:spacing w:after="0" w:line="183" w:lineRule="exact"/>
        <w:rPr>
          <w:sz w:val="20"/>
          <w:szCs w:val="20"/>
          <w:color w:val="auto"/>
        </w:rPr>
      </w:pPr>
    </w:p>
    <w:p>
      <w:pPr>
        <w:ind w:left="600" w:right="760" w:hanging="300"/>
        <w:spacing w:after="0" w:line="245" w:lineRule="auto"/>
        <w:tabs>
          <w:tab w:leader="none" w:pos="600"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not fully realize anticipated benefits due to less-than-expected reserves or production or changed circumstances;</w:t>
      </w:r>
    </w:p>
    <w:p>
      <w:pPr>
        <w:spacing w:after="0" w:line="10" w:lineRule="exact"/>
        <w:rPr>
          <w:rFonts w:ascii="Arial" w:cs="Arial" w:eastAsia="Arial" w:hAnsi="Arial"/>
          <w:sz w:val="20"/>
          <w:szCs w:val="20"/>
          <w:color w:val="231F20"/>
        </w:rPr>
      </w:pPr>
    </w:p>
    <w:p>
      <w:pPr>
        <w:ind w:left="600" w:right="300" w:hanging="300"/>
        <w:spacing w:after="0" w:line="247" w:lineRule="auto"/>
        <w:tabs>
          <w:tab w:leader="none" w:pos="600"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bear unexpected integration costs, experience delays or challenges in integrating assets, systems, personnel or operations (including, in the case of the Berry Merger, drilling services operations), or fail to achieve anticipated synergies;</w:t>
      </w:r>
    </w:p>
    <w:p>
      <w:pPr>
        <w:spacing w:after="0" w:line="5" w:lineRule="exact"/>
        <w:rPr>
          <w:rFonts w:ascii="Arial" w:cs="Arial" w:eastAsia="Arial" w:hAnsi="Arial"/>
          <w:sz w:val="20"/>
          <w:szCs w:val="20"/>
          <w:color w:val="231F20"/>
        </w:rPr>
      </w:pPr>
    </w:p>
    <w:p>
      <w:pPr>
        <w:ind w:left="600" w:hanging="300"/>
        <w:spacing w:after="0"/>
        <w:tabs>
          <w:tab w:leader="none" w:pos="600"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assume liabilities that are greater than anticipated; and</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33"/>
        </w:numPr>
        <w:rPr>
          <w:rFonts w:ascii="Arial" w:cs="Arial" w:eastAsia="Arial" w:hAnsi="Arial"/>
          <w:sz w:val="20"/>
          <w:szCs w:val="20"/>
          <w:color w:val="231F20"/>
        </w:rPr>
      </w:pPr>
      <w:r>
        <w:rPr>
          <w:rFonts w:ascii="Arial" w:cs="Arial" w:eastAsia="Arial" w:hAnsi="Arial"/>
          <w:sz w:val="20"/>
          <w:szCs w:val="20"/>
          <w:color w:val="231F20"/>
        </w:rPr>
        <w:t>be exposed to currency, political, marketing, labor and other risks.</w:t>
      </w:r>
    </w:p>
    <w:p>
      <w:pPr>
        <w:spacing w:after="0" w:line="183" w:lineRule="exact"/>
        <w:rPr>
          <w:sz w:val="20"/>
          <w:szCs w:val="20"/>
          <w:color w:val="auto"/>
        </w:rPr>
      </w:pPr>
    </w:p>
    <w:p>
      <w:pPr>
        <w:ind w:right="100" w:firstLine="300"/>
        <w:spacing w:after="0" w:line="247" w:lineRule="auto"/>
        <w:rPr>
          <w:sz w:val="20"/>
          <w:szCs w:val="20"/>
          <w:color w:val="auto"/>
        </w:rPr>
      </w:pPr>
      <w:r>
        <w:rPr>
          <w:rFonts w:ascii="Arial" w:cs="Arial" w:eastAsia="Arial" w:hAnsi="Arial"/>
          <w:sz w:val="20"/>
          <w:szCs w:val="20"/>
          <w:color w:val="231F20"/>
        </w:rPr>
        <w:t>Although the Berry Merger was completed in December 2025, the integration of Berry’s assets, operations and personnel is ongoing and subject to execution risk, and we may not realize anticipated benefits within expected timeframes or at all.</w:t>
      </w:r>
    </w:p>
    <w:p>
      <w:pPr>
        <w:spacing w:after="0" w:line="178" w:lineRule="exact"/>
        <w:rPr>
          <w:sz w:val="20"/>
          <w:szCs w:val="20"/>
          <w:color w:val="auto"/>
        </w:rPr>
      </w:pPr>
    </w:p>
    <w:p>
      <w:pPr>
        <w:jc w:val="both"/>
        <w:ind w:right="860" w:firstLine="300"/>
        <w:spacing w:after="0" w:line="247" w:lineRule="auto"/>
        <w:rPr>
          <w:sz w:val="20"/>
          <w:szCs w:val="20"/>
          <w:color w:val="auto"/>
        </w:rPr>
      </w:pPr>
      <w:r>
        <w:rPr>
          <w:rFonts w:ascii="Arial" w:cs="Arial" w:eastAsia="Arial" w:hAnsi="Arial"/>
          <w:sz w:val="20"/>
          <w:szCs w:val="20"/>
          <w:color w:val="231F20"/>
        </w:rPr>
        <w:t>In connection with mergers and acquisitions, we are often only able to perform limited due diligence, and assessments of reserves, production, costs and liabilities may be inaccurate or incomplete.</w:t>
      </w:r>
    </w:p>
    <w:p>
      <w:pPr>
        <w:spacing w:after="0" w:line="178" w:lineRule="exact"/>
        <w:rPr>
          <w:sz w:val="20"/>
          <w:szCs w:val="20"/>
          <w:color w:val="auto"/>
        </w:rPr>
      </w:pPr>
    </w:p>
    <w:p>
      <w:pPr>
        <w:ind w:right="80" w:firstLine="300"/>
        <w:spacing w:after="0" w:line="266" w:lineRule="auto"/>
        <w:rPr>
          <w:sz w:val="20"/>
          <w:szCs w:val="20"/>
          <w:color w:val="auto"/>
        </w:rPr>
      </w:pPr>
      <w:r>
        <w:rPr>
          <w:rFonts w:ascii="Arial" w:cs="Arial" w:eastAsia="Arial" w:hAnsi="Arial"/>
          <w:sz w:val="19"/>
          <w:szCs w:val="19"/>
          <w:color w:val="231F20"/>
        </w:rPr>
        <w:t>Future mergers and acquisitions may require approvals from shareholders, government agencies or other regulatory bodies, and there can be no assurance that such approvals will be obtained on acceptable terms or at all. If we are not able to successfully complete mergers and acquisitions, we may not be able to grow our reserves or production or develop our properties in a timely manner or at all.</w:t>
      </w:r>
    </w:p>
    <w:p>
      <w:pPr>
        <w:spacing w:after="0" w:line="159" w:lineRule="exact"/>
        <w:rPr>
          <w:sz w:val="20"/>
          <w:szCs w:val="20"/>
          <w:color w:val="auto"/>
        </w:rPr>
      </w:pPr>
    </w:p>
    <w:p>
      <w:pPr>
        <w:ind w:right="680" w:firstLine="300"/>
        <w:spacing w:after="0" w:line="266" w:lineRule="auto"/>
        <w:rPr>
          <w:sz w:val="20"/>
          <w:szCs w:val="20"/>
          <w:color w:val="auto"/>
        </w:rPr>
      </w:pPr>
      <w:r>
        <w:rPr>
          <w:rFonts w:ascii="Arial" w:cs="Arial" w:eastAsia="Arial" w:hAnsi="Arial"/>
          <w:sz w:val="19"/>
          <w:szCs w:val="19"/>
          <w:color w:val="231F20"/>
        </w:rPr>
        <w:t>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spacing w:after="0" w:line="157" w:lineRule="exact"/>
        <w:rPr>
          <w:sz w:val="20"/>
          <w:szCs w:val="20"/>
          <w:color w:val="auto"/>
        </w:rPr>
      </w:pPr>
    </w:p>
    <w:p>
      <w:pPr>
        <w:ind w:left="600" w:hanging="300"/>
        <w:spacing w:after="0"/>
        <w:tabs>
          <w:tab w:leader="none" w:pos="60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not be able to realize reasonable prices or rates of return for assets;</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be required to retain liabilities that are greater than desired or anticipated;</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experience increased operating costs; and</w:t>
      </w:r>
    </w:p>
    <w:p>
      <w:pPr>
        <w:spacing w:after="0" w:line="10" w:lineRule="exact"/>
        <w:rPr>
          <w:rFonts w:ascii="Arial" w:cs="Arial" w:eastAsia="Arial" w:hAnsi="Arial"/>
          <w:sz w:val="20"/>
          <w:szCs w:val="20"/>
          <w:color w:val="231F20"/>
        </w:rPr>
      </w:pPr>
    </w:p>
    <w:p>
      <w:pPr>
        <w:ind w:left="600" w:hanging="300"/>
        <w:spacing w:after="0"/>
        <w:tabs>
          <w:tab w:leader="none" w:pos="600" w:val="left"/>
        </w:tabs>
        <w:numPr>
          <w:ilvl w:val="0"/>
          <w:numId w:val="34"/>
        </w:numPr>
        <w:rPr>
          <w:rFonts w:ascii="Arial" w:cs="Arial" w:eastAsia="Arial" w:hAnsi="Arial"/>
          <w:sz w:val="20"/>
          <w:szCs w:val="20"/>
          <w:color w:val="231F20"/>
        </w:rPr>
      </w:pPr>
      <w:r>
        <w:rPr>
          <w:rFonts w:ascii="Arial" w:cs="Arial" w:eastAsia="Arial" w:hAnsi="Arial"/>
          <w:sz w:val="20"/>
          <w:szCs w:val="20"/>
          <w:color w:val="231F20"/>
        </w:rPr>
        <w:t>reduce our cash flows if we cannot replace associated revenue.</w:t>
      </w:r>
    </w:p>
    <w:p>
      <w:pPr>
        <w:spacing w:after="0" w:line="183"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231F20"/>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sectPr>
          <w:pgSz w:w="11880" w:h="15480" w:orient="portrait"/>
          <w:cols w:equalWidth="0" w:num="1">
            <w:col w:w="9100"/>
          </w:cols>
          <w:pgMar w:left="1380" w:top="1316" w:right="1400" w:bottom="653"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48</w:t>
      </w:r>
    </w:p>
    <w:p>
      <w:pPr>
        <w:sectPr>
          <w:pgSz w:w="11880" w:h="15480" w:orient="portrait"/>
          <w:cols w:equalWidth="0" w:num="1">
            <w:col w:w="9100"/>
          </w:cols>
          <w:pgMar w:left="1380" w:top="1316" w:right="1400" w:bottom="653" w:gutter="0" w:footer="0" w:header="0"/>
          <w:type w:val="continuous"/>
        </w:sectPr>
      </w:pPr>
    </w:p>
    <w:bookmarkStart w:id="52" w:name="page53"/>
    <w:bookmarkEnd w:id="52"/>
    <w:p>
      <w:pPr>
        <w:ind w:right="720" w:firstLine="300"/>
        <w:spacing w:after="0" w:line="243" w:lineRule="auto"/>
        <w:rPr>
          <w:sz w:val="20"/>
          <w:szCs w:val="20"/>
          <w:color w:val="auto"/>
        </w:rPr>
      </w:pPr>
      <w:r>
        <w:rPr>
          <w:rFonts w:ascii="Arial" w:cs="Arial" w:eastAsia="Arial" w:hAnsi="Arial"/>
          <w:sz w:val="20"/>
          <w:szCs w:val="20"/>
          <w:color w:val="231F20"/>
        </w:rPr>
        <w:t>In addition, we have expended and will continue to expend significant time and resources in connection with any future acquisition and disposition activities.</w:t>
      </w:r>
    </w:p>
    <w:p>
      <w:pPr>
        <w:spacing w:after="0" w:line="226" w:lineRule="exact"/>
        <w:rPr>
          <w:sz w:val="20"/>
          <w:szCs w:val="20"/>
          <w:color w:val="auto"/>
        </w:rPr>
      </w:pPr>
    </w:p>
    <w:p>
      <w:pPr>
        <w:ind w:right="180" w:firstLine="300"/>
        <w:spacing w:after="0" w:line="252" w:lineRule="auto"/>
        <w:rPr>
          <w:sz w:val="20"/>
          <w:szCs w:val="20"/>
          <w:color w:val="auto"/>
        </w:rPr>
      </w:pPr>
      <w:r>
        <w:rPr>
          <w:rFonts w:ascii="Arial" w:cs="Arial" w:eastAsia="Arial" w:hAnsi="Arial"/>
          <w:sz w:val="20"/>
          <w:szCs w:val="20"/>
          <w:b w:val="1"/>
          <w:bCs w:val="1"/>
          <w:i w:val="1"/>
          <w:iCs w:val="1"/>
          <w:color w:val="231F20"/>
        </w:rPr>
        <w:t>We may incur substantial losses and be subject to substantial liability claims as a result of pollution, environmental conditions or catastrophic events such as wildfires. We may not be insured for, or our insurance may be inadequate to protect us against, these risks.</w:t>
      </w:r>
    </w:p>
    <w:p>
      <w:pPr>
        <w:spacing w:after="0" w:line="216"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We are not fully insured against all risks. Our business and assets are subject to risks from natural disasters and operating risks associated with oil and natural gas exploration and production activities. Pollution or environmental conditions with respect to our operations or on or from our properties, whether arising from our operations or those of our predecessors or third parties, could expose us to substantial costs and liabilities. Such events may cause operations to cease or be curtailed and could adversely affect our business, workforce and the communities in which we operate. The cost of insurance for natural disasters has increased in recent years. In California, insurance coverage for certain operational and catastrophic risks such as wildfires may be limited, subject to exclusions or available only at significantly increased cost, which could result in greater self-insurance exposure. We may be unable to obtain, or may elect not to obtain, insurance for certain risks if we believe that the cost of available insurance is excessive relative to the risks presented.</w:t>
      </w:r>
    </w:p>
    <w:p>
      <w:pPr>
        <w:spacing w:after="0" w:line="227" w:lineRule="exact"/>
        <w:rPr>
          <w:sz w:val="20"/>
          <w:szCs w:val="20"/>
          <w:color w:val="auto"/>
        </w:rPr>
      </w:pPr>
    </w:p>
    <w:p>
      <w:pPr>
        <w:ind w:right="340" w:firstLine="300"/>
        <w:spacing w:after="0" w:line="254" w:lineRule="auto"/>
        <w:rPr>
          <w:sz w:val="20"/>
          <w:szCs w:val="20"/>
          <w:color w:val="auto"/>
        </w:rPr>
      </w:pPr>
      <w:r>
        <w:rPr>
          <w:rFonts w:ascii="Arial" w:cs="Arial" w:eastAsia="Arial" w:hAnsi="Arial"/>
          <w:sz w:val="20"/>
          <w:szCs w:val="20"/>
          <w:b w:val="1"/>
          <w:bCs w:val="1"/>
          <w:i w:val="1"/>
          <w:iCs w:val="1"/>
          <w:color w:val="231F20"/>
        </w:rPr>
        <w:t>Cybersecurity attacks, systems failures, and other disruptions could adversely affect our operations, financial condition and reputation.</w:t>
      </w:r>
    </w:p>
    <w:p>
      <w:pPr>
        <w:spacing w:after="0" w:line="214"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231F20"/>
        </w:rPr>
        <w:t>We rely on electronic systems and networks to manage our operations, financial reporting, data storage and communications with employees, service providers and customers. Systems failures, data inaccuracies or outages could impair our ability to operate efficiently and make timely business decisions.</w:t>
      </w:r>
    </w:p>
    <w:p>
      <w:pPr>
        <w:spacing w:after="0" w:line="22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Cybersecurity attacks have become more frequent and sophisticated, and we or third parties with whom we interact may be targeted by malicious actors. We utilize various technologies, controls and procedures, as well as internal staff and external specialists to protect our systems and data, to identify and remediate vulnerabilities and to monitor and respond to threats. However, these measures may not prevent security breaches from occurring. If a breach occurs, it may remain undetected for an extended period of time. A cybersecurity incident could result in data loss, business interruption, reputational harm, regulatory scrutiny, litigation, financial loss and significant remediation costs.</w:t>
      </w:r>
    </w:p>
    <w:p>
      <w:pPr>
        <w:spacing w:after="0" w:line="226" w:lineRule="exact"/>
        <w:rPr>
          <w:sz w:val="20"/>
          <w:szCs w:val="20"/>
          <w:color w:val="auto"/>
        </w:rPr>
      </w:pPr>
    </w:p>
    <w:p>
      <w:pPr>
        <w:ind w:firstLine="300"/>
        <w:spacing w:after="0" w:line="246" w:lineRule="auto"/>
        <w:rPr>
          <w:sz w:val="20"/>
          <w:szCs w:val="20"/>
          <w:color w:val="auto"/>
        </w:rPr>
      </w:pPr>
      <w:r>
        <w:rPr>
          <w:rFonts w:ascii="Arial" w:cs="Arial" w:eastAsia="Arial" w:hAnsi="Arial"/>
          <w:sz w:val="20"/>
          <w:szCs w:val="20"/>
          <w:color w:val="231F20"/>
        </w:rPr>
        <w:t>Energy-related assets may be at a heightened risk of cybersecurity or other malicious attacks. Such attacks could disrupt energy markets, delay or prevent product delivery, impair accounting or settlement processes or result in environmental or safety incidents.</w:t>
      </w:r>
    </w:p>
    <w:p>
      <w:pPr>
        <w:spacing w:after="0" w:line="229"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As cybersecurity threats continue to evolve in sophistication and magnitude, we may be required to expend significant additional resources to continue to modify or enhance our protective measures or to investigate and remediate any cybersecurity vulnerabilities. Further, state and federal cybersecurity and data privacy legislation could result in complex new requirements that increase our cost of doing business.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Regulation and Government Action</w:t>
      </w:r>
    </w:p>
    <w:p>
      <w:pPr>
        <w:spacing w:after="0" w:line="226" w:lineRule="exact"/>
        <w:rPr>
          <w:sz w:val="20"/>
          <w:szCs w:val="20"/>
          <w:color w:val="auto"/>
        </w:rPr>
      </w:pPr>
    </w:p>
    <w:p>
      <w:pPr>
        <w:ind w:right="60" w:firstLine="300"/>
        <w:spacing w:after="0" w:line="252" w:lineRule="auto"/>
        <w:rPr>
          <w:sz w:val="20"/>
          <w:szCs w:val="20"/>
          <w:color w:val="auto"/>
        </w:rPr>
      </w:pPr>
      <w:r>
        <w:rPr>
          <w:rFonts w:ascii="Arial" w:cs="Arial" w:eastAsia="Arial" w:hAnsi="Arial"/>
          <w:sz w:val="20"/>
          <w:szCs w:val="20"/>
          <w:b w:val="1"/>
          <w:bCs w:val="1"/>
          <w:i w:val="1"/>
          <w:iCs w:val="1"/>
          <w:color w:val="231F20"/>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216" w:lineRule="exact"/>
        <w:rPr>
          <w:sz w:val="20"/>
          <w:szCs w:val="20"/>
          <w:color w:val="auto"/>
        </w:rPr>
      </w:pPr>
    </w:p>
    <w:p>
      <w:pPr>
        <w:ind w:right="200" w:firstLine="300"/>
        <w:spacing w:after="0" w:line="243" w:lineRule="auto"/>
        <w:rPr>
          <w:sz w:val="20"/>
          <w:szCs w:val="20"/>
          <w:color w:val="auto"/>
        </w:rPr>
      </w:pPr>
      <w:r>
        <w:rPr>
          <w:rFonts w:ascii="Arial" w:cs="Arial" w:eastAsia="Arial" w:hAnsi="Arial"/>
          <w:sz w:val="20"/>
          <w:szCs w:val="20"/>
          <w:color w:val="231F20"/>
        </w:rPr>
        <w:t>We must obtain various governmental permits to conduct exploration and production activities, as well as other aspects of our operations. Obtaining the necessary governmental permits is often a</w:t>
      </w:r>
    </w:p>
    <w:p>
      <w:pPr>
        <w:sectPr>
          <w:pgSz w:w="11880" w:h="15480" w:orient="portrait"/>
          <w:cols w:equalWidth="0" w:num="1">
            <w:col w:w="9100"/>
          </w:cols>
          <w:pgMar w:left="1380" w:top="1316" w:right="1400" w:bottom="653"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49</w:t>
      </w:r>
    </w:p>
    <w:p>
      <w:pPr>
        <w:sectPr>
          <w:pgSz w:w="11880" w:h="15480" w:orient="portrait"/>
          <w:cols w:equalWidth="0" w:num="1">
            <w:col w:w="9100"/>
          </w:cols>
          <w:pgMar w:left="1380" w:top="1316" w:right="1400" w:bottom="653" w:gutter="0" w:footer="0" w:header="0"/>
          <w:type w:val="continuous"/>
        </w:sectPr>
      </w:pPr>
    </w:p>
    <w:bookmarkStart w:id="53" w:name="page54"/>
    <w:bookmarkEnd w:id="53"/>
    <w:p>
      <w:pPr>
        <w:ind w:right="20"/>
        <w:spacing w:after="0" w:line="268" w:lineRule="auto"/>
        <w:rPr>
          <w:sz w:val="20"/>
          <w:szCs w:val="20"/>
          <w:color w:val="auto"/>
        </w:rPr>
      </w:pPr>
      <w:r>
        <w:rPr>
          <w:rFonts w:ascii="Arial" w:cs="Arial" w:eastAsia="Arial" w:hAnsi="Arial"/>
          <w:sz w:val="19"/>
          <w:szCs w:val="19"/>
          <w:color w:val="231F20"/>
        </w:rPr>
        <w:t>complex and time-consuming process involving numerous federal, state and local agencies, and the duration and success of each permitting effort is contingent upon many variables not within our control.</w:t>
      </w:r>
    </w:p>
    <w:p>
      <w:pPr>
        <w:spacing w:after="0" w:line="20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In recent years, we experienced significant delays in obtaining new well, sidetrack, deepening and workover permits from CalGEM, including delays attributable to enhanced environmental review requirements, litigation challenging the Kern County environmental impact review process, agency resource constraints and policy developments. In early 2026, following the enactment of Senate Bill 237, CalGEM resumed issuing permits for new oil and gas wells in Kern County, and permitting activity has increased significantly with 31 permits for new wells issued in Kern County as of January 31, 2026. However, we cannot provide assurances that permit issuances will continue at anticipated levels or that future legislative, regulatory, administrative or judicial actions will not again delay or restrict permitting activity.</w:t>
      </w:r>
    </w:p>
    <w:p>
      <w:pPr>
        <w:spacing w:after="0" w:line="226" w:lineRule="exact"/>
        <w:rPr>
          <w:sz w:val="20"/>
          <w:szCs w:val="20"/>
          <w:color w:val="auto"/>
        </w:rPr>
      </w:pPr>
    </w:p>
    <w:p>
      <w:pPr>
        <w:ind w:right="320" w:firstLine="300"/>
        <w:spacing w:after="0" w:line="248" w:lineRule="auto"/>
        <w:rPr>
          <w:sz w:val="20"/>
          <w:szCs w:val="20"/>
          <w:color w:val="auto"/>
        </w:rPr>
      </w:pPr>
      <w:r>
        <w:rPr>
          <w:rFonts w:ascii="Arial" w:cs="Arial" w:eastAsia="Arial" w:hAnsi="Arial"/>
          <w:sz w:val="20"/>
          <w:szCs w:val="20"/>
          <w:color w:val="231F20"/>
        </w:rPr>
        <w:t>Although we have historically mitigated permitting risk by maintaining an inventory of approved permits, prolonged permitting delays or renewed uncertainty could limit our ability to execute drilling plans, adversely affect our capital program, reduce our ability to replace reserves and negatively impact our business, financial condition and results of operations.</w:t>
      </w:r>
    </w:p>
    <w:p>
      <w:pPr>
        <w:spacing w:after="0" w:line="218" w:lineRule="exact"/>
        <w:rPr>
          <w:sz w:val="20"/>
          <w:szCs w:val="20"/>
          <w:color w:val="auto"/>
        </w:rPr>
      </w:pPr>
    </w:p>
    <w:p>
      <w:pPr>
        <w:ind w:right="80" w:firstLine="400"/>
        <w:spacing w:after="0" w:line="252" w:lineRule="auto"/>
        <w:rPr>
          <w:sz w:val="20"/>
          <w:szCs w:val="20"/>
          <w:color w:val="auto"/>
        </w:rPr>
      </w:pPr>
      <w:r>
        <w:rPr>
          <w:rFonts w:ascii="Arial" w:cs="Arial" w:eastAsia="Arial" w:hAnsi="Arial"/>
          <w:sz w:val="20"/>
          <w:szCs w:val="20"/>
          <w:b w:val="1"/>
          <w:bCs w:val="1"/>
          <w:i w:val="1"/>
          <w:iCs w:val="1"/>
          <w:color w:val="231F20"/>
        </w:rPr>
        <w:t>We may face increased local restrictions on oil and gas exploration and production operations or even be prohibited from operating in certain areas as a result of recently enacted California legislation</w:t>
      </w:r>
      <w:r>
        <w:rPr>
          <w:rFonts w:ascii="Arial" w:cs="Arial" w:eastAsia="Arial" w:hAnsi="Arial"/>
          <w:sz w:val="20"/>
          <w:szCs w:val="20"/>
          <w:b w:val="1"/>
          <w:bCs w:val="1"/>
          <w:color w:val="231F20"/>
        </w:rPr>
        <w:t>.</w:t>
      </w:r>
    </w:p>
    <w:p>
      <w:pPr>
        <w:spacing w:after="0" w:line="213"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California law authorizes local governments to impose regulations, restrictions or prohibitions on oil and gas operations within their jurisdictions, including with respect to existing operations. While certain local measures have previously been challenged successfully in court, recently enacted legislation has expanded local authority in this area. Although we do not currently operate in certain jurisdictions that have proposed or adopted phase-outs or bans, similar actions by local governments in areas where we do operate could increase operating costs, reduce production or reserves, or otherwise adversely affect our business.</w:t>
      </w:r>
    </w:p>
    <w:p>
      <w:pPr>
        <w:spacing w:after="0" w:line="223" w:lineRule="exact"/>
        <w:rPr>
          <w:sz w:val="20"/>
          <w:szCs w:val="20"/>
          <w:color w:val="auto"/>
        </w:rPr>
      </w:pPr>
    </w:p>
    <w:p>
      <w:pPr>
        <w:ind w:right="120" w:firstLine="300"/>
        <w:spacing w:after="0" w:line="247" w:lineRule="auto"/>
        <w:rPr>
          <w:sz w:val="20"/>
          <w:szCs w:val="20"/>
          <w:color w:val="auto"/>
        </w:rPr>
      </w:pPr>
      <w:r>
        <w:rPr>
          <w:rFonts w:ascii="Arial" w:cs="Arial" w:eastAsia="Arial" w:hAnsi="Arial"/>
          <w:sz w:val="20"/>
          <w:szCs w:val="20"/>
          <w:color w:val="231F20"/>
        </w:rPr>
        <w:t>Local restrictions may be adopted notwithstanding state-level permitting frameworks, and the resulting regulatory landscape may vary significantly by jurisdiction, increasing compliance complexity and uncertainty.</w:t>
      </w:r>
    </w:p>
    <w:p>
      <w:pPr>
        <w:spacing w:after="0" w:line="218" w:lineRule="exact"/>
        <w:rPr>
          <w:sz w:val="20"/>
          <w:szCs w:val="20"/>
          <w:color w:val="auto"/>
        </w:rPr>
      </w:pPr>
    </w:p>
    <w:p>
      <w:pPr>
        <w:jc w:val="both"/>
        <w:ind w:right="220" w:firstLine="300"/>
        <w:spacing w:after="0" w:line="252" w:lineRule="auto"/>
        <w:rPr>
          <w:sz w:val="20"/>
          <w:szCs w:val="20"/>
          <w:color w:val="auto"/>
        </w:rPr>
      </w:pPr>
      <w:r>
        <w:rPr>
          <w:rFonts w:ascii="Arial" w:cs="Arial" w:eastAsia="Arial" w:hAnsi="Arial"/>
          <w:sz w:val="20"/>
          <w:szCs w:val="20"/>
          <w:b w:val="1"/>
          <w:bCs w:val="1"/>
          <w:i w:val="1"/>
          <w:iCs w:val="1"/>
          <w:color w:val="231F20"/>
        </w:rPr>
        <w:t>Recent and future actions by the State of California could reduce both the demand for and supply of oil and natural gas within the state and consequently have a material adverse effect on our business, results of operations and financial condition.</w:t>
      </w:r>
    </w:p>
    <w:p>
      <w:pPr>
        <w:spacing w:after="0" w:line="213"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231F20"/>
        </w:rPr>
        <w:t>California continues to pursue policies aimed at reducing greenhouse gas emissions and transitioning the state’s energy system over time. Legislative, regulatory and executive actions may increase compliance costs, restrict development activities, limit infrastructure availability or otherwise adversely affect the production, transportation or consumption of oil and natural gas in the state.</w:t>
      </w:r>
    </w:p>
    <w:p>
      <w:pPr>
        <w:spacing w:after="0" w:line="222"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231F20"/>
        </w:rPr>
        <w:t>While recent legislation, including Senate Bill 237, has provided greater regulatory clarity for certain permitting activities in Kern County, we cannot predict the scope, timing or cumulative impact of future state actions or whether such actions may offset or limit the benefits of recent legislative developments.</w:t>
      </w:r>
    </w:p>
    <w:p>
      <w:pPr>
        <w:spacing w:after="0" w:line="218" w:lineRule="exact"/>
        <w:rPr>
          <w:sz w:val="20"/>
          <w:szCs w:val="20"/>
          <w:color w:val="auto"/>
        </w:rPr>
      </w:pPr>
    </w:p>
    <w:p>
      <w:pPr>
        <w:ind w:firstLine="300"/>
        <w:spacing w:after="0" w:line="251" w:lineRule="auto"/>
        <w:rPr>
          <w:sz w:val="20"/>
          <w:szCs w:val="20"/>
          <w:color w:val="auto"/>
        </w:rPr>
      </w:pPr>
      <w:r>
        <w:rPr>
          <w:rFonts w:ascii="Arial" w:cs="Arial" w:eastAsia="Arial" w:hAnsi="Arial"/>
          <w:sz w:val="20"/>
          <w:szCs w:val="20"/>
          <w:b w:val="1"/>
          <w:bCs w:val="1"/>
          <w:i w:val="1"/>
          <w:iCs w:val="1"/>
          <w:color w:val="231F20"/>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ectPr>
          <w:pgSz w:w="11880" w:h="15480" w:orient="portrait"/>
          <w:cols w:equalWidth="0" w:num="1">
            <w:col w:w="9100"/>
          </w:cols>
          <w:pgMar w:left="1380" w:top="1316" w:right="1400" w:bottom="653"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50</w:t>
      </w:r>
    </w:p>
    <w:p>
      <w:pPr>
        <w:sectPr>
          <w:pgSz w:w="11880" w:h="15480" w:orient="portrait"/>
          <w:cols w:equalWidth="0" w:num="1">
            <w:col w:w="9100"/>
          </w:cols>
          <w:pgMar w:left="1380" w:top="1316" w:right="1400" w:bottom="653" w:gutter="0" w:footer="0" w:header="0"/>
          <w:type w:val="continuous"/>
        </w:sectPr>
      </w:pPr>
    </w:p>
    <w:bookmarkStart w:id="54" w:name="page55"/>
    <w:bookmarkEnd w:id="54"/>
    <w:p>
      <w:pPr>
        <w:ind w:right="380" w:firstLine="300"/>
        <w:spacing w:after="0" w:line="246" w:lineRule="auto"/>
        <w:rPr>
          <w:sz w:val="20"/>
          <w:szCs w:val="20"/>
          <w:color w:val="auto"/>
        </w:rPr>
      </w:pPr>
      <w:r>
        <w:rPr>
          <w:rFonts w:ascii="Arial" w:cs="Arial" w:eastAsia="Arial" w:hAnsi="Arial"/>
          <w:sz w:val="20"/>
          <w:szCs w:val="20"/>
          <w:color w:val="231F20"/>
        </w:rPr>
        <w:t>Our operations are subject to complex and stringent federal, state, local and other laws and regulations relating to the exploration and development of our properties, as well as the production, transportation, marketing and sale of our products.</w:t>
      </w:r>
    </w:p>
    <w:p>
      <w:pPr>
        <w:spacing w:after="0" w:line="213"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water disposal and consumption, recycling and reuse.</w:t>
      </w:r>
    </w:p>
    <w:p>
      <w:pPr>
        <w:spacing w:after="0" w:line="20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Failure to obtain the necessary permits, approvals and certificates or comply with these laws and regulations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209" w:lineRule="exact"/>
        <w:rPr>
          <w:sz w:val="20"/>
          <w:szCs w:val="20"/>
          <w:color w:val="auto"/>
        </w:rPr>
      </w:pPr>
    </w:p>
    <w:p>
      <w:pPr>
        <w:ind w:right="80" w:firstLine="300"/>
        <w:spacing w:after="0" w:line="251" w:lineRule="auto"/>
        <w:rPr>
          <w:sz w:val="20"/>
          <w:szCs w:val="20"/>
          <w:color w:val="auto"/>
        </w:rPr>
      </w:pPr>
      <w:r>
        <w:rPr>
          <w:rFonts w:ascii="Arial" w:cs="Arial" w:eastAsia="Arial" w:hAnsi="Arial"/>
          <w:sz w:val="20"/>
          <w:szCs w:val="20"/>
          <w:b w:val="1"/>
          <w:bCs w:val="1"/>
          <w:i w:val="1"/>
          <w:iCs w:val="1"/>
          <w:color w:val="231F20"/>
        </w:rPr>
        <w:t>Our Carbon TerraVault business and our CCS projects are subject to extensive government regulation much of which is still being developed. Failure to comply with these regulations and obtain the necessary permits, or the development of government regulations that are unfavorable to our CCS projects, could have an adverse effect on our business, financial condition and results of operations.</w:t>
      </w:r>
    </w:p>
    <w:p>
      <w:pPr>
        <w:spacing w:after="0" w:line="202" w:lineRule="exact"/>
        <w:rPr>
          <w:sz w:val="20"/>
          <w:szCs w:val="20"/>
          <w:color w:val="auto"/>
        </w:rPr>
      </w:pPr>
    </w:p>
    <w:p>
      <w:pPr>
        <w:ind w:right="80" w:firstLine="300"/>
        <w:spacing w:after="0"/>
        <w:rPr>
          <w:sz w:val="20"/>
          <w:szCs w:val="20"/>
          <w:color w:val="auto"/>
        </w:rPr>
      </w:pPr>
      <w:r>
        <w:rPr>
          <w:rFonts w:ascii="Arial" w:cs="Arial" w:eastAsia="Arial" w:hAnsi="Arial"/>
          <w:sz w:val="20"/>
          <w:szCs w:val="20"/>
          <w:color w:val="231F20"/>
        </w:rPr>
        <w:t>Successful development of CCS projects in the United States require that we comply with what we anticipate will be a stringent regulatory scheme requiring that we obtain certain permits applicable to subsurface injection of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for geologic sequestration. Moreover, as the operator of our CCS projects, we must demonstrate and maintain levels of financial assurance sufficient to cover the cost of corrective action, injection well plugging, post injection site care and site closure, and emergency and remedial response. There are no assurances that we will be successful in obtaining or maintaining permits or adequate levels of financial assurance for one or more of our CCS projects or that permits can be obtained on a timely basis, whether due to difficulty with the technical demonstrations required to obtain such permits, public opposition, or otherwise.</w:t>
      </w:r>
    </w:p>
    <w:p>
      <w:pPr>
        <w:spacing w:after="0" w:line="221"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231F20"/>
        </w:rPr>
        <w:t>Separately, permitting CCS projects requires obtaining a number of other permits and approvals unrelated to subsurface injection from various U.S. federal and state agencies, such as for air emissions or impacts to environmental, natural, historic or cultural resources resulting from the construction and operation of a CCS facility. We cannot guarantee that we will be able to obtain or maintain all applicable permits for CCS activities on a timely basis or on favorable terms, if at all. Moreover, to the extent any of our CCS projects will require any supporting pipeline infrastructure, we could face additional costs and delays obtaining the necessary permits and rights of ways for such infrastructure, and increased risk of opposition to our projects, which may ultimately mean we are unable to successfully pursue certain CCS projects because of these risks.</w:t>
      </w:r>
    </w:p>
    <w:p>
      <w:pPr>
        <w:spacing w:after="0" w:line="213"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231F20"/>
        </w:rPr>
        <w:t>As CCS and carbon management represent an emerging sector, laws and regulations may evolve rapidly, which could impact the feasibility of one or more of our anticipated projects. To the extent additional legal or regulatory requirements are imposed, are amended, or more stringently enforced, we may incur additional costs in the pursuit of one or more of our carbon capture projects, which costs may be material or may render any one or more of our projects uneconomical.</w:t>
      </w:r>
    </w:p>
    <w:p>
      <w:pPr>
        <w:sectPr>
          <w:pgSz w:w="11880" w:h="15480" w:orient="portrait"/>
          <w:cols w:equalWidth="0" w:num="1">
            <w:col w:w="9120"/>
          </w:cols>
          <w:pgMar w:left="1380" w:top="1316" w:right="1380" w:bottom="65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51</w:t>
      </w:r>
    </w:p>
    <w:p>
      <w:pPr>
        <w:sectPr>
          <w:pgSz w:w="11880" w:h="15480" w:orient="portrait"/>
          <w:cols w:equalWidth="0" w:num="1">
            <w:col w:w="9120"/>
          </w:cols>
          <w:pgMar w:left="1380" w:top="1316" w:right="1380" w:bottom="655" w:gutter="0" w:footer="0" w:header="0"/>
          <w:type w:val="continuous"/>
        </w:sectPr>
      </w:pPr>
    </w:p>
    <w:bookmarkStart w:id="55" w:name="page56"/>
    <w:bookmarkEnd w:id="55"/>
    <w:p>
      <w:pPr>
        <w:ind w:firstLine="300"/>
        <w:spacing w:after="0" w:line="230" w:lineRule="auto"/>
        <w:rPr>
          <w:sz w:val="20"/>
          <w:szCs w:val="20"/>
          <w:color w:val="auto"/>
        </w:rPr>
      </w:pPr>
      <w:r>
        <w:rPr>
          <w:rFonts w:ascii="Arial" w:cs="Arial" w:eastAsia="Arial" w:hAnsi="Arial"/>
          <w:sz w:val="20"/>
          <w:szCs w:val="20"/>
          <w:b w:val="1"/>
          <w:bCs w:val="1"/>
          <w:i w:val="1"/>
          <w:iCs w:val="1"/>
          <w:color w:val="231F20"/>
        </w:rPr>
        <w:t>New and developing regulations related to the CO</w:t>
      </w:r>
      <w:r>
        <w:rPr>
          <w:rFonts w:ascii="Arial" w:cs="Arial" w:eastAsia="Arial" w:hAnsi="Arial"/>
          <w:sz w:val="26"/>
          <w:szCs w:val="26"/>
          <w:b w:val="1"/>
          <w:bCs w:val="1"/>
          <w:i w:val="1"/>
          <w:iCs w:val="1"/>
          <w:color w:val="231F20"/>
          <w:vertAlign w:val="subscript"/>
        </w:rPr>
        <w:t>2</w:t>
      </w:r>
      <w:r>
        <w:rPr>
          <w:rFonts w:ascii="Arial" w:cs="Arial" w:eastAsia="Arial" w:hAnsi="Arial"/>
          <w:sz w:val="20"/>
          <w:szCs w:val="20"/>
          <w:b w:val="1"/>
          <w:bCs w:val="1"/>
          <w:i w:val="1"/>
          <w:iCs w:val="1"/>
          <w:color w:val="231F20"/>
        </w:rPr>
        <w:t xml:space="preserve"> unitization, permitting and pipeline safety could negatively impact our business, financial condition and results of operations.</w:t>
      </w:r>
    </w:p>
    <w:p>
      <w:pPr>
        <w:spacing w:after="0" w:line="252" w:lineRule="exact"/>
        <w:rPr>
          <w:sz w:val="20"/>
          <w:szCs w:val="20"/>
          <w:color w:val="auto"/>
        </w:rPr>
      </w:pPr>
    </w:p>
    <w:p>
      <w:pPr>
        <w:ind w:right="40" w:firstLine="300"/>
        <w:spacing w:after="0" w:line="243" w:lineRule="auto"/>
        <w:rPr>
          <w:sz w:val="20"/>
          <w:szCs w:val="20"/>
          <w:color w:val="auto"/>
        </w:rPr>
      </w:pPr>
      <w:r>
        <w:rPr>
          <w:rFonts w:ascii="Arial" w:cs="Arial" w:eastAsia="Arial" w:hAnsi="Arial"/>
          <w:sz w:val="20"/>
          <w:szCs w:val="20"/>
          <w:color w:val="231F20"/>
        </w:rPr>
        <w:t>Senate Bill No. 905 contemplates the development of unitization, permitting and pipeline safety regulations over a multi-year period to facilitate the development of CCS projects in California, though the legislation does not provide for compulsory unitization. Senate Bill No. 905 also provides for a unified permitting process to simplify the permitting process for CCS projects, although this will be optional for project applicants. Additionally, the law contemplates the implementation of a new regulatory program incorporating standards that are not yet defined and that could affect the timing of future CCS projects in California. The California Air Resources Board has been tasked with developing this proposed framework. We believe our Carbon TerraVault projects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Senate Bill No. 905 provides that pipelines may be used to transport carbon dioxide to or from a carbon dioxide capture, removal or sequestration project only upon conclusion of PHMSA’s rulemaking strengthening safety requirements for carbon dioxide pipelines. Although PHMSA released a notice of proposed rulemaking to this effect in early January 2025, was subsequently withdrawn by the current administration prior to publication in the Federal Register. The lack of these final pipeline safety regulations may impair or prohibit projects that rely on the transportation of CO</w:t>
      </w:r>
      <w:r>
        <w:rPr>
          <w:rFonts w:ascii="Arial" w:cs="Arial" w:eastAsia="Arial" w:hAnsi="Arial"/>
          <w:sz w:val="26"/>
          <w:szCs w:val="26"/>
          <w:color w:val="231F20"/>
          <w:vertAlign w:val="subscript"/>
        </w:rPr>
        <w:t>2</w:t>
      </w:r>
      <w:r>
        <w:rPr>
          <w:rFonts w:ascii="Arial" w:cs="Arial" w:eastAsia="Arial" w:hAnsi="Arial"/>
          <w:sz w:val="20"/>
          <w:szCs w:val="20"/>
          <w:color w:val="231F20"/>
        </w:rPr>
        <w:t>.</w:t>
      </w:r>
    </w:p>
    <w:p>
      <w:pPr>
        <w:spacing w:after="0" w:line="193" w:lineRule="exact"/>
        <w:rPr>
          <w:sz w:val="20"/>
          <w:szCs w:val="20"/>
          <w:color w:val="auto"/>
        </w:rPr>
      </w:pPr>
    </w:p>
    <w:p>
      <w:pPr>
        <w:ind w:right="80" w:firstLine="300"/>
        <w:spacing w:after="0" w:line="252" w:lineRule="auto"/>
        <w:rPr>
          <w:sz w:val="20"/>
          <w:szCs w:val="20"/>
          <w:color w:val="auto"/>
        </w:rPr>
      </w:pPr>
      <w:r>
        <w:rPr>
          <w:rFonts w:ascii="Arial" w:cs="Arial" w:eastAsia="Arial" w:hAnsi="Arial"/>
          <w:sz w:val="19"/>
          <w:szCs w:val="19"/>
          <w:color w:val="231F20"/>
        </w:rPr>
        <w:t>Senate Bill No. 905 also prohibits CCS projects that utilize and permanently sequester CO</w:t>
      </w:r>
      <w:r>
        <w:rPr>
          <w:rFonts w:ascii="Arial" w:cs="Arial" w:eastAsia="Arial" w:hAnsi="Arial"/>
          <w:sz w:val="25"/>
          <w:szCs w:val="25"/>
          <w:color w:val="231F20"/>
          <w:vertAlign w:val="subscript"/>
        </w:rPr>
        <w:t>2</w:t>
      </w:r>
      <w:r>
        <w:rPr>
          <w:rFonts w:ascii="Arial" w:cs="Arial" w:eastAsia="Arial" w:hAnsi="Arial"/>
          <w:sz w:val="19"/>
          <w:szCs w:val="19"/>
          <w:color w:val="231F20"/>
        </w:rPr>
        <w:t xml:space="preserve"> in connection with EOR projects. Although we do not have any existing oil and natural gas production or proved reserves associated with EOR projects, this legislation required us to transition our CalCapture project to target CCS and may require us to make other adjustments to projects in the future.</w:t>
      </w:r>
    </w:p>
    <w:p>
      <w:pPr>
        <w:spacing w:after="0" w:line="245" w:lineRule="exact"/>
        <w:rPr>
          <w:sz w:val="20"/>
          <w:szCs w:val="20"/>
          <w:color w:val="auto"/>
        </w:rPr>
      </w:pPr>
    </w:p>
    <w:p>
      <w:pPr>
        <w:ind w:right="80" w:firstLine="300"/>
        <w:spacing w:after="0" w:line="229" w:lineRule="auto"/>
        <w:rPr>
          <w:sz w:val="20"/>
          <w:szCs w:val="20"/>
          <w:color w:val="auto"/>
        </w:rPr>
      </w:pPr>
      <w:r>
        <w:rPr>
          <w:rFonts w:ascii="Arial" w:cs="Arial" w:eastAsia="Arial" w:hAnsi="Arial"/>
          <w:sz w:val="20"/>
          <w:szCs w:val="20"/>
          <w:color w:val="231F20"/>
        </w:rPr>
        <w:t>Senate Bill 614 (SB 614), enacted in October 2025, revises the definition of “pipeline” for purposes of the Elder California Pipeline Safety Act of 1981 to include intrastate pipelines used for the transportation of carbon dioxide (CO</w:t>
      </w:r>
      <w:r>
        <w:rPr>
          <w:rFonts w:ascii="Arial" w:cs="Arial" w:eastAsia="Arial" w:hAnsi="Arial"/>
          <w:sz w:val="26"/>
          <w:szCs w:val="26"/>
          <w:color w:val="231F20"/>
          <w:vertAlign w:val="subscript"/>
        </w:rPr>
        <w:t>2</w:t>
      </w:r>
      <w:r>
        <w:rPr>
          <w:rFonts w:ascii="Arial" w:cs="Arial" w:eastAsia="Arial" w:hAnsi="Arial"/>
          <w:sz w:val="20"/>
          <w:szCs w:val="20"/>
          <w:color w:val="231F20"/>
        </w:rPr>
        <w:t>). The law requires the Office of the State Fire Marshal to adopt implementing regulations regarding the safe transportation of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 pipelines by July 1, 2026, establishing a pathway to lifting the current moratorium on the construction and operation of new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pipeline operations in the state. The legislation mandates stringent design, routing, and disclosure standards consistent with or exceeding a proposed revision to federal requirements under the Pipeline and Hazardous Materials Safety Administration that was subsequently withdrawn prior to federal enactment (Draft PHMSA Regulations). Under SB 614,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pipelines within a single facility and for which construction was permitted before July 1, 2025, shall not be required to subsequently comply with those regulations that pertain to design and construction if the pipeline is constructed to meet the standards of the Draft PHMSA Regulations. The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pipelines comprising our Carbon Terra Vault I (CTV I) project at our Elk Hills field were permitted prior to July 1, 2025, and have been constructed to meet the standards of the Draft PHMSA Regulations. Upon implementation, SB 614 is expected to help enable the development of carbon-capture and storage projects that rely upon capture of carbon dioxide from an emission source that is remote from the facility into which the emissions will be sequestered.</w:t>
      </w:r>
    </w:p>
    <w:p>
      <w:pPr>
        <w:spacing w:after="0" w:line="256" w:lineRule="exact"/>
        <w:rPr>
          <w:sz w:val="20"/>
          <w:szCs w:val="20"/>
          <w:color w:val="auto"/>
        </w:rPr>
      </w:pPr>
    </w:p>
    <w:p>
      <w:pPr>
        <w:ind w:right="240" w:firstLine="300"/>
        <w:spacing w:after="0" w:line="254" w:lineRule="auto"/>
        <w:rPr>
          <w:sz w:val="20"/>
          <w:szCs w:val="20"/>
          <w:color w:val="auto"/>
        </w:rPr>
      </w:pPr>
      <w:r>
        <w:rPr>
          <w:rFonts w:ascii="Arial" w:cs="Arial" w:eastAsia="Arial" w:hAnsi="Arial"/>
          <w:sz w:val="20"/>
          <w:szCs w:val="20"/>
          <w:b w:val="1"/>
          <w:bCs w:val="1"/>
          <w:i w:val="1"/>
          <w:iCs w:val="1"/>
          <w:color w:val="231F20"/>
        </w:rPr>
        <w:t>Our operations and financial performance may be negatively affected directly or indirectly by changes in trade policies and tariffs.</w:t>
      </w:r>
    </w:p>
    <w:p>
      <w:pPr>
        <w:spacing w:after="0" w:line="238"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The United States government has indicated its intent to adopt a new approach to trade policy and in some cases to renegotiate, or potentially terminate, certain existing trade agreements. It has also initiated or is considering the imposition of tariffs on certain foreign goods and products. This has led to the United States increasing tariffs for certain goods, which triggered other nations to also increase</w:t>
      </w:r>
    </w:p>
    <w:p>
      <w:pPr>
        <w:sectPr>
          <w:pgSz w:w="11880" w:h="15480" w:orient="portrait"/>
          <w:cols w:equalWidth="0" w:num="1">
            <w:col w:w="9100"/>
          </w:cols>
          <w:pgMar w:left="1380" w:top="1278" w:right="1400" w:bottom="653"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52</w:t>
      </w:r>
    </w:p>
    <w:p>
      <w:pPr>
        <w:sectPr>
          <w:pgSz w:w="11880" w:h="15480" w:orient="portrait"/>
          <w:cols w:equalWidth="0" w:num="1">
            <w:col w:w="9100"/>
          </w:cols>
          <w:pgMar w:left="1380" w:top="1278" w:right="1400" w:bottom="653" w:gutter="0" w:footer="0" w:header="0"/>
          <w:type w:val="continuous"/>
        </w:sectPr>
      </w:pPr>
    </w:p>
    <w:bookmarkStart w:id="56" w:name="page57"/>
    <w:bookmarkEnd w:id="56"/>
    <w:p>
      <w:pPr>
        <w:ind w:right="140"/>
        <w:spacing w:after="0" w:line="243" w:lineRule="auto"/>
        <w:rPr>
          <w:sz w:val="20"/>
          <w:szCs w:val="20"/>
          <w:color w:val="auto"/>
        </w:rPr>
      </w:pPr>
      <w:r>
        <w:rPr>
          <w:rFonts w:ascii="Arial" w:cs="Arial" w:eastAsia="Arial" w:hAnsi="Arial"/>
          <w:sz w:val="20"/>
          <w:szCs w:val="20"/>
          <w:color w:val="231F20"/>
        </w:rPr>
        <w:t>tariffs on certain of their goods. While the extent and duration of the such tariffs remain uncertain, these measures, including 50% tariffs on imported steel, are likely to lead to increased material costs.</w:t>
      </w:r>
    </w:p>
    <w:p>
      <w:pPr>
        <w:spacing w:after="0" w:line="250" w:lineRule="exact"/>
        <w:rPr>
          <w:sz w:val="20"/>
          <w:szCs w:val="20"/>
          <w:color w:val="auto"/>
        </w:rPr>
      </w:pPr>
    </w:p>
    <w:p>
      <w:pPr>
        <w:ind w:right="140" w:firstLine="300"/>
        <w:spacing w:after="0" w:line="254" w:lineRule="auto"/>
        <w:rPr>
          <w:sz w:val="20"/>
          <w:szCs w:val="20"/>
          <w:color w:val="auto"/>
        </w:rPr>
      </w:pPr>
      <w:r>
        <w:rPr>
          <w:rFonts w:ascii="Arial" w:cs="Arial" w:eastAsia="Arial" w:hAnsi="Arial"/>
          <w:sz w:val="20"/>
          <w:szCs w:val="20"/>
          <w:b w:val="1"/>
          <w:bCs w:val="1"/>
          <w:i w:val="1"/>
          <w:iCs w:val="1"/>
          <w:color w:val="231F20"/>
        </w:rPr>
        <w:t>Concerns about climate change and other environmental issues may prompt governmental action that could have a material adverse effect on our operations or results.</w:t>
      </w:r>
    </w:p>
    <w:p>
      <w:pPr>
        <w:spacing w:after="0" w:line="238" w:lineRule="exact"/>
        <w:rPr>
          <w:sz w:val="20"/>
          <w:szCs w:val="20"/>
          <w:color w:val="auto"/>
        </w:rPr>
      </w:pPr>
    </w:p>
    <w:p>
      <w:pPr>
        <w:ind w:right="60" w:firstLine="300"/>
        <w:spacing w:after="0" w:line="250" w:lineRule="auto"/>
        <w:rPr>
          <w:sz w:val="20"/>
          <w:szCs w:val="20"/>
          <w:color w:val="auto"/>
        </w:rPr>
      </w:pPr>
      <w:r>
        <w:rPr>
          <w:rFonts w:ascii="Arial" w:cs="Arial" w:eastAsia="Arial" w:hAnsi="Arial"/>
          <w:sz w:val="20"/>
          <w:szCs w:val="20"/>
          <w:color w:val="231F20"/>
        </w:rPr>
        <w:t>Governmental, scientific and public concern over the threat of climate change arising from GHG emissions, and regulation of GHGs and other air quality issues, may have a material adverse effect on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California’s cap-and-trade program operates under a market system and the costs of such allowances per metric ton of GHG emissions are expected to increase in the future as the CARB tightens program requirements and annually increases the minimum state auction price of allowances and reduces the state’s GHG emissions cap. As the foregoing requirements become more stringent, we may be unable to implement them in a cost-effective manner, or at all.</w:t>
      </w:r>
    </w:p>
    <w:p>
      <w:pPr>
        <w:spacing w:after="0" w:line="246"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In August 2022, President Biden signed the Inflation Reduction Act into law. The Inflation Reduction Act includes a charge on methane emissions that exceed certain thresholds from sources required to report their GHG emissions to the EPA, including certain oil and natural gas operations. In November 2024, the EPA issued a final rule implementing the methane emissions charge, although in February 2025, Congress repealed the rule. Additionally, the One Big Beautiful Bill Act, enacted in July 2025, delays implementation of the methane emissions charge until 2034. We cannot predict if Congress or the current administration may take actions to further repeal or revise the Inflation Reduction Act, including with respect to the methane emissions charge. In fact, the full impact of future climate regulations is uncertain at this time and it is unclear what additional actions may be taken that may have an adverse effect upon our carbon management business and its prospects.</w:t>
      </w:r>
    </w:p>
    <w:p>
      <w:pPr>
        <w:spacing w:after="0" w:line="254"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 xml:space="preserve">To the extent financial markets view climate change and GHG or other emissions as an increasing financial risk, this could adversely impact our cost of, and access to, capital and the value of our stock and our assets. Current investors in oil and natural gas companies may elect in the future to shift some or all of their investments into other sectors, and institutional lenders may elect not to provide funding for oil and natural gas companies. There is also a risk that financial institutions will be required to adopt policies that have the effect of reducing the funding provided to the fossil fuel sector, although this trend has waned recently and several high-profile banks and institutional investors have withdrawn from various associations that aim to limit financing of industries that emit significant GHG emissions. Additionally, California has enacted new laws requiring additional disclosure with respect to certain climate-related risks and GHG emissions reduction claims. The laws have been challenged and, in November 2025, the United States Court of Appeals for the Ninth Circuit ordered a preliminary injunction on one of the laws (which requires disclosure for certain climate-related risks), which stays enforcement of that law. Oral argument on the laws occurred in January 2026, although the Ninth Circuit has not yet released its decision. (See </w:t>
      </w:r>
      <w:r>
        <w:rPr>
          <w:rFonts w:ascii="Arial" w:cs="Arial" w:eastAsia="Arial" w:hAnsi="Arial"/>
          <w:sz w:val="20"/>
          <w:szCs w:val="20"/>
          <w:i w:val="1"/>
          <w:iCs w:val="1"/>
          <w:color w:val="231F20"/>
        </w:rPr>
        <w:t>Part I, Item 1 and 2 – Business and Properties,</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Regulation of the Industries in Which We Operate, Regulation of Climate Change and Greenhouse Gas (GHG) Emissions </w:t>
      </w:r>
      <w:r>
        <w:rPr>
          <w:rFonts w:ascii="Arial" w:cs="Arial" w:eastAsia="Arial" w:hAnsi="Arial"/>
          <w:sz w:val="20"/>
          <w:szCs w:val="20"/>
          <w:color w:val="231F20"/>
        </w:rPr>
        <w:t>for more information). Non-compliance with these new laws may result in the</w:t>
      </w:r>
      <w:r>
        <w:rPr>
          <w:rFonts w:ascii="Arial" w:cs="Arial" w:eastAsia="Arial" w:hAnsi="Arial"/>
          <w:sz w:val="20"/>
          <w:szCs w:val="20"/>
          <w:i w:val="1"/>
          <w:iCs w:val="1"/>
          <w:color w:val="231F20"/>
        </w:rPr>
        <w:t xml:space="preserve"> </w:t>
      </w:r>
      <w:r>
        <w:rPr>
          <w:rFonts w:ascii="Arial" w:cs="Arial" w:eastAsia="Arial" w:hAnsi="Arial"/>
          <w:sz w:val="20"/>
          <w:szCs w:val="20"/>
          <w:color w:val="231F20"/>
        </w:rPr>
        <w:t>imposition of fines or penalties. Other states are considering similar laws. Any new laws or regulations imposing more stringent requirements on our business related to the disclosure of climate-related risks may result in reputation harms among certain stakeholders if they disagree with our approach to mitigating climate-related risks, additional costs to comply with any such disclosure requirements and increased costs of and restrictions on access to capital.</w:t>
      </w:r>
    </w:p>
    <w:p>
      <w:pPr>
        <w:sectPr>
          <w:pgSz w:w="11880" w:h="15480" w:orient="portrait"/>
          <w:cols w:equalWidth="0" w:num="1">
            <w:col w:w="9100"/>
          </w:cols>
          <w:pgMar w:left="1380" w:top="1316" w:right="1400" w:bottom="653"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53</w:t>
      </w:r>
    </w:p>
    <w:p>
      <w:pPr>
        <w:sectPr>
          <w:pgSz w:w="11880" w:h="15480" w:orient="portrait"/>
          <w:cols w:equalWidth="0" w:num="1">
            <w:col w:w="9100"/>
          </w:cols>
          <w:pgMar w:left="1380" w:top="1316" w:right="1400" w:bottom="653" w:gutter="0" w:footer="0" w:header="0"/>
          <w:type w:val="continuous"/>
        </w:sectPr>
      </w:pPr>
    </w:p>
    <w:bookmarkStart w:id="57" w:name="page58"/>
    <w:bookmarkEnd w:id="57"/>
    <w:p>
      <w:pPr>
        <w:ind w:right="20" w:firstLine="300"/>
        <w:spacing w:after="0" w:line="249" w:lineRule="auto"/>
        <w:rPr>
          <w:sz w:val="20"/>
          <w:szCs w:val="20"/>
          <w:color w:val="auto"/>
        </w:rPr>
      </w:pPr>
      <w:r>
        <w:rPr>
          <w:rFonts w:ascii="Arial" w:cs="Arial" w:eastAsia="Arial" w:hAnsi="Arial"/>
          <w:sz w:val="20"/>
          <w:szCs w:val="20"/>
          <w:color w:val="231F20"/>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in an attempt to align with the state’s long-term goals and support our 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spacing w:after="0" w:line="254"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the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spacing w:after="0" w:line="241" w:lineRule="exact"/>
        <w:rPr>
          <w:sz w:val="20"/>
          <w:szCs w:val="20"/>
          <w:color w:val="auto"/>
        </w:rPr>
      </w:pPr>
    </w:p>
    <w:p>
      <w:pPr>
        <w:ind w:right="540" w:firstLine="300"/>
        <w:spacing w:after="0" w:line="254" w:lineRule="auto"/>
        <w:rPr>
          <w:sz w:val="20"/>
          <w:szCs w:val="20"/>
          <w:color w:val="auto"/>
        </w:rPr>
      </w:pPr>
      <w:r>
        <w:rPr>
          <w:rFonts w:ascii="Arial" w:cs="Arial" w:eastAsia="Arial" w:hAnsi="Arial"/>
          <w:sz w:val="20"/>
          <w:szCs w:val="20"/>
          <w:b w:val="1"/>
          <w:bCs w:val="1"/>
          <w:i w:val="1"/>
          <w:iCs w:val="1"/>
          <w:color w:val="231F20"/>
        </w:rPr>
        <w:t>Tax law changes could have an adverse effect on our business, financial condition and results of operations.</w:t>
      </w:r>
    </w:p>
    <w:p>
      <w:pPr>
        <w:spacing w:after="0" w:line="238" w:lineRule="exact"/>
        <w:rPr>
          <w:sz w:val="20"/>
          <w:szCs w:val="20"/>
          <w:color w:val="auto"/>
        </w:rPr>
      </w:pPr>
    </w:p>
    <w:p>
      <w:pPr>
        <w:ind w:right="140" w:firstLine="300"/>
        <w:spacing w:after="0" w:line="247" w:lineRule="auto"/>
        <w:rPr>
          <w:sz w:val="20"/>
          <w:szCs w:val="20"/>
          <w:color w:val="auto"/>
        </w:rPr>
      </w:pPr>
      <w:r>
        <w:rPr>
          <w:rFonts w:ascii="Arial" w:cs="Arial" w:eastAsia="Arial" w:hAnsi="Arial"/>
          <w:sz w:val="20"/>
          <w:szCs w:val="20"/>
          <w:color w:val="231F20"/>
        </w:rPr>
        <w:t>We are subject to taxation by various tax authorities at the federal, state and local levels where we do business. New legislation could be enacted by any of these government authorities that could adversely affect our business.</w:t>
      </w:r>
    </w:p>
    <w:p>
      <w:pPr>
        <w:spacing w:after="0" w:line="250"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231F20"/>
        </w:rPr>
        <w:t>In addition, from time to time, legislation has been proposed that would, if enacted into law, make significant changes to U.S. federal income tax laws, including the elimination of certain U.S. federal income tax benefits currently available to oil and natural gas exploration and production companies. Such changes have included, but have not been limited to: (i) the repeal of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such as us.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and/or reduced demand for our products. The passage of any such legislation or any other similar change in U.S. federal income tax law could eliminate or postpone certain tax deductions that are currently available with respect to natural gas and oil exploration and development or could increase costs and any such changes could have an adverse effect on our business, financial condition and results of operations. Similarly, legislation could be enacted that changes or terminates the current tax incentives that our CCS projects depend on to be economical. The enactment of any legislation that reduces, eliminates, delays, materially restricts or makes Section 45Q credits subject to more burdensome compliance requirements, could have an adverse effect on our business, financial condition and results of operations.</w:t>
      </w:r>
    </w:p>
    <w:p>
      <w:pPr>
        <w:sectPr>
          <w:pgSz w:w="11880" w:h="15480" w:orient="portrait"/>
          <w:cols w:equalWidth="0" w:num="1">
            <w:col w:w="9120"/>
          </w:cols>
          <w:pgMar w:left="1380" w:top="1316" w:right="1380" w:bottom="653"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54</w:t>
      </w:r>
    </w:p>
    <w:p>
      <w:pPr>
        <w:sectPr>
          <w:pgSz w:w="11880" w:h="15480" w:orient="portrait"/>
          <w:cols w:equalWidth="0" w:num="1">
            <w:col w:w="9120"/>
          </w:cols>
          <w:pgMar w:left="1380" w:top="1316" w:right="1380" w:bottom="653" w:gutter="0" w:footer="0" w:header="0"/>
          <w:type w:val="continuous"/>
        </w:sectPr>
      </w:pPr>
    </w:p>
    <w:bookmarkStart w:id="58" w:name="page59"/>
    <w:bookmarkEnd w:id="58"/>
    <w:p>
      <w:pPr>
        <w:ind w:right="260" w:firstLine="300"/>
        <w:spacing w:after="0" w:line="248" w:lineRule="auto"/>
        <w:rPr>
          <w:sz w:val="20"/>
          <w:szCs w:val="20"/>
          <w:color w:val="auto"/>
        </w:rPr>
      </w:pPr>
      <w:r>
        <w:rPr>
          <w:rFonts w:ascii="Arial" w:cs="Arial" w:eastAsia="Arial" w:hAnsi="Arial"/>
          <w:sz w:val="20"/>
          <w:szCs w:val="20"/>
          <w:color w:val="231F20"/>
        </w:rPr>
        <w:t>In California, there have been numerous state and local proposals for additional income, sales, excise and property taxes, including additional taxes on oil and natural gas production and a windfall profits tax on refineries. Although such proposals targeting the oil and natural gas industry have not become law, campaigns by various interest groups could lead to additional future taxes.</w:t>
      </w:r>
    </w:p>
    <w:p>
      <w:pPr>
        <w:spacing w:after="0" w:line="191" w:lineRule="exact"/>
        <w:rPr>
          <w:sz w:val="20"/>
          <w:szCs w:val="20"/>
          <w:color w:val="auto"/>
        </w:rPr>
      </w:pPr>
    </w:p>
    <w:p>
      <w:pPr>
        <w:ind w:right="240" w:firstLine="300"/>
        <w:spacing w:after="0" w:line="251" w:lineRule="auto"/>
        <w:rPr>
          <w:sz w:val="20"/>
          <w:szCs w:val="20"/>
          <w:color w:val="auto"/>
        </w:rPr>
      </w:pPr>
      <w:r>
        <w:rPr>
          <w:rFonts w:ascii="Arial" w:cs="Arial" w:eastAsia="Arial" w:hAnsi="Arial"/>
          <w:sz w:val="20"/>
          <w:szCs w:val="20"/>
          <w:b w:val="1"/>
          <w:bCs w:val="1"/>
          <w:i w:val="1"/>
          <w:iCs w:val="1"/>
          <w:color w:val="231F20"/>
        </w:rPr>
        <w:t>Financial assurance requirements related to plugging and abandonment costs, decommissioning, and site restoration on those who acquire the right to operate wells and production facilities could impact our ability to sell or acquire assets in California or increase our costs in connection with the same.</w:t>
      </w:r>
    </w:p>
    <w:p>
      <w:pPr>
        <w:spacing w:after="0" w:line="189"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California law imposes stringent financial assurance requirements on persons who acquire the right to operate a well or production facility in California, requiring them to file either an individual indemnity bond for single-well or production facility acquisitions, or a blanket indemnity bond for multiple wells or production facilities. The bond imposed on the acquirer is an amount determined by the state to sufficiently cover plugging and abandonment costs, decommissioning, and site restoration, and California law prohibits the closing of any acquisition of the right to operate a well or production facility until a determination on the appropriate bond amount has been completed by the state and the bond has been filed. This bonding requirement significantly impacts the economic feasibility of transferring the right to operate wells and production facilities, including transfers from smaller, less-capitalized operators to more financially stable operators such as ourselves. As of the year ended December 31, 2025, our asset retirement obligations were $1,033 million. This law will continue to impact our ability to grow or divest our assets within California.</w:t>
      </w:r>
    </w:p>
    <w:p>
      <w:pPr>
        <w:spacing w:after="0" w:line="187" w:lineRule="exact"/>
        <w:rPr>
          <w:sz w:val="20"/>
          <w:szCs w:val="20"/>
          <w:color w:val="auto"/>
        </w:rPr>
      </w:pPr>
    </w:p>
    <w:p>
      <w:pPr>
        <w:ind w:right="660" w:firstLine="300"/>
        <w:spacing w:after="0" w:line="254" w:lineRule="auto"/>
        <w:rPr>
          <w:sz w:val="20"/>
          <w:szCs w:val="20"/>
          <w:color w:val="auto"/>
        </w:rPr>
      </w:pPr>
      <w:r>
        <w:rPr>
          <w:rFonts w:ascii="Arial" w:cs="Arial" w:eastAsia="Arial" w:hAnsi="Arial"/>
          <w:sz w:val="20"/>
          <w:szCs w:val="20"/>
          <w:b w:val="1"/>
          <w:bCs w:val="1"/>
          <w:i w:val="1"/>
          <w:iCs w:val="1"/>
          <w:color w:val="231F20"/>
        </w:rPr>
        <w:t>Our operations in Utah are subject to additional regulatory, permitting and legal risks, including risks associated with federal and tribal lands.</w:t>
      </w:r>
    </w:p>
    <w:p>
      <w:pPr>
        <w:spacing w:after="0" w:line="184"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231F20"/>
        </w:rPr>
        <w:t>As a result of the Berry Merger, we have oil and gas operations and interests in Utah. Certain of these operations are located on federal lands administered by the U.S. Department of the Interior and the Bureau of Land Management, and certain acreage may be subject to tribal jurisdiction. Oil and gas development on federal and tribal lands is subject to regulatory regimes, approval processes and oversight that differ from those applicable to state or private lands and may be more complex, time-consuming or uncertain.</w:t>
      </w:r>
    </w:p>
    <w:p>
      <w:pPr>
        <w:spacing w:after="0" w:line="194"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Development activities on federal lands may require compliance with the National Environmental Policy Act (NEPA) and other federal statutes and regulations, which can result in extended permitting timelines, additional environmental review requirements, increased costs, or litigation risk. Changes in federal laws, regulations, policies, enforcement practices or fiscal terms applicable to federal lands, including royalty rates, bonding requirements, leasing terms or permitting standards, could delay or restrict development activities or adversely affect the economics of our operations.</w:t>
      </w:r>
    </w:p>
    <w:p>
      <w:pPr>
        <w:spacing w:after="0" w:line="194"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Operations on tribal lands may be subject to additional approvals, contractual requirements and regulatory authority of tribal governments. Disputes relating to tribal lands may be subject to different legal standards, forums or remedies, including limitations arising from tribal sovereign immunity, which could restrict our ability to enforce contractual rights or obtain judicial relief. Any of these factors could delay operations, increase costs, limit development opportunities or otherwise have a material adverse effect on our business, financial condition, results of operations or cash flows.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Our Indebtedness</w:t>
      </w:r>
    </w:p>
    <w:p>
      <w:pPr>
        <w:spacing w:after="0" w:line="196" w:lineRule="exact"/>
        <w:rPr>
          <w:sz w:val="20"/>
          <w:szCs w:val="20"/>
          <w:color w:val="auto"/>
        </w:rPr>
      </w:pPr>
    </w:p>
    <w:p>
      <w:pPr>
        <w:ind w:right="320" w:firstLine="300"/>
        <w:spacing w:after="0" w:line="254" w:lineRule="auto"/>
        <w:rPr>
          <w:sz w:val="20"/>
          <w:szCs w:val="20"/>
          <w:color w:val="auto"/>
        </w:rPr>
      </w:pPr>
      <w:r>
        <w:rPr>
          <w:rFonts w:ascii="Arial" w:cs="Arial" w:eastAsia="Arial" w:hAnsi="Arial"/>
          <w:sz w:val="20"/>
          <w:szCs w:val="20"/>
          <w:b w:val="1"/>
          <w:bCs w:val="1"/>
          <w:i w:val="1"/>
          <w:iCs w:val="1"/>
          <w:color w:val="231F20"/>
        </w:rPr>
        <w:t>We may not be able to amend or refinance our existing debt to create more operating and financial flexibility and to enhance shareholder returns</w:t>
      </w:r>
      <w:r>
        <w:rPr>
          <w:rFonts w:ascii="Arial" w:cs="Arial" w:eastAsia="Arial" w:hAnsi="Arial"/>
          <w:sz w:val="20"/>
          <w:szCs w:val="20"/>
          <w:color w:val="231F20"/>
        </w:rPr>
        <w:t>.</w:t>
      </w:r>
    </w:p>
    <w:p>
      <w:pPr>
        <w:spacing w:after="0" w:line="184" w:lineRule="exact"/>
        <w:rPr>
          <w:sz w:val="20"/>
          <w:szCs w:val="20"/>
          <w:color w:val="auto"/>
        </w:rPr>
      </w:pPr>
    </w:p>
    <w:p>
      <w:pPr>
        <w:ind w:right="40" w:firstLine="300"/>
        <w:spacing w:after="0" w:line="268" w:lineRule="auto"/>
        <w:rPr>
          <w:sz w:val="20"/>
          <w:szCs w:val="20"/>
          <w:color w:val="auto"/>
        </w:rPr>
      </w:pPr>
      <w:r>
        <w:rPr>
          <w:rFonts w:ascii="Arial" w:cs="Arial" w:eastAsia="Arial" w:hAnsi="Arial"/>
          <w:sz w:val="19"/>
          <w:szCs w:val="19"/>
          <w:color w:val="231F20"/>
        </w:rPr>
        <w:t>Our ability to refinance our debt depends on a variety of factors, including our ability to access the commercial banking and debt capital markets. Changes in interest rates could also impact our ability to</w:t>
      </w:r>
    </w:p>
    <w:p>
      <w:pPr>
        <w:sectPr>
          <w:pgSz w:w="11880" w:h="15480" w:orient="portrait"/>
          <w:cols w:equalWidth="0" w:num="1">
            <w:col w:w="9120"/>
          </w:cols>
          <w:pgMar w:left="1380" w:top="1316" w:right="1380" w:bottom="653"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55</w:t>
      </w:r>
    </w:p>
    <w:p>
      <w:pPr>
        <w:sectPr>
          <w:pgSz w:w="11880" w:h="15480" w:orient="portrait"/>
          <w:cols w:equalWidth="0" w:num="1">
            <w:col w:w="9120"/>
          </w:cols>
          <w:pgMar w:left="1380" w:top="1316" w:right="1380" w:bottom="653" w:gutter="0" w:footer="0" w:header="0"/>
          <w:type w:val="continuous"/>
        </w:sectPr>
      </w:pPr>
    </w:p>
    <w:bookmarkStart w:id="59" w:name="page60"/>
    <w:bookmarkEnd w:id="59"/>
    <w:p>
      <w:pPr>
        <w:spacing w:after="0" w:line="248" w:lineRule="auto"/>
        <w:rPr>
          <w:sz w:val="20"/>
          <w:szCs w:val="20"/>
          <w:color w:val="auto"/>
        </w:rPr>
      </w:pPr>
      <w:r>
        <w:rPr>
          <w:rFonts w:ascii="Arial" w:cs="Arial" w:eastAsia="Arial" w:hAnsi="Arial"/>
          <w:sz w:val="20"/>
          <w:szCs w:val="20"/>
          <w:color w:val="231F20"/>
        </w:rPr>
        <w:t>refinance our debt. If interest rates increase, the interest expense burden of any refinanced debt or other variable rate debt would increase even though the amount borrowed remained the same. There can be no assurances that we will be successful in amending, replacing or refinancing our existing debt on acceptable terms or at all.</w:t>
      </w:r>
    </w:p>
    <w:p>
      <w:pPr>
        <w:spacing w:after="0" w:line="215" w:lineRule="exact"/>
        <w:rPr>
          <w:sz w:val="20"/>
          <w:szCs w:val="20"/>
          <w:color w:val="auto"/>
        </w:rPr>
      </w:pPr>
    </w:p>
    <w:p>
      <w:pPr>
        <w:ind w:right="80" w:firstLine="300"/>
        <w:spacing w:after="0" w:line="254" w:lineRule="auto"/>
        <w:rPr>
          <w:sz w:val="20"/>
          <w:szCs w:val="20"/>
          <w:color w:val="auto"/>
        </w:rPr>
      </w:pPr>
      <w:r>
        <w:rPr>
          <w:rFonts w:ascii="Arial" w:cs="Arial" w:eastAsia="Arial" w:hAnsi="Arial"/>
          <w:sz w:val="20"/>
          <w:szCs w:val="20"/>
          <w:b w:val="1"/>
          <w:bCs w:val="1"/>
          <w:i w:val="1"/>
          <w:iCs w:val="1"/>
          <w:color w:val="231F20"/>
        </w:rPr>
        <w:t>Our existing and future indebtedness may adversely affect our business, financial condition and financial flexibility.</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As of December 31, 2025, we had $1,283 million of total long-term debt, net and additional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borrowing capacity of $1,284 million under the Revolving Credit Facility (after giving effect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$176 million of outstanding letters of credit). The terms of our Revolving Credit Facility and Senior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Notes permit us to incur significant additional debt, some of which may be secured. Our level of future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indebtedness could affect our business in several ways, including the following:</w:t>
      </w:r>
    </w:p>
    <w:p>
      <w:pPr>
        <w:spacing w:after="0" w:line="227" w:lineRule="exact"/>
        <w:rPr>
          <w:sz w:val="20"/>
          <w:szCs w:val="20"/>
          <w:color w:val="auto"/>
        </w:rPr>
      </w:pPr>
    </w:p>
    <w:p>
      <w:pPr>
        <w:ind w:left="600" w:right="520" w:hanging="300"/>
        <w:spacing w:after="0" w:line="243" w:lineRule="auto"/>
        <w:tabs>
          <w:tab w:leader="none" w:pos="60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limit management’s discretion in operating our business and reacting to changes in market conditions;</w:t>
      </w:r>
    </w:p>
    <w:p>
      <w:pPr>
        <w:spacing w:after="0" w:line="14" w:lineRule="exact"/>
        <w:rPr>
          <w:rFonts w:ascii="Arial" w:cs="Arial" w:eastAsia="Arial" w:hAnsi="Arial"/>
          <w:sz w:val="20"/>
          <w:szCs w:val="20"/>
          <w:color w:val="231F20"/>
        </w:rPr>
      </w:pPr>
    </w:p>
    <w:p>
      <w:pPr>
        <w:ind w:left="600" w:right="400" w:hanging="300"/>
        <w:spacing w:after="0" w:line="245" w:lineRule="auto"/>
        <w:tabs>
          <w:tab w:leader="none" w:pos="60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require us to dedicate a significant portion of our cash flow to debt service, thereby reducing funds available for operations, capital expenditures, acquisitions or shareholder returns;</w:t>
      </w:r>
    </w:p>
    <w:p>
      <w:pPr>
        <w:spacing w:after="0" w:line="10" w:lineRule="exact"/>
        <w:rPr>
          <w:rFonts w:ascii="Arial" w:cs="Arial" w:eastAsia="Arial" w:hAnsi="Arial"/>
          <w:sz w:val="20"/>
          <w:szCs w:val="20"/>
          <w:color w:val="231F20"/>
        </w:rPr>
      </w:pPr>
    </w:p>
    <w:p>
      <w:pPr>
        <w:ind w:left="600" w:right="700" w:hanging="300"/>
        <w:spacing w:after="0" w:line="245" w:lineRule="auto"/>
        <w:tabs>
          <w:tab w:leader="none" w:pos="60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increase our vulnerability to commodity price volatility, economic downturns and adverse regulatory developments;</w:t>
      </w:r>
    </w:p>
    <w:p>
      <w:pPr>
        <w:spacing w:after="0" w:line="5" w:lineRule="exact"/>
        <w:rPr>
          <w:rFonts w:ascii="Arial" w:cs="Arial" w:eastAsia="Arial" w:hAnsi="Arial"/>
          <w:sz w:val="20"/>
          <w:szCs w:val="20"/>
          <w:color w:val="231F20"/>
        </w:rPr>
      </w:pPr>
    </w:p>
    <w:p>
      <w:pPr>
        <w:ind w:left="600" w:hanging="300"/>
        <w:spacing w:after="0"/>
        <w:tabs>
          <w:tab w:leader="none" w:pos="60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limit our access to capital markets or increase the cost of future financing; and</w:t>
      </w:r>
    </w:p>
    <w:p>
      <w:pPr>
        <w:spacing w:after="0" w:line="14" w:lineRule="exact"/>
        <w:rPr>
          <w:rFonts w:ascii="Arial" w:cs="Arial" w:eastAsia="Arial" w:hAnsi="Arial"/>
          <w:sz w:val="20"/>
          <w:szCs w:val="20"/>
          <w:color w:val="231F20"/>
        </w:rPr>
      </w:pPr>
    </w:p>
    <w:p>
      <w:pPr>
        <w:ind w:left="600" w:right="340" w:hanging="300"/>
        <w:spacing w:after="0" w:line="245" w:lineRule="auto"/>
        <w:tabs>
          <w:tab w:leader="none" w:pos="600" w:val="left"/>
        </w:tabs>
        <w:numPr>
          <w:ilvl w:val="0"/>
          <w:numId w:val="35"/>
        </w:numPr>
        <w:rPr>
          <w:rFonts w:ascii="Arial" w:cs="Arial" w:eastAsia="Arial" w:hAnsi="Arial"/>
          <w:sz w:val="20"/>
          <w:szCs w:val="20"/>
          <w:color w:val="231F20"/>
        </w:rPr>
      </w:pPr>
      <w:r>
        <w:rPr>
          <w:rFonts w:ascii="Arial" w:cs="Arial" w:eastAsia="Arial" w:hAnsi="Arial"/>
          <w:sz w:val="20"/>
          <w:szCs w:val="20"/>
          <w:color w:val="231F20"/>
        </w:rPr>
        <w:t>expose us to borrowing base reductions or interest rate increases that could adversely affect liquidity.</w:t>
      </w:r>
    </w:p>
    <w:p>
      <w:pPr>
        <w:spacing w:after="0" w:line="220" w:lineRule="exact"/>
        <w:rPr>
          <w:sz w:val="20"/>
          <w:szCs w:val="20"/>
          <w:color w:val="auto"/>
        </w:rPr>
      </w:pPr>
    </w:p>
    <w:p>
      <w:pPr>
        <w:ind w:right="160" w:firstLine="300"/>
        <w:spacing w:after="0" w:line="247" w:lineRule="auto"/>
        <w:rPr>
          <w:sz w:val="20"/>
          <w:szCs w:val="20"/>
          <w:color w:val="auto"/>
        </w:rPr>
      </w:pPr>
      <w:r>
        <w:rPr>
          <w:rFonts w:ascii="Arial" w:cs="Arial" w:eastAsia="Arial" w:hAnsi="Arial"/>
          <w:sz w:val="20"/>
          <w:szCs w:val="20"/>
          <w:color w:val="231F20"/>
        </w:rPr>
        <w:t>Our ability to execute our business strategy and satisfy our debt obligations depends on our future operating performance and on economic, financial, competitive and other factors, many of which are beyond our control.</w:t>
      </w:r>
    </w:p>
    <w:p>
      <w:pPr>
        <w:spacing w:after="0" w:line="215" w:lineRule="exact"/>
        <w:rPr>
          <w:sz w:val="20"/>
          <w:szCs w:val="20"/>
          <w:color w:val="auto"/>
        </w:rPr>
      </w:pPr>
    </w:p>
    <w:p>
      <w:pPr>
        <w:ind w:right="200" w:firstLine="300"/>
        <w:spacing w:after="0" w:line="252" w:lineRule="auto"/>
        <w:rPr>
          <w:sz w:val="20"/>
          <w:szCs w:val="20"/>
          <w:color w:val="auto"/>
        </w:rPr>
      </w:pPr>
      <w:r>
        <w:rPr>
          <w:rFonts w:ascii="Arial" w:cs="Arial" w:eastAsia="Arial" w:hAnsi="Arial"/>
          <w:sz w:val="20"/>
          <w:szCs w:val="20"/>
          <w:b w:val="1"/>
          <w:bCs w:val="1"/>
          <w:i w:val="1"/>
          <w:iCs w:val="1"/>
          <w:color w:val="231F20"/>
        </w:rPr>
        <w:t>We may not be able to generate sufficient cash to service all of our indebtedness, and may be forced to take other actions to satisfy the obligations under our indebtedness, which may not be successful.</w:t>
      </w:r>
    </w:p>
    <w:p>
      <w:pPr>
        <w:spacing w:after="0" w:line="210"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Our earnings and cash flows may vary significantly due to commodity price volatility and other industry factors, and the level of indebtedness that is manageable in some periods may be unsustainable in others. Additionally, our future cash flow may be insufficient to meet our debt obligations and other commitments at that time. Any insufficiency could negatively impact our business. A range of economic, competitive, business and industry factors will affect our future financial performance, and, as a result, our ability to generate cash flow from operations and to pay our debt obligations. Many of these factors, such as oil and natural gas prices, economic and financial conditions in our industry and the global economy and initiatives of our competitors, are beyond our control as discussed in this “</w:t>
      </w:r>
      <w:r>
        <w:rPr>
          <w:rFonts w:ascii="Arial" w:cs="Arial" w:eastAsia="Arial" w:hAnsi="Arial"/>
          <w:sz w:val="20"/>
          <w:szCs w:val="20"/>
          <w:i w:val="1"/>
          <w:iCs w:val="1"/>
          <w:color w:val="231F20"/>
        </w:rPr>
        <w:t>Risk Factors</w:t>
      </w:r>
      <w:r>
        <w:rPr>
          <w:rFonts w:ascii="Arial" w:cs="Arial" w:eastAsia="Arial" w:hAnsi="Arial"/>
          <w:sz w:val="20"/>
          <w:szCs w:val="20"/>
          <w:color w:val="231F20"/>
        </w:rPr>
        <w:t>” section. We may be unable to maintain cash flows sufficient to pay the principal, premium, if any, and interest on our indebtedness.</w:t>
      </w:r>
    </w:p>
    <w:p>
      <w:pPr>
        <w:spacing w:after="0" w:line="219" w:lineRule="exact"/>
        <w:rPr>
          <w:sz w:val="20"/>
          <w:szCs w:val="20"/>
          <w:color w:val="auto"/>
        </w:rPr>
      </w:pPr>
    </w:p>
    <w:p>
      <w:pPr>
        <w:ind w:right="120" w:firstLine="300"/>
        <w:spacing w:after="0" w:line="254" w:lineRule="auto"/>
        <w:rPr>
          <w:sz w:val="20"/>
          <w:szCs w:val="20"/>
          <w:color w:val="auto"/>
        </w:rPr>
      </w:pPr>
      <w:r>
        <w:rPr>
          <w:rFonts w:ascii="Arial" w:cs="Arial" w:eastAsia="Arial" w:hAnsi="Arial"/>
          <w:sz w:val="20"/>
          <w:szCs w:val="20"/>
          <w:b w:val="1"/>
          <w:bCs w:val="1"/>
          <w:i w:val="1"/>
          <w:iCs w:val="1"/>
          <w:color w:val="231F20"/>
        </w:rPr>
        <w:t>The lenders under our Revolving Credit Facility could limit our ability to borrow and restrict our use or access to capital.</w:t>
      </w:r>
    </w:p>
    <w:p>
      <w:pPr>
        <w:spacing w:after="0" w:line="20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Our Revolving Credit Facility is an important source of our liquidity. Our ability to borrow under our Revolving Credit Facility is limited by our borrowing base, the size of our lenders’ commitments and our ability to comply with covenants. The borrowing base under our Revolving Credit Facility is redetermined semi-annually by our lenders who review the value of our reserves and other factors that may be deemed appropriate. A reduction in our borrowing base below the aggregate commitment amount of our lenders would have a material adverse effect on our liquidity and may hinder our ability to execute on our business strategy.</w:t>
      </w:r>
    </w:p>
    <w:p>
      <w:pPr>
        <w:sectPr>
          <w:pgSz w:w="11880" w:h="15480" w:orient="portrait"/>
          <w:cols w:equalWidth="0" w:num="1">
            <w:col w:w="9120"/>
          </w:cols>
          <w:pgMar w:left="1380" w:top="1316" w:right="1380" w:bottom="653"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56</w:t>
      </w:r>
    </w:p>
    <w:p>
      <w:pPr>
        <w:sectPr>
          <w:pgSz w:w="11880" w:h="15480" w:orient="portrait"/>
          <w:cols w:equalWidth="0" w:num="1">
            <w:col w:w="9120"/>
          </w:cols>
          <w:pgMar w:left="1380" w:top="1316" w:right="1380" w:bottom="653" w:gutter="0" w:footer="0" w:header="0"/>
          <w:type w:val="continuous"/>
        </w:sectPr>
      </w:pPr>
    </w:p>
    <w:bookmarkStart w:id="60" w:name="page61"/>
    <w:bookmarkEnd w:id="60"/>
    <w:p>
      <w:pPr>
        <w:ind w:right="160" w:firstLine="300"/>
        <w:spacing w:after="0" w:line="252" w:lineRule="auto"/>
        <w:rPr>
          <w:sz w:val="20"/>
          <w:szCs w:val="20"/>
          <w:color w:val="auto"/>
        </w:rPr>
      </w:pPr>
      <w:r>
        <w:rPr>
          <w:rFonts w:ascii="Arial" w:cs="Arial" w:eastAsia="Arial" w:hAnsi="Arial"/>
          <w:sz w:val="20"/>
          <w:szCs w:val="20"/>
          <w:b w:val="1"/>
          <w:bCs w:val="1"/>
          <w:i w:val="1"/>
          <w:iCs w:val="1"/>
          <w:color w:val="231F20"/>
        </w:rPr>
        <w:t>Restrictive covenants in our Revolving Credit Facility and the indentures governing our Senior Notes may limit our financial and operating flexibility and adversely affect our ability to execute our business strategy.</w:t>
      </w:r>
    </w:p>
    <w:p>
      <w:pPr>
        <w:spacing w:after="0" w:line="200"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Our Revolving Credit Facility and the indentures governing our Senior Notes contain covenants that may adversely effect our business, financial condition or results of operations. These covenants limit our ability to, among other things, incur additional indebtedness, pay dividends or repurchase shares, dispose of assets, or make capital investments. The Revolving Credit Facility also requires us to comply with certain financial maintenance covenants, including a leverage ratio and current ratio. A breach of these covenants could result in a default under the Revolving Credit Facility and/or the Senior Notes. If a default occurs under the Revolving Credit Facility, the lenders may elect to declare all borrowings thereunder outstanding, together with accrued interest and other fees, to be immediately due and payable. If we are unable to repay our indebtedness when due or declared due, the lenders under the Revolving Credit Facility will also have the right to proceed against the collateral pledged to them to secure the indebtedness. An event of default under the Senior Notes may cause all outstanding Senior Notes to become due and payable immediately or give the trustee and the holders the right to declare all outstanding Senior Notes to become due and payable immediately.</w:t>
      </w:r>
    </w:p>
    <w:p>
      <w:pPr>
        <w:spacing w:after="0" w:line="201" w:lineRule="exact"/>
        <w:rPr>
          <w:sz w:val="20"/>
          <w:szCs w:val="20"/>
          <w:color w:val="auto"/>
        </w:rPr>
      </w:pPr>
    </w:p>
    <w:p>
      <w:pPr>
        <w:ind w:right="280" w:firstLine="300"/>
        <w:spacing w:after="0" w:line="254" w:lineRule="auto"/>
        <w:rPr>
          <w:sz w:val="20"/>
          <w:szCs w:val="20"/>
          <w:color w:val="auto"/>
        </w:rPr>
      </w:pPr>
      <w:r>
        <w:rPr>
          <w:rFonts w:ascii="Arial" w:cs="Arial" w:eastAsia="Arial" w:hAnsi="Arial"/>
          <w:sz w:val="20"/>
          <w:szCs w:val="20"/>
          <w:b w:val="1"/>
          <w:bCs w:val="1"/>
          <w:i w:val="1"/>
          <w:iCs w:val="1"/>
          <w:color w:val="231F20"/>
        </w:rPr>
        <w:t>Variable rate indebtedness under our Revolving Credit Facility subjects us to interest rate risk, which could cause our debt service obligations to increase significantly.</w:t>
      </w:r>
    </w:p>
    <w:p>
      <w:pPr>
        <w:spacing w:after="0" w:line="198"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Borrowings under our Revolving Credit Facility are at variable rates of interest and expose us to interest rate risk. As of December 31, 2025, we had no amounts borrowed under our Revolving Credit Facility. If in the future we borrow under the Revolving Credit Facility, then our results of operations would be sensitive to movements in interest rates. There are many economic factors outside our control that have in the past and may, in the future, impact rates of interest including publicly announced indices that underlie the interest obligations related to our Revolving Credit Facility. Factors that impact interest rates include governmental monetary policies, inflation, economic conditions, changes in unemployment rates,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business, financial condition and results of operations if we borrow under the Revolving Credit Facility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Risks Related to Our Common Stock</w:t>
      </w:r>
    </w:p>
    <w:p>
      <w:pPr>
        <w:spacing w:after="0" w:line="210" w:lineRule="exact"/>
        <w:rPr>
          <w:sz w:val="20"/>
          <w:szCs w:val="20"/>
          <w:color w:val="auto"/>
        </w:rPr>
      </w:pPr>
    </w:p>
    <w:p>
      <w:pPr>
        <w:ind w:right="620" w:firstLine="300"/>
        <w:spacing w:after="0" w:line="254" w:lineRule="auto"/>
        <w:rPr>
          <w:sz w:val="20"/>
          <w:szCs w:val="20"/>
          <w:color w:val="auto"/>
        </w:rPr>
      </w:pPr>
      <w:r>
        <w:rPr>
          <w:rFonts w:ascii="Arial" w:cs="Arial" w:eastAsia="Arial" w:hAnsi="Arial"/>
          <w:sz w:val="20"/>
          <w:szCs w:val="20"/>
          <w:b w:val="1"/>
          <w:bCs w:val="1"/>
          <w:i w:val="1"/>
          <w:iCs w:val="1"/>
          <w:color w:val="231F20"/>
        </w:rPr>
        <w:t>Our ability to pay dividends and repurchase shares of our common stock is subject to certain risks.</w:t>
      </w:r>
    </w:p>
    <w:p>
      <w:pPr>
        <w:spacing w:after="0" w:line="19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We have adopted a cash dividend policy which anticipates a total annual dividend of $1.62 per share, payable to shareholders in quarterly increments of $0.405 per share of common stock, subject to board authorization and declaration each quarter. Our Board of Directors has authorized a share repurchase program to acquire up to $1.78 billion of our common stock through December 31, 2027. After the increase and shares repurchased in January 2026, approximately $600 million remained unused as of February 28, 2026. Any payment of future dividends or repurchasing shares of our common stock will be at the discretion of our Board of Directors and will depend upon, among other things, our earnings, liquidity, capital requirements, financial condition and other factors deemed relevant. Our Revolving Credit Facility and Senior Notes both limit our ability to pay dividends and repurchase shares of our common stock. In addition, cash dividend payments in the future may only be made out of legally available funds and, if we experience substantial losses, such funds may not be available. We can provide no assurances that we will continue to pay dividends at the anticipated rate or repurchase shares of our common stock within the authorized amount or at all.</w:t>
      </w:r>
    </w:p>
    <w:p>
      <w:pPr>
        <w:sectPr>
          <w:pgSz w:w="11880" w:h="15480" w:orient="portrait"/>
          <w:cols w:equalWidth="0" w:num="1">
            <w:col w:w="9100"/>
          </w:cols>
          <w:pgMar w:left="1380" w:top="1312" w:right="1400" w:bottom="653"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57</w:t>
      </w:r>
    </w:p>
    <w:p>
      <w:pPr>
        <w:sectPr>
          <w:pgSz w:w="11880" w:h="15480" w:orient="portrait"/>
          <w:cols w:equalWidth="0" w:num="1">
            <w:col w:w="9100"/>
          </w:cols>
          <w:pgMar w:left="1380" w:top="1312" w:right="1400" w:bottom="653" w:gutter="0" w:footer="0" w:header="0"/>
          <w:type w:val="continuous"/>
        </w:sectPr>
      </w:pPr>
    </w:p>
    <w:bookmarkStart w:id="61" w:name="page62"/>
    <w:bookmarkEnd w:id="61"/>
    <w:p>
      <w:pPr>
        <w:jc w:val="both"/>
        <w:ind w:right="580" w:firstLine="300"/>
        <w:spacing w:after="0" w:line="254" w:lineRule="auto"/>
        <w:rPr>
          <w:sz w:val="20"/>
          <w:szCs w:val="20"/>
          <w:color w:val="auto"/>
        </w:rPr>
      </w:pPr>
      <w:r>
        <w:rPr>
          <w:rFonts w:ascii="Arial" w:cs="Arial" w:eastAsia="Arial" w:hAnsi="Arial"/>
          <w:sz w:val="20"/>
          <w:szCs w:val="20"/>
          <w:b w:val="1"/>
          <w:bCs w:val="1"/>
          <w:i w:val="1"/>
          <w:iCs w:val="1"/>
          <w:color w:val="231F20"/>
        </w:rPr>
        <w:t>The trading price of our common stock may decline, and you may not be able to resell shares of our common stock at prices equal to or greater than the price you paid or at all.</w:t>
      </w:r>
    </w:p>
    <w:p>
      <w:pPr>
        <w:spacing w:after="0" w:line="198"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The trading price of our common stock may be volatile and may decline for reasons beyond our control. In the event of a drop in the market price of our common stock, you could lose a substantial part or all of your investment in our common stock. Numerous factors, including changes in our operating results, commodity prices, economic conditions, regulatory developments, capital allocation decisions, analyst estimates and market valuations of comparable companies, could adversely affect our stock price.</w:t>
      </w:r>
    </w:p>
    <w:p>
      <w:pPr>
        <w:spacing w:after="0" w:line="204" w:lineRule="exact"/>
        <w:rPr>
          <w:sz w:val="20"/>
          <w:szCs w:val="20"/>
          <w:color w:val="auto"/>
        </w:rPr>
      </w:pPr>
    </w:p>
    <w:p>
      <w:pPr>
        <w:ind w:right="380" w:firstLine="300"/>
        <w:spacing w:after="0" w:line="252" w:lineRule="auto"/>
        <w:rPr>
          <w:sz w:val="20"/>
          <w:szCs w:val="20"/>
          <w:color w:val="auto"/>
        </w:rPr>
      </w:pPr>
      <w:r>
        <w:rPr>
          <w:rFonts w:ascii="Arial" w:cs="Arial" w:eastAsia="Arial" w:hAnsi="Arial"/>
          <w:sz w:val="20"/>
          <w:szCs w:val="20"/>
          <w:b w:val="1"/>
          <w:bCs w:val="1"/>
          <w:i w:val="1"/>
          <w:iCs w:val="1"/>
          <w:color w:val="231F20"/>
        </w:rPr>
        <w:t>Future issuances of our common stock could reduce our stock price, and any additional capital raised by us through the sale of equity or convertible securities may dilute your ownership in us.</w:t>
      </w:r>
    </w:p>
    <w:p>
      <w:pPr>
        <w:spacing w:after="0" w:line="200"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We may issue shares of common stock or securities convertible into common stock in public or private transactions. We may also issue additional shares of common stock or convertible securities in connection with mergers or acquisitions, such as in December 2025 when we issued 5.6 million shares of common stock in connection with the Berry Merger. We cannot predict the size of other future issuances of our common stock or securities convertible into common stock or the effect, if any, that such other future issuances and sales of shares of our common stock will have on the market price of our common stock. Sales of substantial amounts of our common stock, or the perception that such sales could occur, may adversely affect the market price of our common stock.</w:t>
      </w:r>
    </w:p>
    <w:p>
      <w:pPr>
        <w:spacing w:after="0" w:line="207" w:lineRule="exact"/>
        <w:rPr>
          <w:sz w:val="20"/>
          <w:szCs w:val="20"/>
          <w:color w:val="auto"/>
        </w:rPr>
      </w:pPr>
    </w:p>
    <w:p>
      <w:pPr>
        <w:ind w:right="280" w:firstLine="300"/>
        <w:spacing w:after="0" w:line="254" w:lineRule="auto"/>
        <w:rPr>
          <w:sz w:val="20"/>
          <w:szCs w:val="20"/>
          <w:color w:val="auto"/>
        </w:rPr>
      </w:pPr>
      <w:r>
        <w:rPr>
          <w:rFonts w:ascii="Arial" w:cs="Arial" w:eastAsia="Arial" w:hAnsi="Arial"/>
          <w:sz w:val="20"/>
          <w:szCs w:val="20"/>
          <w:b w:val="1"/>
          <w:bCs w:val="1"/>
          <w:i w:val="1"/>
          <w:iCs w:val="1"/>
          <w:color w:val="231F20"/>
        </w:rPr>
        <w:t>The ownership position of certain of our stockholders limits other stockholders’ ability to influence corporate matters and could affect the price of our common stock.</w:t>
      </w:r>
    </w:p>
    <w:p>
      <w:pPr>
        <w:spacing w:after="0" w:line="19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As of December 31, 2025, four of our shareholders owned at least 5% each and collectively owned approximately 41%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spacing w:after="0" w:line="202" w:lineRule="exact"/>
        <w:rPr>
          <w:sz w:val="20"/>
          <w:szCs w:val="20"/>
          <w:color w:val="auto"/>
        </w:rPr>
      </w:pPr>
    </w:p>
    <w:p>
      <w:pPr>
        <w:ind w:right="120" w:firstLine="300"/>
        <w:spacing w:after="0" w:line="254" w:lineRule="auto"/>
        <w:rPr>
          <w:sz w:val="20"/>
          <w:szCs w:val="20"/>
          <w:color w:val="auto"/>
        </w:rPr>
      </w:pPr>
      <w:r>
        <w:rPr>
          <w:rFonts w:ascii="Arial" w:cs="Arial" w:eastAsia="Arial" w:hAnsi="Arial"/>
          <w:sz w:val="20"/>
          <w:szCs w:val="20"/>
          <w:b w:val="1"/>
          <w:bCs w:val="1"/>
          <w:i w:val="1"/>
          <w:iCs w:val="1"/>
          <w:color w:val="231F20"/>
        </w:rPr>
        <w:t>Sales of shares of our common stock by our executive officers could negatively impact the market price for our common stock.</w:t>
      </w:r>
    </w:p>
    <w:p>
      <w:pPr>
        <w:spacing w:after="0" w:line="198"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Sales of our common stock by our executive officers may adversely impact the trading price of our common stock, even when done in compliance with our policies with respect to insider sales. Although we do not expect that the relatively small volume of such sales will itself significantly impact the trading price of our common stock, the market could react negatively to the announcement of such sales, which could in turn affect the trading price of our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1B UNRESOLVED STAFF COMMENTS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1C CYBERSECURITY</w:t>
      </w:r>
    </w:p>
    <w:p>
      <w:pPr>
        <w:spacing w:after="0" w:line="217"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We rely on information systems, computer networks and digital technologies to operate our business, including managing our operations, protecting sensitive data, communicating internally and externally, and preparing financial and operational information. Our cybersecurity program is designed to protect these critical systems and data while supporting business operations and growth objectives.</w:t>
      </w:r>
    </w:p>
    <w:p>
      <w:pPr>
        <w:spacing w:after="0" w:line="209" w:lineRule="exact"/>
        <w:rPr>
          <w:sz w:val="20"/>
          <w:szCs w:val="20"/>
          <w:color w:val="auto"/>
        </w:rPr>
      </w:pPr>
    </w:p>
    <w:p>
      <w:pPr>
        <w:ind w:right="120" w:firstLine="300"/>
        <w:spacing w:after="0" w:line="243" w:lineRule="auto"/>
        <w:rPr>
          <w:sz w:val="20"/>
          <w:szCs w:val="20"/>
          <w:color w:val="auto"/>
        </w:rPr>
      </w:pPr>
      <w:r>
        <w:rPr>
          <w:rFonts w:ascii="Arial" w:cs="Arial" w:eastAsia="Arial" w:hAnsi="Arial"/>
          <w:sz w:val="20"/>
          <w:szCs w:val="20"/>
          <w:color w:val="231F20"/>
        </w:rPr>
        <w:t>We maintain a comprehensive, risk-based approach to assess, identify and manage material risks from cybersecurity threats. Our controls are based on the NIST Cybersecurity Framework (CSF). Our</w:t>
      </w:r>
    </w:p>
    <w:p>
      <w:pPr>
        <w:sectPr>
          <w:pgSz w:w="11880" w:h="15480" w:orient="portrait"/>
          <w:cols w:equalWidth="0" w:num="1">
            <w:col w:w="9080"/>
          </w:cols>
          <w:pgMar w:left="1380" w:top="1312" w:right="1420" w:bottom="653" w:gutter="0" w:footer="0" w:header="0"/>
        </w:sect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58</w:t>
      </w:r>
    </w:p>
    <w:p>
      <w:pPr>
        <w:sectPr>
          <w:pgSz w:w="11880" w:h="15480" w:orient="portrait"/>
          <w:cols w:equalWidth="0" w:num="1">
            <w:col w:w="9080"/>
          </w:cols>
          <w:pgMar w:left="1380" w:top="1312" w:right="1420" w:bottom="653" w:gutter="0" w:footer="0" w:header="0"/>
          <w:type w:val="continuous"/>
        </w:sectPr>
      </w:pPr>
    </w:p>
    <w:bookmarkStart w:id="62" w:name="page63"/>
    <w:bookmarkEnd w:id="62"/>
    <w:p>
      <w:pPr>
        <w:ind w:right="60"/>
        <w:spacing w:after="0" w:line="249" w:lineRule="auto"/>
        <w:rPr>
          <w:sz w:val="20"/>
          <w:szCs w:val="20"/>
          <w:color w:val="auto"/>
        </w:rPr>
      </w:pPr>
      <w:r>
        <w:rPr>
          <w:rFonts w:ascii="Arial" w:cs="Arial" w:eastAsia="Arial" w:hAnsi="Arial"/>
          <w:sz w:val="20"/>
          <w:szCs w:val="20"/>
          <w:color w:val="231F20"/>
        </w:rPr>
        <w:t>cybersecurity risk management processes are integrated into our broader enterprise risk management framework and include: (i) regular assessment and monitoring of internal and external cybersecurity threats, (ii) evaluation of potential impacts on business operations, financial performance and stakeholder interests, (iii) periodic evaluation of control effectiveness to determine residual risk levels and guide program improvements, and (iv) integration of cybersecurity considerations into business strategy and technology decisions. Our cybersecurity risk management approach includes external threat analysis, vulnerability scanning and patching, monitoring of alerts, logs, and activities, penetration testing, and external vulnerability assessments. We also have insurance that may reduce the financial impacts of cybersecurity incidents.</w:t>
      </w:r>
    </w:p>
    <w:p>
      <w:pPr>
        <w:spacing w:after="0" w:line="253" w:lineRule="exact"/>
        <w:rPr>
          <w:sz w:val="20"/>
          <w:szCs w:val="20"/>
          <w:color w:val="auto"/>
        </w:rPr>
      </w:pPr>
    </w:p>
    <w:p>
      <w:pPr>
        <w:ind w:right="80" w:firstLine="300"/>
        <w:spacing w:after="0" w:line="264" w:lineRule="auto"/>
        <w:rPr>
          <w:sz w:val="20"/>
          <w:szCs w:val="20"/>
          <w:color w:val="auto"/>
        </w:rPr>
      </w:pPr>
      <w:r>
        <w:rPr>
          <w:rFonts w:ascii="Arial" w:cs="Arial" w:eastAsia="Arial" w:hAnsi="Arial"/>
          <w:sz w:val="19"/>
          <w:szCs w:val="19"/>
          <w:color w:val="231F20"/>
        </w:rPr>
        <w:t>Our cybersecurity framework is evaluated by internal and external experts on an ongoing basis or within the scope of certain projects or engagements. Where we use third-party service providers, we endeavor to ensure that cybersecurity threats are minimized including by establishing contractual protections that include minimum security and breach notification requirements. We regularly evaluate and adjust these processes based on changes in the threat landscape and business environment.</w:t>
      </w:r>
    </w:p>
    <w:p>
      <w:pPr>
        <w:spacing w:after="0" w:line="238"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In accordance with our cybersecurity incident response plan, the severity of cybersecurity incidents is classified based on the degree of adverse impact on our business, scale of penetration, risk of propagation, significance of impact, impact on protected information, and our monitoring capability. Incident response is overseen by a cybersecurity incident response team steering committee comprised of members of management with the responsibility to inform senior management and/or the Audit Committee based on incident severity classification.</w:t>
      </w:r>
    </w:p>
    <w:p>
      <w:pPr>
        <w:spacing w:after="0" w:line="248"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231F20"/>
        </w:rPr>
        <w:t>The Audit Committee of our Board of Directors is responsible for overseeing our risk assessment and risk management activities, including cybersecurity risks. The Audit Committee is briefed by our Chief Digital &amp; Information Officer on cybersecurity risks at regular meetings and separately as circumstances warrant. Cybersecurity risks are also included in our enterprise risk management program which is reported separately to the Audit Committee. We maintain a dedicated cybersecurity team responsible for program implementation and operational security activities.</w:t>
      </w:r>
    </w:p>
    <w:p>
      <w:pPr>
        <w:spacing w:after="0" w:line="24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Our Chief Digital &amp; Information Officer is responsible for assessing and managing our material risks from cybersecurity threats. In carrying out these responsibilities, he is informed about and monitors the prevention, detection, mitigation and remediation of cybersecurity incidents through regular briefings and reporting from our cybersecurity team. He has over 28 years of experience in information technology, including leadership roles responsible for cybersecurity and data privacy. He graduated from California State University, Bakersfield with a Bachelor of Science degree in Computer Science.</w:t>
      </w:r>
    </w:p>
    <w:p>
      <w:pPr>
        <w:spacing w:after="0" w:line="248"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231F20"/>
        </w:rPr>
        <w:t>As of the date of this report, though we and our service providers have experienced certain cybersecurity incidents, we are not aware of any risks from cybersecurity threats that have materially affected or are reasonably likely to materially affect our business strategy, results of operations, or financial condition.</w:t>
      </w:r>
    </w:p>
    <w:p>
      <w:pPr>
        <w:spacing w:after="0" w:line="24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231F20"/>
        </w:rPr>
        <w:t>ITEM 3</w:t>
        <w:tab/>
        <w:t>LEGAL PROCEEDINGS</w:t>
      </w:r>
    </w:p>
    <w:p>
      <w:pPr>
        <w:spacing w:after="0" w:line="255"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231F20"/>
        </w:rPr>
        <w:t xml:space="preserve">For information regarding legal proceedings, see </w:t>
      </w:r>
      <w:r>
        <w:rPr>
          <w:rFonts w:ascii="Arial" w:cs="Arial" w:eastAsia="Arial" w:hAnsi="Arial"/>
          <w:sz w:val="20"/>
          <w:szCs w:val="20"/>
          <w:i w:val="1"/>
          <w:iCs w:val="1"/>
          <w:color w:val="231F20"/>
        </w:rPr>
        <w:t>Part II, Item 7 – Management’s Discussion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Analysis of Financial Condition and Results of Operations – Lawsuits, Claims, Commitments and Contingencies </w:t>
      </w:r>
      <w:r>
        <w:rPr>
          <w:rFonts w:ascii="Arial" w:cs="Arial" w:eastAsia="Arial" w:hAnsi="Arial"/>
          <w:sz w:val="20"/>
          <w:szCs w:val="20"/>
          <w:color w:val="231F20"/>
        </w:rPr>
        <w:t>and</w:t>
      </w:r>
      <w:r>
        <w:rPr>
          <w:rFonts w:ascii="Arial" w:cs="Arial" w:eastAsia="Arial" w:hAnsi="Arial"/>
          <w:sz w:val="20"/>
          <w:szCs w:val="20"/>
          <w:i w:val="1"/>
          <w:iCs w:val="1"/>
          <w:color w:val="231F20"/>
        </w:rPr>
        <w:t xml:space="preserve"> Part II, Item 8 – Financial Statements and Supplementary Data – Note 6 Lawsuits, Claims, Commitments and Contingencies</w:t>
      </w:r>
      <w:r>
        <w:rPr>
          <w:rFonts w:ascii="Arial" w:cs="Arial" w:eastAsia="Arial" w:hAnsi="Arial"/>
          <w:sz w:val="20"/>
          <w:szCs w:val="20"/>
          <w:color w:val="231F20"/>
        </w:rPr>
        <w:t>.</w:t>
      </w:r>
    </w:p>
    <w:p>
      <w:pPr>
        <w:spacing w:after="0" w:line="245"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231F20"/>
        </w:rPr>
        <w:t>ITEM 4</w:t>
      </w:r>
      <w:r>
        <w:rPr>
          <w:sz w:val="20"/>
          <w:szCs w:val="20"/>
          <w:color w:val="auto"/>
        </w:rPr>
        <w:tab/>
      </w:r>
      <w:r>
        <w:rPr>
          <w:rFonts w:ascii="Arial" w:cs="Arial" w:eastAsia="Arial" w:hAnsi="Arial"/>
          <w:sz w:val="19"/>
          <w:szCs w:val="19"/>
          <w:b w:val="1"/>
          <w:bCs w:val="1"/>
          <w:color w:val="231F20"/>
        </w:rPr>
        <w:t>MINE SAFETY DISCLOSURES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Not applicable.</w:t>
      </w:r>
    </w:p>
    <w:p>
      <w:pPr>
        <w:sectPr>
          <w:pgSz w:w="11880" w:h="15480" w:orient="portrait"/>
          <w:cols w:equalWidth="0" w:num="1">
            <w:col w:w="9080"/>
          </w:cols>
          <w:pgMar w:left="1380" w:top="1316" w:right="1420" w:bottom="653"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59</w:t>
      </w:r>
    </w:p>
    <w:p>
      <w:pPr>
        <w:sectPr>
          <w:pgSz w:w="11880" w:h="15480" w:orient="portrait"/>
          <w:cols w:equalWidth="0" w:num="1">
            <w:col w:w="9080"/>
          </w:cols>
          <w:pgMar w:left="1380" w:top="1316" w:right="1420" w:bottom="653"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color w:val="231F20"/>
        </w:rPr>
        <w:t>PART II</w:t>
      </w:r>
    </w:p>
    <w:p>
      <w:pPr>
        <w:spacing w:after="0" w:line="212" w:lineRule="exact"/>
        <w:rPr>
          <w:sz w:val="20"/>
          <w:szCs w:val="20"/>
          <w:color w:val="auto"/>
        </w:rPr>
      </w:pPr>
    </w:p>
    <w:p>
      <w:pPr>
        <w:ind w:left="900" w:right="900" w:hanging="899"/>
        <w:spacing w:after="0" w:line="273" w:lineRule="auto"/>
        <w:tabs>
          <w:tab w:leader="none" w:pos="880" w:val="left"/>
        </w:tabs>
        <w:rPr>
          <w:sz w:val="20"/>
          <w:szCs w:val="20"/>
          <w:color w:val="auto"/>
        </w:rPr>
      </w:pPr>
      <w:r>
        <w:rPr>
          <w:rFonts w:ascii="Arial" w:cs="Arial" w:eastAsia="Arial" w:hAnsi="Arial"/>
          <w:sz w:val="20"/>
          <w:szCs w:val="20"/>
          <w:b w:val="1"/>
          <w:bCs w:val="1"/>
          <w:color w:val="231F20"/>
        </w:rPr>
        <w:t>ITEM 5</w:t>
      </w:r>
      <w:r>
        <w:rPr>
          <w:sz w:val="20"/>
          <w:szCs w:val="20"/>
          <w:color w:val="auto"/>
        </w:rPr>
        <w:tab/>
      </w:r>
      <w:r>
        <w:rPr>
          <w:rFonts w:ascii="Arial" w:cs="Arial" w:eastAsia="Arial" w:hAnsi="Arial"/>
          <w:sz w:val="19"/>
          <w:szCs w:val="19"/>
          <w:b w:val="1"/>
          <w:bCs w:val="1"/>
          <w:color w:val="231F20"/>
        </w:rPr>
        <w:t>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Market Information for Common Stock</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Our common stock is traded under the symbol “CRC” on the New York Stock Exchange (NYSE).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Holders of Record</w:t>
      </w:r>
    </w:p>
    <w:p>
      <w:pPr>
        <w:spacing w:after="0" w:line="217" w:lineRule="exact"/>
        <w:rPr>
          <w:sz w:val="20"/>
          <w:szCs w:val="20"/>
          <w:color w:val="auto"/>
        </w:rPr>
      </w:pPr>
    </w:p>
    <w:p>
      <w:pPr>
        <w:ind w:right="460" w:firstLine="300"/>
        <w:spacing w:after="0" w:line="243" w:lineRule="auto"/>
        <w:rPr>
          <w:sz w:val="20"/>
          <w:szCs w:val="20"/>
          <w:color w:val="auto"/>
        </w:rPr>
      </w:pPr>
      <w:r>
        <w:rPr>
          <w:rFonts w:ascii="Arial" w:cs="Arial" w:eastAsia="Arial" w:hAnsi="Arial"/>
          <w:sz w:val="20"/>
          <w:szCs w:val="20"/>
          <w:color w:val="231F20"/>
        </w:rPr>
        <w:t>Our common stock was held by 20 stockholders of record at January 31, 2026, which does not include the beneficial owners for whom Cede and Co. or others act as nominees.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Dividend Policy</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Our Board of Directors has approved a cash dividend policy that contemplates a total annual</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231F20"/>
        </w:rPr>
        <w:t>dividend of $1.62 per share of common stock, payable to stockholders in quarterly increments of</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$0.405 per share. This includes a recent amendment in November 2025 to our prior dividend policy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that contemplated a total quarterly dividend of $0.3875 per share of common stock. Changes to our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dividend policy and all dividends are subject to approval by our Board of Directors and will be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determined based on conditions including our earnings, liquidity, capital requirements, financial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condition, restrictions under our Revolving Credit Facility and Senior Notes and other factors.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Share Repurchases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 xml:space="preserve">Our Board of Directors authorized a Share Repurchase Program to acquire up to $1.78 billion of our common stock through December 31, 2027. This includes a recent increase of $430 million and extension approved by our Board of Directors on February 24, 2026. For additional information, see </w:t>
      </w:r>
      <w:r>
        <w:rPr>
          <w:rFonts w:ascii="Arial" w:cs="Arial" w:eastAsia="Arial" w:hAnsi="Arial"/>
          <w:sz w:val="20"/>
          <w:szCs w:val="20"/>
          <w:i w:val="1"/>
          <w:iCs w:val="1"/>
          <w:color w:val="231F20"/>
        </w:rPr>
        <w:t xml:space="preserve">Part II, Item 8 – Financial Statements and Supplementary Data, Note 19 Subsequent Events. </w:t>
      </w:r>
      <w:r>
        <w:rPr>
          <w:rFonts w:ascii="Arial" w:cs="Arial" w:eastAsia="Arial" w:hAnsi="Arial"/>
          <w:sz w:val="20"/>
          <w:szCs w:val="20"/>
          <w:color w:val="231F20"/>
        </w:rPr>
        <w:t>Our</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Share Repurchase Program does not obligate us to acquire any number of shares and may be discontinued at any time. For further information regarding our Share Repurchase Program, see </w:t>
      </w:r>
      <w:r>
        <w:rPr>
          <w:rFonts w:ascii="Arial" w:cs="Arial" w:eastAsia="Arial" w:hAnsi="Arial"/>
          <w:sz w:val="20"/>
          <w:szCs w:val="20"/>
          <w:i w:val="1"/>
          <w:iCs w:val="1"/>
          <w:color w:val="231F20"/>
        </w:rPr>
        <w:t>Part II,</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Item 7 – Management’s Discussion and Analysis of Financial Results of Operations, Transactions Related to Our Common Stock. </w:t>
      </w:r>
      <w:r>
        <w:rPr>
          <w:rFonts w:ascii="Arial" w:cs="Arial" w:eastAsia="Arial" w:hAnsi="Arial"/>
          <w:sz w:val="20"/>
          <w:szCs w:val="20"/>
          <w:color w:val="231F20"/>
        </w:rPr>
        <w:t>Our share repurchase activity for the year ended December 31, 2025</w:t>
      </w:r>
      <w:r>
        <w:rPr>
          <w:rFonts w:ascii="Arial" w:cs="Arial" w:eastAsia="Arial" w:hAnsi="Arial"/>
          <w:sz w:val="20"/>
          <w:szCs w:val="20"/>
          <w:i w:val="1"/>
          <w:iCs w:val="1"/>
          <w:color w:val="231F20"/>
        </w:rPr>
        <w:t xml:space="preserve"> </w:t>
      </w:r>
      <w:r>
        <w:rPr>
          <w:rFonts w:ascii="Arial" w:cs="Arial" w:eastAsia="Arial" w:hAnsi="Arial"/>
          <w:sz w:val="20"/>
          <w:szCs w:val="20"/>
          <w:color w:val="231F20"/>
        </w:rPr>
        <w:t>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231F20"/>
                <w:w w:val="99"/>
              </w:rPr>
              <w:t>Total Number of</w:t>
            </w:r>
          </w:p>
        </w:tc>
        <w:tc>
          <w:tcPr>
            <w:tcW w:w="120" w:type="dxa"/>
            <w:vAlign w:val="bottom"/>
          </w:tcPr>
          <w:p>
            <w:pPr>
              <w:spacing w:after="0"/>
              <w:rPr>
                <w:sz w:val="18"/>
                <w:szCs w:val="18"/>
                <w:color w:val="auto"/>
              </w:rPr>
            </w:pPr>
          </w:p>
        </w:tc>
        <w:tc>
          <w:tcPr>
            <w:tcW w:w="1740" w:type="dxa"/>
            <w:vAlign w:val="bottom"/>
          </w:tcPr>
          <w:p>
            <w:pPr>
              <w:jc w:val="center"/>
              <w:ind w:right="30"/>
              <w:spacing w:after="0"/>
              <w:rPr>
                <w:sz w:val="20"/>
                <w:szCs w:val="20"/>
                <w:color w:val="auto"/>
              </w:rPr>
            </w:pPr>
            <w:r>
              <w:rPr>
                <w:rFonts w:ascii="Arial" w:cs="Arial" w:eastAsia="Arial" w:hAnsi="Arial"/>
                <w:sz w:val="18"/>
                <w:szCs w:val="18"/>
                <w:b w:val="1"/>
                <w:bCs w:val="1"/>
                <w:color w:val="231F20"/>
                <w:w w:val="99"/>
              </w:rPr>
              <w:t>Maximum Dollar</w:t>
            </w:r>
          </w:p>
        </w:tc>
      </w:tr>
      <w:tr>
        <w:trPr>
          <w:trHeight w:val="180"/>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231F20"/>
              </w:rPr>
              <w:t>Total</w:t>
            </w:r>
          </w:p>
        </w:tc>
        <w:tc>
          <w:tcPr>
            <w:tcW w:w="60" w:type="dxa"/>
            <w:vAlign w:val="bottom"/>
          </w:tcPr>
          <w:p>
            <w:pPr>
              <w:spacing w:after="0"/>
              <w:rPr>
                <w:sz w:val="15"/>
                <w:szCs w:val="15"/>
                <w:color w:val="auto"/>
              </w:rPr>
            </w:pPr>
          </w:p>
        </w:tc>
        <w:tc>
          <w:tcPr>
            <w:tcW w:w="2460" w:type="dxa"/>
            <w:vAlign w:val="bottom"/>
            <w:gridSpan w:val="5"/>
          </w:tcPr>
          <w:p>
            <w:pPr>
              <w:ind w:left="20"/>
              <w:spacing w:after="0" w:line="180" w:lineRule="exact"/>
              <w:rPr>
                <w:sz w:val="20"/>
                <w:szCs w:val="20"/>
                <w:color w:val="auto"/>
              </w:rPr>
            </w:pPr>
            <w:r>
              <w:rPr>
                <w:rFonts w:ascii="Arial" w:cs="Arial" w:eastAsia="Arial" w:hAnsi="Arial"/>
                <w:sz w:val="18"/>
                <w:szCs w:val="18"/>
                <w:b w:val="1"/>
                <w:bCs w:val="1"/>
                <w:color w:val="231F20"/>
              </w:rPr>
              <w:t>Average Shares Purchased</w:t>
            </w:r>
          </w:p>
        </w:tc>
        <w:tc>
          <w:tcPr>
            <w:tcW w:w="18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231F20"/>
              </w:rPr>
              <w:t>Value of Shares that</w:t>
            </w:r>
          </w:p>
        </w:tc>
      </w:tr>
      <w:tr>
        <w:trPr>
          <w:trHeight w:val="180"/>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231F20"/>
                <w:w w:val="99"/>
              </w:rPr>
              <w:t>Number of</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0"/>
              <w:spacing w:after="0" w:line="180" w:lineRule="exact"/>
              <w:rPr>
                <w:sz w:val="20"/>
                <w:szCs w:val="20"/>
                <w:color w:val="auto"/>
              </w:rPr>
            </w:pPr>
            <w:r>
              <w:rPr>
                <w:rFonts w:ascii="Arial" w:cs="Arial" w:eastAsia="Arial" w:hAnsi="Arial"/>
                <w:sz w:val="18"/>
                <w:szCs w:val="18"/>
                <w:b w:val="1"/>
                <w:bCs w:val="1"/>
                <w:color w:val="231F20"/>
                <w:w w:val="99"/>
              </w:rPr>
              <w:t>Price</w:t>
            </w:r>
          </w:p>
        </w:tc>
        <w:tc>
          <w:tcPr>
            <w:tcW w:w="60" w:type="dxa"/>
            <w:vAlign w:val="bottom"/>
          </w:tcPr>
          <w:p>
            <w:pPr>
              <w:spacing w:after="0"/>
              <w:rPr>
                <w:sz w:val="15"/>
                <w:szCs w:val="15"/>
                <w:color w:val="auto"/>
              </w:rPr>
            </w:pPr>
          </w:p>
        </w:tc>
        <w:tc>
          <w:tcPr>
            <w:tcW w:w="1640" w:type="dxa"/>
            <w:vAlign w:val="bottom"/>
            <w:gridSpan w:val="2"/>
          </w:tcPr>
          <w:p>
            <w:pPr>
              <w:jc w:val="center"/>
              <w:ind w:right="40"/>
              <w:spacing w:after="0" w:line="180" w:lineRule="exact"/>
              <w:rPr>
                <w:sz w:val="20"/>
                <w:szCs w:val="20"/>
                <w:color w:val="auto"/>
              </w:rPr>
            </w:pPr>
            <w:r>
              <w:rPr>
                <w:rFonts w:ascii="Arial" w:cs="Arial" w:eastAsia="Arial" w:hAnsi="Arial"/>
                <w:sz w:val="18"/>
                <w:szCs w:val="18"/>
                <w:b w:val="1"/>
                <w:bCs w:val="1"/>
                <w:color w:val="231F20"/>
                <w:w w:val="99"/>
              </w:rPr>
              <w:t>as Part of Publicly</w:t>
            </w:r>
          </w:p>
        </w:tc>
        <w:tc>
          <w:tcPr>
            <w:tcW w:w="120" w:type="dxa"/>
            <w:vAlign w:val="bottom"/>
          </w:tcPr>
          <w:p>
            <w:pPr>
              <w:spacing w:after="0"/>
              <w:rPr>
                <w:sz w:val="15"/>
                <w:szCs w:val="15"/>
                <w:color w:val="auto"/>
              </w:rPr>
            </w:pPr>
          </w:p>
        </w:tc>
        <w:tc>
          <w:tcPr>
            <w:tcW w:w="1740" w:type="dxa"/>
            <w:vAlign w:val="bottom"/>
          </w:tcPr>
          <w:p>
            <w:pPr>
              <w:jc w:val="center"/>
              <w:ind w:right="30"/>
              <w:spacing w:after="0" w:line="180" w:lineRule="exact"/>
              <w:rPr>
                <w:sz w:val="20"/>
                <w:szCs w:val="20"/>
                <w:color w:val="auto"/>
              </w:rPr>
            </w:pPr>
            <w:r>
              <w:rPr>
                <w:rFonts w:ascii="Arial" w:cs="Arial" w:eastAsia="Arial" w:hAnsi="Arial"/>
                <w:sz w:val="18"/>
                <w:szCs w:val="18"/>
                <w:b w:val="1"/>
                <w:bCs w:val="1"/>
                <w:color w:val="231F20"/>
                <w:w w:val="99"/>
              </w:rPr>
              <w:t>May Yet be</w:t>
            </w:r>
          </w:p>
        </w:tc>
      </w:tr>
      <w:tr>
        <w:trPr>
          <w:trHeight w:val="180"/>
        </w:trPr>
        <w:tc>
          <w:tcPr>
            <w:tcW w:w="3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231F20"/>
                <w:w w:val="99"/>
              </w:rPr>
              <w:t>Shares</w:t>
            </w:r>
          </w:p>
        </w:tc>
        <w:tc>
          <w:tcPr>
            <w:tcW w:w="60" w:type="dxa"/>
            <w:vAlign w:val="bottom"/>
          </w:tcPr>
          <w:p>
            <w:pPr>
              <w:spacing w:after="0"/>
              <w:rPr>
                <w:sz w:val="15"/>
                <w:szCs w:val="15"/>
                <w:color w:val="auto"/>
              </w:rPr>
            </w:pPr>
          </w:p>
        </w:tc>
        <w:tc>
          <w:tcPr>
            <w:tcW w:w="7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231F20"/>
              </w:rPr>
              <w:t>Paid per</w:t>
            </w:r>
          </w:p>
        </w:tc>
        <w:tc>
          <w:tcPr>
            <w:tcW w:w="60" w:type="dxa"/>
            <w:vAlign w:val="bottom"/>
          </w:tcPr>
          <w:p>
            <w:pPr>
              <w:spacing w:after="0"/>
              <w:rPr>
                <w:sz w:val="15"/>
                <w:szCs w:val="15"/>
                <w:color w:val="auto"/>
              </w:rPr>
            </w:pPr>
          </w:p>
        </w:tc>
        <w:tc>
          <w:tcPr>
            <w:tcW w:w="1640" w:type="dxa"/>
            <w:vAlign w:val="bottom"/>
            <w:gridSpan w:val="2"/>
          </w:tcPr>
          <w:p>
            <w:pPr>
              <w:jc w:val="center"/>
              <w:ind w:right="40"/>
              <w:spacing w:after="0" w:line="180" w:lineRule="exact"/>
              <w:rPr>
                <w:sz w:val="20"/>
                <w:szCs w:val="20"/>
                <w:color w:val="auto"/>
              </w:rPr>
            </w:pPr>
            <w:r>
              <w:rPr>
                <w:rFonts w:ascii="Arial" w:cs="Arial" w:eastAsia="Arial" w:hAnsi="Arial"/>
                <w:sz w:val="18"/>
                <w:szCs w:val="18"/>
                <w:b w:val="1"/>
                <w:bCs w:val="1"/>
                <w:color w:val="231F20"/>
                <w:w w:val="99"/>
              </w:rPr>
              <w:t>Announced Plans</w:t>
            </w:r>
          </w:p>
        </w:tc>
        <w:tc>
          <w:tcPr>
            <w:tcW w:w="18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231F20"/>
              </w:rPr>
              <w:t>Purchased Under the</w:t>
            </w:r>
          </w:p>
        </w:tc>
      </w:tr>
      <w:tr>
        <w:trPr>
          <w:trHeight w:val="203"/>
        </w:trPr>
        <w:tc>
          <w:tcPr>
            <w:tcW w:w="3640" w:type="dxa"/>
            <w:vAlign w:val="bottom"/>
          </w:tcPr>
          <w:p>
            <w:pPr>
              <w:jc w:val="right"/>
              <w:ind w:right="1450"/>
              <w:spacing w:after="0" w:line="203" w:lineRule="exact"/>
              <w:rPr>
                <w:sz w:val="20"/>
                <w:szCs w:val="20"/>
                <w:color w:val="auto"/>
              </w:rPr>
            </w:pPr>
            <w:r>
              <w:rPr>
                <w:rFonts w:ascii="Arial" w:cs="Arial" w:eastAsia="Arial" w:hAnsi="Arial"/>
                <w:sz w:val="18"/>
                <w:szCs w:val="18"/>
                <w:b w:val="1"/>
                <w:bCs w:val="1"/>
                <w:color w:val="231F20"/>
              </w:rPr>
              <w:t>Period</w:t>
            </w:r>
          </w:p>
        </w:tc>
        <w:tc>
          <w:tcPr>
            <w:tcW w:w="6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Arial" w:cs="Arial" w:eastAsia="Arial" w:hAnsi="Arial"/>
                <w:sz w:val="18"/>
                <w:szCs w:val="18"/>
                <w:b w:val="1"/>
                <w:bCs w:val="1"/>
                <w:color w:val="231F20"/>
                <w:w w:val="99"/>
              </w:rPr>
              <w:t>Purchased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ind w:right="30"/>
              <w:spacing w:after="0" w:line="203" w:lineRule="exact"/>
              <w:rPr>
                <w:sz w:val="20"/>
                <w:szCs w:val="20"/>
                <w:color w:val="auto"/>
              </w:rPr>
            </w:pPr>
            <w:r>
              <w:rPr>
                <w:rFonts w:ascii="Arial" w:cs="Arial" w:eastAsia="Arial" w:hAnsi="Arial"/>
                <w:sz w:val="18"/>
                <w:szCs w:val="18"/>
                <w:b w:val="1"/>
                <w:bCs w:val="1"/>
                <w:color w:val="231F20"/>
                <w:w w:val="99"/>
              </w:rPr>
              <w:t>Share</w:t>
            </w:r>
          </w:p>
        </w:tc>
        <w:tc>
          <w:tcPr>
            <w:tcW w:w="60" w:type="dxa"/>
            <w:vAlign w:val="bottom"/>
          </w:tcPr>
          <w:p>
            <w:pPr>
              <w:spacing w:after="0"/>
              <w:rPr>
                <w:sz w:val="17"/>
                <w:szCs w:val="17"/>
                <w:color w:val="auto"/>
              </w:rPr>
            </w:pPr>
          </w:p>
        </w:tc>
        <w:tc>
          <w:tcPr>
            <w:tcW w:w="1640" w:type="dxa"/>
            <w:vAlign w:val="bottom"/>
            <w:gridSpan w:val="2"/>
          </w:tcPr>
          <w:p>
            <w:pPr>
              <w:jc w:val="center"/>
              <w:ind w:right="60"/>
              <w:spacing w:after="0" w:line="203" w:lineRule="exact"/>
              <w:rPr>
                <w:sz w:val="20"/>
                <w:szCs w:val="20"/>
                <w:color w:val="auto"/>
              </w:rPr>
            </w:pPr>
            <w:r>
              <w:rPr>
                <w:rFonts w:ascii="Arial" w:cs="Arial" w:eastAsia="Arial" w:hAnsi="Arial"/>
                <w:sz w:val="18"/>
                <w:szCs w:val="18"/>
                <w:b w:val="1"/>
                <w:bCs w:val="1"/>
                <w:color w:val="231F20"/>
                <w:w w:val="98"/>
              </w:rPr>
              <w:t>or Programs</w:t>
            </w:r>
          </w:p>
        </w:tc>
        <w:tc>
          <w:tcPr>
            <w:tcW w:w="120" w:type="dxa"/>
            <w:vAlign w:val="bottom"/>
          </w:tcPr>
          <w:p>
            <w:pPr>
              <w:spacing w:after="0"/>
              <w:rPr>
                <w:sz w:val="17"/>
                <w:szCs w:val="17"/>
                <w:color w:val="auto"/>
              </w:rPr>
            </w:pPr>
          </w:p>
        </w:tc>
        <w:tc>
          <w:tcPr>
            <w:tcW w:w="1740" w:type="dxa"/>
            <w:vAlign w:val="bottom"/>
          </w:tcPr>
          <w:p>
            <w:pPr>
              <w:jc w:val="center"/>
              <w:ind w:right="50"/>
              <w:spacing w:after="0" w:line="203" w:lineRule="exact"/>
              <w:rPr>
                <w:sz w:val="20"/>
                <w:szCs w:val="20"/>
                <w:color w:val="auto"/>
              </w:rPr>
            </w:pPr>
            <w:r>
              <w:rPr>
                <w:rFonts w:ascii="Arial" w:cs="Arial" w:eastAsia="Arial" w:hAnsi="Arial"/>
                <w:sz w:val="18"/>
                <w:szCs w:val="18"/>
                <w:b w:val="1"/>
                <w:bCs w:val="1"/>
                <w:color w:val="231F20"/>
                <w:w w:val="99"/>
              </w:rPr>
              <w:t>Plans or Programs</w:t>
            </w:r>
          </w:p>
        </w:tc>
      </w:tr>
      <w:tr>
        <w:trPr>
          <w:trHeight w:val="24"/>
        </w:trPr>
        <w:tc>
          <w:tcPr>
            <w:tcW w:w="36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740" w:type="dxa"/>
            <w:vAlign w:val="bottom"/>
            <w:tcBorders>
              <w:bottom w:val="single" w:sz="8" w:color="231F20"/>
            </w:tcBorders>
          </w:tcPr>
          <w:p>
            <w:pPr>
              <w:spacing w:after="0"/>
              <w:rPr>
                <w:sz w:val="2"/>
                <w:szCs w:val="2"/>
                <w:color w:val="auto"/>
              </w:rPr>
            </w:pPr>
          </w:p>
        </w:tc>
      </w:tr>
      <w:tr>
        <w:trPr>
          <w:trHeight w:val="235"/>
        </w:trPr>
        <w:tc>
          <w:tcPr>
            <w:tcW w:w="3640" w:type="dxa"/>
            <w:vAlign w:val="bottom"/>
          </w:tcPr>
          <w:p>
            <w:pPr>
              <w:jc w:val="right"/>
              <w:spacing w:after="0"/>
              <w:rPr>
                <w:sz w:val="20"/>
                <w:szCs w:val="20"/>
                <w:color w:val="auto"/>
              </w:rPr>
            </w:pPr>
            <w:r>
              <w:rPr>
                <w:rFonts w:ascii="Arial" w:cs="Arial" w:eastAsia="Arial" w:hAnsi="Arial"/>
                <w:sz w:val="18"/>
                <w:szCs w:val="18"/>
                <w:color w:val="231F20"/>
                <w:w w:val="99"/>
              </w:rPr>
              <w:t>January 1, 2025 - March 31, 2025  . . . . . . . . .</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2,271,919</w:t>
            </w:r>
          </w:p>
        </w:tc>
        <w:tc>
          <w:tcPr>
            <w:tcW w:w="1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660" w:type="dxa"/>
            <w:vAlign w:val="bottom"/>
          </w:tcPr>
          <w:p>
            <w:pPr>
              <w:jc w:val="right"/>
              <w:spacing w:after="0"/>
              <w:rPr>
                <w:sz w:val="20"/>
                <w:szCs w:val="20"/>
                <w:color w:val="auto"/>
              </w:rPr>
            </w:pPr>
            <w:r>
              <w:rPr>
                <w:rFonts w:ascii="Arial" w:cs="Arial" w:eastAsia="Arial" w:hAnsi="Arial"/>
                <w:sz w:val="18"/>
                <w:szCs w:val="18"/>
                <w:color w:val="231F20"/>
              </w:rPr>
              <w:t>44.00</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231F20"/>
              </w:rPr>
              <w:t>2,271,919</w:t>
            </w: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740" w:type="dxa"/>
            <w:vAlign w:val="bottom"/>
          </w:tcPr>
          <w:p>
            <w:pPr>
              <w:ind w:left="1520"/>
              <w:spacing w:after="0"/>
              <w:rPr>
                <w:sz w:val="20"/>
                <w:szCs w:val="20"/>
                <w:color w:val="auto"/>
              </w:rPr>
            </w:pPr>
            <w:r>
              <w:rPr>
                <w:rFonts w:ascii="Arial" w:cs="Arial" w:eastAsia="Arial" w:hAnsi="Arial"/>
                <w:sz w:val="18"/>
                <w:szCs w:val="18"/>
                <w:color w:val="231F20"/>
              </w:rPr>
              <w:t>—</w:t>
            </w:r>
          </w:p>
        </w:tc>
      </w:tr>
      <w:tr>
        <w:trPr>
          <w:trHeight w:val="200"/>
        </w:trPr>
        <w:tc>
          <w:tcPr>
            <w:tcW w:w="3640" w:type="dxa"/>
            <w:vAlign w:val="bottom"/>
          </w:tcPr>
          <w:p>
            <w:pPr>
              <w:jc w:val="right"/>
              <w:spacing w:after="0" w:line="200" w:lineRule="exact"/>
              <w:rPr>
                <w:sz w:val="20"/>
                <w:szCs w:val="20"/>
                <w:color w:val="auto"/>
              </w:rPr>
            </w:pPr>
            <w:r>
              <w:rPr>
                <w:rFonts w:ascii="Arial" w:cs="Arial" w:eastAsia="Arial" w:hAnsi="Arial"/>
                <w:sz w:val="18"/>
                <w:szCs w:val="18"/>
                <w:color w:val="231F20"/>
                <w:w w:val="97"/>
              </w:rPr>
              <w:t>April 1, 2025 - June 30, 2025 . . . . . . . . . . . . . .</w:t>
            </w:r>
          </w:p>
        </w:tc>
        <w:tc>
          <w:tcPr>
            <w:tcW w:w="1100" w:type="dxa"/>
            <w:vAlign w:val="bottom"/>
            <w:gridSpan w:val="2"/>
          </w:tcPr>
          <w:p>
            <w:pPr>
              <w:jc w:val="right"/>
              <w:spacing w:after="0" w:line="200" w:lineRule="exact"/>
              <w:rPr>
                <w:sz w:val="20"/>
                <w:szCs w:val="20"/>
                <w:color w:val="auto"/>
              </w:rPr>
            </w:pPr>
            <w:r>
              <w:rPr>
                <w:rFonts w:ascii="Arial" w:cs="Arial" w:eastAsia="Arial" w:hAnsi="Arial"/>
                <w:sz w:val="18"/>
                <w:szCs w:val="18"/>
                <w:color w:val="231F20"/>
              </w:rPr>
              <w:t>5,516,050</w:t>
            </w:r>
          </w:p>
        </w:tc>
        <w:tc>
          <w:tcPr>
            <w:tcW w:w="160" w:type="dxa"/>
            <w:vAlign w:val="bottom"/>
            <w:gridSpan w:val="2"/>
          </w:tcPr>
          <w:p>
            <w:pPr>
              <w:jc w:val="right"/>
              <w:spacing w:after="0" w:line="200" w:lineRule="exact"/>
              <w:rPr>
                <w:sz w:val="20"/>
                <w:szCs w:val="20"/>
                <w:color w:val="auto"/>
              </w:rPr>
            </w:pPr>
            <w:r>
              <w:rPr>
                <w:rFonts w:ascii="Arial" w:cs="Arial" w:eastAsia="Arial" w:hAnsi="Arial"/>
                <w:sz w:val="18"/>
                <w:szCs w:val="18"/>
                <w:color w:val="231F20"/>
              </w:rPr>
              <w:t>$</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231F20"/>
              </w:rPr>
              <w:t>45.73</w:t>
            </w:r>
          </w:p>
        </w:tc>
        <w:tc>
          <w:tcPr>
            <w:tcW w:w="1640" w:type="dxa"/>
            <w:vAlign w:val="bottom"/>
            <w:gridSpan w:val="2"/>
          </w:tcPr>
          <w:p>
            <w:pPr>
              <w:jc w:val="right"/>
              <w:ind w:right="30"/>
              <w:spacing w:after="0" w:line="200" w:lineRule="exact"/>
              <w:rPr>
                <w:sz w:val="20"/>
                <w:szCs w:val="20"/>
                <w:color w:val="auto"/>
              </w:rPr>
            </w:pPr>
            <w:r>
              <w:rPr>
                <w:rFonts w:ascii="Arial" w:cs="Arial" w:eastAsia="Arial" w:hAnsi="Arial"/>
                <w:sz w:val="18"/>
                <w:szCs w:val="18"/>
                <w:color w:val="231F20"/>
              </w:rPr>
              <w:t>5,516,050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ind w:left="1520"/>
              <w:spacing w:after="0" w:line="200" w:lineRule="exact"/>
              <w:rPr>
                <w:sz w:val="20"/>
                <w:szCs w:val="20"/>
                <w:color w:val="auto"/>
              </w:rPr>
            </w:pPr>
            <w:r>
              <w:rPr>
                <w:rFonts w:ascii="Arial" w:cs="Arial" w:eastAsia="Arial" w:hAnsi="Arial"/>
                <w:sz w:val="18"/>
                <w:szCs w:val="18"/>
                <w:color w:val="231F20"/>
              </w:rPr>
              <w:t>—</w:t>
            </w:r>
          </w:p>
        </w:tc>
      </w:tr>
      <w:tr>
        <w:trPr>
          <w:trHeight w:val="200"/>
        </w:trPr>
        <w:tc>
          <w:tcPr>
            <w:tcW w:w="3640" w:type="dxa"/>
            <w:vAlign w:val="bottom"/>
          </w:tcPr>
          <w:p>
            <w:pPr>
              <w:jc w:val="right"/>
              <w:spacing w:after="0" w:line="200" w:lineRule="exact"/>
              <w:rPr>
                <w:sz w:val="20"/>
                <w:szCs w:val="20"/>
                <w:color w:val="auto"/>
              </w:rPr>
            </w:pPr>
            <w:r>
              <w:rPr>
                <w:rFonts w:ascii="Arial" w:cs="Arial" w:eastAsia="Arial" w:hAnsi="Arial"/>
                <w:sz w:val="18"/>
                <w:szCs w:val="18"/>
                <w:color w:val="231F20"/>
                <w:w w:val="98"/>
              </w:rPr>
              <w:t>July 1, 2025 - September 30, 2025 . . . . . . . . .</w:t>
            </w:r>
          </w:p>
        </w:tc>
        <w:tc>
          <w:tcPr>
            <w:tcW w:w="60" w:type="dxa"/>
            <w:vAlign w:val="bottom"/>
          </w:tcPr>
          <w:p>
            <w:pPr>
              <w:spacing w:after="0"/>
              <w:rPr>
                <w:sz w:val="17"/>
                <w:szCs w:val="17"/>
                <w:color w:val="auto"/>
              </w:rPr>
            </w:pPr>
          </w:p>
        </w:tc>
        <w:tc>
          <w:tcPr>
            <w:tcW w:w="1200" w:type="dxa"/>
            <w:vAlign w:val="bottom"/>
            <w:gridSpan w:val="3"/>
          </w:tcPr>
          <w:p>
            <w:pPr>
              <w:jc w:val="right"/>
              <w:spacing w:after="0" w:line="200" w:lineRule="exact"/>
              <w:rPr>
                <w:sz w:val="20"/>
                <w:szCs w:val="20"/>
                <w:color w:val="auto"/>
              </w:rPr>
            </w:pPr>
            <w:r>
              <w:rPr>
                <w:rFonts w:ascii="Arial" w:cs="Arial" w:eastAsia="Arial" w:hAnsi="Arial"/>
                <w:sz w:val="18"/>
                <w:szCs w:val="18"/>
                <w:color w:val="231F20"/>
              </w:rPr>
              <w:t>—  $</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231F20"/>
              </w:rPr>
              <w:t>—</w:t>
            </w:r>
          </w:p>
        </w:tc>
        <w:tc>
          <w:tcPr>
            <w:tcW w:w="60" w:type="dxa"/>
            <w:vAlign w:val="bottom"/>
          </w:tcPr>
          <w:p>
            <w:pPr>
              <w:spacing w:after="0"/>
              <w:rPr>
                <w:sz w:val="17"/>
                <w:szCs w:val="17"/>
                <w:color w:val="auto"/>
              </w:rPr>
            </w:pPr>
          </w:p>
        </w:tc>
        <w:tc>
          <w:tcPr>
            <w:tcW w:w="164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231F20"/>
              </w:rPr>
              <w:t>—</w:t>
            </w:r>
          </w:p>
        </w:tc>
        <w:tc>
          <w:tcPr>
            <w:tcW w:w="120" w:type="dxa"/>
            <w:vAlign w:val="bottom"/>
          </w:tcPr>
          <w:p>
            <w:pPr>
              <w:spacing w:after="0"/>
              <w:rPr>
                <w:sz w:val="17"/>
                <w:szCs w:val="17"/>
                <w:color w:val="auto"/>
              </w:rPr>
            </w:pPr>
          </w:p>
        </w:tc>
        <w:tc>
          <w:tcPr>
            <w:tcW w:w="1740" w:type="dxa"/>
            <w:vAlign w:val="bottom"/>
          </w:tcPr>
          <w:p>
            <w:pPr>
              <w:ind w:left="1520"/>
              <w:spacing w:after="0" w:line="200" w:lineRule="exact"/>
              <w:rPr>
                <w:sz w:val="20"/>
                <w:szCs w:val="20"/>
                <w:color w:val="auto"/>
              </w:rPr>
            </w:pPr>
            <w:r>
              <w:rPr>
                <w:rFonts w:ascii="Arial" w:cs="Arial" w:eastAsia="Arial" w:hAnsi="Arial"/>
                <w:sz w:val="18"/>
                <w:szCs w:val="18"/>
                <w:color w:val="231F20"/>
              </w:rPr>
              <w:t>—</w:t>
            </w:r>
          </w:p>
        </w:tc>
      </w:tr>
      <w:tr>
        <w:trPr>
          <w:trHeight w:val="200"/>
        </w:trPr>
        <w:tc>
          <w:tcPr>
            <w:tcW w:w="3640" w:type="dxa"/>
            <w:vAlign w:val="bottom"/>
          </w:tcPr>
          <w:p>
            <w:pPr>
              <w:jc w:val="right"/>
              <w:spacing w:after="0" w:line="200" w:lineRule="exact"/>
              <w:rPr>
                <w:sz w:val="20"/>
                <w:szCs w:val="20"/>
                <w:color w:val="auto"/>
              </w:rPr>
            </w:pPr>
            <w:r>
              <w:rPr>
                <w:rFonts w:ascii="Arial" w:cs="Arial" w:eastAsia="Arial" w:hAnsi="Arial"/>
                <w:sz w:val="18"/>
                <w:szCs w:val="18"/>
                <w:color w:val="231F20"/>
                <w:w w:val="99"/>
              </w:rPr>
              <w:t>October 1, 2025 - October 31, 2025 . . . . . . . .</w:t>
            </w:r>
          </w:p>
        </w:tc>
        <w:tc>
          <w:tcPr>
            <w:tcW w:w="60" w:type="dxa"/>
            <w:vAlign w:val="bottom"/>
          </w:tcPr>
          <w:p>
            <w:pPr>
              <w:spacing w:after="0"/>
              <w:rPr>
                <w:sz w:val="17"/>
                <w:szCs w:val="17"/>
                <w:color w:val="auto"/>
              </w:rPr>
            </w:pPr>
          </w:p>
        </w:tc>
        <w:tc>
          <w:tcPr>
            <w:tcW w:w="1200" w:type="dxa"/>
            <w:vAlign w:val="bottom"/>
            <w:gridSpan w:val="3"/>
          </w:tcPr>
          <w:p>
            <w:pPr>
              <w:jc w:val="right"/>
              <w:spacing w:after="0" w:line="200" w:lineRule="exact"/>
              <w:rPr>
                <w:sz w:val="20"/>
                <w:szCs w:val="20"/>
                <w:color w:val="auto"/>
              </w:rPr>
            </w:pPr>
            <w:r>
              <w:rPr>
                <w:rFonts w:ascii="Arial" w:cs="Arial" w:eastAsia="Arial" w:hAnsi="Arial"/>
                <w:sz w:val="18"/>
                <w:szCs w:val="18"/>
                <w:color w:val="231F20"/>
              </w:rPr>
              <w:t>—  $</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231F20"/>
              </w:rPr>
              <w:t>—</w:t>
            </w:r>
          </w:p>
        </w:tc>
        <w:tc>
          <w:tcPr>
            <w:tcW w:w="60" w:type="dxa"/>
            <w:vAlign w:val="bottom"/>
          </w:tcPr>
          <w:p>
            <w:pPr>
              <w:spacing w:after="0"/>
              <w:rPr>
                <w:sz w:val="17"/>
                <w:szCs w:val="17"/>
                <w:color w:val="auto"/>
              </w:rPr>
            </w:pPr>
          </w:p>
        </w:tc>
        <w:tc>
          <w:tcPr>
            <w:tcW w:w="164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231F20"/>
              </w:rPr>
              <w:t>—</w:t>
            </w:r>
          </w:p>
        </w:tc>
        <w:tc>
          <w:tcPr>
            <w:tcW w:w="120" w:type="dxa"/>
            <w:vAlign w:val="bottom"/>
          </w:tcPr>
          <w:p>
            <w:pPr>
              <w:spacing w:after="0"/>
              <w:rPr>
                <w:sz w:val="17"/>
                <w:szCs w:val="17"/>
                <w:color w:val="auto"/>
              </w:rPr>
            </w:pPr>
          </w:p>
        </w:tc>
        <w:tc>
          <w:tcPr>
            <w:tcW w:w="1740" w:type="dxa"/>
            <w:vAlign w:val="bottom"/>
          </w:tcPr>
          <w:p>
            <w:pPr>
              <w:ind w:left="1520"/>
              <w:spacing w:after="0" w:line="200" w:lineRule="exact"/>
              <w:rPr>
                <w:sz w:val="20"/>
                <w:szCs w:val="20"/>
                <w:color w:val="auto"/>
              </w:rPr>
            </w:pPr>
            <w:r>
              <w:rPr>
                <w:rFonts w:ascii="Arial" w:cs="Arial" w:eastAsia="Arial" w:hAnsi="Arial"/>
                <w:sz w:val="18"/>
                <w:szCs w:val="18"/>
                <w:color w:val="231F20"/>
              </w:rPr>
              <w:t>—</w:t>
            </w:r>
          </w:p>
        </w:tc>
      </w:tr>
      <w:tr>
        <w:trPr>
          <w:trHeight w:val="200"/>
        </w:trPr>
        <w:tc>
          <w:tcPr>
            <w:tcW w:w="3640" w:type="dxa"/>
            <w:vAlign w:val="bottom"/>
          </w:tcPr>
          <w:p>
            <w:pPr>
              <w:jc w:val="right"/>
              <w:spacing w:after="0" w:line="200" w:lineRule="exact"/>
              <w:rPr>
                <w:sz w:val="20"/>
                <w:szCs w:val="20"/>
                <w:color w:val="auto"/>
              </w:rPr>
            </w:pPr>
            <w:r>
              <w:rPr>
                <w:rFonts w:ascii="Arial" w:cs="Arial" w:eastAsia="Arial" w:hAnsi="Arial"/>
                <w:sz w:val="18"/>
                <w:szCs w:val="18"/>
                <w:color w:val="231F20"/>
                <w:w w:val="99"/>
              </w:rPr>
              <w:t>November 1, 2025 - November 30, 2025 . . . .</w:t>
            </w:r>
          </w:p>
        </w:tc>
        <w:tc>
          <w:tcPr>
            <w:tcW w:w="60" w:type="dxa"/>
            <w:vAlign w:val="bottom"/>
          </w:tcPr>
          <w:p>
            <w:pPr>
              <w:spacing w:after="0"/>
              <w:rPr>
                <w:sz w:val="17"/>
                <w:szCs w:val="17"/>
                <w:color w:val="auto"/>
              </w:rPr>
            </w:pPr>
          </w:p>
        </w:tc>
        <w:tc>
          <w:tcPr>
            <w:tcW w:w="1200" w:type="dxa"/>
            <w:vAlign w:val="bottom"/>
            <w:gridSpan w:val="3"/>
          </w:tcPr>
          <w:p>
            <w:pPr>
              <w:jc w:val="right"/>
              <w:spacing w:after="0" w:line="200" w:lineRule="exact"/>
              <w:rPr>
                <w:sz w:val="20"/>
                <w:szCs w:val="20"/>
                <w:color w:val="auto"/>
              </w:rPr>
            </w:pPr>
            <w:r>
              <w:rPr>
                <w:rFonts w:ascii="Arial" w:cs="Arial" w:eastAsia="Arial" w:hAnsi="Arial"/>
                <w:sz w:val="18"/>
                <w:szCs w:val="18"/>
                <w:color w:val="231F20"/>
              </w:rPr>
              <w:t>—  $</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231F20"/>
              </w:rPr>
              <w:t>—</w:t>
            </w:r>
          </w:p>
        </w:tc>
        <w:tc>
          <w:tcPr>
            <w:tcW w:w="60" w:type="dxa"/>
            <w:vAlign w:val="bottom"/>
          </w:tcPr>
          <w:p>
            <w:pPr>
              <w:spacing w:after="0"/>
              <w:rPr>
                <w:sz w:val="17"/>
                <w:szCs w:val="17"/>
                <w:color w:val="auto"/>
              </w:rPr>
            </w:pPr>
          </w:p>
        </w:tc>
        <w:tc>
          <w:tcPr>
            <w:tcW w:w="164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231F20"/>
              </w:rPr>
              <w:t>—</w:t>
            </w:r>
          </w:p>
        </w:tc>
        <w:tc>
          <w:tcPr>
            <w:tcW w:w="120" w:type="dxa"/>
            <w:vAlign w:val="bottom"/>
          </w:tcPr>
          <w:p>
            <w:pPr>
              <w:spacing w:after="0"/>
              <w:rPr>
                <w:sz w:val="17"/>
                <w:szCs w:val="17"/>
                <w:color w:val="auto"/>
              </w:rPr>
            </w:pPr>
          </w:p>
        </w:tc>
        <w:tc>
          <w:tcPr>
            <w:tcW w:w="1740" w:type="dxa"/>
            <w:vAlign w:val="bottom"/>
          </w:tcPr>
          <w:p>
            <w:pPr>
              <w:ind w:left="1520"/>
              <w:spacing w:after="0" w:line="200" w:lineRule="exact"/>
              <w:rPr>
                <w:sz w:val="20"/>
                <w:szCs w:val="20"/>
                <w:color w:val="auto"/>
              </w:rPr>
            </w:pPr>
            <w:r>
              <w:rPr>
                <w:rFonts w:ascii="Arial" w:cs="Arial" w:eastAsia="Arial" w:hAnsi="Arial"/>
                <w:sz w:val="18"/>
                <w:szCs w:val="18"/>
                <w:color w:val="231F20"/>
              </w:rPr>
              <w:t>—</w:t>
            </w:r>
          </w:p>
        </w:tc>
      </w:tr>
      <w:tr>
        <w:trPr>
          <w:trHeight w:val="201"/>
        </w:trPr>
        <w:tc>
          <w:tcPr>
            <w:tcW w:w="3640" w:type="dxa"/>
            <w:vAlign w:val="bottom"/>
          </w:tcPr>
          <w:p>
            <w:pPr>
              <w:jc w:val="right"/>
              <w:spacing w:after="0" w:line="201" w:lineRule="exact"/>
              <w:rPr>
                <w:sz w:val="20"/>
                <w:szCs w:val="20"/>
                <w:color w:val="auto"/>
              </w:rPr>
            </w:pPr>
            <w:r>
              <w:rPr>
                <w:rFonts w:ascii="Arial" w:cs="Arial" w:eastAsia="Arial" w:hAnsi="Arial"/>
                <w:sz w:val="18"/>
                <w:szCs w:val="18"/>
                <w:color w:val="231F20"/>
                <w:w w:val="99"/>
              </w:rPr>
              <w:t>December 1, 2025 - December 31, 2025 . . . .</w:t>
            </w: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color w:val="231F20"/>
              </w:rPr>
              <w:t>540,294</w:t>
            </w:r>
          </w:p>
        </w:tc>
        <w:tc>
          <w:tcPr>
            <w:tcW w:w="160" w:type="dxa"/>
            <w:vAlign w:val="bottom"/>
            <w:gridSpan w:val="2"/>
          </w:tcPr>
          <w:p>
            <w:pPr>
              <w:jc w:val="right"/>
              <w:spacing w:after="0" w:line="201" w:lineRule="exact"/>
              <w:rPr>
                <w:sz w:val="20"/>
                <w:szCs w:val="20"/>
                <w:color w:val="auto"/>
              </w:rPr>
            </w:pPr>
            <w:r>
              <w:rPr>
                <w:rFonts w:ascii="Arial" w:cs="Arial" w:eastAsia="Arial" w:hAnsi="Arial"/>
                <w:sz w:val="18"/>
                <w:szCs w:val="18"/>
                <w:color w:val="231F20"/>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231F20"/>
              </w:rPr>
              <w:t>46.25</w:t>
            </w:r>
          </w:p>
        </w:tc>
        <w:tc>
          <w:tcPr>
            <w:tcW w:w="16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231F20"/>
              </w:rPr>
              <w:t>540,294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ind w:left="1520"/>
              <w:spacing w:after="0" w:line="201" w:lineRule="exact"/>
              <w:rPr>
                <w:sz w:val="20"/>
                <w:szCs w:val="20"/>
                <w:color w:val="auto"/>
              </w:rPr>
            </w:pPr>
            <w:r>
              <w:rPr>
                <w:rFonts w:ascii="Arial" w:cs="Arial" w:eastAsia="Arial" w:hAnsi="Arial"/>
                <w:sz w:val="18"/>
                <w:szCs w:val="18"/>
                <w:color w:val="231F20"/>
              </w:rPr>
              <w:t>—</w:t>
            </w:r>
          </w:p>
        </w:tc>
      </w:tr>
      <w:tr>
        <w:trPr>
          <w:trHeight w:val="34"/>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740" w:type="dxa"/>
            <w:vAlign w:val="bottom"/>
            <w:tcBorders>
              <w:bottom w:val="single" w:sz="8" w:color="231F20"/>
            </w:tcBorders>
          </w:tcPr>
          <w:p>
            <w:pPr>
              <w:spacing w:after="0"/>
              <w:rPr>
                <w:sz w:val="2"/>
                <w:szCs w:val="2"/>
                <w:color w:val="auto"/>
              </w:rPr>
            </w:pPr>
          </w:p>
        </w:tc>
      </w:tr>
      <w:tr>
        <w:trPr>
          <w:trHeight w:val="226"/>
        </w:trPr>
        <w:tc>
          <w:tcPr>
            <w:tcW w:w="3640" w:type="dxa"/>
            <w:vAlign w:val="bottom"/>
          </w:tcPr>
          <w:p>
            <w:pPr>
              <w:jc w:val="right"/>
              <w:spacing w:after="0"/>
              <w:rPr>
                <w:sz w:val="20"/>
                <w:szCs w:val="20"/>
                <w:color w:val="auto"/>
              </w:rPr>
            </w:pPr>
            <w:r>
              <w:rPr>
                <w:rFonts w:ascii="Arial" w:cs="Arial" w:eastAsia="Arial" w:hAnsi="Arial"/>
                <w:sz w:val="18"/>
                <w:szCs w:val="18"/>
                <w:color w:val="231F20"/>
              </w:rPr>
              <w:t>Total 2025 . . . . . . . . . . . . . . . . . . . . . . . . . . .</w:t>
            </w:r>
          </w:p>
        </w:tc>
        <w:tc>
          <w:tcPr>
            <w:tcW w:w="1100" w:type="dxa"/>
            <w:vAlign w:val="bottom"/>
            <w:gridSpan w:val="2"/>
          </w:tcPr>
          <w:p>
            <w:pPr>
              <w:jc w:val="right"/>
              <w:spacing w:after="0"/>
              <w:rPr>
                <w:sz w:val="20"/>
                <w:szCs w:val="20"/>
                <w:color w:val="auto"/>
              </w:rPr>
            </w:pPr>
            <w:r>
              <w:rPr>
                <w:rFonts w:ascii="Arial" w:cs="Arial" w:eastAsia="Arial" w:hAnsi="Arial"/>
                <w:sz w:val="18"/>
                <w:szCs w:val="18"/>
                <w:color w:val="231F20"/>
              </w:rPr>
              <w:t>8,328,263</w:t>
            </w:r>
          </w:p>
        </w:tc>
        <w:tc>
          <w:tcPr>
            <w:tcW w:w="1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660" w:type="dxa"/>
            <w:vAlign w:val="bottom"/>
          </w:tcPr>
          <w:p>
            <w:pPr>
              <w:jc w:val="right"/>
              <w:spacing w:after="0"/>
              <w:rPr>
                <w:sz w:val="20"/>
                <w:szCs w:val="20"/>
                <w:color w:val="auto"/>
              </w:rPr>
            </w:pPr>
            <w:r>
              <w:rPr>
                <w:rFonts w:ascii="Arial" w:cs="Arial" w:eastAsia="Arial" w:hAnsi="Arial"/>
                <w:sz w:val="18"/>
                <w:szCs w:val="18"/>
                <w:color w:val="231F20"/>
              </w:rPr>
              <w:t>45.29</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231F20"/>
              </w:rPr>
              <w:t>8,328,263</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740" w:type="dxa"/>
            <w:vAlign w:val="bottom"/>
          </w:tcPr>
          <w:p>
            <w:pPr>
              <w:ind w:left="1520"/>
              <w:spacing w:after="0"/>
              <w:rPr>
                <w:sz w:val="20"/>
                <w:szCs w:val="20"/>
                <w:color w:val="auto"/>
              </w:rPr>
            </w:pPr>
            <w:r>
              <w:rPr>
                <w:rFonts w:ascii="Arial" w:cs="Arial" w:eastAsia="Arial" w:hAnsi="Arial"/>
                <w:sz w:val="18"/>
                <w:szCs w:val="18"/>
                <w:color w:val="231F20"/>
              </w:rPr>
              <w:t>—</w:t>
            </w:r>
          </w:p>
        </w:tc>
      </w:tr>
      <w:tr>
        <w:trPr>
          <w:trHeight w:val="34"/>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740" w:type="dxa"/>
            <w:vAlign w:val="bottom"/>
            <w:tcBorders>
              <w:bottom w:val="single" w:sz="8" w:color="231F20"/>
            </w:tcBorders>
          </w:tcPr>
          <w:p>
            <w:pPr>
              <w:spacing w:after="0"/>
              <w:rPr>
                <w:sz w:val="2"/>
                <w:szCs w:val="2"/>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74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60</w:t>
      </w:r>
    </w:p>
    <w:p>
      <w:pPr>
        <w:sectPr>
          <w:pgSz w:w="11880" w:h="15480" w:orient="portrait"/>
          <w:cols w:equalWidth="0" w:num="1">
            <w:col w:w="9120"/>
          </w:cols>
          <w:pgMar w:left="1380" w:top="1310" w:right="1380" w:bottom="655"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color w:val="231F20"/>
        </w:rPr>
        <w:t>Securities Authorized for Issuance Under Equity Compensation Plans</w:t>
      </w:r>
    </w:p>
    <w:p>
      <w:pPr>
        <w:spacing w:after="0" w:line="175" w:lineRule="exact"/>
        <w:rPr>
          <w:sz w:val="20"/>
          <w:szCs w:val="20"/>
          <w:color w:val="auto"/>
        </w:rPr>
      </w:pPr>
    </w:p>
    <w:p>
      <w:pPr>
        <w:ind w:right="120" w:firstLine="300"/>
        <w:spacing w:after="0" w:line="261" w:lineRule="auto"/>
        <w:rPr>
          <w:sz w:val="20"/>
          <w:szCs w:val="20"/>
          <w:color w:val="auto"/>
        </w:rPr>
      </w:pPr>
      <w:r>
        <w:rPr>
          <w:rFonts w:ascii="Arial" w:cs="Arial" w:eastAsia="Arial" w:hAnsi="Arial"/>
          <w:sz w:val="19"/>
          <w:szCs w:val="19"/>
          <w:color w:val="231F20"/>
        </w:rPr>
        <w:t>The following table summarizes the securities available for issuance under equity compensation plans as of December 31, 2025. A description of our stock-based compensation plans can be found in</w:t>
      </w:r>
    </w:p>
    <w:p>
      <w:pPr>
        <w:spacing w:after="0"/>
        <w:rPr>
          <w:sz w:val="20"/>
          <w:szCs w:val="20"/>
          <w:color w:val="auto"/>
        </w:rPr>
      </w:pPr>
      <w:r>
        <w:rPr>
          <w:rFonts w:ascii="Arial" w:cs="Arial" w:eastAsia="Arial" w:hAnsi="Arial"/>
          <w:sz w:val="20"/>
          <w:szCs w:val="20"/>
          <w:i w:val="1"/>
          <w:iCs w:val="1"/>
          <w:color w:val="231F20"/>
        </w:rPr>
        <w:t>Part II, Item 8 – Financial Statements and Supplementary Data, Note 11 Stock-Based Compensation</w:t>
      </w:r>
      <w:r>
        <w:rPr>
          <w:rFonts w:ascii="Arial" w:cs="Arial" w:eastAsia="Arial" w:hAnsi="Arial"/>
          <w:sz w:val="20"/>
          <w:szCs w:val="20"/>
          <w:color w:val="231F20"/>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20"/>
                <w:szCs w:val="20"/>
                <w:color w:val="231F20"/>
              </w:rPr>
              <w:t>Number of</w:t>
            </w:r>
          </w:p>
        </w:tc>
        <w:tc>
          <w:tcPr>
            <w:tcW w:w="200" w:type="dxa"/>
            <w:vAlign w:val="bottom"/>
          </w:tcPr>
          <w:p>
            <w:pPr>
              <w:spacing w:after="0"/>
              <w:rPr>
                <w:sz w:val="19"/>
                <w:szCs w:val="19"/>
                <w:color w:val="auto"/>
              </w:rPr>
            </w:pPr>
          </w:p>
        </w:tc>
        <w:tc>
          <w:tcPr>
            <w:tcW w:w="1460" w:type="dxa"/>
            <w:vAlign w:val="bottom"/>
            <w:gridSpan w:val="2"/>
          </w:tcPr>
          <w:p>
            <w:pPr>
              <w:ind w:left="200"/>
              <w:spacing w:after="0"/>
              <w:rPr>
                <w:sz w:val="20"/>
                <w:szCs w:val="20"/>
                <w:color w:val="auto"/>
              </w:rPr>
            </w:pPr>
            <w:r>
              <w:rPr>
                <w:rFonts w:ascii="Arial" w:cs="Arial" w:eastAsia="Arial" w:hAnsi="Arial"/>
                <w:sz w:val="20"/>
                <w:szCs w:val="20"/>
                <w:color w:val="231F20"/>
              </w:rPr>
              <w:t>Weighted-</w:t>
            </w:r>
          </w:p>
        </w:tc>
        <w:tc>
          <w:tcPr>
            <w:tcW w:w="2000" w:type="dxa"/>
            <w:vAlign w:val="bottom"/>
          </w:tcPr>
          <w:p>
            <w:pPr>
              <w:jc w:val="center"/>
              <w:spacing w:after="0"/>
              <w:rPr>
                <w:sz w:val="20"/>
                <w:szCs w:val="20"/>
                <w:color w:val="auto"/>
              </w:rPr>
            </w:pPr>
            <w:r>
              <w:rPr>
                <w:rFonts w:ascii="Arial" w:cs="Arial" w:eastAsia="Arial" w:hAnsi="Arial"/>
                <w:sz w:val="20"/>
                <w:szCs w:val="20"/>
                <w:color w:val="231F20"/>
              </w:rPr>
              <w:t>Number of securities</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231F20"/>
                <w:w w:val="99"/>
              </w:rPr>
              <w:t>securities to be</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line="200" w:lineRule="exact"/>
              <w:rPr>
                <w:sz w:val="20"/>
                <w:szCs w:val="20"/>
                <w:color w:val="auto"/>
              </w:rPr>
            </w:pPr>
            <w:r>
              <w:rPr>
                <w:rFonts w:ascii="Arial" w:cs="Arial" w:eastAsia="Arial" w:hAnsi="Arial"/>
                <w:sz w:val="20"/>
                <w:szCs w:val="20"/>
                <w:color w:val="231F20"/>
                <w:w w:val="99"/>
              </w:rPr>
              <w:t>average</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231F20"/>
                <w:w w:val="99"/>
              </w:rPr>
              <w:t>remaining available for</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231F20"/>
              </w:rPr>
              <w:t>issued upon</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line="200" w:lineRule="exact"/>
              <w:rPr>
                <w:sz w:val="20"/>
                <w:szCs w:val="20"/>
                <w:color w:val="auto"/>
              </w:rPr>
            </w:pPr>
            <w:r>
              <w:rPr>
                <w:rFonts w:ascii="Arial" w:cs="Arial" w:eastAsia="Arial" w:hAnsi="Arial"/>
                <w:sz w:val="20"/>
                <w:szCs w:val="20"/>
                <w:color w:val="231F20"/>
              </w:rPr>
              <w:t>exercise price</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231F20"/>
                <w:w w:val="99"/>
              </w:rPr>
              <w:t>future issuance under</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231F20"/>
                <w:w w:val="99"/>
              </w:rPr>
              <w:t>exercise of</w:t>
            </w:r>
          </w:p>
        </w:tc>
        <w:tc>
          <w:tcPr>
            <w:tcW w:w="1660" w:type="dxa"/>
            <w:vAlign w:val="bottom"/>
            <w:gridSpan w:val="3"/>
          </w:tcPr>
          <w:p>
            <w:pPr>
              <w:jc w:val="center"/>
              <w:spacing w:after="0" w:line="200" w:lineRule="exact"/>
              <w:rPr>
                <w:sz w:val="20"/>
                <w:szCs w:val="20"/>
                <w:color w:val="auto"/>
              </w:rPr>
            </w:pPr>
            <w:r>
              <w:rPr>
                <w:rFonts w:ascii="Arial" w:cs="Arial" w:eastAsia="Arial" w:hAnsi="Arial"/>
                <w:sz w:val="20"/>
                <w:szCs w:val="20"/>
                <w:color w:val="231F20"/>
              </w:rPr>
              <w:t>of outstanding</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231F20"/>
              </w:rPr>
              <w:t>equity compensation</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231F20"/>
              </w:rPr>
              <w:t>outstanding</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line="200" w:lineRule="exact"/>
              <w:rPr>
                <w:sz w:val="20"/>
                <w:szCs w:val="20"/>
                <w:color w:val="auto"/>
              </w:rPr>
            </w:pPr>
            <w:r>
              <w:rPr>
                <w:rFonts w:ascii="Arial" w:cs="Arial" w:eastAsia="Arial" w:hAnsi="Arial"/>
                <w:sz w:val="20"/>
                <w:szCs w:val="20"/>
                <w:color w:val="231F20"/>
                <w:w w:val="99"/>
              </w:rPr>
              <w:t>options,</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231F20"/>
                <w:w w:val="99"/>
              </w:rPr>
              <w:t>plans (excluding</w:t>
            </w:r>
          </w:p>
        </w:tc>
        <w:tc>
          <w:tcPr>
            <w:tcW w:w="0" w:type="dxa"/>
            <w:vAlign w:val="bottom"/>
          </w:tcPr>
          <w:p>
            <w:pPr>
              <w:spacing w:after="0"/>
              <w:rPr>
                <w:sz w:val="1"/>
                <w:szCs w:val="1"/>
                <w:color w:val="auto"/>
              </w:rPr>
            </w:pPr>
          </w:p>
        </w:tc>
      </w:tr>
      <w:tr>
        <w:trPr>
          <w:trHeight w:val="200"/>
        </w:trPr>
        <w:tc>
          <w:tcPr>
            <w:tcW w:w="3220" w:type="dxa"/>
            <w:vAlign w:val="bottom"/>
            <w:vMerge w:val="restart"/>
          </w:tcPr>
          <w:p>
            <w:pPr>
              <w:ind w:left="980"/>
              <w:spacing w:after="0"/>
              <w:rPr>
                <w:sz w:val="20"/>
                <w:szCs w:val="20"/>
                <w:color w:val="auto"/>
              </w:rPr>
            </w:pPr>
            <w:r>
              <w:rPr>
                <w:rFonts w:ascii="Arial" w:cs="Arial" w:eastAsia="Arial" w:hAnsi="Arial"/>
                <w:sz w:val="20"/>
                <w:szCs w:val="20"/>
                <w:color w:val="231F20"/>
              </w:rPr>
              <w:t>Plan Category</w:t>
            </w:r>
          </w:p>
        </w:tc>
        <w:tc>
          <w:tcPr>
            <w:tcW w:w="20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w:cs="Arial" w:eastAsia="Arial" w:hAnsi="Arial"/>
                <w:sz w:val="20"/>
                <w:szCs w:val="20"/>
                <w:color w:val="231F20"/>
                <w:w w:val="99"/>
              </w:rPr>
              <w:t>options, warrants</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line="200" w:lineRule="exact"/>
              <w:rPr>
                <w:sz w:val="20"/>
                <w:szCs w:val="20"/>
                <w:color w:val="auto"/>
              </w:rPr>
            </w:pPr>
            <w:r>
              <w:rPr>
                <w:rFonts w:ascii="Arial" w:cs="Arial" w:eastAsia="Arial" w:hAnsi="Arial"/>
                <w:sz w:val="20"/>
                <w:szCs w:val="20"/>
                <w:color w:val="231F20"/>
              </w:rPr>
              <w:t>warrants and</w:t>
            </w:r>
          </w:p>
        </w:tc>
        <w:tc>
          <w:tcPr>
            <w:tcW w:w="2000" w:type="dxa"/>
            <w:vAlign w:val="bottom"/>
          </w:tcPr>
          <w:p>
            <w:pPr>
              <w:jc w:val="center"/>
              <w:spacing w:after="0" w:line="200" w:lineRule="exact"/>
              <w:rPr>
                <w:sz w:val="20"/>
                <w:szCs w:val="20"/>
                <w:color w:val="auto"/>
              </w:rPr>
            </w:pPr>
            <w:r>
              <w:rPr>
                <w:rFonts w:ascii="Arial" w:cs="Arial" w:eastAsia="Arial" w:hAnsi="Arial"/>
                <w:sz w:val="20"/>
                <w:szCs w:val="20"/>
                <w:color w:val="231F20"/>
              </w:rPr>
              <w:t>securities in column</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231F20"/>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Borders>
              <w:bottom w:val="single" w:sz="8" w:color="231F20"/>
            </w:tcBorders>
          </w:tcPr>
          <w:p>
            <w:pPr>
              <w:jc w:val="center"/>
              <w:spacing w:after="0" w:line="226" w:lineRule="exact"/>
              <w:rPr>
                <w:sz w:val="20"/>
                <w:szCs w:val="20"/>
                <w:color w:val="auto"/>
              </w:rPr>
            </w:pPr>
            <w:r>
              <w:rPr>
                <w:rFonts w:ascii="Arial" w:cs="Arial" w:eastAsia="Arial" w:hAnsi="Arial"/>
                <w:sz w:val="20"/>
                <w:szCs w:val="20"/>
                <w:color w:val="231F20"/>
              </w:rPr>
              <w:t>and rights</w:t>
            </w:r>
          </w:p>
        </w:tc>
        <w:tc>
          <w:tcPr>
            <w:tcW w:w="200" w:type="dxa"/>
            <w:vAlign w:val="bottom"/>
          </w:tcPr>
          <w:p>
            <w:pPr>
              <w:spacing w:after="0"/>
              <w:rPr>
                <w:sz w:val="21"/>
                <w:szCs w:val="21"/>
                <w:color w:val="auto"/>
              </w:rPr>
            </w:pPr>
          </w:p>
        </w:tc>
        <w:tc>
          <w:tcPr>
            <w:tcW w:w="1260" w:type="dxa"/>
            <w:vAlign w:val="bottom"/>
            <w:tcBorders>
              <w:bottom w:val="single" w:sz="8" w:color="231F20"/>
            </w:tcBorders>
          </w:tcPr>
          <w:p>
            <w:pPr>
              <w:jc w:val="center"/>
              <w:spacing w:after="0" w:line="226" w:lineRule="exact"/>
              <w:rPr>
                <w:sz w:val="20"/>
                <w:szCs w:val="20"/>
                <w:color w:val="auto"/>
              </w:rPr>
            </w:pPr>
            <w:r>
              <w:rPr>
                <w:rFonts w:ascii="Arial" w:cs="Arial" w:eastAsia="Arial" w:hAnsi="Arial"/>
                <w:sz w:val="20"/>
                <w:szCs w:val="20"/>
                <w:color w:val="231F20"/>
                <w:w w:val="98"/>
              </w:rPr>
              <w:t>rights</w:t>
            </w:r>
          </w:p>
        </w:tc>
        <w:tc>
          <w:tcPr>
            <w:tcW w:w="200" w:type="dxa"/>
            <w:vAlign w:val="bottom"/>
          </w:tcPr>
          <w:p>
            <w:pPr>
              <w:spacing w:after="0"/>
              <w:rPr>
                <w:sz w:val="21"/>
                <w:szCs w:val="21"/>
                <w:color w:val="auto"/>
              </w:rPr>
            </w:pPr>
          </w:p>
        </w:tc>
        <w:tc>
          <w:tcPr>
            <w:tcW w:w="2000" w:type="dxa"/>
            <w:vAlign w:val="bottom"/>
            <w:tcBorders>
              <w:bottom w:val="single" w:sz="8" w:color="231F20"/>
            </w:tcBorders>
          </w:tcPr>
          <w:p>
            <w:pPr>
              <w:jc w:val="center"/>
              <w:spacing w:after="0" w:line="226" w:lineRule="exact"/>
              <w:rPr>
                <w:sz w:val="20"/>
                <w:szCs w:val="20"/>
                <w:color w:val="auto"/>
              </w:rPr>
            </w:pPr>
            <w:r>
              <w:rPr>
                <w:rFonts w:ascii="Arial" w:cs="Arial" w:eastAsia="Arial" w:hAnsi="Arial"/>
                <w:sz w:val="20"/>
                <w:szCs w:val="20"/>
                <w:color w:val="231F20"/>
              </w:rPr>
              <w:t>(a))</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231F20"/>
              </w:rPr>
              <w:t>(a)</w:t>
            </w:r>
          </w:p>
        </w:tc>
        <w:tc>
          <w:tcPr>
            <w:tcW w:w="2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231F20"/>
              </w:rPr>
              <w:t>(b)</w:t>
            </w:r>
          </w:p>
        </w:tc>
        <w:tc>
          <w:tcPr>
            <w:tcW w:w="2000" w:type="dxa"/>
            <w:vAlign w:val="bottom"/>
          </w:tcPr>
          <w:p>
            <w:pPr>
              <w:jc w:val="center"/>
              <w:spacing w:after="0"/>
              <w:rPr>
                <w:sz w:val="20"/>
                <w:szCs w:val="20"/>
                <w:color w:val="auto"/>
              </w:rPr>
            </w:pPr>
            <w:r>
              <w:rPr>
                <w:rFonts w:ascii="Arial" w:cs="Arial" w:eastAsia="Arial" w:hAnsi="Arial"/>
                <w:sz w:val="16"/>
                <w:szCs w:val="16"/>
                <w:color w:val="231F20"/>
                <w:w w:val="96"/>
              </w:rPr>
              <w:t>(c)</w:t>
            </w:r>
          </w:p>
        </w:tc>
        <w:tc>
          <w:tcPr>
            <w:tcW w:w="0" w:type="dxa"/>
            <w:vAlign w:val="bottom"/>
          </w:tcPr>
          <w:p>
            <w:pPr>
              <w:spacing w:after="0"/>
              <w:rPr>
                <w:sz w:val="1"/>
                <w:szCs w:val="1"/>
                <w:color w:val="auto"/>
              </w:rPr>
            </w:pPr>
          </w:p>
        </w:tc>
      </w:tr>
      <w:tr>
        <w:trPr>
          <w:trHeight w:val="28"/>
        </w:trPr>
        <w:tc>
          <w:tcPr>
            <w:tcW w:w="3220" w:type="dxa"/>
            <w:vAlign w:val="bottom"/>
            <w:vMerge w:val="restart"/>
          </w:tcPr>
          <w:p>
            <w:pPr>
              <w:spacing w:after="0"/>
              <w:rPr>
                <w:sz w:val="20"/>
                <w:szCs w:val="20"/>
                <w:color w:val="auto"/>
              </w:rPr>
            </w:pPr>
            <w:r>
              <w:rPr>
                <w:rFonts w:ascii="Arial" w:cs="Arial" w:eastAsia="Arial" w:hAnsi="Arial"/>
                <w:sz w:val="20"/>
                <w:szCs w:val="20"/>
                <w:color w:val="231F20"/>
              </w:rPr>
              <w:t>Equity compensation plans</w:t>
            </w:r>
          </w:p>
        </w:tc>
        <w:tc>
          <w:tcPr>
            <w:tcW w:w="200" w:type="dxa"/>
            <w:vAlign w:val="bottom"/>
          </w:tcPr>
          <w:p>
            <w:pPr>
              <w:spacing w:after="0"/>
              <w:rPr>
                <w:sz w:val="2"/>
                <w:szCs w:val="2"/>
                <w:color w:val="auto"/>
              </w:rPr>
            </w:pPr>
          </w:p>
        </w:tc>
        <w:tc>
          <w:tcPr>
            <w:tcW w:w="2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3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20" w:type="dxa"/>
            <w:vAlign w:val="bottom"/>
          </w:tcPr>
          <w:p>
            <w:pPr>
              <w:spacing w:after="0" w:line="257" w:lineRule="exact"/>
              <w:rPr>
                <w:sz w:val="20"/>
                <w:szCs w:val="20"/>
                <w:color w:val="auto"/>
              </w:rPr>
            </w:pPr>
            <w:r>
              <w:rPr>
                <w:rFonts w:ascii="Arial" w:cs="Arial" w:eastAsia="Arial" w:hAnsi="Arial"/>
                <w:sz w:val="20"/>
                <w:szCs w:val="20"/>
                <w:color w:val="231F20"/>
                <w:w w:val="97"/>
              </w:rPr>
              <w:t>approved by security holders</w:t>
            </w:r>
            <w:r>
              <w:rPr>
                <w:rFonts w:ascii="Arial" w:cs="Arial" w:eastAsia="Arial" w:hAnsi="Arial"/>
                <w:sz w:val="26"/>
                <w:szCs w:val="26"/>
                <w:color w:val="231F20"/>
                <w:w w:val="97"/>
                <w:vertAlign w:val="superscript"/>
              </w:rPr>
              <w:t>(1)</w:t>
            </w:r>
            <w:r>
              <w:rPr>
                <w:rFonts w:ascii="Arial" w:cs="Arial" w:eastAsia="Arial" w:hAnsi="Arial"/>
                <w:sz w:val="20"/>
                <w:szCs w:val="20"/>
                <w:color w:val="231F20"/>
                <w:w w:val="97"/>
              </w:rPr>
              <w:t xml:space="preserve">  . . . .</w:t>
            </w:r>
          </w:p>
        </w:tc>
        <w:tc>
          <w:tcPr>
            <w:tcW w:w="2240" w:type="dxa"/>
            <w:vAlign w:val="bottom"/>
            <w:gridSpan w:val="2"/>
          </w:tcPr>
          <w:p>
            <w:pPr>
              <w:jc w:val="right"/>
              <w:spacing w:after="0"/>
              <w:rPr>
                <w:sz w:val="20"/>
                <w:szCs w:val="20"/>
                <w:color w:val="auto"/>
              </w:rPr>
            </w:pPr>
            <w:r>
              <w:rPr>
                <w:rFonts w:ascii="Arial" w:cs="Arial" w:eastAsia="Arial" w:hAnsi="Arial"/>
                <w:sz w:val="20"/>
                <w:szCs w:val="20"/>
                <w:color w:val="231F20"/>
              </w:rPr>
              <w:t>1,250,000</w:t>
            </w:r>
          </w:p>
        </w:tc>
        <w:tc>
          <w:tcPr>
            <w:tcW w:w="200" w:type="dxa"/>
            <w:vAlign w:val="bottom"/>
          </w:tcPr>
          <w:p>
            <w:pPr>
              <w:spacing w:after="0"/>
              <w:rPr>
                <w:sz w:val="22"/>
                <w:szCs w:val="22"/>
                <w:color w:val="auto"/>
              </w:rPr>
            </w:pPr>
          </w:p>
        </w:tc>
        <w:tc>
          <w:tcPr>
            <w:tcW w:w="1460" w:type="dxa"/>
            <w:vAlign w:val="bottom"/>
            <w:gridSpan w:val="2"/>
          </w:tcPr>
          <w:p>
            <w:pPr>
              <w:ind w:left="980"/>
              <w:spacing w:after="0"/>
              <w:rPr>
                <w:sz w:val="20"/>
                <w:szCs w:val="20"/>
                <w:color w:val="auto"/>
              </w:rPr>
            </w:pPr>
            <w:r>
              <w:rPr>
                <w:rFonts w:ascii="Arial" w:cs="Arial" w:eastAsia="Arial" w:hAnsi="Arial"/>
                <w:sz w:val="20"/>
                <w:szCs w:val="20"/>
                <w:color w:val="231F20"/>
              </w:rPr>
              <w:t>—</w:t>
            </w:r>
          </w:p>
        </w:tc>
        <w:tc>
          <w:tcPr>
            <w:tcW w:w="2000" w:type="dxa"/>
            <w:vAlign w:val="bottom"/>
          </w:tcPr>
          <w:p>
            <w:pPr>
              <w:jc w:val="right"/>
              <w:spacing w:after="0"/>
              <w:rPr>
                <w:sz w:val="20"/>
                <w:szCs w:val="20"/>
                <w:color w:val="auto"/>
              </w:rPr>
            </w:pPr>
            <w:r>
              <w:rPr>
                <w:rFonts w:ascii="Arial" w:cs="Arial" w:eastAsia="Arial" w:hAnsi="Arial"/>
                <w:sz w:val="20"/>
                <w:szCs w:val="20"/>
                <w:color w:val="231F20"/>
              </w:rPr>
              <w:t>1,094,122</w:t>
            </w:r>
          </w:p>
        </w:tc>
        <w:tc>
          <w:tcPr>
            <w:tcW w:w="0" w:type="dxa"/>
            <w:vAlign w:val="bottom"/>
          </w:tcPr>
          <w:p>
            <w:pPr>
              <w:spacing w:after="0"/>
              <w:rPr>
                <w:sz w:val="1"/>
                <w:szCs w:val="1"/>
                <w:color w:val="auto"/>
              </w:rPr>
            </w:pPr>
          </w:p>
        </w:tc>
      </w:tr>
      <w:tr>
        <w:trPr>
          <w:trHeight w:val="225"/>
        </w:trPr>
        <w:tc>
          <w:tcPr>
            <w:tcW w:w="3220" w:type="dxa"/>
            <w:vAlign w:val="bottom"/>
          </w:tcPr>
          <w:p>
            <w:pPr>
              <w:spacing w:after="0" w:line="226" w:lineRule="exact"/>
              <w:rPr>
                <w:sz w:val="20"/>
                <w:szCs w:val="20"/>
                <w:color w:val="auto"/>
              </w:rPr>
            </w:pPr>
            <w:r>
              <w:rPr>
                <w:rFonts w:ascii="Arial" w:cs="Arial" w:eastAsia="Arial" w:hAnsi="Arial"/>
                <w:sz w:val="20"/>
                <w:szCs w:val="20"/>
                <w:color w:val="231F20"/>
              </w:rPr>
              <w:t>Equity compensation plan not</w:t>
            </w: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line="268" w:lineRule="exact"/>
              <w:rPr>
                <w:sz w:val="20"/>
                <w:szCs w:val="20"/>
                <w:color w:val="auto"/>
              </w:rPr>
            </w:pPr>
            <w:r>
              <w:rPr>
                <w:rFonts w:ascii="Arial" w:cs="Arial" w:eastAsia="Arial" w:hAnsi="Arial"/>
                <w:sz w:val="20"/>
                <w:szCs w:val="20"/>
                <w:color w:val="231F20"/>
                <w:w w:val="97"/>
              </w:rPr>
              <w:t>approved by security holders</w:t>
            </w:r>
            <w:r>
              <w:rPr>
                <w:rFonts w:ascii="Arial" w:cs="Arial" w:eastAsia="Arial" w:hAnsi="Arial"/>
                <w:sz w:val="26"/>
                <w:szCs w:val="26"/>
                <w:color w:val="231F20"/>
                <w:w w:val="97"/>
                <w:vertAlign w:val="superscript"/>
              </w:rPr>
              <w:t>(2)</w:t>
            </w:r>
            <w:r>
              <w:rPr>
                <w:rFonts w:ascii="Arial" w:cs="Arial" w:eastAsia="Arial" w:hAnsi="Arial"/>
                <w:sz w:val="20"/>
                <w:szCs w:val="20"/>
                <w:color w:val="231F20"/>
                <w:w w:val="97"/>
              </w:rPr>
              <w:t xml:space="preserve">  . . . .</w:t>
            </w:r>
          </w:p>
        </w:tc>
        <w:tc>
          <w:tcPr>
            <w:tcW w:w="200" w:type="dxa"/>
            <w:vAlign w:val="bottom"/>
          </w:tcPr>
          <w:p>
            <w:pPr>
              <w:spacing w:after="0"/>
              <w:rPr>
                <w:sz w:val="23"/>
                <w:szCs w:val="23"/>
                <w:color w:val="auto"/>
              </w:rPr>
            </w:pPr>
          </w:p>
        </w:tc>
        <w:tc>
          <w:tcPr>
            <w:tcW w:w="20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2,941,018</w:t>
            </w:r>
          </w:p>
        </w:tc>
        <w:tc>
          <w:tcPr>
            <w:tcW w:w="200" w:type="dxa"/>
            <w:vAlign w:val="bottom"/>
          </w:tcPr>
          <w:p>
            <w:pPr>
              <w:spacing w:after="0"/>
              <w:rPr>
                <w:sz w:val="23"/>
                <w:szCs w:val="23"/>
                <w:color w:val="auto"/>
              </w:rPr>
            </w:pPr>
          </w:p>
        </w:tc>
        <w:tc>
          <w:tcPr>
            <w:tcW w:w="1460" w:type="dxa"/>
            <w:vAlign w:val="bottom"/>
            <w:gridSpan w:val="2"/>
          </w:tcPr>
          <w:p>
            <w:pPr>
              <w:ind w:left="980"/>
              <w:spacing w:after="0"/>
              <w:rPr>
                <w:sz w:val="20"/>
                <w:szCs w:val="20"/>
                <w:color w:val="auto"/>
              </w:rPr>
            </w:pPr>
            <w:r>
              <w:rPr>
                <w:rFonts w:ascii="Arial" w:cs="Arial" w:eastAsia="Arial" w:hAnsi="Arial"/>
                <w:sz w:val="20"/>
                <w:szCs w:val="20"/>
                <w:color w:val="231F20"/>
              </w:rPr>
              <w:t>—</w:t>
            </w:r>
          </w:p>
        </w:tc>
        <w:tc>
          <w:tcPr>
            <w:tcW w:w="2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3,911,714</w:t>
            </w:r>
          </w:p>
        </w:tc>
        <w:tc>
          <w:tcPr>
            <w:tcW w:w="0" w:type="dxa"/>
            <w:vAlign w:val="bottom"/>
          </w:tcPr>
          <w:p>
            <w:pPr>
              <w:spacing w:after="0"/>
              <w:rPr>
                <w:sz w:val="1"/>
                <w:szCs w:val="1"/>
                <w:color w:val="auto"/>
              </w:rPr>
            </w:pPr>
          </w:p>
        </w:tc>
      </w:tr>
      <w:tr>
        <w:trPr>
          <w:trHeight w:val="272"/>
        </w:trPr>
        <w:tc>
          <w:tcPr>
            <w:tcW w:w="3220" w:type="dxa"/>
            <w:vAlign w:val="bottom"/>
          </w:tcPr>
          <w:p>
            <w:pPr>
              <w:spacing w:after="0"/>
              <w:rPr>
                <w:sz w:val="20"/>
                <w:szCs w:val="20"/>
                <w:color w:val="auto"/>
              </w:rPr>
            </w:pPr>
            <w:r>
              <w:rPr>
                <w:rFonts w:ascii="Arial" w:cs="Arial" w:eastAsia="Arial" w:hAnsi="Arial"/>
                <w:sz w:val="20"/>
                <w:szCs w:val="20"/>
                <w:color w:val="231F20"/>
                <w:w w:val="95"/>
              </w:rPr>
              <w:t>Total . . . . . . . . . . . . . . . . . . . . . . . . . .</w:t>
            </w:r>
          </w:p>
        </w:tc>
        <w:tc>
          <w:tcPr>
            <w:tcW w:w="2240" w:type="dxa"/>
            <w:vAlign w:val="bottom"/>
            <w:gridSpan w:val="2"/>
          </w:tcPr>
          <w:p>
            <w:pPr>
              <w:jc w:val="right"/>
              <w:spacing w:after="0"/>
              <w:rPr>
                <w:sz w:val="20"/>
                <w:szCs w:val="20"/>
                <w:color w:val="auto"/>
              </w:rPr>
            </w:pPr>
            <w:r>
              <w:rPr>
                <w:rFonts w:ascii="Arial" w:cs="Arial" w:eastAsia="Arial" w:hAnsi="Arial"/>
                <w:sz w:val="20"/>
                <w:szCs w:val="20"/>
                <w:color w:val="231F20"/>
              </w:rPr>
              <w:t>4,191,018</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231F20"/>
              </w:rPr>
              <w:t>5,005,836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right="120" w:hanging="320"/>
        <w:spacing w:after="0" w:line="253" w:lineRule="auto"/>
        <w:tabs>
          <w:tab w:leader="none" w:pos="320" w:val="left"/>
        </w:tabs>
        <w:numPr>
          <w:ilvl w:val="0"/>
          <w:numId w:val="36"/>
        </w:numPr>
        <w:rPr>
          <w:rFonts w:ascii="Arial" w:cs="Arial" w:eastAsia="Arial" w:hAnsi="Arial"/>
          <w:sz w:val="16"/>
          <w:szCs w:val="16"/>
          <w:color w:val="231F20"/>
        </w:rPr>
      </w:pPr>
      <w:r>
        <w:rPr>
          <w:rFonts w:ascii="Arial" w:cs="Arial" w:eastAsia="Arial" w:hAnsi="Arial"/>
          <w:sz w:val="16"/>
          <w:szCs w:val="16"/>
          <w:color w:val="231F20"/>
        </w:rPr>
        <w:t>Reflects shares available under our Employee Stock Purchase Plan for purchase at 85% of the lower of the market price at either (i) the beginning of a quarter or (ii) the end of a quarter.</w:t>
      </w:r>
    </w:p>
    <w:p>
      <w:pPr>
        <w:spacing w:after="0" w:line="12" w:lineRule="exact"/>
        <w:rPr>
          <w:rFonts w:ascii="Arial" w:cs="Arial" w:eastAsia="Arial" w:hAnsi="Arial"/>
          <w:sz w:val="16"/>
          <w:szCs w:val="16"/>
          <w:color w:val="231F20"/>
        </w:rPr>
      </w:pPr>
    </w:p>
    <w:p>
      <w:pPr>
        <w:ind w:left="320" w:right="20" w:hanging="320"/>
        <w:spacing w:after="0" w:line="259" w:lineRule="auto"/>
        <w:tabs>
          <w:tab w:leader="none" w:pos="320" w:val="left"/>
        </w:tabs>
        <w:numPr>
          <w:ilvl w:val="0"/>
          <w:numId w:val="36"/>
        </w:numPr>
        <w:rPr>
          <w:rFonts w:ascii="Arial" w:cs="Arial" w:eastAsia="Arial" w:hAnsi="Arial"/>
          <w:sz w:val="16"/>
          <w:szCs w:val="16"/>
          <w:color w:val="231F20"/>
        </w:rPr>
      </w:pPr>
      <w:r>
        <w:rPr>
          <w:rFonts w:ascii="Arial" w:cs="Arial" w:eastAsia="Arial" w:hAnsi="Arial"/>
          <w:sz w:val="16"/>
          <w:szCs w:val="16"/>
          <w:color w:val="231F20"/>
        </w:rPr>
        <w:t xml:space="preserve">The aggregate number of 9,257,740 shares of our common stock authorized for issuance under our Long-Term Incentive Plan were approved by the Bankruptcy Court as part of the joint plan of reorganization upon our emergence from bankruptcy in 2020. The number of securities to be issued upon vesting of performance stock units assumes all units are earned upon achieving absolute total shareholder returns and total shareholder return relative to the SPDR S&amp;P Oil and Gas Exploration and Production Exchange-Traded Fund listed on the New York Stock Exchange. See </w:t>
      </w:r>
      <w:r>
        <w:rPr>
          <w:rFonts w:ascii="Arial" w:cs="Arial" w:eastAsia="Arial" w:hAnsi="Arial"/>
          <w:sz w:val="16"/>
          <w:szCs w:val="16"/>
          <w:i w:val="1"/>
          <w:iCs w:val="1"/>
          <w:color w:val="231F20"/>
        </w:rPr>
        <w:t>Part II, Item 8 – Financial Statements</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and Supplementary Data, Note 10 Stock-Based Compensation </w:t>
      </w:r>
      <w:r>
        <w:rPr>
          <w:rFonts w:ascii="Arial" w:cs="Arial" w:eastAsia="Arial" w:hAnsi="Arial"/>
          <w:sz w:val="16"/>
          <w:szCs w:val="16"/>
          <w:color w:val="231F20"/>
        </w:rPr>
        <w:t>for more information on these awards.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Performance Graph</w:t>
      </w:r>
    </w:p>
    <w:p>
      <w:pPr>
        <w:spacing w:after="0" w:line="173"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The following graph compares the cumulative total return to stockholders on our common stock relative to the cumulative total returns of the S&amp;P 500 and Dow Jones U.S. Exploration and Production indexes and our peer group. The graph assumes that on December 31, 2020, $100 was invested in our common stock, in each index and in each of the peer group companies’ common stock weighted by their relative market capitalization, and that all dividends were reinvested. The results shown are based on historical results and are not intended to suggest future performance.</w:t>
      </w:r>
    </w:p>
    <w:p>
      <w:pPr>
        <w:spacing w:after="0" w:line="166"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Our 2025 peer group consisted of APA Corporation; BKV Corporation; Chord Energy Corporation; Civitas Resources, Inc.; Comstock Resources Inc.; Crescent Energy Company; Gulfport Energy Corp; Kosmos Energy Ltd.; Magnolia Oil &amp; Gas Corp; Matador Resources Company; Murphy Oil Corporation; Northern Oil and Gas, Inc.; Range Resources Corporation; Sable Offshore Corporation; SM Energy Company; Talos Energy Inc.; and Vermilion Energy Inc.</w:t>
      </w:r>
    </w:p>
    <w:p>
      <w:pPr>
        <w:spacing w:after="0" w:line="165" w:lineRule="exact"/>
        <w:rPr>
          <w:sz w:val="20"/>
          <w:szCs w:val="20"/>
          <w:color w:val="auto"/>
        </w:rPr>
      </w:pPr>
    </w:p>
    <w:p>
      <w:pPr>
        <w:ind w:right="320" w:firstLine="300"/>
        <w:spacing w:after="0" w:line="249" w:lineRule="auto"/>
        <w:rPr>
          <w:sz w:val="20"/>
          <w:szCs w:val="20"/>
          <w:color w:val="auto"/>
        </w:rPr>
      </w:pPr>
      <w:r>
        <w:rPr>
          <w:rFonts w:ascii="Arial" w:cs="Arial" w:eastAsia="Arial" w:hAnsi="Arial"/>
          <w:sz w:val="20"/>
          <w:szCs w:val="20"/>
          <w:color w:val="231F20"/>
        </w:rPr>
        <w:t xml:space="preserve">Our 2025 peer group changed from 2024. We added Northern Oil and Gas, Inc. and Gulfport Energy Corporation due to their similar market capitalization and operations. We removed Antero Resources Corporation and Permian Resources Corporation from our peer group due to their larger market capitalization. We removed Berry Corporation from our peer group as a result of our merger with them in December 2025. See </w:t>
      </w:r>
      <w:r>
        <w:rPr>
          <w:rFonts w:ascii="Arial" w:cs="Arial" w:eastAsia="Arial" w:hAnsi="Arial"/>
          <w:sz w:val="20"/>
          <w:szCs w:val="20"/>
          <w:i w:val="1"/>
          <w:iCs w:val="1"/>
          <w:color w:val="231F20"/>
        </w:rPr>
        <w:t>Part II, Item 8 – Financial Statements and Supplementary Data,</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Note 2 Business Combinations </w:t>
      </w:r>
      <w:r>
        <w:rPr>
          <w:rFonts w:ascii="Arial" w:cs="Arial" w:eastAsia="Arial" w:hAnsi="Arial"/>
          <w:sz w:val="20"/>
          <w:szCs w:val="20"/>
          <w:color w:val="231F20"/>
        </w:rPr>
        <w:t>for additional information.</w:t>
      </w:r>
    </w:p>
    <w:p>
      <w:pPr>
        <w:spacing w:after="0" w:line="166"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231F20"/>
        </w:rPr>
        <w:t>Our 2024 peer group consisted of Antero Resources Corporation; APA Corporation; Berry Corporation; BKV Corporation; Chord Energy Corporation; Civitas Resources, Inc.; Comstock Resources Inc.; Crescent Energy Company; Kosmos Energy Ltd.; Magnolia Oil &amp; Gas Corp; Matador Resources Company; Murphy Oil Corporation; Permian Resources Corporation; Range Resources Corporation; Sable Offshore Corporation; SM Energy Company; Talos Energy Inc.; and Vermilion Energy Inc.</w:t>
      </w:r>
    </w:p>
    <w:p>
      <w:pPr>
        <w:sectPr>
          <w:pgSz w:w="11880" w:h="15480" w:orient="portrait"/>
          <w:cols w:equalWidth="0" w:num="1">
            <w:col w:w="9120"/>
          </w:cols>
          <w:pgMar w:left="1380" w:top="1310" w:right="1380" w:bottom="655"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61</w:t>
      </w:r>
    </w:p>
    <w:p>
      <w:pPr>
        <w:sectPr>
          <w:pgSz w:w="11880" w:h="15480" w:orient="portrait"/>
          <w:cols w:equalWidth="0" w:num="1">
            <w:col w:w="9120"/>
          </w:cols>
          <w:pgMar w:left="1380" w:top="1310" w:right="1380" w:bottom="655"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24"/>
          <w:szCs w:val="24"/>
          <w:b w:val="1"/>
          <w:bCs w:val="1"/>
          <w:color w:val="231F20"/>
        </w:rPr>
        <w:t>PERFORMANCE GRAPH*</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Among California Resources Corp, the S&amp;P 500 Index,</w:t>
      </w:r>
    </w:p>
    <w:p>
      <w:pPr>
        <w:jc w:val="center"/>
        <w:ind w:right="-19"/>
        <w:spacing w:after="0"/>
        <w:rPr>
          <w:sz w:val="20"/>
          <w:szCs w:val="20"/>
          <w:color w:val="auto"/>
        </w:rPr>
      </w:pPr>
      <w:r>
        <w:rPr>
          <w:rFonts w:ascii="Arial" w:cs="Arial" w:eastAsia="Arial" w:hAnsi="Arial"/>
          <w:sz w:val="18"/>
          <w:szCs w:val="18"/>
          <w:color w:val="231F20"/>
        </w:rPr>
        <w:t>the Dow Jones US Exploration &amp; Production Index,</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2024 Peer Group and 2025 Peer Group</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color w:val="231F20"/>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-56515</wp:posOffset>
            </wp:positionV>
            <wp:extent cx="4947285" cy="2461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4947285" cy="246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color w:val="231F20"/>
        </w:rPr>
        <w:t>$300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0"/>
        <w:spacing w:after="0"/>
        <w:rPr>
          <w:sz w:val="20"/>
          <w:szCs w:val="20"/>
          <w:color w:val="auto"/>
        </w:rPr>
      </w:pPr>
      <w:r>
        <w:rPr>
          <w:rFonts w:ascii="Arial" w:cs="Arial" w:eastAsia="Arial" w:hAnsi="Arial"/>
          <w:sz w:val="18"/>
          <w:szCs w:val="18"/>
          <w:color w:val="231F20"/>
        </w:rPr>
        <w:t>$200</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0"/>
        <w:spacing w:after="0"/>
        <w:rPr>
          <w:sz w:val="20"/>
          <w:szCs w:val="20"/>
          <w:color w:val="auto"/>
        </w:rPr>
      </w:pPr>
      <w:r>
        <w:rPr>
          <w:rFonts w:ascii="Arial" w:cs="Arial" w:eastAsia="Arial" w:hAnsi="Arial"/>
          <w:sz w:val="18"/>
          <w:szCs w:val="18"/>
          <w:color w:val="231F20"/>
        </w:rPr>
        <w:t xml:space="preserve">$100 </w:t>
      </w:r>
      <w:r>
        <w:rPr>
          <w:sz w:val="1"/>
          <w:szCs w:val="1"/>
          <w:color w:val="auto"/>
        </w:rPr>
        <w:drawing>
          <wp:inline distT="0" distB="0" distL="0" distR="0">
            <wp:extent cx="106045" cy="1066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106045" cy="10668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$0</w:t>
      </w:r>
    </w:p>
    <w:p>
      <w:pPr>
        <w:spacing w:after="0" w:line="4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680" w:type="dxa"/>
            <w:vAlign w:val="bottom"/>
            <w:gridSpan w:val="5"/>
          </w:tcPr>
          <w:p>
            <w:pPr>
              <w:jc w:val="right"/>
              <w:ind w:right="20"/>
              <w:spacing w:after="0"/>
              <w:rPr>
                <w:sz w:val="20"/>
                <w:szCs w:val="20"/>
                <w:color w:val="auto"/>
              </w:rPr>
            </w:pPr>
            <w:r>
              <w:rPr>
                <w:rFonts w:ascii="Arial" w:cs="Arial" w:eastAsia="Arial" w:hAnsi="Arial"/>
                <w:sz w:val="17"/>
                <w:szCs w:val="17"/>
                <w:color w:val="231F20"/>
                <w:w w:val="96"/>
              </w:rPr>
              <w:t>12/31/20</w:t>
            </w:r>
          </w:p>
        </w:tc>
        <w:tc>
          <w:tcPr>
            <w:tcW w:w="2080" w:type="dxa"/>
            <w:vAlign w:val="bottom"/>
            <w:gridSpan w:val="2"/>
          </w:tcPr>
          <w:p>
            <w:pPr>
              <w:jc w:val="right"/>
              <w:ind w:right="484"/>
              <w:spacing w:after="0"/>
              <w:rPr>
                <w:sz w:val="20"/>
                <w:szCs w:val="20"/>
                <w:color w:val="auto"/>
              </w:rPr>
            </w:pPr>
            <w:r>
              <w:rPr>
                <w:rFonts w:ascii="Arial" w:cs="Arial" w:eastAsia="Arial" w:hAnsi="Arial"/>
                <w:sz w:val="17"/>
                <w:szCs w:val="17"/>
                <w:color w:val="231F20"/>
              </w:rPr>
              <w:t>12/31/21</w:t>
            </w:r>
          </w:p>
        </w:tc>
        <w:tc>
          <w:tcPr>
            <w:tcW w:w="1380" w:type="dxa"/>
            <w:vAlign w:val="bottom"/>
          </w:tcPr>
          <w:p>
            <w:pPr>
              <w:jc w:val="right"/>
              <w:ind w:right="334"/>
              <w:spacing w:after="0"/>
              <w:rPr>
                <w:sz w:val="20"/>
                <w:szCs w:val="20"/>
                <w:color w:val="auto"/>
              </w:rPr>
            </w:pPr>
            <w:r>
              <w:rPr>
                <w:rFonts w:ascii="Arial" w:cs="Arial" w:eastAsia="Arial" w:hAnsi="Arial"/>
                <w:sz w:val="17"/>
                <w:szCs w:val="17"/>
                <w:color w:val="231F20"/>
              </w:rPr>
              <w:t>12/31/22</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231F20"/>
              </w:rPr>
              <w:t>12/31/23</w:t>
            </w:r>
          </w:p>
        </w:tc>
        <w:tc>
          <w:tcPr>
            <w:tcW w:w="2140" w:type="dxa"/>
            <w:vAlign w:val="bottom"/>
            <w:gridSpan w:val="3"/>
          </w:tcPr>
          <w:p>
            <w:pPr>
              <w:jc w:val="right"/>
              <w:ind w:right="564"/>
              <w:spacing w:after="0"/>
              <w:rPr>
                <w:sz w:val="20"/>
                <w:szCs w:val="20"/>
                <w:color w:val="auto"/>
              </w:rPr>
            </w:pPr>
            <w:r>
              <w:rPr>
                <w:rFonts w:ascii="Arial" w:cs="Arial" w:eastAsia="Arial" w:hAnsi="Arial"/>
                <w:sz w:val="17"/>
                <w:szCs w:val="17"/>
                <w:color w:val="231F20"/>
              </w:rPr>
              <w:t>12/31/24</w:t>
            </w:r>
          </w:p>
        </w:tc>
        <w:tc>
          <w:tcPr>
            <w:tcW w:w="880" w:type="dxa"/>
            <w:vAlign w:val="bottom"/>
          </w:tcPr>
          <w:p>
            <w:pPr>
              <w:jc w:val="right"/>
              <w:spacing w:after="0"/>
              <w:rPr>
                <w:sz w:val="20"/>
                <w:szCs w:val="20"/>
                <w:color w:val="auto"/>
              </w:rPr>
            </w:pPr>
            <w:r>
              <w:rPr>
                <w:rFonts w:ascii="Arial" w:cs="Arial" w:eastAsia="Arial" w:hAnsi="Arial"/>
                <w:sz w:val="17"/>
                <w:szCs w:val="17"/>
                <w:color w:val="231F20"/>
              </w:rPr>
              <w:t>12/31/25</w:t>
            </w:r>
          </w:p>
        </w:tc>
        <w:tc>
          <w:tcPr>
            <w:tcW w:w="0" w:type="dxa"/>
            <w:vAlign w:val="bottom"/>
          </w:tcPr>
          <w:p>
            <w:pPr>
              <w:spacing w:after="0"/>
              <w:rPr>
                <w:sz w:val="1"/>
                <w:szCs w:val="1"/>
                <w:color w:val="auto"/>
              </w:rPr>
            </w:pPr>
          </w:p>
        </w:tc>
      </w:tr>
      <w:tr>
        <w:trPr>
          <w:trHeight w:val="428"/>
        </w:trPr>
        <w:tc>
          <w:tcPr>
            <w:tcW w:w="32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3220" w:type="dxa"/>
            <w:vAlign w:val="bottom"/>
            <w:gridSpan w:val="2"/>
            <w:vMerge w:val="restart"/>
          </w:tcPr>
          <w:p>
            <w:pPr>
              <w:ind w:left="40"/>
              <w:spacing w:after="0"/>
              <w:rPr>
                <w:sz w:val="20"/>
                <w:szCs w:val="20"/>
                <w:color w:val="auto"/>
              </w:rPr>
            </w:pPr>
            <w:r>
              <w:rPr>
                <w:rFonts w:ascii="Arial" w:cs="Arial" w:eastAsia="Arial" w:hAnsi="Arial"/>
                <w:sz w:val="19"/>
                <w:szCs w:val="19"/>
                <w:b w:val="1"/>
                <w:bCs w:val="1"/>
                <w:color w:val="231F20"/>
              </w:rPr>
              <w:t>California Resources Corp</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vMerge w:val="restart"/>
          </w:tcPr>
          <w:p>
            <w:pPr>
              <w:spacing w:after="0"/>
              <w:rPr>
                <w:sz w:val="24"/>
                <w:szCs w:val="24"/>
                <w:color w:val="auto"/>
              </w:rPr>
            </w:pPr>
          </w:p>
        </w:tc>
        <w:tc>
          <w:tcPr>
            <w:tcW w:w="1840" w:type="dxa"/>
            <w:vAlign w:val="bottom"/>
            <w:vMerge w:val="restart"/>
          </w:tcPr>
          <w:p>
            <w:pPr>
              <w:jc w:val="right"/>
              <w:ind w:right="904"/>
              <w:spacing w:after="0"/>
              <w:rPr>
                <w:sz w:val="20"/>
                <w:szCs w:val="20"/>
                <w:color w:val="auto"/>
              </w:rPr>
            </w:pPr>
            <w:r>
              <w:rPr>
                <w:rFonts w:ascii="Arial" w:cs="Arial" w:eastAsia="Arial" w:hAnsi="Arial"/>
                <w:sz w:val="19"/>
                <w:szCs w:val="19"/>
                <w:b w:val="1"/>
                <w:bCs w:val="1"/>
                <w:color w:val="231F20"/>
              </w:rPr>
              <w:t>S&amp;P 500</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2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3"/>
          </w:tcPr>
          <w:p>
            <w:pPr>
              <w:ind w:left="40"/>
              <w:spacing w:after="0"/>
              <w:rPr>
                <w:sz w:val="20"/>
                <w:szCs w:val="20"/>
                <w:color w:val="auto"/>
              </w:rPr>
            </w:pPr>
            <w:r>
              <w:rPr>
                <w:rFonts w:ascii="Arial" w:cs="Arial" w:eastAsia="Arial" w:hAnsi="Arial"/>
                <w:sz w:val="19"/>
                <w:szCs w:val="19"/>
                <w:b w:val="1"/>
                <w:bCs w:val="1"/>
                <w:color w:val="231F20"/>
              </w:rPr>
              <w:t>Dow Jones US Exploration &amp; Production</w:t>
            </w:r>
          </w:p>
        </w:tc>
        <w:tc>
          <w:tcPr>
            <w:tcW w:w="2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840" w:type="dxa"/>
            <w:vAlign w:val="bottom"/>
          </w:tcPr>
          <w:p>
            <w:pPr>
              <w:jc w:val="right"/>
              <w:ind w:right="84"/>
              <w:spacing w:after="0"/>
              <w:rPr>
                <w:sz w:val="20"/>
                <w:szCs w:val="20"/>
                <w:color w:val="auto"/>
              </w:rPr>
            </w:pPr>
            <w:r>
              <w:rPr>
                <w:rFonts w:ascii="Arial" w:cs="Arial" w:eastAsia="Arial" w:hAnsi="Arial"/>
                <w:sz w:val="19"/>
                <w:szCs w:val="19"/>
                <w:b w:val="1"/>
                <w:bCs w:val="1"/>
                <w:color w:val="231F20"/>
              </w:rPr>
              <w:t>2025 Peer Group</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840" w:type="dxa"/>
            <w:vAlign w:val="bottom"/>
          </w:tcPr>
          <w:p>
            <w:pPr>
              <w:ind w:left="40"/>
              <w:spacing w:after="0"/>
              <w:rPr>
                <w:sz w:val="20"/>
                <w:szCs w:val="20"/>
                <w:color w:val="auto"/>
              </w:rPr>
            </w:pPr>
            <w:r>
              <w:rPr>
                <w:rFonts w:ascii="Arial" w:cs="Arial" w:eastAsia="Arial" w:hAnsi="Arial"/>
                <w:sz w:val="19"/>
                <w:szCs w:val="19"/>
                <w:b w:val="1"/>
                <w:bCs w:val="1"/>
                <w:color w:val="231F20"/>
              </w:rPr>
              <w:t>2024 Peer Group</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-278130</wp:posOffset>
            </wp:positionV>
            <wp:extent cx="67310" cy="67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67310" cy="67310"/>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-514350</wp:posOffset>
            </wp:positionV>
            <wp:extent cx="372110" cy="93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372110" cy="9334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-288925</wp:posOffset>
            </wp:positionV>
            <wp:extent cx="372110" cy="87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372110" cy="87630"/>
                    </a:xfrm>
                    <a:prstGeom prst="rect">
                      <a:avLst/>
                    </a:prstGeom>
                    <a:noFill/>
                  </pic:spPr>
                </pic:pic>
              </a:graphicData>
            </a:graphic>
          </wp:anchor>
        </w:drawing>
      </w:r>
    </w:p>
    <w:p>
      <w:pPr>
        <w:spacing w:after="0" w:line="313" w:lineRule="exact"/>
        <w:rPr>
          <w:sz w:val="20"/>
          <w:szCs w:val="20"/>
          <w:color w:val="auto"/>
        </w:rPr>
      </w:pPr>
    </w:p>
    <w:p>
      <w:pPr>
        <w:ind w:left="900"/>
        <w:spacing w:after="0"/>
        <w:rPr>
          <w:sz w:val="20"/>
          <w:szCs w:val="20"/>
          <w:color w:val="auto"/>
        </w:rPr>
      </w:pPr>
      <w:r>
        <w:rPr>
          <w:rFonts w:ascii="Arial" w:cs="Arial" w:eastAsia="Arial" w:hAnsi="Arial"/>
          <w:sz w:val="15"/>
          <w:szCs w:val="15"/>
          <w:color w:val="231F20"/>
        </w:rPr>
        <w:t>*$100 invested on 10/28/20 in stock or 10/31/20 in index, including reinvestment of dividends.</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5"/>
          <w:szCs w:val="15"/>
          <w:color w:val="231F20"/>
        </w:rPr>
        <w:t>Fiscal year ending December 31.</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5"/>
          <w:szCs w:val="15"/>
          <w:color w:val="231F20"/>
        </w:rPr>
        <w:t>Copyright@ 2026 Standard &amp; Poor's, a division of S&amp;P Global. All rights reserved.</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5"/>
          <w:szCs w:val="15"/>
          <w:color w:val="231F20"/>
        </w:rPr>
        <w:t>Copyright@ 2026 S&amp;P Dow Jones Indices LLC, a division of S&amp;P Global. All rights reserved.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135255</wp:posOffset>
                </wp:positionV>
                <wp:extent cx="578485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48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0.65pt" to="455.75pt,10.65pt" o:allowincell="f" strokecolor="#231F20" strokeweight="0.5pt"/>
            </w:pict>
          </mc:Fallback>
        </mc:AlternateConten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540" w:type="dxa"/>
            <w:vAlign w:val="bottom"/>
          </w:tcPr>
          <w:p>
            <w:pPr>
              <w:jc w:val="center"/>
              <w:ind w:left="700"/>
              <w:spacing w:after="0"/>
              <w:rPr>
                <w:sz w:val="20"/>
                <w:szCs w:val="20"/>
                <w:color w:val="auto"/>
              </w:rPr>
            </w:pPr>
            <w:r>
              <w:rPr>
                <w:rFonts w:ascii="Arial" w:cs="Arial" w:eastAsia="Arial" w:hAnsi="Arial"/>
                <w:sz w:val="16"/>
                <w:szCs w:val="16"/>
                <w:b w:val="1"/>
                <w:bCs w:val="1"/>
                <w:color w:val="231F20"/>
              </w:rPr>
              <w:t>12/31/20</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w w:val="99"/>
              </w:rPr>
              <w:t>12/31/21</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w w:val="99"/>
              </w:rPr>
              <w:t>12/31/22</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w w:val="99"/>
              </w:rPr>
              <w:t>12/31/23</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w w:val="99"/>
              </w:rPr>
              <w:t>12/31/24</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231F20"/>
                <w:w w:val="99"/>
              </w:rPr>
              <w:t>12/31/25</w:t>
            </w:r>
          </w:p>
        </w:tc>
      </w:tr>
      <w:tr>
        <w:trPr>
          <w:trHeight w:val="38"/>
        </w:trPr>
        <w:tc>
          <w:tcPr>
            <w:tcW w:w="3940" w:type="dxa"/>
            <w:vAlign w:val="bottom"/>
            <w:tcBorders>
              <w:bottom w:val="single" w:sz="8" w:color="231F20"/>
            </w:tcBorders>
          </w:tcPr>
          <w:p>
            <w:pPr>
              <w:spacing w:after="0"/>
              <w:rPr>
                <w:sz w:val="3"/>
                <w:szCs w:val="3"/>
                <w:color w:val="auto"/>
              </w:rPr>
            </w:pPr>
          </w:p>
        </w:tc>
        <w:tc>
          <w:tcPr>
            <w:tcW w:w="1540" w:type="dxa"/>
            <w:vAlign w:val="bottom"/>
            <w:tcBorders>
              <w:bottom w:val="single" w:sz="8" w:color="231F20"/>
            </w:tcBorders>
          </w:tcPr>
          <w:p>
            <w:pPr>
              <w:spacing w:after="0"/>
              <w:rPr>
                <w:sz w:val="3"/>
                <w:szCs w:val="3"/>
                <w:color w:val="auto"/>
              </w:rPr>
            </w:pPr>
          </w:p>
        </w:tc>
        <w:tc>
          <w:tcPr>
            <w:tcW w:w="740" w:type="dxa"/>
            <w:vAlign w:val="bottom"/>
            <w:tcBorders>
              <w:bottom w:val="single" w:sz="8" w:color="231F20"/>
            </w:tcBorders>
          </w:tcPr>
          <w:p>
            <w:pPr>
              <w:spacing w:after="0"/>
              <w:rPr>
                <w:sz w:val="3"/>
                <w:szCs w:val="3"/>
                <w:color w:val="auto"/>
              </w:rPr>
            </w:pPr>
          </w:p>
        </w:tc>
        <w:tc>
          <w:tcPr>
            <w:tcW w:w="740" w:type="dxa"/>
            <w:vAlign w:val="bottom"/>
            <w:tcBorders>
              <w:bottom w:val="single" w:sz="8" w:color="231F20"/>
            </w:tcBorders>
          </w:tcPr>
          <w:p>
            <w:pPr>
              <w:spacing w:after="0"/>
              <w:rPr>
                <w:sz w:val="3"/>
                <w:szCs w:val="3"/>
                <w:color w:val="auto"/>
              </w:rPr>
            </w:pPr>
          </w:p>
        </w:tc>
        <w:tc>
          <w:tcPr>
            <w:tcW w:w="740" w:type="dxa"/>
            <w:vAlign w:val="bottom"/>
            <w:tcBorders>
              <w:bottom w:val="single" w:sz="8" w:color="231F20"/>
            </w:tcBorders>
          </w:tcPr>
          <w:p>
            <w:pPr>
              <w:spacing w:after="0"/>
              <w:rPr>
                <w:sz w:val="3"/>
                <w:szCs w:val="3"/>
                <w:color w:val="auto"/>
              </w:rPr>
            </w:pPr>
          </w:p>
        </w:tc>
        <w:tc>
          <w:tcPr>
            <w:tcW w:w="740" w:type="dxa"/>
            <w:vAlign w:val="bottom"/>
            <w:tcBorders>
              <w:bottom w:val="single" w:sz="8" w:color="231F20"/>
            </w:tcBorders>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r>
      <w:tr>
        <w:trPr>
          <w:trHeight w:val="342"/>
        </w:trPr>
        <w:tc>
          <w:tcPr>
            <w:tcW w:w="3940" w:type="dxa"/>
            <w:vAlign w:val="bottom"/>
          </w:tcPr>
          <w:p>
            <w:pPr>
              <w:spacing w:after="0"/>
              <w:rPr>
                <w:sz w:val="20"/>
                <w:szCs w:val="20"/>
                <w:color w:val="auto"/>
              </w:rPr>
            </w:pPr>
            <w:r>
              <w:rPr>
                <w:rFonts w:ascii="Arial" w:cs="Arial" w:eastAsia="Arial" w:hAnsi="Arial"/>
                <w:sz w:val="16"/>
                <w:szCs w:val="16"/>
                <w:b w:val="1"/>
                <w:bCs w:val="1"/>
                <w:color w:val="231F20"/>
              </w:rPr>
              <w:t>California Resources Corp</w:t>
            </w:r>
          </w:p>
        </w:tc>
        <w:tc>
          <w:tcPr>
            <w:tcW w:w="1540" w:type="dxa"/>
            <w:vAlign w:val="bottom"/>
          </w:tcPr>
          <w:p>
            <w:pPr>
              <w:jc w:val="center"/>
              <w:ind w:left="700"/>
              <w:spacing w:after="0"/>
              <w:rPr>
                <w:sz w:val="20"/>
                <w:szCs w:val="20"/>
                <w:color w:val="auto"/>
              </w:rPr>
            </w:pPr>
            <w:r>
              <w:rPr>
                <w:rFonts w:ascii="Arial" w:cs="Arial" w:eastAsia="Arial" w:hAnsi="Arial"/>
                <w:sz w:val="16"/>
                <w:szCs w:val="16"/>
                <w:b w:val="1"/>
                <w:bCs w:val="1"/>
                <w:color w:val="231F20"/>
                <w:w w:val="96"/>
              </w:rPr>
              <w:t>$100.00</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$181.84</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$188.50</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$242.89</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$236.66</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231F20"/>
              </w:rPr>
              <w:t>$211.03</w:t>
            </w:r>
          </w:p>
        </w:tc>
      </w:tr>
      <w:tr>
        <w:trPr>
          <w:trHeight w:val="200"/>
        </w:trPr>
        <w:tc>
          <w:tcPr>
            <w:tcW w:w="3940" w:type="dxa"/>
            <w:vAlign w:val="bottom"/>
          </w:tcPr>
          <w:p>
            <w:pPr>
              <w:spacing w:after="0"/>
              <w:rPr>
                <w:sz w:val="20"/>
                <w:szCs w:val="20"/>
                <w:color w:val="auto"/>
              </w:rPr>
            </w:pPr>
            <w:r>
              <w:rPr>
                <w:rFonts w:ascii="Arial" w:cs="Arial" w:eastAsia="Arial" w:hAnsi="Arial"/>
                <w:sz w:val="16"/>
                <w:szCs w:val="16"/>
                <w:b w:val="1"/>
                <w:bCs w:val="1"/>
                <w:color w:val="231F20"/>
              </w:rPr>
              <w:t>S&amp;P 500</w:t>
            </w:r>
          </w:p>
        </w:tc>
        <w:tc>
          <w:tcPr>
            <w:tcW w:w="1540" w:type="dxa"/>
            <w:vAlign w:val="bottom"/>
          </w:tcPr>
          <w:p>
            <w:pPr>
              <w:jc w:val="center"/>
              <w:ind w:left="700"/>
              <w:spacing w:after="0"/>
              <w:rPr>
                <w:sz w:val="20"/>
                <w:szCs w:val="20"/>
                <w:color w:val="auto"/>
              </w:rPr>
            </w:pPr>
            <w:r>
              <w:rPr>
                <w:rFonts w:ascii="Arial" w:cs="Arial" w:eastAsia="Arial" w:hAnsi="Arial"/>
                <w:sz w:val="16"/>
                <w:szCs w:val="16"/>
                <w:b w:val="1"/>
                <w:bCs w:val="1"/>
                <w:color w:val="231F20"/>
                <w:w w:val="96"/>
              </w:rPr>
              <w:t>$100.00</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$128.71</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$105.40</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$133.10</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$166.40</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231F20"/>
              </w:rPr>
              <w:t>$196.16</w:t>
            </w:r>
          </w:p>
        </w:tc>
      </w:tr>
      <w:tr>
        <w:trPr>
          <w:trHeight w:val="200"/>
        </w:trPr>
        <w:tc>
          <w:tcPr>
            <w:tcW w:w="3940" w:type="dxa"/>
            <w:vAlign w:val="bottom"/>
          </w:tcPr>
          <w:p>
            <w:pPr>
              <w:spacing w:after="0"/>
              <w:rPr>
                <w:sz w:val="20"/>
                <w:szCs w:val="20"/>
                <w:color w:val="auto"/>
              </w:rPr>
            </w:pPr>
            <w:r>
              <w:rPr>
                <w:rFonts w:ascii="Arial" w:cs="Arial" w:eastAsia="Arial" w:hAnsi="Arial"/>
                <w:sz w:val="16"/>
                <w:szCs w:val="16"/>
                <w:b w:val="1"/>
                <w:bCs w:val="1"/>
                <w:color w:val="231F20"/>
              </w:rPr>
              <w:t>Dow Jones US Exploration &amp; Production</w:t>
            </w:r>
          </w:p>
        </w:tc>
        <w:tc>
          <w:tcPr>
            <w:tcW w:w="1540" w:type="dxa"/>
            <w:vAlign w:val="bottom"/>
          </w:tcPr>
          <w:p>
            <w:pPr>
              <w:jc w:val="center"/>
              <w:ind w:left="700"/>
              <w:spacing w:after="0"/>
              <w:rPr>
                <w:sz w:val="20"/>
                <w:szCs w:val="20"/>
                <w:color w:val="auto"/>
              </w:rPr>
            </w:pPr>
            <w:r>
              <w:rPr>
                <w:rFonts w:ascii="Arial" w:cs="Arial" w:eastAsia="Arial" w:hAnsi="Arial"/>
                <w:sz w:val="16"/>
                <w:szCs w:val="16"/>
                <w:b w:val="1"/>
                <w:bCs w:val="1"/>
                <w:color w:val="231F20"/>
                <w:w w:val="96"/>
              </w:rPr>
              <w:t>$100.00</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$170.92</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$272.74</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$285.07</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$280.73</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231F20"/>
              </w:rPr>
              <w:t>$295.11</w:t>
            </w:r>
          </w:p>
        </w:tc>
      </w:tr>
      <w:tr>
        <w:trPr>
          <w:trHeight w:val="200"/>
        </w:trPr>
        <w:tc>
          <w:tcPr>
            <w:tcW w:w="3940" w:type="dxa"/>
            <w:vAlign w:val="bottom"/>
          </w:tcPr>
          <w:p>
            <w:pPr>
              <w:spacing w:after="0"/>
              <w:rPr>
                <w:sz w:val="20"/>
                <w:szCs w:val="20"/>
                <w:color w:val="auto"/>
              </w:rPr>
            </w:pPr>
            <w:r>
              <w:rPr>
                <w:rFonts w:ascii="Arial" w:cs="Arial" w:eastAsia="Arial" w:hAnsi="Arial"/>
                <w:sz w:val="16"/>
                <w:szCs w:val="16"/>
                <w:b w:val="1"/>
                <w:bCs w:val="1"/>
                <w:color w:val="231F20"/>
              </w:rPr>
              <w:t>2024 Peer Group</w:t>
            </w:r>
          </w:p>
        </w:tc>
        <w:tc>
          <w:tcPr>
            <w:tcW w:w="1540" w:type="dxa"/>
            <w:vAlign w:val="bottom"/>
          </w:tcPr>
          <w:p>
            <w:pPr>
              <w:jc w:val="center"/>
              <w:ind w:left="700"/>
              <w:spacing w:after="0"/>
              <w:rPr>
                <w:sz w:val="20"/>
                <w:szCs w:val="20"/>
                <w:color w:val="auto"/>
              </w:rPr>
            </w:pPr>
            <w:r>
              <w:rPr>
                <w:rFonts w:ascii="Arial" w:cs="Arial" w:eastAsia="Arial" w:hAnsi="Arial"/>
                <w:sz w:val="16"/>
                <w:szCs w:val="16"/>
                <w:b w:val="1"/>
                <w:bCs w:val="1"/>
                <w:color w:val="231F20"/>
                <w:w w:val="96"/>
              </w:rPr>
              <w:t>$100.00</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$247.35</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$383.48</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$381.39</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$376.47</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231F20"/>
              </w:rPr>
              <w:t>$343.91</w:t>
            </w:r>
          </w:p>
        </w:tc>
      </w:tr>
      <w:tr>
        <w:trPr>
          <w:trHeight w:val="200"/>
        </w:trPr>
        <w:tc>
          <w:tcPr>
            <w:tcW w:w="3940" w:type="dxa"/>
            <w:vAlign w:val="bottom"/>
          </w:tcPr>
          <w:p>
            <w:pPr>
              <w:spacing w:after="0"/>
              <w:rPr>
                <w:sz w:val="20"/>
                <w:szCs w:val="20"/>
                <w:color w:val="auto"/>
              </w:rPr>
            </w:pPr>
            <w:r>
              <w:rPr>
                <w:rFonts w:ascii="Arial" w:cs="Arial" w:eastAsia="Arial" w:hAnsi="Arial"/>
                <w:sz w:val="16"/>
                <w:szCs w:val="16"/>
                <w:b w:val="1"/>
                <w:bCs w:val="1"/>
                <w:color w:val="231F20"/>
              </w:rPr>
              <w:t>2025 Peer Group</w:t>
            </w:r>
          </w:p>
        </w:tc>
        <w:tc>
          <w:tcPr>
            <w:tcW w:w="1540" w:type="dxa"/>
            <w:vAlign w:val="bottom"/>
          </w:tcPr>
          <w:p>
            <w:pPr>
              <w:jc w:val="center"/>
              <w:ind w:left="700"/>
              <w:spacing w:after="0"/>
              <w:rPr>
                <w:sz w:val="20"/>
                <w:szCs w:val="20"/>
                <w:color w:val="auto"/>
              </w:rPr>
            </w:pPr>
            <w:r>
              <w:rPr>
                <w:rFonts w:ascii="Arial" w:cs="Arial" w:eastAsia="Arial" w:hAnsi="Arial"/>
                <w:sz w:val="16"/>
                <w:szCs w:val="16"/>
                <w:b w:val="1"/>
                <w:bCs w:val="1"/>
                <w:color w:val="231F20"/>
                <w:w w:val="96"/>
              </w:rPr>
              <w:t>$100.00</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$237.14</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$356.11</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$362.06</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231F20"/>
              </w:rPr>
              <w:t>$338.68</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231F20"/>
              </w:rPr>
              <w:t>$299.13</w:t>
            </w:r>
          </w:p>
        </w:tc>
      </w:tr>
    </w:tbl>
    <w:p>
      <w:pPr>
        <w:spacing w:after="0" w:line="381" w:lineRule="exact"/>
        <w:rPr>
          <w:sz w:val="20"/>
          <w:szCs w:val="20"/>
          <w:color w:val="auto"/>
        </w:rPr>
      </w:pPr>
    </w:p>
    <w:p>
      <w:pPr>
        <w:ind w:right="40"/>
        <w:spacing w:after="0" w:line="259" w:lineRule="auto"/>
        <w:tabs>
          <w:tab w:leader="none" w:pos="106"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ectPr>
          <w:pgSz w:w="11880" w:h="15480" w:orient="portrait"/>
          <w:cols w:equalWidth="0" w:num="1">
            <w:col w:w="9120"/>
          </w:cols>
          <w:pgMar w:left="1380" w:top="120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62</w:t>
      </w:r>
    </w:p>
    <w:p>
      <w:pPr>
        <w:sectPr>
          <w:pgSz w:w="11880" w:h="15480" w:orient="portrait"/>
          <w:cols w:equalWidth="0" w:num="1">
            <w:col w:w="9120"/>
          </w:cols>
          <w:pgMar w:left="1380" w:top="1206" w:right="1380" w:bottom="655" w:gutter="0" w:footer="0" w:header="0"/>
          <w:type w:val="continuous"/>
        </w:sectPr>
      </w:pPr>
    </w:p>
    <w:bookmarkStart w:id="66" w:name="page67"/>
    <w:bookmarkEnd w:id="66"/>
    <w:p>
      <w:pPr>
        <w:spacing w:after="0"/>
        <w:tabs>
          <w:tab w:leader="none" w:pos="880" w:val="left"/>
        </w:tabs>
        <w:rPr>
          <w:sz w:val="20"/>
          <w:szCs w:val="20"/>
          <w:color w:val="auto"/>
        </w:rPr>
      </w:pPr>
      <w:r>
        <w:rPr>
          <w:rFonts w:ascii="Arial" w:cs="Arial" w:eastAsia="Arial" w:hAnsi="Arial"/>
          <w:sz w:val="20"/>
          <w:szCs w:val="20"/>
          <w:b w:val="1"/>
          <w:bCs w:val="1"/>
          <w:color w:val="231F20"/>
        </w:rPr>
        <w:t>ITEM 6</w:t>
      </w:r>
      <w:r>
        <w:rPr>
          <w:sz w:val="20"/>
          <w:szCs w:val="20"/>
          <w:color w:val="auto"/>
        </w:rPr>
        <w:tab/>
      </w:r>
      <w:r>
        <w:rPr>
          <w:rFonts w:ascii="Arial" w:cs="Arial" w:eastAsia="Arial" w:hAnsi="Arial"/>
          <w:sz w:val="19"/>
          <w:szCs w:val="19"/>
          <w:b w:val="1"/>
          <w:bCs w:val="1"/>
          <w:color w:val="231F20"/>
        </w:rPr>
        <w:t>RESERVED</w:t>
      </w:r>
    </w:p>
    <w:p>
      <w:pPr>
        <w:sectPr>
          <w:pgSz w:w="11880" w:h="15480" w:orient="portrait"/>
          <w:cols w:equalWidth="0" w:num="1">
            <w:col w:w="9060"/>
          </w:cols>
          <w:pgMar w:left="1380" w:top="1310"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63</w:t>
      </w:r>
    </w:p>
    <w:p>
      <w:pPr>
        <w:sectPr>
          <w:pgSz w:w="11880" w:h="15480" w:orient="portrait"/>
          <w:cols w:equalWidth="0" w:num="1">
            <w:col w:w="9060"/>
          </w:cols>
          <w:pgMar w:left="1380" w:top="1310" w:right="1440" w:bottom="653" w:gutter="0" w:footer="0" w:header="0"/>
          <w:type w:val="continuous"/>
        </w:sectPr>
      </w:pPr>
    </w:p>
    <w:bookmarkStart w:id="67" w:name="page68"/>
    <w:bookmarkEnd w:id="67"/>
    <w:p>
      <w:pPr>
        <w:ind w:left="900" w:right="560" w:hanging="899"/>
        <w:spacing w:after="0" w:line="248" w:lineRule="auto"/>
        <w:tabs>
          <w:tab w:leader="none" w:pos="880" w:val="left"/>
        </w:tabs>
        <w:rPr>
          <w:sz w:val="20"/>
          <w:szCs w:val="20"/>
          <w:color w:val="auto"/>
        </w:rPr>
      </w:pPr>
      <w:r>
        <w:rPr>
          <w:rFonts w:ascii="Arial" w:cs="Arial" w:eastAsia="Arial" w:hAnsi="Arial"/>
          <w:sz w:val="20"/>
          <w:szCs w:val="20"/>
          <w:b w:val="1"/>
          <w:bCs w:val="1"/>
          <w:color w:val="231F20"/>
        </w:rPr>
        <w:t>ITEM 7</w:t>
        <w:tab/>
        <w:t>MANAGEMENT’S DISCUSSION AND ANALYSIS OF FINANCIAL CONDITION AND RESULTS OF OPERATIONS</w:t>
      </w:r>
    </w:p>
    <w:p>
      <w:pPr>
        <w:spacing w:after="0" w:line="173" w:lineRule="exact"/>
        <w:rPr>
          <w:sz w:val="20"/>
          <w:szCs w:val="20"/>
          <w:color w:val="auto"/>
        </w:rPr>
      </w:pPr>
    </w:p>
    <w:p>
      <w:pPr>
        <w:ind w:right="180" w:firstLine="300"/>
        <w:spacing w:after="0" w:line="247" w:lineRule="auto"/>
        <w:rPr>
          <w:sz w:val="20"/>
          <w:szCs w:val="20"/>
          <w:color w:val="auto"/>
        </w:rPr>
      </w:pPr>
      <w:r>
        <w:rPr>
          <w:rFonts w:ascii="Arial" w:cs="Arial" w:eastAsia="Arial" w:hAnsi="Arial"/>
          <w:sz w:val="20"/>
          <w:szCs w:val="20"/>
          <w:color w:val="231F20"/>
        </w:rPr>
        <w:t xml:space="preserve">The following discussion should be read in conjunction with other sections of this report, including but not limited to, </w:t>
      </w:r>
      <w:r>
        <w:rPr>
          <w:rFonts w:ascii="Arial" w:cs="Arial" w:eastAsia="Arial" w:hAnsi="Arial"/>
          <w:sz w:val="20"/>
          <w:szCs w:val="20"/>
          <w:i w:val="1"/>
          <w:iCs w:val="1"/>
          <w:color w:val="231F20"/>
        </w:rPr>
        <w:t>Part I, Item 1 and 2 – Business and Properties</w:t>
      </w:r>
      <w:r>
        <w:rPr>
          <w:rFonts w:ascii="Arial" w:cs="Arial" w:eastAsia="Arial" w:hAnsi="Arial"/>
          <w:sz w:val="20"/>
          <w:szCs w:val="20"/>
          <w:color w:val="231F20"/>
        </w:rPr>
        <w:t xml:space="preserve"> and </w:t>
      </w:r>
      <w:r>
        <w:rPr>
          <w:rFonts w:ascii="Arial" w:cs="Arial" w:eastAsia="Arial" w:hAnsi="Arial"/>
          <w:sz w:val="20"/>
          <w:szCs w:val="20"/>
          <w:i w:val="1"/>
          <w:iCs w:val="1"/>
          <w:color w:val="231F20"/>
        </w:rPr>
        <w:t>Part II, Item 8 – Financial</w:t>
      </w:r>
      <w:r>
        <w:rPr>
          <w:rFonts w:ascii="Arial" w:cs="Arial" w:eastAsia="Arial" w:hAnsi="Arial"/>
          <w:sz w:val="20"/>
          <w:szCs w:val="20"/>
          <w:color w:val="231F20"/>
        </w:rPr>
        <w:t xml:space="preserve"> </w:t>
      </w:r>
      <w:r>
        <w:rPr>
          <w:rFonts w:ascii="Arial" w:cs="Arial" w:eastAsia="Arial" w:hAnsi="Arial"/>
          <w:sz w:val="20"/>
          <w:szCs w:val="20"/>
          <w:i w:val="1"/>
          <w:iCs w:val="1"/>
          <w:color w:val="231F20"/>
        </w:rPr>
        <w:t>Statements and Supplementary Data.</w:t>
      </w:r>
    </w:p>
    <w:p>
      <w:pPr>
        <w:spacing w:after="0" w:line="170"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 xml:space="preserve">See </w:t>
      </w:r>
      <w:r>
        <w:rPr>
          <w:rFonts w:ascii="Arial" w:cs="Arial" w:eastAsia="Arial" w:hAnsi="Arial"/>
          <w:sz w:val="20"/>
          <w:szCs w:val="20"/>
          <w:i w:val="1"/>
          <w:iCs w:val="1"/>
          <w:color w:val="231F20"/>
        </w:rPr>
        <w:t>Part II, Item 7 – Management’s Discussion and Analysis of Financial Condition and Results of</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Operations </w:t>
      </w:r>
      <w:r>
        <w:rPr>
          <w:rFonts w:ascii="Arial" w:cs="Arial" w:eastAsia="Arial" w:hAnsi="Arial"/>
          <w:sz w:val="20"/>
          <w:szCs w:val="20"/>
          <w:color w:val="231F20"/>
        </w:rPr>
        <w:t>in our Annual Report on Form 10-K for the year ended December 31, 2024 (2024 Annual</w:t>
      </w:r>
      <w:r>
        <w:rPr>
          <w:rFonts w:ascii="Arial" w:cs="Arial" w:eastAsia="Arial" w:hAnsi="Arial"/>
          <w:sz w:val="20"/>
          <w:szCs w:val="20"/>
          <w:i w:val="1"/>
          <w:iCs w:val="1"/>
          <w:color w:val="231F20"/>
        </w:rPr>
        <w:t xml:space="preserve"> </w:t>
      </w:r>
      <w:r>
        <w:rPr>
          <w:rFonts w:ascii="Arial" w:cs="Arial" w:eastAsia="Arial" w:hAnsi="Arial"/>
          <w:sz w:val="20"/>
          <w:szCs w:val="20"/>
          <w:color w:val="231F20"/>
        </w:rPr>
        <w:t>Report) for our analysis of the changes in our consolidated statements of operations and statements of cash flows for the year ended December 31, 2024 compared to December 31, 2023.</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Basis of Presentation</w:t>
      </w:r>
    </w:p>
    <w:p>
      <w:pPr>
        <w:spacing w:after="0" w:line="18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All financial information presented consists of our consolidated results of operations, financial position and cash flows unless otherwise indicated. We have eliminated all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 In applying the equity method of accounting, our investments in our unconsolidated subsidiaries are recognized either at cost, as is the case with Carbon TerraVault JV HoldCo, LLC, or at fair value if acquired in a business combination, as is the case for Midway Sunset Cogeneration Company. These investments are then adjusted for our proportionate share of income or loss in addition to contributions and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Supply Chain and Inflation</w:t>
      </w:r>
    </w:p>
    <w:p>
      <w:pPr>
        <w:spacing w:after="0" w:line="179"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We continued to experience relatively flat pricing from our suppliers during the year ended December 31, 2025 compared to the prior year. U.S. tariff policy regarding both country of origin and material type remains highly uncertain and subject to future changes. During 2025, the United States expanded tariff rates on imported goods including a 50% tariff on the steel and aluminum value of imported products. If sustained, these expanded tariff rates could increase our cost of oilfield goods and extend delivery lead times over the longer term. We have taken measures to limit the effects of potential price increases caused by the recent expansion of U.S. tariffs by entering into fixed price contracts with terms of one to three years for a significant majority of our materials and services based on our current expected development plans. We also pre-purchased inventory prior to the implementation of the tariffs and continue to purchase from vendors who source domestic content to limit the impact of foreign tariffs on our business. Overall, we expect minimal impact from tariffs on our supply chain in 2026. However, if the current tariff regime persists or expands, our inventory, capital and operating costs could increase over the long term.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Statement of Operations Analysis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Consolidated Results of Operations</w:t>
      </w:r>
    </w:p>
    <w:p>
      <w:pPr>
        <w:spacing w:after="0" w:line="179"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 xml:space="preserve">Our consolidated results of operations include the results of Berry beginning December 18, 2025, the closing date of the Berry Merger. Our consolidated results of operations include the results of Aera beginning July 1, 2024, the closing date of the Aera Merger. For more information on the Berry Merger and the Aera Merger, see </w:t>
      </w:r>
      <w:r>
        <w:rPr>
          <w:rFonts w:ascii="Arial" w:cs="Arial" w:eastAsia="Arial" w:hAnsi="Arial"/>
          <w:sz w:val="20"/>
          <w:szCs w:val="20"/>
          <w:i w:val="1"/>
          <w:iCs w:val="1"/>
          <w:color w:val="231F20"/>
        </w:rPr>
        <w:t>Part II, Item 8 – Financial Statements and Supplementary Data, Note 2</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Business Combinations. </w:t>
      </w:r>
      <w:r>
        <w:rPr>
          <w:rFonts w:ascii="Arial" w:cs="Arial" w:eastAsia="Arial" w:hAnsi="Arial"/>
          <w:sz w:val="20"/>
          <w:szCs w:val="20"/>
          <w:color w:val="231F20"/>
        </w:rPr>
        <w:t>The Aera Merger and related integration activities significantly impacted the</w:t>
      </w:r>
      <w:r>
        <w:rPr>
          <w:rFonts w:ascii="Arial" w:cs="Arial" w:eastAsia="Arial" w:hAnsi="Arial"/>
          <w:sz w:val="20"/>
          <w:szCs w:val="20"/>
          <w:i w:val="1"/>
          <w:iCs w:val="1"/>
          <w:color w:val="231F20"/>
        </w:rPr>
        <w:t xml:space="preserve"> </w:t>
      </w:r>
      <w:r>
        <w:rPr>
          <w:rFonts w:ascii="Arial" w:cs="Arial" w:eastAsia="Arial" w:hAnsi="Arial"/>
          <w:sz w:val="20"/>
          <w:szCs w:val="20"/>
          <w:color w:val="231F20"/>
        </w:rPr>
        <w:t>comparability of our financial results for the year ended December 31, 2025 compared to the prior year.</w:t>
      </w:r>
    </w:p>
    <w:p>
      <w:pPr>
        <w:spacing w:after="0" w:line="207" w:lineRule="exact"/>
        <w:rPr>
          <w:sz w:val="20"/>
          <w:szCs w:val="20"/>
          <w:color w:val="auto"/>
        </w:rPr>
      </w:pPr>
    </w:p>
    <w:p>
      <w:pPr>
        <w:ind w:right="80" w:firstLine="300"/>
        <w:spacing w:after="0" w:line="243" w:lineRule="auto"/>
        <w:rPr>
          <w:sz w:val="20"/>
          <w:szCs w:val="20"/>
          <w:color w:val="auto"/>
        </w:rPr>
      </w:pPr>
      <w:r>
        <w:rPr>
          <w:rFonts w:ascii="Arial" w:cs="Arial" w:eastAsia="Arial" w:hAnsi="Arial"/>
          <w:sz w:val="20"/>
          <w:szCs w:val="20"/>
          <w:color w:val="231F20"/>
        </w:rPr>
        <w:t>For financial information related to our subsidiaries designated as Unrestricted Subsidiaries under the 2026 Senior Notes Indenture, 2029 Senior Notes Indenture and 2034 Senior Notes Indenture, see</w:t>
      </w:r>
    </w:p>
    <w:p>
      <w:pPr>
        <w:sectPr>
          <w:pgSz w:w="11880" w:h="15480" w:orient="portrait"/>
          <w:cols w:equalWidth="0" w:num="1">
            <w:col w:w="9080"/>
          </w:cols>
          <w:pgMar w:left="1380" w:top="1312" w:right="1420" w:bottom="653" w:gutter="0" w:footer="0" w:header="0"/>
        </w:sect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64</w:t>
      </w:r>
    </w:p>
    <w:p>
      <w:pPr>
        <w:sectPr>
          <w:pgSz w:w="11880" w:h="15480" w:orient="portrait"/>
          <w:cols w:equalWidth="0" w:num="1">
            <w:col w:w="9080"/>
          </w:cols>
          <w:pgMar w:left="1380" w:top="1312" w:right="1420" w:bottom="653" w:gutter="0" w:footer="0" w:header="0"/>
          <w:type w:val="continuous"/>
        </w:sectPr>
      </w:pPr>
    </w:p>
    <w:bookmarkStart w:id="68" w:name="page69"/>
    <w:bookmarkEnd w:id="68"/>
    <w:p>
      <w:pPr>
        <w:ind w:right="460"/>
        <w:spacing w:after="0" w:line="247" w:lineRule="auto"/>
        <w:rPr>
          <w:sz w:val="20"/>
          <w:szCs w:val="20"/>
          <w:color w:val="auto"/>
        </w:rPr>
      </w:pPr>
      <w:r>
        <w:rPr>
          <w:rFonts w:ascii="Arial" w:cs="Arial" w:eastAsia="Arial" w:hAnsi="Arial"/>
          <w:sz w:val="20"/>
          <w:szCs w:val="20"/>
          <w:i w:val="1"/>
          <w:iCs w:val="1"/>
          <w:color w:val="231F20"/>
        </w:rPr>
        <w:t>Part II, Item 8 – Financial Statements and Supplementary Data, Note 18 Condensed Consolidating Financial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Year Ended December 31, 2025 vs. 2024</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following table presents our consolidated operating revenues: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20"/>
                <w:szCs w:val="20"/>
                <w:b w:val="1"/>
                <w:bCs w:val="1"/>
                <w:color w:val="231F20"/>
              </w:rPr>
              <w:t>Year ended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20"/>
                <w:szCs w:val="20"/>
                <w:b w:val="1"/>
                <w:bCs w:val="1"/>
                <w:color w:val="231F20"/>
              </w:rPr>
              <w:t>Year ended</w:t>
            </w:r>
          </w:p>
        </w:tc>
      </w:tr>
      <w:tr>
        <w:trPr>
          <w:trHeight w:val="248"/>
        </w:trPr>
        <w:tc>
          <w:tcPr>
            <w:tcW w:w="6200" w:type="dxa"/>
            <w:vAlign w:val="bottom"/>
          </w:tcPr>
          <w:p>
            <w:pPr>
              <w:spacing w:after="0"/>
              <w:rPr>
                <w:sz w:val="21"/>
                <w:szCs w:val="21"/>
                <w:color w:val="auto"/>
              </w:rPr>
            </w:pPr>
          </w:p>
        </w:tc>
        <w:tc>
          <w:tcPr>
            <w:tcW w:w="1360" w:type="dxa"/>
            <w:vAlign w:val="bottom"/>
            <w:tcBorders>
              <w:bottom w:val="single" w:sz="8" w:color="231F20"/>
            </w:tcBorders>
            <w:gridSpan w:val="4"/>
          </w:tcPr>
          <w:p>
            <w:pPr>
              <w:jc w:val="right"/>
              <w:ind w:right="20"/>
              <w:spacing w:after="0"/>
              <w:rPr>
                <w:sz w:val="20"/>
                <w:szCs w:val="20"/>
                <w:color w:val="auto"/>
              </w:rPr>
            </w:pPr>
            <w:r>
              <w:rPr>
                <w:rFonts w:ascii="Arial" w:cs="Arial" w:eastAsia="Arial" w:hAnsi="Arial"/>
                <w:sz w:val="20"/>
                <w:szCs w:val="20"/>
                <w:b w:val="1"/>
                <w:bCs w:val="1"/>
                <w:color w:val="231F20"/>
              </w:rPr>
              <w:t>December 31,</w:t>
            </w:r>
          </w:p>
        </w:tc>
        <w:tc>
          <w:tcPr>
            <w:tcW w:w="200" w:type="dxa"/>
            <w:vAlign w:val="bottom"/>
          </w:tcPr>
          <w:p>
            <w:pPr>
              <w:spacing w:after="0"/>
              <w:rPr>
                <w:sz w:val="21"/>
                <w:szCs w:val="21"/>
                <w:color w:val="auto"/>
              </w:rPr>
            </w:pPr>
          </w:p>
        </w:tc>
        <w:tc>
          <w:tcPr>
            <w:tcW w:w="1360" w:type="dxa"/>
            <w:vAlign w:val="bottom"/>
            <w:tcBorders>
              <w:bottom w:val="single" w:sz="8" w:color="231F20"/>
            </w:tcBorders>
            <w:gridSpan w:val="4"/>
          </w:tcPr>
          <w:p>
            <w:pPr>
              <w:ind w:left="40"/>
              <w:spacing w:after="0" w:line="228" w:lineRule="exact"/>
              <w:rPr>
                <w:sz w:val="20"/>
                <w:szCs w:val="20"/>
                <w:color w:val="auto"/>
              </w:rPr>
            </w:pPr>
            <w:r>
              <w:rPr>
                <w:rFonts w:ascii="Arial" w:cs="Arial" w:eastAsia="Arial" w:hAnsi="Arial"/>
                <w:sz w:val="20"/>
                <w:szCs w:val="20"/>
                <w:b w:val="1"/>
                <w:bCs w:val="1"/>
                <w:color w:val="231F20"/>
                <w:w w:val="99"/>
              </w:rPr>
              <w:t>December 31,</w:t>
            </w:r>
          </w:p>
        </w:tc>
      </w:tr>
      <w:tr>
        <w:trPr>
          <w:trHeight w:val="260"/>
        </w:trPr>
        <w:tc>
          <w:tcPr>
            <w:tcW w:w="620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243"/>
              <w:spacing w:after="0"/>
              <w:rPr>
                <w:sz w:val="20"/>
                <w:szCs w:val="20"/>
                <w:color w:val="auto"/>
              </w:rPr>
            </w:pPr>
            <w:r>
              <w:rPr>
                <w:rFonts w:ascii="Arial" w:cs="Arial" w:eastAsia="Arial" w:hAnsi="Arial"/>
                <w:sz w:val="20"/>
                <w:szCs w:val="20"/>
                <w:b w:val="1"/>
                <w:bCs w:val="1"/>
                <w:color w:val="231F20"/>
              </w:rPr>
              <w:t>2025</w:t>
            </w:r>
          </w:p>
        </w:tc>
        <w:tc>
          <w:tcPr>
            <w:tcW w:w="120" w:type="dxa"/>
            <w:vAlign w:val="bottom"/>
            <w:tcBorders>
              <w:bottom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40"/>
              <w:spacing w:after="0"/>
              <w:rPr>
                <w:sz w:val="20"/>
                <w:szCs w:val="20"/>
                <w:color w:val="auto"/>
              </w:rPr>
            </w:pPr>
            <w:r>
              <w:rPr>
                <w:rFonts w:ascii="Arial" w:cs="Arial" w:eastAsia="Arial" w:hAnsi="Arial"/>
                <w:sz w:val="20"/>
                <w:szCs w:val="20"/>
                <w:b w:val="1"/>
                <w:bCs w:val="1"/>
                <w:color w:val="231F20"/>
              </w:rPr>
              <w:t>2024</w:t>
            </w:r>
          </w:p>
        </w:tc>
        <w:tc>
          <w:tcPr>
            <w:tcW w:w="120" w:type="dxa"/>
            <w:vAlign w:val="bottom"/>
            <w:tcBorders>
              <w:bottom w:val="single" w:sz="8" w:color="231F20"/>
            </w:tcBorders>
          </w:tcPr>
          <w:p>
            <w:pPr>
              <w:spacing w:after="0"/>
              <w:rPr>
                <w:sz w:val="22"/>
                <w:szCs w:val="22"/>
                <w:color w:val="auto"/>
              </w:rPr>
            </w:pPr>
          </w:p>
        </w:tc>
      </w:t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5"/>
          </w:tcPr>
          <w:p>
            <w:pPr>
              <w:ind w:left="700"/>
              <w:spacing w:after="0"/>
              <w:rPr>
                <w:sz w:val="20"/>
                <w:szCs w:val="20"/>
                <w:color w:val="auto"/>
              </w:rPr>
            </w:pPr>
            <w:r>
              <w:rPr>
                <w:rFonts w:ascii="Arial" w:cs="Arial" w:eastAsia="Arial" w:hAnsi="Arial"/>
                <w:sz w:val="16"/>
                <w:szCs w:val="16"/>
                <w:color w:val="231F20"/>
              </w:rPr>
              <w:t>(in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8"/>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8"/>
              </w:rPr>
              <w:t>Oil, natural gas and natural gas liquids sales  . . . . . . . . . . . . . . . . . . .</w:t>
            </w:r>
          </w:p>
        </w:tc>
        <w:tc>
          <w:tcPr>
            <w:tcW w:w="360" w:type="dxa"/>
            <w:vAlign w:val="bottom"/>
            <w:gridSpan w:val="2"/>
          </w:tcPr>
          <w:p>
            <w:pPr>
              <w:ind w:left="140"/>
              <w:spacing w:after="0"/>
              <w:rPr>
                <w:sz w:val="20"/>
                <w:szCs w:val="20"/>
                <w:color w:val="auto"/>
              </w:rPr>
            </w:pPr>
            <w:r>
              <w:rPr>
                <w:rFonts w:ascii="Arial" w:cs="Arial" w:eastAsia="Arial" w:hAnsi="Arial"/>
                <w:sz w:val="20"/>
                <w:szCs w:val="20"/>
                <w:color w:val="231F20"/>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2,910</w:t>
            </w:r>
          </w:p>
        </w:tc>
        <w:tc>
          <w:tcPr>
            <w:tcW w:w="120" w:type="dxa"/>
            <w:vAlign w:val="bottom"/>
          </w:tcPr>
          <w:p>
            <w:pPr>
              <w:spacing w:after="0"/>
              <w:rPr>
                <w:sz w:val="21"/>
                <w:szCs w:val="21"/>
                <w:color w:val="auto"/>
              </w:rPr>
            </w:pPr>
          </w:p>
        </w:tc>
        <w:tc>
          <w:tcPr>
            <w:tcW w:w="580" w:type="dxa"/>
            <w:vAlign w:val="bottom"/>
            <w:gridSpan w:val="3"/>
          </w:tcPr>
          <w:p>
            <w:pPr>
              <w:ind w:left="320"/>
              <w:spacing w:after="0"/>
              <w:rPr>
                <w:sz w:val="20"/>
                <w:szCs w:val="20"/>
                <w:color w:val="auto"/>
              </w:rPr>
            </w:pPr>
            <w:r>
              <w:rPr>
                <w:rFonts w:ascii="Arial" w:cs="Arial" w:eastAsia="Arial" w:hAnsi="Arial"/>
                <w:sz w:val="20"/>
                <w:szCs w:val="20"/>
                <w:color w:val="231F20"/>
              </w:rPr>
              <w:t>$</w:t>
            </w: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231F20"/>
              </w:rPr>
              <w:t>2,537</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7"/>
              </w:rPr>
              <w:t>Net gain from commodity derivatives . . . . . . . . . . . . . . . . . . . . . . . . .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231F20"/>
              </w:rPr>
              <w:t>266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231F20"/>
              </w:rPr>
              <w:t>241</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9"/>
              </w:rPr>
              <w:t>Revenue from marketing of purchased commodities . . . . . . . . . . . .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231F20"/>
              </w:rPr>
              <w:t>238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231F20"/>
              </w:rPr>
              <w:t>235</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6"/>
              </w:rPr>
              <w:t>Electricity revenue . . . . . . . . . . . . . . . . . . . . . . . . . . . . . . . . . . . . . . . .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231F20"/>
              </w:rPr>
              <w:t>233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231F20"/>
              </w:rPr>
              <w:t>159</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6"/>
              </w:rPr>
              <w:t>Other revenue  . . . . . . . . . . . . . . . . . . . . . . . . . . . . . . . . . . . . . . . . . . .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231F20"/>
              </w:rPr>
              <w:t>26</w:t>
            </w:r>
          </w:p>
        </w:tc>
      </w:tr>
      <w:tr>
        <w:trPr>
          <w:trHeight w:val="30"/>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72"/>
        </w:trPr>
        <w:tc>
          <w:tcPr>
            <w:tcW w:w="6200" w:type="dxa"/>
            <w:vAlign w:val="bottom"/>
          </w:tcPr>
          <w:p>
            <w:pPr>
              <w:jc w:val="right"/>
              <w:ind w:right="100"/>
              <w:spacing w:after="0"/>
              <w:rPr>
                <w:sz w:val="20"/>
                <w:szCs w:val="20"/>
                <w:color w:val="auto"/>
              </w:rPr>
            </w:pPr>
            <w:r>
              <w:rPr>
                <w:rFonts w:ascii="Arial" w:cs="Arial" w:eastAsia="Arial" w:hAnsi="Arial"/>
                <w:sz w:val="20"/>
                <w:szCs w:val="20"/>
                <w:color w:val="231F20"/>
              </w:rPr>
              <w:t>Total operating revenues . . . . . . . . . . . . . . . . . . . . . . . . . . . . . . . .</w:t>
            </w:r>
          </w:p>
        </w:tc>
        <w:tc>
          <w:tcPr>
            <w:tcW w:w="360" w:type="dxa"/>
            <w:vAlign w:val="bottom"/>
            <w:gridSpan w:val="2"/>
          </w:tcPr>
          <w:p>
            <w:pPr>
              <w:ind w:left="140"/>
              <w:spacing w:after="0"/>
              <w:rPr>
                <w:sz w:val="20"/>
                <w:szCs w:val="20"/>
                <w:color w:val="auto"/>
              </w:rPr>
            </w:pPr>
            <w:r>
              <w:rPr>
                <w:rFonts w:ascii="Arial" w:cs="Arial" w:eastAsia="Arial" w:hAnsi="Arial"/>
                <w:sz w:val="20"/>
                <w:szCs w:val="20"/>
                <w:color w:val="231F20"/>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3,669</w:t>
            </w:r>
          </w:p>
        </w:tc>
        <w:tc>
          <w:tcPr>
            <w:tcW w:w="120" w:type="dxa"/>
            <w:vAlign w:val="bottom"/>
          </w:tcPr>
          <w:p>
            <w:pPr>
              <w:spacing w:after="0"/>
              <w:rPr>
                <w:sz w:val="23"/>
                <w:szCs w:val="23"/>
                <w:color w:val="auto"/>
              </w:rPr>
            </w:pPr>
          </w:p>
        </w:tc>
        <w:tc>
          <w:tcPr>
            <w:tcW w:w="580" w:type="dxa"/>
            <w:vAlign w:val="bottom"/>
            <w:gridSpan w:val="3"/>
          </w:tcPr>
          <w:p>
            <w:pPr>
              <w:ind w:left="320"/>
              <w:spacing w:after="0"/>
              <w:rPr>
                <w:sz w:val="20"/>
                <w:szCs w:val="20"/>
                <w:color w:val="auto"/>
              </w:rPr>
            </w:pPr>
            <w:r>
              <w:rPr>
                <w:rFonts w:ascii="Arial" w:cs="Arial" w:eastAsia="Arial" w:hAnsi="Arial"/>
                <w:sz w:val="20"/>
                <w:szCs w:val="20"/>
                <w:color w:val="231F20"/>
              </w:rPr>
              <w:t>$</w:t>
            </w:r>
          </w:p>
        </w:tc>
        <w:tc>
          <w:tcPr>
            <w:tcW w:w="980" w:type="dxa"/>
            <w:vAlign w:val="bottom"/>
            <w:gridSpan w:val="2"/>
          </w:tcPr>
          <w:p>
            <w:pPr>
              <w:jc w:val="right"/>
              <w:ind w:right="120"/>
              <w:spacing w:after="0"/>
              <w:rPr>
                <w:sz w:val="20"/>
                <w:szCs w:val="20"/>
                <w:color w:val="auto"/>
              </w:rPr>
            </w:pPr>
            <w:r>
              <w:rPr>
                <w:rFonts w:ascii="Arial" w:cs="Arial" w:eastAsia="Arial" w:hAnsi="Arial"/>
                <w:sz w:val="20"/>
                <w:szCs w:val="20"/>
                <w:color w:val="231F20"/>
              </w:rPr>
              <w:t>3,198</w:t>
            </w:r>
          </w:p>
        </w:tc>
      </w:tr>
      <w:tr>
        <w:trPr>
          <w:trHeight w:val="28"/>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b w:val="1"/>
          <w:bCs w:val="1"/>
          <w:i w:val="1"/>
          <w:iCs w:val="1"/>
          <w:color w:val="231F20"/>
        </w:rPr>
        <w:t xml:space="preserve">Oil, natural gas and natural gas liquids sales </w:t>
      </w:r>
      <w:r>
        <w:rPr>
          <w:rFonts w:ascii="Arial" w:cs="Arial" w:eastAsia="Arial" w:hAnsi="Arial"/>
          <w:sz w:val="20"/>
          <w:szCs w:val="20"/>
          <w:color w:val="231F20"/>
        </w:rPr>
        <w:t>– Oil, natural gas and natural gas liquids sales,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excluding the effects of cash settlements on our commodity derivative contracts, were $2,910 million for the year ended December 31, 2025, which is an increase of $373 million from $2,537 million for the year ended December 31, 2024. The following table shows changes in oil, natural gas and natural gas liquids sales for the year ended December 31, 2025 compared to the year ended December 31, 2024:</w:t>
      </w:r>
    </w:p>
    <w:p>
      <w:pPr>
        <w:sectPr>
          <w:pgSz w:w="11880" w:h="15480" w:orient="portrait"/>
          <w:cols w:equalWidth="0" w:num="1">
            <w:col w:w="9180"/>
          </w:cols>
          <w:pgMar w:left="1380" w:top="1312" w:right="13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231F20"/>
        </w:rPr>
        <w:t>Year ended December 31, 2024 . . . . . . . .</w:t>
      </w:r>
    </w:p>
    <w:p>
      <w:pPr>
        <w:spacing w:after="0" w:line="10" w:lineRule="exact"/>
        <w:rPr>
          <w:sz w:val="20"/>
          <w:szCs w:val="20"/>
          <w:color w:val="auto"/>
        </w:rPr>
      </w:pPr>
    </w:p>
    <w:p>
      <w:pPr>
        <w:spacing w:after="0"/>
        <w:tabs>
          <w:tab w:leader="none" w:pos="2480" w:val="left"/>
        </w:tabs>
        <w:rPr>
          <w:sz w:val="20"/>
          <w:szCs w:val="20"/>
          <w:color w:val="auto"/>
        </w:rPr>
      </w:pPr>
      <w:r>
        <w:rPr>
          <w:rFonts w:ascii="Arial" w:cs="Arial" w:eastAsia="Arial" w:hAnsi="Arial"/>
          <w:sz w:val="20"/>
          <w:szCs w:val="20"/>
          <w:color w:val="231F20"/>
        </w:rPr>
        <w:t>Changes in realized prices</w:t>
      </w:r>
      <w:r>
        <w:rPr>
          <w:sz w:val="20"/>
          <w:szCs w:val="20"/>
          <w:color w:val="auto"/>
        </w:rPr>
        <w:tab/>
      </w:r>
      <w:r>
        <w:rPr>
          <w:rFonts w:ascii="Arial" w:cs="Arial" w:eastAsia="Arial" w:hAnsi="Arial"/>
          <w:sz w:val="19"/>
          <w:szCs w:val="19"/>
          <w:color w:val="231F20"/>
        </w:rPr>
        <w:t>. . . . . . . . . . . .</w:t>
      </w:r>
    </w:p>
    <w:p>
      <w:pPr>
        <w:spacing w:after="0" w:line="10" w:lineRule="exact"/>
        <w:rPr>
          <w:sz w:val="20"/>
          <w:szCs w:val="20"/>
          <w:color w:val="auto"/>
        </w:rPr>
      </w:pPr>
    </w:p>
    <w:p>
      <w:pPr>
        <w:spacing w:after="0"/>
        <w:tabs>
          <w:tab w:leader="none" w:pos="3020" w:val="left"/>
        </w:tabs>
        <w:rPr>
          <w:sz w:val="20"/>
          <w:szCs w:val="20"/>
          <w:color w:val="auto"/>
        </w:rPr>
      </w:pPr>
      <w:r>
        <w:rPr>
          <w:rFonts w:ascii="Arial" w:cs="Arial" w:eastAsia="Arial" w:hAnsi="Arial"/>
          <w:sz w:val="20"/>
          <w:szCs w:val="20"/>
          <w:color w:val="231F20"/>
        </w:rPr>
        <w:t>Changes in production and other</w:t>
      </w:r>
      <w:r>
        <w:rPr>
          <w:sz w:val="20"/>
          <w:szCs w:val="20"/>
          <w:color w:val="auto"/>
        </w:rPr>
        <w:tab/>
      </w:r>
      <w:r>
        <w:rPr>
          <w:rFonts w:ascii="Arial" w:cs="Arial" w:eastAsia="Arial" w:hAnsi="Arial"/>
          <w:sz w:val="19"/>
          <w:szCs w:val="19"/>
          <w:color w:val="231F20"/>
        </w:rPr>
        <w:t>. . . . . . .</w:t>
      </w:r>
    </w:p>
    <w:p>
      <w:pPr>
        <w:spacing w:after="0" w:line="10" w:lineRule="exact"/>
        <w:rPr>
          <w:sz w:val="20"/>
          <w:szCs w:val="20"/>
          <w:color w:val="auto"/>
        </w:rPr>
      </w:pPr>
    </w:p>
    <w:p>
      <w:pPr>
        <w:spacing w:after="0"/>
        <w:tabs>
          <w:tab w:leader="none" w:pos="3240" w:val="left"/>
        </w:tabs>
        <w:rPr>
          <w:sz w:val="20"/>
          <w:szCs w:val="20"/>
          <w:color w:val="auto"/>
        </w:rPr>
      </w:pPr>
      <w:r>
        <w:rPr>
          <w:rFonts w:ascii="Arial" w:cs="Arial" w:eastAsia="Arial" w:hAnsi="Arial"/>
          <w:sz w:val="20"/>
          <w:szCs w:val="20"/>
          <w:color w:val="231F20"/>
        </w:rPr>
        <w:t>Changes in intersegment revenues</w:t>
      </w:r>
      <w:r>
        <w:rPr>
          <w:sz w:val="20"/>
          <w:szCs w:val="20"/>
          <w:color w:val="auto"/>
        </w:rPr>
        <w:tab/>
      </w:r>
      <w:r>
        <w:rPr>
          <w:rFonts w:ascii="Arial" w:cs="Arial" w:eastAsia="Arial" w:hAnsi="Arial"/>
          <w:sz w:val="19"/>
          <w:szCs w:val="19"/>
          <w:color w:val="231F20"/>
        </w:rPr>
        <w:t>. . . . .</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231F20"/>
        </w:rPr>
        <w:t>Year ended December 31, 2025 . . . . . . . .</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20"/>
                <w:szCs w:val="20"/>
                <w:b w:val="1"/>
                <w:bCs w:val="1"/>
                <w:color w:val="231F20"/>
              </w:rPr>
              <w:t>Oil</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20"/>
                <w:szCs w:val="20"/>
                <w:b w:val="1"/>
                <w:bCs w:val="1"/>
                <w:color w:val="231F20"/>
              </w:rPr>
              <w:t>Natural</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23"/>
              <w:spacing w:after="0"/>
              <w:rPr>
                <w:sz w:val="20"/>
                <w:szCs w:val="20"/>
                <w:color w:val="auto"/>
              </w:rPr>
            </w:pPr>
            <w:r>
              <w:rPr>
                <w:rFonts w:ascii="Arial" w:cs="Arial" w:eastAsia="Arial" w:hAnsi="Arial"/>
                <w:sz w:val="20"/>
                <w:szCs w:val="20"/>
                <w:b w:val="1"/>
                <w:bCs w:val="1"/>
                <w:color w:val="231F20"/>
              </w:rPr>
              <w:t>NGLs</w:t>
            </w:r>
          </w:p>
        </w:tc>
        <w:tc>
          <w:tcPr>
            <w:tcW w:w="20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40"/>
              <w:spacing w:after="0"/>
              <w:rPr>
                <w:sz w:val="20"/>
                <w:szCs w:val="20"/>
                <w:color w:val="auto"/>
              </w:rPr>
            </w:pPr>
            <w:r>
              <w:rPr>
                <w:rFonts w:ascii="Arial" w:cs="Arial" w:eastAsia="Arial" w:hAnsi="Arial"/>
                <w:sz w:val="20"/>
                <w:szCs w:val="20"/>
                <w:b w:val="1"/>
                <w:bCs w:val="1"/>
                <w:color w:val="231F20"/>
              </w:rPr>
              <w:t>Gas</w:t>
            </w:r>
          </w:p>
        </w:tc>
        <w:tc>
          <w:tcPr>
            <w:tcW w:w="20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260"/>
              <w:spacing w:after="0"/>
              <w:rPr>
                <w:sz w:val="20"/>
                <w:szCs w:val="20"/>
                <w:color w:val="auto"/>
              </w:rPr>
            </w:pPr>
            <w:r>
              <w:rPr>
                <w:rFonts w:ascii="Arial" w:cs="Arial" w:eastAsia="Arial" w:hAnsi="Arial"/>
                <w:sz w:val="20"/>
                <w:szCs w:val="20"/>
                <w:b w:val="1"/>
                <w:bCs w:val="1"/>
                <w:color w:val="231F20"/>
              </w:rPr>
              <w:t>Total</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6"/>
                <w:szCs w:val="16"/>
                <w:color w:val="231F20"/>
              </w:rPr>
              <w:t>(in millions)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0" w:type="dxa"/>
            <w:vAlign w:val="bottom"/>
          </w:tcPr>
          <w:p>
            <w:pPr>
              <w:jc w:val="right"/>
              <w:ind w:right="80"/>
              <w:spacing w:after="0"/>
              <w:rPr>
                <w:sz w:val="20"/>
                <w:szCs w:val="20"/>
                <w:color w:val="auto"/>
              </w:rPr>
            </w:pPr>
            <w:r>
              <w:rPr>
                <w:rFonts w:ascii="Arial" w:cs="Arial" w:eastAsia="Arial" w:hAnsi="Arial"/>
                <w:sz w:val="20"/>
                <w:szCs w:val="20"/>
                <w:color w:val="231F20"/>
                <w:w w:val="71"/>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2,255</w:t>
            </w: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186</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96</w:t>
            </w:r>
          </w:p>
        </w:tc>
        <w:tc>
          <w:tcPr>
            <w:tcW w:w="44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2,537</w:t>
            </w: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(304)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24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(294)</w:t>
            </w: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696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688</w:t>
            </w:r>
          </w:p>
        </w:tc>
        <w:tc>
          <w:tcPr>
            <w:tcW w:w="0" w:type="dxa"/>
            <w:vAlign w:val="bottom"/>
          </w:tcPr>
          <w:p>
            <w:pPr>
              <w:spacing w:after="0"/>
              <w:rPr>
                <w:sz w:val="1"/>
                <w:szCs w:val="1"/>
                <w:color w:val="auto"/>
              </w:rPr>
            </w:pPr>
          </w:p>
        </w:tc>
      </w:tr>
      <w:tr>
        <w:trPr>
          <w:trHeight w:val="240"/>
        </w:trPr>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(21)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(21)</w:t>
            </w:r>
          </w:p>
        </w:tc>
        <w:tc>
          <w:tcPr>
            <w:tcW w:w="0" w:type="dxa"/>
            <w:vAlign w:val="bottom"/>
          </w:tcPr>
          <w:p>
            <w:pPr>
              <w:spacing w:after="0"/>
              <w:rPr>
                <w:sz w:val="1"/>
                <w:szCs w:val="1"/>
                <w:color w:val="auto"/>
              </w:rPr>
            </w:pPr>
          </w:p>
        </w:tc>
      </w:tr>
      <w:tr>
        <w:trPr>
          <w:trHeight w:val="28"/>
        </w:trPr>
        <w:tc>
          <w:tcPr>
            <w:tcW w:w="28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80" w:type="dxa"/>
            <w:vAlign w:val="bottom"/>
          </w:tcPr>
          <w:p>
            <w:pPr>
              <w:jc w:val="right"/>
              <w:ind w:right="80"/>
              <w:spacing w:after="0"/>
              <w:rPr>
                <w:sz w:val="20"/>
                <w:szCs w:val="20"/>
                <w:color w:val="auto"/>
              </w:rPr>
            </w:pPr>
            <w:r>
              <w:rPr>
                <w:rFonts w:ascii="Arial" w:cs="Arial" w:eastAsia="Arial" w:hAnsi="Arial"/>
                <w:sz w:val="20"/>
                <w:szCs w:val="20"/>
                <w:color w:val="231F20"/>
                <w:w w:val="71"/>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2,647</w:t>
            </w:r>
          </w:p>
        </w:tc>
        <w:tc>
          <w:tcPr>
            <w:tcW w:w="42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164</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99</w:t>
            </w:r>
          </w:p>
        </w:tc>
        <w:tc>
          <w:tcPr>
            <w:tcW w:w="44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2,910</w:t>
            </w:r>
          </w:p>
        </w:tc>
        <w:tc>
          <w:tcPr>
            <w:tcW w:w="0" w:type="dxa"/>
            <w:vAlign w:val="bottom"/>
          </w:tcPr>
          <w:p>
            <w:pPr>
              <w:spacing w:after="0"/>
              <w:rPr>
                <w:sz w:val="1"/>
                <w:szCs w:val="1"/>
                <w:color w:val="auto"/>
              </w:rPr>
            </w:pPr>
          </w:p>
        </w:tc>
      </w:tr>
      <w:tr>
        <w:trPr>
          <w:trHeight w:val="28"/>
        </w:trPr>
        <w:tc>
          <w:tcPr>
            <w:tcW w:w="28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ectPr>
          <w:pgSz w:w="11880" w:h="15480" w:orient="portrait"/>
          <w:cols w:equalWidth="0" w:num="2">
            <w:col w:w="3740" w:space="200"/>
            <w:col w:w="5240"/>
          </w:cols>
          <w:pgMar w:left="1380" w:top="1312" w:right="1320" w:bottom="655" w:gutter="0" w:footer="0" w:header="0"/>
          <w:type w:val="continuous"/>
        </w:sectPr>
      </w:pPr>
    </w:p>
    <w:p>
      <w:pPr>
        <w:ind w:right="640" w:firstLine="320"/>
        <w:spacing w:after="0" w:line="256" w:lineRule="auto"/>
        <w:rPr>
          <w:sz w:val="20"/>
          <w:szCs w:val="20"/>
          <w:color w:val="auto"/>
        </w:rPr>
      </w:pPr>
      <w:r>
        <w:rPr>
          <w:rFonts w:ascii="Arial" w:cs="Arial" w:eastAsia="Arial" w:hAnsi="Arial"/>
          <w:sz w:val="16"/>
          <w:szCs w:val="16"/>
          <w:color w:val="231F20"/>
        </w:rPr>
        <w:t xml:space="preserve">Note: See Results of Our Oil and Natural Gas Operations </w:t>
      </w:r>
      <w:r>
        <w:rPr>
          <w:rFonts w:ascii="Arial" w:cs="Arial" w:eastAsia="Arial" w:hAnsi="Arial"/>
          <w:sz w:val="16"/>
          <w:szCs w:val="16"/>
          <w:i w:val="1"/>
          <w:iCs w:val="1"/>
          <w:color w:val="231F20"/>
        </w:rPr>
        <w:t>Production</w:t>
      </w:r>
      <w:r>
        <w:rPr>
          <w:rFonts w:ascii="Arial" w:cs="Arial" w:eastAsia="Arial" w:hAnsi="Arial"/>
          <w:sz w:val="16"/>
          <w:szCs w:val="16"/>
          <w:color w:val="231F20"/>
        </w:rPr>
        <w:t xml:space="preserve"> for volumes by commodity type and </w:t>
      </w:r>
      <w:r>
        <w:rPr>
          <w:rFonts w:ascii="Arial" w:cs="Arial" w:eastAsia="Arial" w:hAnsi="Arial"/>
          <w:sz w:val="16"/>
          <w:szCs w:val="16"/>
          <w:i w:val="1"/>
          <w:iCs w:val="1"/>
          <w:color w:val="231F20"/>
        </w:rPr>
        <w:t>Prices and</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Realizations </w:t>
      </w:r>
      <w:r>
        <w:rPr>
          <w:rFonts w:ascii="Arial" w:cs="Arial" w:eastAsia="Arial" w:hAnsi="Arial"/>
          <w:sz w:val="16"/>
          <w:szCs w:val="16"/>
          <w:color w:val="231F20"/>
        </w:rPr>
        <w:t>for index and average realized prices for each period.</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231F20"/>
        </w:rPr>
        <w:t xml:space="preserve">Net gain from commodity derivatives </w:t>
      </w:r>
      <w:r>
        <w:rPr>
          <w:rFonts w:ascii="Arial" w:cs="Arial" w:eastAsia="Arial" w:hAnsi="Arial"/>
          <w:sz w:val="20"/>
          <w:szCs w:val="20"/>
          <w:i w:val="1"/>
          <w:i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We report gains and losses on our derivative contracts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related to our oil production and marketing activities in operating revenue. Net gain from commodity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231F20"/>
        </w:rPr>
        <w:t>derivatives was $266 million for the year ended December 31, 2025 compared to a net gain of</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$241 million for the year ended December 31, 2024. The change primarily resulted from payments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settle commodity derivative contracts and the non-cash changes in the fair value of our outstanding</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commodity derivatives from the positions held at the end of each measurement period. Gains 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losses from our commodity derivative contracts are shown in the table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231F20"/>
              </w:rPr>
              <w:t>Year ended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231F20"/>
              </w:rPr>
              <w:t>Year ended</w:t>
            </w:r>
          </w:p>
        </w:tc>
      </w:tr>
      <w:tr>
        <w:trPr>
          <w:trHeight w:val="248"/>
        </w:trPr>
        <w:tc>
          <w:tcPr>
            <w:tcW w:w="6040" w:type="dxa"/>
            <w:vAlign w:val="bottom"/>
          </w:tcPr>
          <w:p>
            <w:pPr>
              <w:spacing w:after="0"/>
              <w:rPr>
                <w:sz w:val="21"/>
                <w:szCs w:val="21"/>
                <w:color w:val="auto"/>
              </w:rPr>
            </w:pPr>
          </w:p>
        </w:tc>
        <w:tc>
          <w:tcPr>
            <w:tcW w:w="1460" w:type="dxa"/>
            <w:vAlign w:val="bottom"/>
            <w:gridSpan w:val="3"/>
          </w:tcPr>
          <w:p>
            <w:pPr>
              <w:jc w:val="center"/>
              <w:ind w:right="40"/>
              <w:spacing w:after="0" w:line="228" w:lineRule="exact"/>
              <w:rPr>
                <w:sz w:val="20"/>
                <w:szCs w:val="20"/>
                <w:color w:val="auto"/>
              </w:rPr>
            </w:pPr>
            <w:r>
              <w:rPr>
                <w:rFonts w:ascii="Arial" w:cs="Arial" w:eastAsia="Arial" w:hAnsi="Arial"/>
                <w:sz w:val="20"/>
                <w:szCs w:val="20"/>
                <w:b w:val="1"/>
                <w:bCs w:val="1"/>
                <w:color w:val="231F20"/>
                <w:w w:val="99"/>
              </w:rPr>
              <w:t>December 31,</w:t>
            </w:r>
          </w:p>
        </w:tc>
        <w:tc>
          <w:tcPr>
            <w:tcW w:w="180" w:type="dxa"/>
            <w:vAlign w:val="bottom"/>
          </w:tcPr>
          <w:p>
            <w:pPr>
              <w:spacing w:after="0"/>
              <w:rPr>
                <w:sz w:val="21"/>
                <w:szCs w:val="21"/>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20"/>
                <w:szCs w:val="20"/>
                <w:b w:val="1"/>
                <w:bCs w:val="1"/>
                <w:color w:val="231F20"/>
                <w:w w:val="99"/>
              </w:rPr>
              <w:t>December 31,</w:t>
            </w:r>
          </w:p>
        </w:tc>
      </w:tr>
      <w:tr>
        <w:trPr>
          <w:trHeight w:val="260"/>
        </w:trPr>
        <w:tc>
          <w:tcPr>
            <w:tcW w:w="6040" w:type="dxa"/>
            <w:vAlign w:val="bottom"/>
          </w:tcPr>
          <w:p>
            <w:pPr>
              <w:spacing w:after="0"/>
              <w:rPr>
                <w:sz w:val="22"/>
                <w:szCs w:val="22"/>
                <w:color w:val="auto"/>
              </w:rPr>
            </w:pPr>
          </w:p>
        </w:tc>
        <w:tc>
          <w:tcPr>
            <w:tcW w:w="140" w:type="dxa"/>
            <w:vAlign w:val="bottom"/>
            <w:tcBorders>
              <w:top w:val="single" w:sz="8" w:color="231F20"/>
              <w:bottom w:val="single" w:sz="8" w:color="231F20"/>
            </w:tcBorders>
          </w:tcPr>
          <w:p>
            <w:pPr>
              <w:spacing w:after="0"/>
              <w:rPr>
                <w:sz w:val="22"/>
                <w:szCs w:val="22"/>
                <w:color w:val="auto"/>
              </w:rPr>
            </w:pPr>
          </w:p>
        </w:tc>
        <w:tc>
          <w:tcPr>
            <w:tcW w:w="1300" w:type="dxa"/>
            <w:vAlign w:val="bottom"/>
            <w:tcBorders>
              <w:top w:val="single" w:sz="8" w:color="231F20"/>
              <w:bottom w:val="single" w:sz="8" w:color="231F20"/>
            </w:tcBorders>
          </w:tcPr>
          <w:p>
            <w:pPr>
              <w:jc w:val="center"/>
              <w:ind w:right="43"/>
              <w:spacing w:after="0"/>
              <w:rPr>
                <w:sz w:val="20"/>
                <w:szCs w:val="20"/>
                <w:color w:val="auto"/>
              </w:rPr>
            </w:pPr>
            <w:r>
              <w:rPr>
                <w:rFonts w:ascii="Arial" w:cs="Arial" w:eastAsia="Arial" w:hAnsi="Arial"/>
                <w:sz w:val="20"/>
                <w:szCs w:val="20"/>
                <w:b w:val="1"/>
                <w:bCs w:val="1"/>
                <w:color w:val="231F20"/>
                <w:w w:val="98"/>
              </w:rPr>
              <w:t>2025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231F20"/>
              <w:bottom w:val="single" w:sz="8" w:color="231F20"/>
            </w:tcBorders>
          </w:tcPr>
          <w:p>
            <w:pPr>
              <w:spacing w:after="0"/>
              <w:rPr>
                <w:sz w:val="22"/>
                <w:szCs w:val="22"/>
                <w:color w:val="auto"/>
              </w:rPr>
            </w:pPr>
          </w:p>
        </w:tc>
        <w:tc>
          <w:tcPr>
            <w:tcW w:w="1300" w:type="dxa"/>
            <w:vAlign w:val="bottom"/>
            <w:tcBorders>
              <w:top w:val="single" w:sz="8" w:color="231F20"/>
              <w:bottom w:val="single" w:sz="8" w:color="231F20"/>
            </w:tcBorders>
          </w:tcPr>
          <w:p>
            <w:pPr>
              <w:jc w:val="center"/>
              <w:ind w:right="40"/>
              <w:spacing w:after="0"/>
              <w:rPr>
                <w:sz w:val="20"/>
                <w:szCs w:val="20"/>
                <w:color w:val="auto"/>
              </w:rPr>
            </w:pPr>
            <w:r>
              <w:rPr>
                <w:rFonts w:ascii="Arial" w:cs="Arial" w:eastAsia="Arial" w:hAnsi="Arial"/>
                <w:sz w:val="20"/>
                <w:szCs w:val="20"/>
                <w:b w:val="1"/>
                <w:bCs w:val="1"/>
                <w:color w:val="231F20"/>
                <w:w w:val="98"/>
              </w:rPr>
              <w:t>2024</w:t>
            </w:r>
          </w:p>
        </w:tc>
        <w:tc>
          <w:tcPr>
            <w:tcW w:w="60" w:type="dxa"/>
            <w:vAlign w:val="bottom"/>
          </w:tcPr>
          <w:p>
            <w:pPr>
              <w:spacing w:after="0"/>
              <w:rPr>
                <w:sz w:val="22"/>
                <w:szCs w:val="22"/>
                <w:color w:val="auto"/>
              </w:rPr>
            </w:pPr>
          </w:p>
        </w:tc>
      </w:tr>
      <w:tr>
        <w:trPr>
          <w:trHeight w:val="192"/>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6"/>
          </w:tcPr>
          <w:p>
            <w:pPr>
              <w:jc w:val="right"/>
              <w:ind w:right="1200"/>
              <w:spacing w:after="0"/>
              <w:rPr>
                <w:sz w:val="20"/>
                <w:szCs w:val="20"/>
                <w:color w:val="auto"/>
              </w:rPr>
            </w:pPr>
            <w:r>
              <w:rPr>
                <w:rFonts w:ascii="Arial" w:cs="Arial" w:eastAsia="Arial" w:hAnsi="Arial"/>
                <w:sz w:val="16"/>
                <w:szCs w:val="16"/>
                <w:color w:val="231F20"/>
              </w:rPr>
              <w:t>(in millions)</w:t>
            </w:r>
          </w:p>
        </w:tc>
      </w:tr>
      <w:tr>
        <w:trPr>
          <w:trHeight w:val="250"/>
        </w:trPr>
        <w:tc>
          <w:tcPr>
            <w:tcW w:w="6040" w:type="dxa"/>
            <w:vAlign w:val="bottom"/>
          </w:tcPr>
          <w:p>
            <w:pPr>
              <w:jc w:val="right"/>
              <w:ind w:right="100"/>
              <w:spacing w:after="0"/>
              <w:rPr>
                <w:sz w:val="20"/>
                <w:szCs w:val="20"/>
                <w:color w:val="auto"/>
              </w:rPr>
            </w:pPr>
            <w:r>
              <w:rPr>
                <w:rFonts w:ascii="Arial" w:cs="Arial" w:eastAsia="Arial" w:hAnsi="Arial"/>
                <w:sz w:val="20"/>
                <w:szCs w:val="20"/>
                <w:color w:val="231F20"/>
                <w:w w:val="97"/>
              </w:rPr>
              <w:t>Non-cash commodity derivative gain  . . . .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231F20"/>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231F20"/>
              </w:rPr>
              <w:t>225</w:t>
            </w:r>
          </w:p>
        </w:tc>
        <w:tc>
          <w:tcPr>
            <w:tcW w:w="3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231F20"/>
              </w:rPr>
              <w:t>274</w:t>
            </w:r>
          </w:p>
        </w:tc>
      </w:tr>
      <w:tr>
        <w:trPr>
          <w:trHeight w:val="240"/>
        </w:trPr>
        <w:tc>
          <w:tcPr>
            <w:tcW w:w="6040" w:type="dxa"/>
            <w:vAlign w:val="bottom"/>
          </w:tcPr>
          <w:p>
            <w:pPr>
              <w:jc w:val="right"/>
              <w:ind w:right="100"/>
              <w:spacing w:after="0"/>
              <w:rPr>
                <w:sz w:val="20"/>
                <w:szCs w:val="20"/>
                <w:color w:val="auto"/>
              </w:rPr>
            </w:pPr>
            <w:r>
              <w:rPr>
                <w:rFonts w:ascii="Arial" w:cs="Arial" w:eastAsia="Arial" w:hAnsi="Arial"/>
                <w:sz w:val="20"/>
                <w:szCs w:val="20"/>
                <w:color w:val="231F20"/>
                <w:w w:val="98"/>
              </w:rPr>
              <w:t>Net proceeds (settlements) and premium amortization . . . . . . . . . .</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231F20"/>
              </w:rPr>
              <w:t>41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231F20"/>
              </w:rPr>
              <w:t>(33)</w:t>
            </w:r>
          </w:p>
        </w:tc>
      </w:tr>
      <w:tr>
        <w:trPr>
          <w:trHeight w:val="28"/>
        </w:trPr>
        <w:tc>
          <w:tcPr>
            <w:tcW w:w="60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3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040" w:type="dxa"/>
            <w:vAlign w:val="bottom"/>
          </w:tcPr>
          <w:p>
            <w:pPr>
              <w:jc w:val="right"/>
              <w:ind w:right="100"/>
              <w:spacing w:after="0"/>
              <w:rPr>
                <w:sz w:val="20"/>
                <w:szCs w:val="20"/>
                <w:color w:val="auto"/>
              </w:rPr>
            </w:pPr>
            <w:r>
              <w:rPr>
                <w:rFonts w:ascii="Arial" w:cs="Arial" w:eastAsia="Arial" w:hAnsi="Arial"/>
                <w:sz w:val="20"/>
                <w:szCs w:val="20"/>
                <w:color w:val="231F20"/>
              </w:rPr>
              <w:t>Net gain from commodity derivatives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231F20"/>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231F20"/>
              </w:rPr>
              <w:t>266</w:t>
            </w:r>
          </w:p>
        </w:tc>
        <w:tc>
          <w:tcPr>
            <w:tcW w:w="3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231F20"/>
              </w:rPr>
              <w:t>241</w:t>
            </w:r>
          </w:p>
        </w:tc>
      </w:tr>
      <w:tr>
        <w:trPr>
          <w:trHeight w:val="28"/>
        </w:trPr>
        <w:tc>
          <w:tcPr>
            <w:tcW w:w="60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3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3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312" w:right="1320" w:bottom="655"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231F20"/>
        </w:rPr>
        <w:t>65</w:t>
      </w:r>
    </w:p>
    <w:p>
      <w:pPr>
        <w:sectPr>
          <w:pgSz w:w="11880" w:h="15480" w:orient="portrait"/>
          <w:cols w:equalWidth="0" w:num="1">
            <w:col w:w="9180"/>
          </w:cols>
          <w:pgMar w:left="1380" w:top="1312" w:right="1320" w:bottom="655" w:gutter="0" w:footer="0" w:header="0"/>
          <w:type w:val="continuous"/>
        </w:sectPr>
      </w:pPr>
    </w:p>
    <w:bookmarkStart w:id="69" w:name="page70"/>
    <w:bookmarkEnd w:id="69"/>
    <w:p>
      <w:pPr>
        <w:ind w:right="120" w:firstLine="300"/>
        <w:spacing w:after="0" w:line="249" w:lineRule="auto"/>
        <w:rPr>
          <w:sz w:val="20"/>
          <w:szCs w:val="20"/>
          <w:color w:val="auto"/>
        </w:rPr>
      </w:pPr>
      <w:r>
        <w:rPr>
          <w:rFonts w:ascii="Arial" w:cs="Arial" w:eastAsia="Arial" w:hAnsi="Arial"/>
          <w:sz w:val="20"/>
          <w:szCs w:val="20"/>
          <w:b w:val="1"/>
          <w:bCs w:val="1"/>
          <w:i w:val="1"/>
          <w:iCs w:val="1"/>
          <w:color w:val="231F20"/>
        </w:rPr>
        <w:t xml:space="preserve">Electricity revenue </w:t>
      </w:r>
      <w:r>
        <w:rPr>
          <w:rFonts w:ascii="Arial" w:cs="Arial" w:eastAsia="Arial" w:hAnsi="Arial"/>
          <w:sz w:val="20"/>
          <w:szCs w:val="20"/>
          <w:i w:val="1"/>
          <w:i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Electricity revenue increased by $74 million to $233 million during the year</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ended December 31, 2025 compared to $159 million for the year ended December 31, 2024. This increase was primarily a result of higher pricing from resource adequacy contracts and additional electricity sales in 2025 as a result of scheduled maintenance and unplanned downtime at our Elk Hills power plant in 2024.</w:t>
      </w:r>
    </w:p>
    <w:p>
      <w:pPr>
        <w:spacing w:after="0" w:line="212" w:lineRule="exact"/>
        <w:rPr>
          <w:sz w:val="20"/>
          <w:szCs w:val="20"/>
          <w:color w:val="auto"/>
        </w:rPr>
      </w:pPr>
    </w:p>
    <w:p>
      <w:pPr>
        <w:ind w:right="300" w:firstLine="300"/>
        <w:spacing w:after="0" w:line="243" w:lineRule="auto"/>
        <w:rPr>
          <w:sz w:val="20"/>
          <w:szCs w:val="20"/>
          <w:color w:val="auto"/>
        </w:rPr>
      </w:pPr>
      <w:r>
        <w:rPr>
          <w:rFonts w:ascii="Arial" w:cs="Arial" w:eastAsia="Arial" w:hAnsi="Arial"/>
          <w:sz w:val="20"/>
          <w:szCs w:val="20"/>
          <w:color w:val="231F20"/>
        </w:rPr>
        <w:t>The following table presents our consolidated operating and non-operating expenses and income for the years ended December 31,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231F20"/>
              </w:rPr>
              <w:t>Year ended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231F20"/>
              </w:rPr>
              <w:t>Year ended</w:t>
            </w:r>
          </w:p>
        </w:tc>
        <w:tc>
          <w:tcPr>
            <w:tcW w:w="0" w:type="dxa"/>
            <w:vAlign w:val="bottom"/>
          </w:tcPr>
          <w:p>
            <w:pPr>
              <w:spacing w:after="0"/>
              <w:rPr>
                <w:sz w:val="1"/>
                <w:szCs w:val="1"/>
                <w:color w:val="auto"/>
              </w:rPr>
            </w:pPr>
          </w:p>
        </w:tc>
      </w:tr>
      <w:tr>
        <w:trPr>
          <w:trHeight w:val="248"/>
        </w:trPr>
        <w:tc>
          <w:tcPr>
            <w:tcW w:w="6180" w:type="dxa"/>
            <w:vAlign w:val="bottom"/>
          </w:tcPr>
          <w:p>
            <w:pPr>
              <w:spacing w:after="0"/>
              <w:rPr>
                <w:sz w:val="21"/>
                <w:szCs w:val="21"/>
                <w:color w:val="auto"/>
              </w:rPr>
            </w:pPr>
          </w:p>
        </w:tc>
        <w:tc>
          <w:tcPr>
            <w:tcW w:w="1500" w:type="dxa"/>
            <w:vAlign w:val="bottom"/>
            <w:gridSpan w:val="3"/>
          </w:tcPr>
          <w:p>
            <w:pPr>
              <w:jc w:val="center"/>
              <w:ind w:right="120"/>
              <w:spacing w:after="0" w:line="228" w:lineRule="exact"/>
              <w:rPr>
                <w:sz w:val="20"/>
                <w:szCs w:val="20"/>
                <w:color w:val="auto"/>
              </w:rPr>
            </w:pPr>
            <w:r>
              <w:rPr>
                <w:rFonts w:ascii="Arial" w:cs="Arial" w:eastAsia="Arial" w:hAnsi="Arial"/>
                <w:sz w:val="20"/>
                <w:szCs w:val="20"/>
                <w:b w:val="1"/>
                <w:bCs w:val="1"/>
                <w:color w:val="231F20"/>
                <w:w w:val="99"/>
              </w:rPr>
              <w:t>December 31,</w:t>
            </w:r>
          </w:p>
        </w:tc>
        <w:tc>
          <w:tcPr>
            <w:tcW w:w="60" w:type="dxa"/>
            <w:vAlign w:val="bottom"/>
          </w:tcPr>
          <w:p>
            <w:pPr>
              <w:spacing w:after="0"/>
              <w:rPr>
                <w:sz w:val="21"/>
                <w:szCs w:val="21"/>
                <w:color w:val="auto"/>
              </w:rPr>
            </w:pPr>
          </w:p>
        </w:tc>
        <w:tc>
          <w:tcPr>
            <w:tcW w:w="1440" w:type="dxa"/>
            <w:vAlign w:val="bottom"/>
            <w:gridSpan w:val="3"/>
          </w:tcPr>
          <w:p>
            <w:pPr>
              <w:jc w:val="center"/>
              <w:ind w:right="60"/>
              <w:spacing w:after="0" w:line="228" w:lineRule="exact"/>
              <w:rPr>
                <w:sz w:val="20"/>
                <w:szCs w:val="20"/>
                <w:color w:val="auto"/>
              </w:rPr>
            </w:pPr>
            <w:r>
              <w:rPr>
                <w:rFonts w:ascii="Arial" w:cs="Arial" w:eastAsia="Arial" w:hAnsi="Arial"/>
                <w:sz w:val="20"/>
                <w:szCs w:val="20"/>
                <w:b w:val="1"/>
                <w:bCs w:val="1"/>
                <w:color w:val="231F20"/>
                <w:w w:val="99"/>
              </w:rPr>
              <w:t>December 31,</w:t>
            </w:r>
          </w:p>
        </w:tc>
        <w:tc>
          <w:tcPr>
            <w:tcW w:w="0" w:type="dxa"/>
            <w:vAlign w:val="bottom"/>
          </w:tcPr>
          <w:p>
            <w:pPr>
              <w:spacing w:after="0"/>
              <w:rPr>
                <w:sz w:val="1"/>
                <w:szCs w:val="1"/>
                <w:color w:val="auto"/>
              </w:rPr>
            </w:pPr>
          </w:p>
        </w:tc>
      </w:tr>
      <w:tr>
        <w:trPr>
          <w:trHeight w:val="260"/>
        </w:trPr>
        <w:tc>
          <w:tcPr>
            <w:tcW w:w="6180" w:type="dxa"/>
            <w:vAlign w:val="bottom"/>
          </w:tcPr>
          <w:p>
            <w:pPr>
              <w:spacing w:after="0"/>
              <w:rPr>
                <w:sz w:val="22"/>
                <w:szCs w:val="22"/>
                <w:color w:val="auto"/>
              </w:rPr>
            </w:pPr>
          </w:p>
        </w:tc>
        <w:tc>
          <w:tcPr>
            <w:tcW w:w="120" w:type="dxa"/>
            <w:vAlign w:val="bottom"/>
            <w:tcBorders>
              <w:top w:val="single" w:sz="8" w:color="231F20"/>
              <w:bottom w:val="single" w:sz="8" w:color="231F20"/>
            </w:tcBorders>
          </w:tcPr>
          <w:p>
            <w:pPr>
              <w:spacing w:after="0"/>
              <w:rPr>
                <w:sz w:val="22"/>
                <w:szCs w:val="22"/>
                <w:color w:val="auto"/>
              </w:rPr>
            </w:pPr>
          </w:p>
        </w:tc>
        <w:tc>
          <w:tcPr>
            <w:tcW w:w="1240" w:type="dxa"/>
            <w:vAlign w:val="bottom"/>
            <w:tcBorders>
              <w:top w:val="single" w:sz="8" w:color="231F20"/>
              <w:bottom w:val="single" w:sz="8" w:color="231F20"/>
            </w:tcBorders>
          </w:tcPr>
          <w:p>
            <w:pPr>
              <w:jc w:val="center"/>
              <w:ind w:right="21"/>
              <w:spacing w:after="0"/>
              <w:rPr>
                <w:sz w:val="20"/>
                <w:szCs w:val="20"/>
                <w:color w:val="auto"/>
              </w:rPr>
            </w:pPr>
            <w:r>
              <w:rPr>
                <w:rFonts w:ascii="Arial" w:cs="Arial" w:eastAsia="Arial" w:hAnsi="Arial"/>
                <w:sz w:val="20"/>
                <w:szCs w:val="20"/>
                <w:b w:val="1"/>
                <w:bCs w:val="1"/>
                <w:color w:val="231F20"/>
                <w:w w:val="98"/>
              </w:rPr>
              <w:t>2025</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231F20"/>
              <w:bottom w:val="single" w:sz="8" w:color="231F20"/>
            </w:tcBorders>
          </w:tcPr>
          <w:p>
            <w:pPr>
              <w:spacing w:after="0"/>
              <w:rPr>
                <w:sz w:val="22"/>
                <w:szCs w:val="22"/>
                <w:color w:val="auto"/>
              </w:rPr>
            </w:pPr>
          </w:p>
        </w:tc>
        <w:tc>
          <w:tcPr>
            <w:tcW w:w="1240" w:type="dxa"/>
            <w:vAlign w:val="bottom"/>
            <w:tcBorders>
              <w:top w:val="single" w:sz="8" w:color="231F20"/>
              <w:bottom w:val="single" w:sz="8" w:color="231F20"/>
            </w:tcBorders>
          </w:tcPr>
          <w:p>
            <w:pPr>
              <w:jc w:val="center"/>
              <w:ind w:right="20"/>
              <w:spacing w:after="0"/>
              <w:rPr>
                <w:sz w:val="20"/>
                <w:szCs w:val="20"/>
                <w:color w:val="auto"/>
              </w:rPr>
            </w:pPr>
            <w:r>
              <w:rPr>
                <w:rFonts w:ascii="Arial" w:cs="Arial" w:eastAsia="Arial" w:hAnsi="Arial"/>
                <w:sz w:val="20"/>
                <w:szCs w:val="20"/>
                <w:b w:val="1"/>
                <w:bCs w:val="1"/>
                <w:color w:val="231F20"/>
                <w:w w:val="98"/>
              </w:rPr>
              <w:t>2024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6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80" w:type="dxa"/>
            <w:vAlign w:val="bottom"/>
            <w:gridSpan w:val="6"/>
          </w:tcPr>
          <w:p>
            <w:pPr>
              <w:jc w:val="right"/>
              <w:ind w:right="1080"/>
              <w:spacing w:after="0"/>
              <w:rPr>
                <w:sz w:val="20"/>
                <w:szCs w:val="20"/>
                <w:color w:val="auto"/>
              </w:rPr>
            </w:pPr>
            <w:r>
              <w:rPr>
                <w:rFonts w:ascii="Arial" w:cs="Arial" w:eastAsia="Arial" w:hAnsi="Arial"/>
                <w:sz w:val="16"/>
                <w:szCs w:val="16"/>
                <w:color w:val="231F20"/>
              </w:rPr>
              <w:t>(in millions)</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0"/>
                <w:szCs w:val="20"/>
                <w:color w:val="auto"/>
              </w:rPr>
            </w:pPr>
            <w:r>
              <w:rPr>
                <w:rFonts w:ascii="Arial" w:cs="Arial" w:eastAsia="Arial" w:hAnsi="Arial"/>
                <w:sz w:val="20"/>
                <w:szCs w:val="20"/>
                <w:b w:val="1"/>
                <w:bCs w:val="1"/>
                <w:color w:val="231F20"/>
              </w:rPr>
              <w:t>Operating expenses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6"/>
              </w:rPr>
              <w:t>Operating costs . . . . . . . . . . . . . . . . . . . . . . .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1,252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966</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7"/>
              </w:rPr>
              <w:t>General and administrative expenses . . . . .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333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321</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7"/>
              </w:rPr>
              <w:t>Depreciation, depletion and amortization  . .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511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388</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6"/>
              </w:rPr>
              <w:t>Asset impairment  . . . . . . . . . . . . . . . . . . . . .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59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14</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7"/>
              </w:rPr>
              <w:t>Taxes other than on income  . . . . . . . . . . . .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242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242</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9"/>
              </w:rPr>
              <w:t>Costs related to marketing of purchased commodities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182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193</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7"/>
              </w:rPr>
              <w:t>Electricity generation expenses . . . . . . . . . .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38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40</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6"/>
              </w:rPr>
              <w:t>Transportation costs . . . . . . . . . . . . . . . . . . .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79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81</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6"/>
              </w:rPr>
              <w:t>Accretion expense  . . . . . . . . . . . . . . . . . . . .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87</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8"/>
              </w:rPr>
              <w:t>Net loss on natural gas purchase derivatives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50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30</w:t>
            </w:r>
          </w:p>
        </w:tc>
        <w:tc>
          <w:tcPr>
            <w:tcW w:w="0" w:type="dxa"/>
            <w:vAlign w:val="bottom"/>
          </w:tcPr>
          <w:p>
            <w:pPr>
              <w:spacing w:after="0"/>
              <w:rPr>
                <w:sz w:val="1"/>
                <w:szCs w:val="1"/>
                <w:color w:val="auto"/>
              </w:rPr>
            </w:pPr>
          </w:p>
        </w:tc>
      </w:tr>
      <w:tr>
        <w:trPr>
          <w:trHeight w:val="235"/>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7"/>
              </w:rPr>
              <w:t>Measurement period adjustments, net  . . . .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231F20"/>
              </w:rPr>
              <w:t>(12)</w:t>
            </w:r>
          </w:p>
        </w:tc>
        <w:tc>
          <w:tcPr>
            <w:tcW w:w="0" w:type="dxa"/>
            <w:vAlign w:val="bottom"/>
          </w:tcPr>
          <w:p>
            <w:pPr>
              <w:spacing w:after="0"/>
              <w:rPr>
                <w:sz w:val="1"/>
                <w:szCs w:val="1"/>
                <w:color w:val="auto"/>
              </w:rPr>
            </w:pPr>
          </w:p>
        </w:tc>
      </w:tr>
      <w:tr>
        <w:trPr>
          <w:trHeight w:val="225"/>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231F20"/>
                <w:w w:val="97"/>
              </w:rPr>
              <w:t>Other operating expenses, net  . . . . . . . . . . . . . . . . . . . . . . . . . . . . . .</w:t>
            </w:r>
          </w:p>
        </w:tc>
        <w:tc>
          <w:tcPr>
            <w:tcW w:w="120" w:type="dxa"/>
            <w:vAlign w:val="bottom"/>
          </w:tcPr>
          <w:p>
            <w:pPr>
              <w:spacing w:after="0"/>
              <w:rPr>
                <w:sz w:val="19"/>
                <w:szCs w:val="19"/>
                <w:color w:val="auto"/>
              </w:rPr>
            </w:pPr>
          </w:p>
        </w:tc>
        <w:tc>
          <w:tcPr>
            <w:tcW w:w="1240" w:type="dxa"/>
            <w:vAlign w:val="bottom"/>
          </w:tcPr>
          <w:p>
            <w:pPr>
              <w:jc w:val="right"/>
              <w:spacing w:after="0" w:line="226" w:lineRule="exact"/>
              <w:rPr>
                <w:sz w:val="20"/>
                <w:szCs w:val="20"/>
                <w:color w:val="auto"/>
              </w:rPr>
            </w:pPr>
            <w:r>
              <w:rPr>
                <w:rFonts w:ascii="Arial" w:cs="Arial" w:eastAsia="Arial" w:hAnsi="Arial"/>
                <w:sz w:val="20"/>
                <w:szCs w:val="20"/>
                <w:color w:val="231F20"/>
              </w:rPr>
              <w:t>209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231F20"/>
              </w:rPr>
              <w:t>239</w:t>
            </w:r>
          </w:p>
        </w:tc>
        <w:tc>
          <w:tcPr>
            <w:tcW w:w="0" w:type="dxa"/>
            <w:vAlign w:val="bottom"/>
          </w:tcPr>
          <w:p>
            <w:pPr>
              <w:spacing w:after="0"/>
              <w:rPr>
                <w:sz w:val="1"/>
                <w:szCs w:val="1"/>
                <w:color w:val="auto"/>
              </w:rPr>
            </w:pPr>
          </w:p>
        </w:tc>
      </w:tr>
      <w:tr>
        <w:trPr>
          <w:trHeight w:val="28"/>
        </w:trPr>
        <w:tc>
          <w:tcPr>
            <w:tcW w:w="61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180" w:type="dxa"/>
            <w:vAlign w:val="bottom"/>
          </w:tcPr>
          <w:p>
            <w:pPr>
              <w:jc w:val="right"/>
              <w:ind w:right="100"/>
              <w:spacing w:after="0"/>
              <w:rPr>
                <w:sz w:val="20"/>
                <w:szCs w:val="20"/>
                <w:color w:val="auto"/>
              </w:rPr>
            </w:pPr>
            <w:r>
              <w:rPr>
                <w:rFonts w:ascii="Arial" w:cs="Arial" w:eastAsia="Arial" w:hAnsi="Arial"/>
                <w:sz w:val="20"/>
                <w:szCs w:val="20"/>
                <w:color w:val="231F20"/>
              </w:rPr>
              <w:t>Total operating expenses . . . . . . . . . . . . . . . . . . . . . . . . . . . . . . . . .</w:t>
            </w:r>
          </w:p>
        </w:tc>
        <w:tc>
          <w:tcPr>
            <w:tcW w:w="120" w:type="dxa"/>
            <w:vAlign w:val="bottom"/>
          </w:tcPr>
          <w:p>
            <w:pPr>
              <w:jc w:val="right"/>
              <w:spacing w:after="0"/>
              <w:rPr>
                <w:sz w:val="20"/>
                <w:szCs w:val="20"/>
                <w:color w:val="auto"/>
              </w:rPr>
            </w:pPr>
            <w:r>
              <w:rPr>
                <w:rFonts w:ascii="Arial" w:cs="Arial" w:eastAsia="Arial" w:hAnsi="Arial"/>
                <w:sz w:val="20"/>
                <w:szCs w:val="20"/>
                <w:color w:val="231F20"/>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231F20"/>
              </w:rPr>
              <w:t>3,070</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2,589</w:t>
            </w:r>
          </w:p>
        </w:tc>
        <w:tc>
          <w:tcPr>
            <w:tcW w:w="0" w:type="dxa"/>
            <w:vAlign w:val="bottom"/>
          </w:tcPr>
          <w:p>
            <w:pPr>
              <w:spacing w:after="0"/>
              <w:rPr>
                <w:sz w:val="1"/>
                <w:szCs w:val="1"/>
                <w:color w:val="auto"/>
              </w:rPr>
            </w:pPr>
          </w:p>
        </w:tc>
      </w:tr>
      <w:tr>
        <w:trPr>
          <w:trHeight w:val="28"/>
        </w:trPr>
        <w:tc>
          <w:tcPr>
            <w:tcW w:w="61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7"/>
              </w:rPr>
              <w:t>(Loss) gain on asset divestitures . . . . . . . . . . . . . . . . . . . . . . . . . . . . .</w:t>
            </w:r>
          </w:p>
        </w:tc>
        <w:tc>
          <w:tcPr>
            <w:tcW w:w="1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20"/>
                <w:szCs w:val="20"/>
                <w:color w:val="231F20"/>
              </w:rPr>
              <w:t>(1)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11</w:t>
            </w:r>
          </w:p>
        </w:tc>
        <w:tc>
          <w:tcPr>
            <w:tcW w:w="0" w:type="dxa"/>
            <w:vAlign w:val="bottom"/>
          </w:tcPr>
          <w:p>
            <w:pPr>
              <w:spacing w:after="0"/>
              <w:rPr>
                <w:sz w:val="1"/>
                <w:szCs w:val="1"/>
                <w:color w:val="auto"/>
              </w:rPr>
            </w:pPr>
          </w:p>
        </w:tc>
      </w:tr>
      <w:tr>
        <w:trPr>
          <w:trHeight w:val="28"/>
        </w:trPr>
        <w:tc>
          <w:tcPr>
            <w:tcW w:w="61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180" w:type="dxa"/>
            <w:vAlign w:val="bottom"/>
          </w:tcPr>
          <w:p>
            <w:pPr>
              <w:jc w:val="right"/>
              <w:ind w:right="100"/>
              <w:spacing w:after="0"/>
              <w:rPr>
                <w:sz w:val="20"/>
                <w:szCs w:val="20"/>
                <w:color w:val="auto"/>
              </w:rPr>
            </w:pPr>
            <w:r>
              <w:rPr>
                <w:rFonts w:ascii="Arial" w:cs="Arial" w:eastAsia="Arial" w:hAnsi="Arial"/>
                <w:sz w:val="20"/>
                <w:szCs w:val="20"/>
                <w:color w:val="231F20"/>
              </w:rPr>
              <w:t>Operating income  . . . . . . . . . . . . . . . . . . . . . . . . . . . . . . . . . . . . .</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598</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620</w:t>
            </w:r>
          </w:p>
        </w:tc>
        <w:tc>
          <w:tcPr>
            <w:tcW w:w="0" w:type="dxa"/>
            <w:vAlign w:val="bottom"/>
          </w:tcPr>
          <w:p>
            <w:pPr>
              <w:spacing w:after="0"/>
              <w:rPr>
                <w:sz w:val="1"/>
                <w:szCs w:val="1"/>
                <w:color w:val="auto"/>
              </w:rPr>
            </w:pPr>
          </w:p>
        </w:tc>
      </w:tr>
      <w:tr>
        <w:trPr>
          <w:trHeight w:val="28"/>
        </w:trPr>
        <w:tc>
          <w:tcPr>
            <w:tcW w:w="6180" w:type="dxa"/>
            <w:vAlign w:val="bottom"/>
            <w:vMerge w:val="restart"/>
          </w:tcPr>
          <w:p>
            <w:pPr>
              <w:spacing w:after="0"/>
              <w:rPr>
                <w:sz w:val="20"/>
                <w:szCs w:val="20"/>
                <w:color w:val="auto"/>
              </w:rPr>
            </w:pPr>
            <w:r>
              <w:rPr>
                <w:rFonts w:ascii="Arial" w:cs="Arial" w:eastAsia="Arial" w:hAnsi="Arial"/>
                <w:sz w:val="20"/>
                <w:szCs w:val="20"/>
                <w:b w:val="1"/>
                <w:bCs w:val="1"/>
                <w:color w:val="231F20"/>
              </w:rPr>
              <w:t>Non-operating (expenses) income</w:t>
            </w:r>
          </w:p>
        </w:tc>
        <w:tc>
          <w:tcPr>
            <w:tcW w:w="1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7"/>
              </w:rPr>
              <w:t>Interest and debt expense, net  . . . . . . . . . . . . . . . . . . . . . . . . . . . . . .</w:t>
            </w:r>
          </w:p>
        </w:tc>
        <w:tc>
          <w:tcPr>
            <w:tcW w:w="1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20"/>
                <w:szCs w:val="20"/>
                <w:color w:val="231F20"/>
              </w:rPr>
              <w:t>(106)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231F20"/>
              </w:rPr>
              <w:t>(87)</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7"/>
              </w:rPr>
              <w:t>Loss on early extinguishment of debt  . . . . . . . . . . . . . . . . . . . . . . . . .</w:t>
            </w:r>
          </w:p>
        </w:tc>
        <w:tc>
          <w:tcPr>
            <w:tcW w:w="1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20"/>
                <w:szCs w:val="20"/>
                <w:color w:val="231F20"/>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231F20"/>
              </w:rPr>
              <w:t>(5)</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8"/>
              </w:rPr>
              <w:t>Equity loss from unconsolidated subsidiaries . . . . . . . . . . . . . . . . . . .</w:t>
            </w:r>
          </w:p>
        </w:tc>
        <w:tc>
          <w:tcPr>
            <w:tcW w:w="1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20"/>
                <w:szCs w:val="20"/>
                <w:color w:val="231F20"/>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231F20"/>
              </w:rPr>
              <w:t>(10)</w:t>
            </w:r>
          </w:p>
        </w:tc>
        <w:tc>
          <w:tcPr>
            <w:tcW w:w="0" w:type="dxa"/>
            <w:vAlign w:val="bottom"/>
          </w:tcPr>
          <w:p>
            <w:pPr>
              <w:spacing w:after="0"/>
              <w:rPr>
                <w:sz w:val="1"/>
                <w:szCs w:val="1"/>
                <w:color w:val="auto"/>
              </w:rPr>
            </w:pPr>
          </w:p>
        </w:tc>
      </w:tr>
      <w:tr>
        <w:trPr>
          <w:trHeight w:val="24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8"/>
              </w:rPr>
              <w:t>Other non-operating income (expense), net . . . . . . . . . . . . . . . . . . .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20"/>
                <w:szCs w:val="20"/>
                <w:color w:val="231F20"/>
              </w:rPr>
              <w:t>(2)</w:t>
            </w:r>
          </w:p>
        </w:tc>
        <w:tc>
          <w:tcPr>
            <w:tcW w:w="0" w:type="dxa"/>
            <w:vAlign w:val="bottom"/>
          </w:tcPr>
          <w:p>
            <w:pPr>
              <w:spacing w:after="0"/>
              <w:rPr>
                <w:sz w:val="1"/>
                <w:szCs w:val="1"/>
                <w:color w:val="auto"/>
              </w:rPr>
            </w:pPr>
          </w:p>
        </w:tc>
      </w:tr>
      <w:tr>
        <w:trPr>
          <w:trHeight w:val="28"/>
        </w:trPr>
        <w:tc>
          <w:tcPr>
            <w:tcW w:w="61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180" w:type="dxa"/>
            <w:vAlign w:val="bottom"/>
          </w:tcPr>
          <w:p>
            <w:pPr>
              <w:jc w:val="right"/>
              <w:ind w:right="100"/>
              <w:spacing w:after="0"/>
              <w:rPr>
                <w:sz w:val="20"/>
                <w:szCs w:val="20"/>
                <w:color w:val="auto"/>
              </w:rPr>
            </w:pPr>
            <w:r>
              <w:rPr>
                <w:rFonts w:ascii="Arial" w:cs="Arial" w:eastAsia="Arial" w:hAnsi="Arial"/>
                <w:sz w:val="20"/>
                <w:szCs w:val="20"/>
                <w:color w:val="231F20"/>
              </w:rPr>
              <w:t>Income before income taxes  . . . . . . . . . . . . . . . . . . . . . . . . . . . . .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502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516</w:t>
            </w:r>
          </w:p>
        </w:tc>
        <w:tc>
          <w:tcPr>
            <w:tcW w:w="0" w:type="dxa"/>
            <w:vAlign w:val="bottom"/>
          </w:tcPr>
          <w:p>
            <w:pPr>
              <w:spacing w:after="0"/>
              <w:rPr>
                <w:sz w:val="1"/>
                <w:szCs w:val="1"/>
                <w:color w:val="auto"/>
              </w:rPr>
            </w:pPr>
          </w:p>
        </w:tc>
      </w:tr>
      <w:tr>
        <w:trPr>
          <w:trHeight w:val="225"/>
        </w:trPr>
        <w:tc>
          <w:tcPr>
            <w:tcW w:w="6180" w:type="dxa"/>
            <w:vAlign w:val="bottom"/>
          </w:tcPr>
          <w:p>
            <w:pPr>
              <w:jc w:val="right"/>
              <w:ind w:right="100"/>
              <w:spacing w:after="0" w:line="226" w:lineRule="exact"/>
              <w:rPr>
                <w:sz w:val="20"/>
                <w:szCs w:val="20"/>
                <w:color w:val="auto"/>
              </w:rPr>
            </w:pPr>
            <w:r>
              <w:rPr>
                <w:rFonts w:ascii="Arial" w:cs="Arial" w:eastAsia="Arial" w:hAnsi="Arial"/>
                <w:sz w:val="20"/>
                <w:szCs w:val="20"/>
                <w:color w:val="231F20"/>
                <w:w w:val="96"/>
              </w:rPr>
              <w:t>Income tax provision . . . . . . . . . . . . . . . . . . . . . . . . . . . . . . . . . . . . . . .</w:t>
            </w:r>
          </w:p>
        </w:tc>
        <w:tc>
          <w:tcPr>
            <w:tcW w:w="120" w:type="dxa"/>
            <w:vAlign w:val="bottom"/>
          </w:tcPr>
          <w:p>
            <w:pPr>
              <w:spacing w:after="0"/>
              <w:rPr>
                <w:sz w:val="19"/>
                <w:szCs w:val="19"/>
                <w:color w:val="auto"/>
              </w:rPr>
            </w:pPr>
          </w:p>
        </w:tc>
        <w:tc>
          <w:tcPr>
            <w:tcW w:w="138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231F20"/>
              </w:rPr>
              <w:t>(139)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(140)</w:t>
            </w:r>
          </w:p>
        </w:tc>
        <w:tc>
          <w:tcPr>
            <w:tcW w:w="0" w:type="dxa"/>
            <w:vAlign w:val="bottom"/>
          </w:tcPr>
          <w:p>
            <w:pPr>
              <w:spacing w:after="0"/>
              <w:rPr>
                <w:sz w:val="1"/>
                <w:szCs w:val="1"/>
                <w:color w:val="auto"/>
              </w:rPr>
            </w:pPr>
          </w:p>
        </w:tc>
      </w:tr>
      <w:tr>
        <w:trPr>
          <w:trHeight w:val="28"/>
        </w:trPr>
        <w:tc>
          <w:tcPr>
            <w:tcW w:w="61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180" w:type="dxa"/>
            <w:vAlign w:val="bottom"/>
          </w:tcPr>
          <w:p>
            <w:pPr>
              <w:jc w:val="right"/>
              <w:ind w:right="100"/>
              <w:spacing w:after="0"/>
              <w:rPr>
                <w:sz w:val="20"/>
                <w:szCs w:val="20"/>
                <w:color w:val="auto"/>
              </w:rPr>
            </w:pPr>
            <w:r>
              <w:rPr>
                <w:rFonts w:ascii="Arial" w:cs="Arial" w:eastAsia="Arial" w:hAnsi="Arial"/>
                <w:sz w:val="20"/>
                <w:szCs w:val="20"/>
                <w:color w:val="231F20"/>
                <w:w w:val="99"/>
              </w:rPr>
              <w:t>Net income  . . . . . . . . . . . . . . . . . . . . . . . . . . . . . . . . . . . . . . . . . . . .</w:t>
            </w:r>
          </w:p>
        </w:tc>
        <w:tc>
          <w:tcPr>
            <w:tcW w:w="120" w:type="dxa"/>
            <w:vAlign w:val="bottom"/>
          </w:tcPr>
          <w:p>
            <w:pPr>
              <w:jc w:val="right"/>
              <w:spacing w:after="0"/>
              <w:rPr>
                <w:sz w:val="20"/>
                <w:szCs w:val="20"/>
                <w:color w:val="auto"/>
              </w:rPr>
            </w:pPr>
            <w:r>
              <w:rPr>
                <w:rFonts w:ascii="Arial" w:cs="Arial" w:eastAsia="Arial" w:hAnsi="Arial"/>
                <w:sz w:val="20"/>
                <w:szCs w:val="20"/>
                <w:color w:val="231F20"/>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231F20"/>
              </w:rPr>
              <w:t>363</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300" w:type="dxa"/>
            <w:vAlign w:val="bottom"/>
            <w:gridSpan w:val="2"/>
          </w:tcPr>
          <w:p>
            <w:pPr>
              <w:jc w:val="right"/>
              <w:ind w:right="60"/>
              <w:spacing w:after="0"/>
              <w:rPr>
                <w:sz w:val="20"/>
                <w:szCs w:val="20"/>
                <w:color w:val="auto"/>
              </w:rPr>
            </w:pPr>
            <w:r>
              <w:rPr>
                <w:rFonts w:ascii="Arial" w:cs="Arial" w:eastAsia="Arial" w:hAnsi="Arial"/>
                <w:sz w:val="20"/>
                <w:szCs w:val="20"/>
                <w:color w:val="231F20"/>
              </w:rPr>
              <w:t>376</w:t>
            </w:r>
          </w:p>
        </w:tc>
        <w:tc>
          <w:tcPr>
            <w:tcW w:w="0" w:type="dxa"/>
            <w:vAlign w:val="bottom"/>
          </w:tcPr>
          <w:p>
            <w:pPr>
              <w:spacing w:after="0"/>
              <w:rPr>
                <w:sz w:val="1"/>
                <w:szCs w:val="1"/>
                <w:color w:val="auto"/>
              </w:rPr>
            </w:pPr>
          </w:p>
        </w:tc>
      </w:tr>
      <w:tr>
        <w:trPr>
          <w:trHeight w:val="30"/>
        </w:trPr>
        <w:tc>
          <w:tcPr>
            <w:tcW w:w="618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231F20"/>
        </w:rPr>
        <w:t xml:space="preserve">Operating costs </w:t>
      </w:r>
      <w:r>
        <w:rPr>
          <w:rFonts w:ascii="Arial" w:cs="Arial" w:eastAsia="Arial" w:hAnsi="Arial"/>
          <w:sz w:val="20"/>
          <w:szCs w:val="20"/>
          <w:color w:val="231F20"/>
        </w:rPr>
        <w:t>– The following table presents our operating costs for the years ended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December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360" w:type="dxa"/>
            <w:vAlign w:val="bottom"/>
            <w:gridSpan w:val="4"/>
          </w:tcPr>
          <w:p>
            <w:pPr>
              <w:jc w:val="center"/>
              <w:spacing w:after="0"/>
              <w:rPr>
                <w:sz w:val="20"/>
                <w:szCs w:val="20"/>
                <w:color w:val="auto"/>
              </w:rPr>
            </w:pPr>
            <w:r>
              <w:rPr>
                <w:rFonts w:ascii="Arial" w:cs="Arial" w:eastAsia="Arial" w:hAnsi="Arial"/>
                <w:sz w:val="20"/>
                <w:szCs w:val="20"/>
                <w:b w:val="1"/>
                <w:bCs w:val="1"/>
                <w:color w:val="231F20"/>
              </w:rPr>
              <w:t>Year ended</w:t>
            </w:r>
          </w:p>
        </w:tc>
        <w:tc>
          <w:tcPr>
            <w:tcW w:w="200" w:type="dxa"/>
            <w:vAlign w:val="bottom"/>
          </w:tcPr>
          <w:p>
            <w:pPr>
              <w:spacing w:after="0"/>
              <w:rPr>
                <w:sz w:val="19"/>
                <w:szCs w:val="19"/>
                <w:color w:val="auto"/>
              </w:rPr>
            </w:pPr>
          </w:p>
        </w:tc>
        <w:tc>
          <w:tcPr>
            <w:tcW w:w="1360" w:type="dxa"/>
            <w:vAlign w:val="bottom"/>
            <w:gridSpan w:val="4"/>
          </w:tcPr>
          <w:p>
            <w:pPr>
              <w:jc w:val="center"/>
              <w:spacing w:after="0"/>
              <w:rPr>
                <w:sz w:val="20"/>
                <w:szCs w:val="20"/>
                <w:color w:val="auto"/>
              </w:rPr>
            </w:pPr>
            <w:r>
              <w:rPr>
                <w:rFonts w:ascii="Arial" w:cs="Arial" w:eastAsia="Arial" w:hAnsi="Arial"/>
                <w:sz w:val="20"/>
                <w:szCs w:val="20"/>
                <w:b w:val="1"/>
                <w:bCs w:val="1"/>
                <w:color w:val="231F20"/>
              </w:rPr>
              <w:t>Year ended</w:t>
            </w:r>
          </w:p>
        </w:tc>
      </w:tr>
      <w:tr>
        <w:trPr>
          <w:trHeight w:val="246"/>
        </w:trPr>
        <w:tc>
          <w:tcPr>
            <w:tcW w:w="6200" w:type="dxa"/>
            <w:vAlign w:val="bottom"/>
          </w:tcPr>
          <w:p>
            <w:pPr>
              <w:spacing w:after="0"/>
              <w:rPr>
                <w:sz w:val="21"/>
                <w:szCs w:val="21"/>
                <w:color w:val="auto"/>
              </w:rPr>
            </w:pPr>
          </w:p>
        </w:tc>
        <w:tc>
          <w:tcPr>
            <w:tcW w:w="1360" w:type="dxa"/>
            <w:vAlign w:val="bottom"/>
            <w:tcBorders>
              <w:bottom w:val="single" w:sz="8" w:color="231F20"/>
            </w:tcBorders>
            <w:gridSpan w:val="4"/>
          </w:tcPr>
          <w:p>
            <w:pPr>
              <w:jc w:val="center"/>
              <w:spacing w:after="0" w:line="228" w:lineRule="exact"/>
              <w:rPr>
                <w:sz w:val="20"/>
                <w:szCs w:val="20"/>
                <w:color w:val="auto"/>
              </w:rPr>
            </w:pPr>
            <w:r>
              <w:rPr>
                <w:rFonts w:ascii="Arial" w:cs="Arial" w:eastAsia="Arial" w:hAnsi="Arial"/>
                <w:sz w:val="20"/>
                <w:szCs w:val="20"/>
                <w:b w:val="1"/>
                <w:bCs w:val="1"/>
                <w:color w:val="231F20"/>
                <w:w w:val="99"/>
              </w:rPr>
              <w:t>December 31,</w:t>
            </w:r>
          </w:p>
        </w:tc>
        <w:tc>
          <w:tcPr>
            <w:tcW w:w="200" w:type="dxa"/>
            <w:vAlign w:val="bottom"/>
          </w:tcPr>
          <w:p>
            <w:pPr>
              <w:spacing w:after="0"/>
              <w:rPr>
                <w:sz w:val="21"/>
                <w:szCs w:val="21"/>
                <w:color w:val="auto"/>
              </w:rPr>
            </w:pPr>
          </w:p>
        </w:tc>
        <w:tc>
          <w:tcPr>
            <w:tcW w:w="1360" w:type="dxa"/>
            <w:vAlign w:val="bottom"/>
            <w:tcBorders>
              <w:bottom w:val="single" w:sz="8" w:color="231F20"/>
            </w:tcBorders>
            <w:gridSpan w:val="4"/>
          </w:tcPr>
          <w:p>
            <w:pPr>
              <w:jc w:val="center"/>
              <w:spacing w:after="0" w:line="228" w:lineRule="exact"/>
              <w:rPr>
                <w:sz w:val="20"/>
                <w:szCs w:val="20"/>
                <w:color w:val="auto"/>
              </w:rPr>
            </w:pPr>
            <w:r>
              <w:rPr>
                <w:rFonts w:ascii="Arial" w:cs="Arial" w:eastAsia="Arial" w:hAnsi="Arial"/>
                <w:sz w:val="20"/>
                <w:szCs w:val="20"/>
                <w:b w:val="1"/>
                <w:bCs w:val="1"/>
                <w:color w:val="231F20"/>
                <w:w w:val="99"/>
              </w:rPr>
              <w:t>December 31,</w:t>
            </w:r>
          </w:p>
        </w:tc>
      </w:tr>
      <w:tr>
        <w:trPr>
          <w:trHeight w:val="260"/>
        </w:trPr>
        <w:tc>
          <w:tcPr>
            <w:tcW w:w="620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center"/>
              <w:ind w:right="103"/>
              <w:spacing w:after="0"/>
              <w:rPr>
                <w:sz w:val="20"/>
                <w:szCs w:val="20"/>
                <w:color w:val="auto"/>
              </w:rPr>
            </w:pPr>
            <w:r>
              <w:rPr>
                <w:rFonts w:ascii="Arial" w:cs="Arial" w:eastAsia="Arial" w:hAnsi="Arial"/>
                <w:sz w:val="20"/>
                <w:szCs w:val="20"/>
                <w:b w:val="1"/>
                <w:bCs w:val="1"/>
                <w:color w:val="231F20"/>
                <w:w w:val="98"/>
              </w:rPr>
              <w:t>2025</w:t>
            </w:r>
          </w:p>
        </w:tc>
        <w:tc>
          <w:tcPr>
            <w:tcW w:w="200" w:type="dxa"/>
            <w:vAlign w:val="bottom"/>
            <w:tcBorders>
              <w:bottom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center"/>
              <w:ind w:right="100"/>
              <w:spacing w:after="0"/>
              <w:rPr>
                <w:sz w:val="20"/>
                <w:szCs w:val="20"/>
                <w:color w:val="auto"/>
              </w:rPr>
            </w:pPr>
            <w:r>
              <w:rPr>
                <w:rFonts w:ascii="Arial" w:cs="Arial" w:eastAsia="Arial" w:hAnsi="Arial"/>
                <w:sz w:val="20"/>
                <w:szCs w:val="20"/>
                <w:b w:val="1"/>
                <w:bCs w:val="1"/>
                <w:color w:val="231F20"/>
                <w:w w:val="98"/>
              </w:rPr>
              <w:t>2024</w:t>
            </w:r>
          </w:p>
        </w:tc>
        <w:tc>
          <w:tcPr>
            <w:tcW w:w="200" w:type="dxa"/>
            <w:vAlign w:val="bottom"/>
            <w:tcBorders>
              <w:bottom w:val="single" w:sz="8" w:color="231F20"/>
            </w:tcBorders>
          </w:tcPr>
          <w:p>
            <w:pPr>
              <w:spacing w:after="0"/>
              <w:rPr>
                <w:sz w:val="22"/>
                <w:szCs w:val="22"/>
                <w:color w:val="auto"/>
              </w:rPr>
            </w:pPr>
          </w:p>
        </w:tc>
      </w:tr>
      <w:tr>
        <w:trPr>
          <w:trHeight w:val="192"/>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right"/>
              <w:ind w:right="100"/>
              <w:spacing w:after="0"/>
              <w:rPr>
                <w:sz w:val="20"/>
                <w:szCs w:val="20"/>
                <w:color w:val="auto"/>
              </w:rPr>
            </w:pPr>
            <w:r>
              <w:rPr>
                <w:rFonts w:ascii="Arial" w:cs="Arial" w:eastAsia="Arial" w:hAnsi="Arial"/>
                <w:sz w:val="16"/>
                <w:szCs w:val="16"/>
                <w:color w:val="231F20"/>
              </w:rPr>
              <w:t>(in millions)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0"/>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7"/>
              </w:rPr>
              <w:t>Energy operating costs . . . . . . . . . . . . . . . . . . . . . . . . . . . . . . . . . . . . .</w:t>
            </w:r>
          </w:p>
        </w:tc>
        <w:tc>
          <w:tcPr>
            <w:tcW w:w="40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960" w:type="dxa"/>
            <w:vAlign w:val="bottom"/>
            <w:gridSpan w:val="2"/>
          </w:tcPr>
          <w:p>
            <w:pPr>
              <w:jc w:val="right"/>
              <w:ind w:right="200"/>
              <w:spacing w:after="0"/>
              <w:rPr>
                <w:sz w:val="20"/>
                <w:szCs w:val="20"/>
                <w:color w:val="auto"/>
              </w:rPr>
            </w:pPr>
            <w:r>
              <w:rPr>
                <w:rFonts w:ascii="Arial" w:cs="Arial" w:eastAsia="Arial" w:hAnsi="Arial"/>
                <w:sz w:val="20"/>
                <w:szCs w:val="20"/>
                <w:color w:val="231F20"/>
              </w:rPr>
              <w:t>374</w:t>
            </w:r>
          </w:p>
        </w:tc>
        <w:tc>
          <w:tcPr>
            <w:tcW w:w="600" w:type="dxa"/>
            <w:vAlign w:val="bottom"/>
            <w:gridSpan w:val="3"/>
          </w:tcPr>
          <w:p>
            <w:pPr>
              <w:jc w:val="right"/>
              <w:ind w:right="80"/>
              <w:spacing w:after="0"/>
              <w:rPr>
                <w:sz w:val="20"/>
                <w:szCs w:val="20"/>
                <w:color w:val="auto"/>
              </w:rPr>
            </w:pPr>
            <w:r>
              <w:rPr>
                <w:rFonts w:ascii="Arial" w:cs="Arial" w:eastAsia="Arial" w:hAnsi="Arial"/>
                <w:sz w:val="20"/>
                <w:szCs w:val="20"/>
                <w:color w:val="231F20"/>
              </w:rPr>
              <w:t>$</w:t>
            </w:r>
          </w:p>
        </w:tc>
        <w:tc>
          <w:tcPr>
            <w:tcW w:w="960" w:type="dxa"/>
            <w:vAlign w:val="bottom"/>
            <w:gridSpan w:val="2"/>
          </w:tcPr>
          <w:p>
            <w:pPr>
              <w:jc w:val="right"/>
              <w:ind w:right="200"/>
              <w:spacing w:after="0"/>
              <w:rPr>
                <w:sz w:val="20"/>
                <w:szCs w:val="20"/>
                <w:color w:val="auto"/>
              </w:rPr>
            </w:pPr>
            <w:r>
              <w:rPr>
                <w:rFonts w:ascii="Arial" w:cs="Arial" w:eastAsia="Arial" w:hAnsi="Arial"/>
                <w:sz w:val="20"/>
                <w:szCs w:val="20"/>
                <w:color w:val="231F20"/>
              </w:rPr>
              <w:t>279</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6"/>
              </w:rPr>
              <w:t>Gas processing costs  . . . . . . . . . . . . . . . . . . . . . . . . . . . . . . . . . . . . .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20"/>
                <w:szCs w:val="20"/>
                <w:color w:val="231F20"/>
              </w:rPr>
              <w:t>16</w:t>
            </w: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7"/>
              </w:rPr>
              <w:t>Non-energy operating costs . . . . . . . . . . . . . . . . . . . . . . . . . . . . . . . .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20"/>
                <w:szCs w:val="20"/>
                <w:color w:val="231F20"/>
              </w:rPr>
              <w:t>859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20"/>
                <w:szCs w:val="20"/>
                <w:color w:val="231F20"/>
              </w:rPr>
              <w:t>671</w:t>
            </w:r>
          </w:p>
        </w:tc>
      </w:tr>
      <w:tr>
        <w:trPr>
          <w:trHeight w:val="28"/>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r>
      <w:tr>
        <w:trPr>
          <w:trHeight w:val="272"/>
        </w:trPr>
        <w:tc>
          <w:tcPr>
            <w:tcW w:w="6200" w:type="dxa"/>
            <w:vAlign w:val="bottom"/>
          </w:tcPr>
          <w:p>
            <w:pPr>
              <w:jc w:val="right"/>
              <w:ind w:right="100"/>
              <w:spacing w:after="0"/>
              <w:rPr>
                <w:sz w:val="20"/>
                <w:szCs w:val="20"/>
                <w:color w:val="auto"/>
              </w:rPr>
            </w:pPr>
            <w:r>
              <w:rPr>
                <w:rFonts w:ascii="Arial" w:cs="Arial" w:eastAsia="Arial" w:hAnsi="Arial"/>
                <w:sz w:val="20"/>
                <w:szCs w:val="20"/>
                <w:color w:val="231F20"/>
              </w:rPr>
              <w:t>Operating costs . . . . . . . . . . . . . . . . . . . . . . . . . . . . . . . . . . . . . . . . .</w:t>
            </w:r>
          </w:p>
        </w:tc>
        <w:tc>
          <w:tcPr>
            <w:tcW w:w="40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760" w:type="dxa"/>
            <w:vAlign w:val="bottom"/>
          </w:tcPr>
          <w:p>
            <w:pPr>
              <w:jc w:val="right"/>
              <w:spacing w:after="0"/>
              <w:rPr>
                <w:sz w:val="20"/>
                <w:szCs w:val="20"/>
                <w:color w:val="auto"/>
              </w:rPr>
            </w:pPr>
            <w:r>
              <w:rPr>
                <w:rFonts w:ascii="Arial" w:cs="Arial" w:eastAsia="Arial" w:hAnsi="Arial"/>
                <w:sz w:val="20"/>
                <w:szCs w:val="20"/>
                <w:color w:val="231F20"/>
              </w:rPr>
              <w:t>1,252</w:t>
            </w:r>
          </w:p>
        </w:tc>
        <w:tc>
          <w:tcPr>
            <w:tcW w:w="200" w:type="dxa"/>
            <w:vAlign w:val="bottom"/>
          </w:tcPr>
          <w:p>
            <w:pPr>
              <w:spacing w:after="0"/>
              <w:rPr>
                <w:sz w:val="23"/>
                <w:szCs w:val="23"/>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20"/>
                <w:szCs w:val="20"/>
                <w:color w:val="231F20"/>
              </w:rPr>
              <w:t>$</w:t>
            </w:r>
          </w:p>
        </w:tc>
        <w:tc>
          <w:tcPr>
            <w:tcW w:w="960" w:type="dxa"/>
            <w:vAlign w:val="bottom"/>
            <w:gridSpan w:val="2"/>
          </w:tcPr>
          <w:p>
            <w:pPr>
              <w:jc w:val="right"/>
              <w:ind w:right="200"/>
              <w:spacing w:after="0"/>
              <w:rPr>
                <w:sz w:val="20"/>
                <w:szCs w:val="20"/>
                <w:color w:val="auto"/>
              </w:rPr>
            </w:pPr>
            <w:r>
              <w:rPr>
                <w:rFonts w:ascii="Arial" w:cs="Arial" w:eastAsia="Arial" w:hAnsi="Arial"/>
                <w:sz w:val="20"/>
                <w:szCs w:val="20"/>
                <w:color w:val="231F20"/>
              </w:rPr>
              <w:t>966</w:t>
            </w:r>
          </w:p>
        </w:tc>
      </w:tr>
      <w:tr>
        <w:trPr>
          <w:trHeight w:val="28"/>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380" w:top="1312" w:right="1320" w:bottom="655" w:gutter="0" w:footer="0" w:header="0"/>
        </w:sectPr>
      </w:pP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231F20"/>
        </w:rPr>
        <w:t>66</w:t>
      </w:r>
    </w:p>
    <w:p>
      <w:pPr>
        <w:sectPr>
          <w:pgSz w:w="11880" w:h="15480" w:orient="portrait"/>
          <w:cols w:equalWidth="0" w:num="1">
            <w:col w:w="9180"/>
          </w:cols>
          <w:pgMar w:left="1380" w:top="1312" w:right="1320" w:bottom="655" w:gutter="0" w:footer="0" w:header="0"/>
          <w:type w:val="continuous"/>
        </w:sectPr>
      </w:pPr>
    </w:p>
    <w:bookmarkStart w:id="70" w:name="page71"/>
    <w:bookmarkEnd w:id="70"/>
    <w:p>
      <w:pPr>
        <w:ind w:right="300" w:firstLine="300"/>
        <w:spacing w:after="0" w:line="248" w:lineRule="auto"/>
        <w:rPr>
          <w:sz w:val="20"/>
          <w:szCs w:val="20"/>
          <w:color w:val="auto"/>
        </w:rPr>
      </w:pPr>
      <w:r>
        <w:rPr>
          <w:rFonts w:ascii="Arial" w:cs="Arial" w:eastAsia="Arial" w:hAnsi="Arial"/>
          <w:sz w:val="20"/>
          <w:szCs w:val="20"/>
          <w:color w:val="231F20"/>
        </w:rPr>
        <w:t>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231F20"/>
        </w:rPr>
        <w:t xml:space="preserve">Energy operating costs </w:t>
      </w:r>
      <w:r>
        <w:rPr>
          <w:rFonts w:ascii="Arial" w:cs="Arial" w:eastAsia="Arial" w:hAnsi="Arial"/>
          <w:sz w:val="20"/>
          <w:szCs w:val="20"/>
          <w:b w:val="1"/>
          <w:bCs w:val="1"/>
          <w:i w:val="1"/>
          <w:iCs w:val="1"/>
          <w:color w:val="231F20"/>
        </w:rPr>
        <w:t>–</w:t>
      </w:r>
      <w:r>
        <w:rPr>
          <w:rFonts w:ascii="Arial" w:cs="Arial" w:eastAsia="Arial" w:hAnsi="Arial"/>
          <w:sz w:val="20"/>
          <w:szCs w:val="20"/>
          <w:i w:val="1"/>
          <w:iCs w:val="1"/>
          <w:color w:val="231F20"/>
        </w:rPr>
        <w:t xml:space="preserve"> </w:t>
      </w:r>
      <w:r>
        <w:rPr>
          <w:rFonts w:ascii="Arial" w:cs="Arial" w:eastAsia="Arial" w:hAnsi="Arial"/>
          <w:sz w:val="20"/>
          <w:szCs w:val="20"/>
          <w:color w:val="231F20"/>
        </w:rPr>
        <w:t>Energy operating costs for the year ended December 31, 2025 were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231F20"/>
        </w:rPr>
        <w:t>$374 million, which was an increase of $95 million from $279 million for the year ended December 31,</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2024. Approximately $94 million of this increase is related to the addition of the Aera fields for the full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year of 2025 compared to only six months in 2024. The remaining increase primarily related to higher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energy prices partially offset by savings related to the additional supply of electricity generated at our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Elk Hills power plant which is used at our Elk Hills field in 2025. During the year ended December 31,</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2024, our Elk Hills power plant experienced unplanned downtime and scheduled maintenance resulting</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in lower electricity generation available the Elk Hills field. For more information on our natural gas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 xml:space="preserve">market prices, see </w:t>
      </w:r>
      <w:r>
        <w:rPr>
          <w:rFonts w:ascii="Arial" w:cs="Arial" w:eastAsia="Arial" w:hAnsi="Arial"/>
          <w:sz w:val="20"/>
          <w:szCs w:val="20"/>
          <w:i w:val="1"/>
          <w:iCs w:val="1"/>
          <w:color w:val="231F20"/>
        </w:rPr>
        <w:t>Segment Results of Oil and Natural Gas Operations, Production, Prices 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 xml:space="preserve">Realizations </w:t>
      </w:r>
      <w:r>
        <w:rPr>
          <w:rFonts w:ascii="Arial" w:cs="Arial" w:eastAsia="Arial" w:hAnsi="Arial"/>
          <w:sz w:val="20"/>
          <w:szCs w:val="20"/>
          <w:color w:val="231F20"/>
        </w:rPr>
        <w:t>below.</w:t>
      </w:r>
    </w:p>
    <w:p>
      <w:pPr>
        <w:spacing w:after="0" w:line="220"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231F20"/>
        </w:rPr>
        <w:t xml:space="preserve">Non-energy operating costs </w:t>
      </w:r>
      <w:r>
        <w:rPr>
          <w:rFonts w:ascii="Arial" w:cs="Arial" w:eastAsia="Arial" w:hAnsi="Arial"/>
          <w:sz w:val="20"/>
          <w:szCs w:val="20"/>
          <w:color w:val="231F20"/>
        </w:rPr>
        <w:t>– Non-energy operating costs for the year ended December 31, 2025</w:t>
      </w:r>
      <w:r>
        <w:rPr>
          <w:rFonts w:ascii="Arial" w:cs="Arial" w:eastAsia="Arial" w:hAnsi="Arial"/>
          <w:sz w:val="20"/>
          <w:szCs w:val="20"/>
          <w:i w:val="1"/>
          <w:iCs w:val="1"/>
          <w:color w:val="231F20"/>
        </w:rPr>
        <w:t xml:space="preserve"> </w:t>
      </w:r>
      <w:r>
        <w:rPr>
          <w:rFonts w:ascii="Arial" w:cs="Arial" w:eastAsia="Arial" w:hAnsi="Arial"/>
          <w:sz w:val="20"/>
          <w:szCs w:val="20"/>
          <w:color w:val="231F20"/>
        </w:rPr>
        <w:t>were $859 million, which was an increase of $188 million from $671 million for the year ended December 31, 2024. Of this increase, $191 million related to the operation of the Aera fields for the full year ended December 31, 2025 compared to only six months in 2024. This increase was partially offset by lower maintenance activity during the year ended December 31, 2025 as compared to 2024.</w:t>
      </w:r>
    </w:p>
    <w:p>
      <w:pPr>
        <w:spacing w:after="0" w:line="209" w:lineRule="exact"/>
        <w:rPr>
          <w:sz w:val="20"/>
          <w:szCs w:val="20"/>
          <w:color w:val="auto"/>
        </w:rPr>
      </w:pPr>
    </w:p>
    <w:p>
      <w:pPr>
        <w:ind w:right="12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General and administrative expenses </w:t>
      </w:r>
      <w:r>
        <w:rPr>
          <w:rFonts w:ascii="Arial" w:cs="Arial" w:eastAsia="Arial" w:hAnsi="Arial"/>
          <w:sz w:val="20"/>
          <w:szCs w:val="20"/>
          <w:color w:val="231F20"/>
        </w:rPr>
        <w:t>– General and administrative expenses were $333 million</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for the year ended December 31, 2025, which was an increase of $12 million from $321 million for the year ended December 31, 2024. The increase was primarily a result of additional compensation-related expense and other corporate expenses resulting from the Aera Merger.</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231F20"/>
        </w:rPr>
        <w:t xml:space="preserve">Depreciation, depletion and amortization </w:t>
      </w:r>
      <w:r>
        <w:rPr>
          <w:rFonts w:ascii="Arial" w:cs="Arial" w:eastAsia="Arial" w:hAnsi="Arial"/>
          <w:sz w:val="20"/>
          <w:szCs w:val="20"/>
          <w:color w:val="231F20"/>
        </w:rPr>
        <w:t>– Depreciation, depletion and amortization increased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$123 million to $511 million for the year ended December 31, 2025 from $388 million for the same prior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year period. The increase was primarily the result of the addition of the Aera assets included in the full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year ended December 31, 2025.</w:t>
      </w:r>
    </w:p>
    <w:p>
      <w:pPr>
        <w:spacing w:after="0" w:line="215"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Asset impairment </w:t>
      </w:r>
      <w:r>
        <w:rPr>
          <w:rFonts w:ascii="Arial" w:cs="Arial" w:eastAsia="Arial" w:hAnsi="Arial"/>
          <w:sz w:val="20"/>
          <w:szCs w:val="20"/>
          <w:color w:val="231F20"/>
        </w:rPr>
        <w:t>– We recognized a $59 million asset impairment during the year ended</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 xml:space="preserve">December 31, 2025 of which $57 million related to the write-down of our proved natural gas properties in the Sacramento basin. For more information on the impairment of natural gas properties in the Sacramento basin, see </w:t>
      </w:r>
      <w:r>
        <w:rPr>
          <w:rFonts w:ascii="Arial" w:cs="Arial" w:eastAsia="Arial" w:hAnsi="Arial"/>
          <w:sz w:val="20"/>
          <w:szCs w:val="20"/>
          <w:i w:val="1"/>
          <w:iCs w:val="1"/>
          <w:color w:val="231F20"/>
        </w:rPr>
        <w:t>Part II, Item 8 – Financial Statements and Supplementary Data, Note 3</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Property, Plant and Equipment. </w:t>
      </w:r>
      <w:r>
        <w:rPr>
          <w:rFonts w:ascii="Arial" w:cs="Arial" w:eastAsia="Arial" w:hAnsi="Arial"/>
          <w:sz w:val="20"/>
          <w:szCs w:val="20"/>
          <w:color w:val="231F20"/>
        </w:rPr>
        <w:t>During the year ended December 31, 2024, we recognized a</w:t>
      </w:r>
    </w:p>
    <w:p>
      <w:pPr>
        <w:spacing w:after="0" w:line="7"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231F20"/>
        </w:rPr>
        <w:t xml:space="preserve">$14 million impairment primarily related to excess and obsolete materials and supplies related to our oilfield operations. See </w:t>
      </w:r>
      <w:r>
        <w:rPr>
          <w:rFonts w:ascii="Arial" w:cs="Arial" w:eastAsia="Arial" w:hAnsi="Arial"/>
          <w:sz w:val="20"/>
          <w:szCs w:val="20"/>
          <w:i w:val="1"/>
          <w:iCs w:val="1"/>
          <w:color w:val="231F20"/>
        </w:rPr>
        <w:t>Part II, Item 8 – Financial Statements and Supplementary Data, Note 1 Nature</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of Business, Summary of Significant Accounting Policies and Other </w:t>
      </w:r>
      <w:r>
        <w:rPr>
          <w:rFonts w:ascii="Arial" w:cs="Arial" w:eastAsia="Arial" w:hAnsi="Arial"/>
          <w:sz w:val="20"/>
          <w:szCs w:val="20"/>
          <w:color w:val="231F20"/>
        </w:rPr>
        <w:t>for more information.</w:t>
      </w:r>
    </w:p>
    <w:p>
      <w:pPr>
        <w:spacing w:after="0" w:line="213"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b w:val="1"/>
          <w:bCs w:val="1"/>
          <w:i w:val="1"/>
          <w:iCs w:val="1"/>
          <w:color w:val="231F20"/>
        </w:rPr>
        <w:t xml:space="preserve">Accretion expense </w:t>
      </w:r>
      <w:r>
        <w:rPr>
          <w:rFonts w:ascii="Arial" w:cs="Arial" w:eastAsia="Arial" w:hAnsi="Arial"/>
          <w:sz w:val="20"/>
          <w:szCs w:val="20"/>
          <w:color w:val="231F20"/>
        </w:rPr>
        <w:t>– Accretion expense was $114 million for the year ended December 31, 2025,</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which was an increase of $27 million from $87 million for the year ended December 31, 2024. The increase was primarily due to the addition of the Aera asset retirement liability related to the Aera fields in connection with the Aera Merger.</w:t>
      </w:r>
    </w:p>
    <w:p>
      <w:pPr>
        <w:spacing w:after="0" w:line="211"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Net loss on natural gas purchase derivatives </w:t>
      </w:r>
      <w:r>
        <w:rPr>
          <w:rFonts w:ascii="Arial" w:cs="Arial" w:eastAsia="Arial" w:hAnsi="Arial"/>
          <w:sz w:val="20"/>
          <w:szCs w:val="20"/>
          <w:color w:val="231F20"/>
        </w:rPr>
        <w:t>– Net loss on natural gas purchase derivatives was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$50 million for the year ended December 31, 2025. For the same prior year period, we recognized a net loss of $30 million. The change primarily resulted from changes in the fair value of our outstanding commodity derivatives from the positions held, as well as the relationship between contract prices and the associated forward curves at the end of each measurement period. We added derivative positions held by Berry at December 18, 2025 and recognized a change in fair value between legal close and</w:t>
      </w:r>
    </w:p>
    <w:p>
      <w:pPr>
        <w:sectPr>
          <w:pgSz w:w="11880" w:h="15480" w:orient="portrait"/>
          <w:cols w:equalWidth="0" w:num="1">
            <w:col w:w="9120"/>
          </w:cols>
          <w:pgMar w:left="1380" w:top="1316" w:right="1380" w:bottom="653"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67</w:t>
      </w:r>
    </w:p>
    <w:p>
      <w:pPr>
        <w:sectPr>
          <w:pgSz w:w="11880" w:h="15480" w:orient="portrait"/>
          <w:cols w:equalWidth="0" w:num="1">
            <w:col w:w="9120"/>
          </w:cols>
          <w:pgMar w:left="1380" w:top="1316" w:right="1380" w:bottom="653" w:gutter="0" w:footer="0" w:header="0"/>
          <w:type w:val="continuous"/>
        </w:sectPr>
      </w:pPr>
    </w:p>
    <w:bookmarkStart w:id="71" w:name="page72"/>
    <w:bookmarkEnd w:id="71"/>
    <w:p>
      <w:pPr>
        <w:ind w:right="100"/>
        <w:spacing w:after="0" w:line="246" w:lineRule="auto"/>
        <w:rPr>
          <w:sz w:val="20"/>
          <w:szCs w:val="20"/>
          <w:color w:val="auto"/>
        </w:rPr>
      </w:pPr>
      <w:r>
        <w:rPr>
          <w:rFonts w:ascii="Arial" w:cs="Arial" w:eastAsia="Arial" w:hAnsi="Arial"/>
          <w:sz w:val="20"/>
          <w:szCs w:val="20"/>
          <w:color w:val="231F20"/>
        </w:rPr>
        <w:t xml:space="preserve">December 31, 2025. Gains and losses from our commodity derivative contracts are shown in the table below. For more information on our derivatives, see </w:t>
      </w:r>
      <w:r>
        <w:rPr>
          <w:rFonts w:ascii="Arial" w:cs="Arial" w:eastAsia="Arial" w:hAnsi="Arial"/>
          <w:sz w:val="20"/>
          <w:szCs w:val="20"/>
          <w:i w:val="1"/>
          <w:iCs w:val="1"/>
          <w:color w:val="231F20"/>
        </w:rPr>
        <w:t>Part II, Item 8 – Financial Statements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Supplementary Data, Note 7 Derivatives.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3"/>
              <w:spacing w:after="0"/>
              <w:rPr>
                <w:sz w:val="20"/>
                <w:szCs w:val="20"/>
                <w:color w:val="auto"/>
              </w:rPr>
            </w:pPr>
            <w:r>
              <w:rPr>
                <w:rFonts w:ascii="Arial" w:cs="Arial" w:eastAsia="Arial" w:hAnsi="Arial"/>
                <w:sz w:val="20"/>
                <w:szCs w:val="20"/>
                <w:b w:val="1"/>
                <w:bCs w:val="1"/>
                <w:color w:val="231F20"/>
                <w:w w:val="98"/>
              </w:rPr>
              <w:t>Year ended</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231F20"/>
                <w:w w:val="98"/>
              </w:rPr>
              <w:t>Year ended</w:t>
            </w:r>
          </w:p>
        </w:tc>
      </w:tr>
      <w:tr>
        <w:trPr>
          <w:trHeight w:val="248"/>
        </w:trPr>
        <w:tc>
          <w:tcPr>
            <w:tcW w:w="620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340" w:type="dxa"/>
            <w:vAlign w:val="bottom"/>
            <w:tcBorders>
              <w:bottom w:val="single" w:sz="8" w:color="231F20"/>
            </w:tcBorders>
            <w:gridSpan w:val="2"/>
          </w:tcPr>
          <w:p>
            <w:pPr>
              <w:ind w:left="20"/>
              <w:spacing w:after="0"/>
              <w:rPr>
                <w:sz w:val="20"/>
                <w:szCs w:val="20"/>
                <w:color w:val="auto"/>
              </w:rPr>
            </w:pPr>
            <w:r>
              <w:rPr>
                <w:rFonts w:ascii="Arial" w:cs="Arial" w:eastAsia="Arial" w:hAnsi="Arial"/>
                <w:sz w:val="20"/>
                <w:szCs w:val="20"/>
                <w:b w:val="1"/>
                <w:bCs w:val="1"/>
                <w:color w:val="231F20"/>
                <w:w w:val="99"/>
              </w:rPr>
              <w:t>December 31,</w:t>
            </w:r>
          </w:p>
        </w:tc>
        <w:tc>
          <w:tcPr>
            <w:tcW w:w="200" w:type="dxa"/>
            <w:vAlign w:val="bottom"/>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340" w:type="dxa"/>
            <w:vAlign w:val="bottom"/>
            <w:tcBorders>
              <w:bottom w:val="single" w:sz="8" w:color="231F20"/>
            </w:tcBorders>
            <w:gridSpan w:val="3"/>
          </w:tcPr>
          <w:p>
            <w:pPr>
              <w:ind w:left="20"/>
              <w:spacing w:after="0" w:line="228" w:lineRule="exact"/>
              <w:rPr>
                <w:sz w:val="20"/>
                <w:szCs w:val="20"/>
                <w:color w:val="auto"/>
              </w:rPr>
            </w:pPr>
            <w:r>
              <w:rPr>
                <w:rFonts w:ascii="Arial" w:cs="Arial" w:eastAsia="Arial" w:hAnsi="Arial"/>
                <w:sz w:val="20"/>
                <w:szCs w:val="20"/>
                <w:b w:val="1"/>
                <w:bCs w:val="1"/>
                <w:color w:val="231F20"/>
                <w:w w:val="99"/>
              </w:rPr>
              <w:t>December 31,</w:t>
            </w:r>
          </w:p>
        </w:tc>
      </w:tr>
      <w:tr>
        <w:trPr>
          <w:trHeight w:val="260"/>
        </w:trPr>
        <w:tc>
          <w:tcPr>
            <w:tcW w:w="6200" w:type="dxa"/>
            <w:vAlign w:val="bottom"/>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220" w:type="dxa"/>
            <w:vAlign w:val="bottom"/>
            <w:tcBorders>
              <w:bottom w:val="single" w:sz="8" w:color="231F20"/>
            </w:tcBorders>
          </w:tcPr>
          <w:p>
            <w:pPr>
              <w:jc w:val="right"/>
              <w:ind w:right="363"/>
              <w:spacing w:after="0"/>
              <w:rPr>
                <w:sz w:val="20"/>
                <w:szCs w:val="20"/>
                <w:color w:val="auto"/>
              </w:rPr>
            </w:pPr>
            <w:r>
              <w:rPr>
                <w:rFonts w:ascii="Arial" w:cs="Arial" w:eastAsia="Arial" w:hAnsi="Arial"/>
                <w:sz w:val="20"/>
                <w:szCs w:val="20"/>
                <w:b w:val="1"/>
                <w:bCs w:val="1"/>
                <w:color w:val="231F20"/>
              </w:rPr>
              <w:t>2025</w:t>
            </w:r>
          </w:p>
        </w:tc>
        <w:tc>
          <w:tcPr>
            <w:tcW w:w="200" w:type="dxa"/>
            <w:vAlign w:val="bottom"/>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200" w:type="dxa"/>
            <w:vAlign w:val="bottom"/>
            <w:tcBorders>
              <w:bottom w:val="single" w:sz="8" w:color="231F20"/>
            </w:tcBorders>
          </w:tcPr>
          <w:p>
            <w:pPr>
              <w:jc w:val="right"/>
              <w:ind w:right="340"/>
              <w:spacing w:after="0"/>
              <w:rPr>
                <w:sz w:val="20"/>
                <w:szCs w:val="20"/>
                <w:color w:val="auto"/>
              </w:rPr>
            </w:pPr>
            <w:r>
              <w:rPr>
                <w:rFonts w:ascii="Arial" w:cs="Arial" w:eastAsia="Arial" w:hAnsi="Arial"/>
                <w:sz w:val="20"/>
                <w:szCs w:val="20"/>
                <w:b w:val="1"/>
                <w:bCs w:val="1"/>
                <w:color w:val="231F20"/>
              </w:rPr>
              <w:t>2024</w:t>
            </w:r>
          </w:p>
        </w:tc>
        <w:tc>
          <w:tcPr>
            <w:tcW w:w="20" w:type="dxa"/>
            <w:vAlign w:val="bottom"/>
            <w:tcBorders>
              <w:bottom w:val="single" w:sz="8" w:color="231F20"/>
            </w:tcBorders>
          </w:tcPr>
          <w:p>
            <w:pPr>
              <w:spacing w:after="0"/>
              <w:rPr>
                <w:sz w:val="22"/>
                <w:szCs w:val="22"/>
                <w:color w:val="auto"/>
              </w:rPr>
            </w:pPr>
          </w:p>
        </w:tc>
      </w:tr>
      <w:tr>
        <w:trPr>
          <w:trHeight w:val="192"/>
        </w:trPr>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6"/>
          </w:tcPr>
          <w:p>
            <w:pPr>
              <w:jc w:val="right"/>
              <w:ind w:right="1060"/>
              <w:spacing w:after="0"/>
              <w:rPr>
                <w:sz w:val="20"/>
                <w:szCs w:val="20"/>
                <w:color w:val="auto"/>
              </w:rPr>
            </w:pPr>
            <w:r>
              <w:rPr>
                <w:rFonts w:ascii="Arial" w:cs="Arial" w:eastAsia="Arial" w:hAnsi="Arial"/>
                <w:sz w:val="16"/>
                <w:szCs w:val="16"/>
                <w:color w:val="231F20"/>
              </w:rPr>
              <w:t>(in millions)</w:t>
            </w:r>
          </w:p>
        </w:tc>
      </w:tr>
      <w:tr>
        <w:trPr>
          <w:trHeight w:val="248"/>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8"/>
              </w:rPr>
              <w:t>Non-cash loss (gain) on natural gas purchase derivatives . . . . . . . . .</w:t>
            </w:r>
          </w:p>
        </w:tc>
        <w:tc>
          <w:tcPr>
            <w:tcW w:w="140" w:type="dxa"/>
            <w:vAlign w:val="bottom"/>
            <w:gridSpan w:val="2"/>
          </w:tcPr>
          <w:p>
            <w:pPr>
              <w:ind w:left="20"/>
              <w:spacing w:after="0"/>
              <w:rPr>
                <w:sz w:val="20"/>
                <w:szCs w:val="20"/>
                <w:color w:val="auto"/>
              </w:rPr>
            </w:pPr>
            <w:r>
              <w:rPr>
                <w:rFonts w:ascii="Arial" w:cs="Arial" w:eastAsia="Arial" w:hAnsi="Arial"/>
                <w:sz w:val="20"/>
                <w:szCs w:val="20"/>
                <w:color w:val="231F20"/>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231F20"/>
              </w:rPr>
              <w:t>24</w:t>
            </w:r>
          </w:p>
        </w:tc>
        <w:tc>
          <w:tcPr>
            <w:tcW w:w="340" w:type="dxa"/>
            <w:vAlign w:val="bottom"/>
            <w:gridSpan w:val="3"/>
          </w:tcPr>
          <w:p>
            <w:pPr>
              <w:ind w:left="220"/>
              <w:spacing w:after="0"/>
              <w:rPr>
                <w:sz w:val="20"/>
                <w:szCs w:val="20"/>
                <w:color w:val="auto"/>
              </w:rPr>
            </w:pPr>
            <w:r>
              <w:rPr>
                <w:rFonts w:ascii="Arial" w:cs="Arial" w:eastAsia="Arial" w:hAnsi="Arial"/>
                <w:sz w:val="20"/>
                <w:szCs w:val="20"/>
                <w:color w:val="231F20"/>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231F20"/>
              </w:rPr>
              <w:t>(2)</w:t>
            </w:r>
          </w:p>
        </w:tc>
        <w:tc>
          <w:tcPr>
            <w:tcW w:w="20" w:type="dxa"/>
            <w:vAlign w:val="bottom"/>
          </w:tcPr>
          <w:p>
            <w:pPr>
              <w:spacing w:after="0"/>
              <w:rPr>
                <w:sz w:val="21"/>
                <w:szCs w:val="21"/>
                <w:color w:val="auto"/>
              </w:rPr>
            </w:pPr>
          </w:p>
        </w:tc>
      </w:tr>
      <w:tr>
        <w:trPr>
          <w:trHeight w:val="240"/>
        </w:trPr>
        <w:tc>
          <w:tcPr>
            <w:tcW w:w="6200" w:type="dxa"/>
            <w:vAlign w:val="bottom"/>
          </w:tcPr>
          <w:p>
            <w:pPr>
              <w:jc w:val="right"/>
              <w:ind w:right="100"/>
              <w:spacing w:after="0"/>
              <w:rPr>
                <w:sz w:val="20"/>
                <w:szCs w:val="20"/>
                <w:color w:val="auto"/>
              </w:rPr>
            </w:pPr>
            <w:r>
              <w:rPr>
                <w:rFonts w:ascii="Arial" w:cs="Arial" w:eastAsia="Arial" w:hAnsi="Arial"/>
                <w:sz w:val="20"/>
                <w:szCs w:val="20"/>
                <w:color w:val="231F20"/>
                <w:w w:val="96"/>
              </w:rPr>
              <w:t>Settlements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31F20"/>
              </w:rPr>
              <w:t>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231F20"/>
              </w:rPr>
              <w:t>32</w:t>
            </w:r>
          </w:p>
        </w:tc>
      </w:tr>
      <w:tr>
        <w:trPr>
          <w:trHeight w:val="30"/>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72"/>
        </w:trPr>
        <w:tc>
          <w:tcPr>
            <w:tcW w:w="6200" w:type="dxa"/>
            <w:vAlign w:val="bottom"/>
          </w:tcPr>
          <w:p>
            <w:pPr>
              <w:jc w:val="right"/>
              <w:ind w:right="100"/>
              <w:spacing w:after="0"/>
              <w:rPr>
                <w:sz w:val="20"/>
                <w:szCs w:val="20"/>
                <w:color w:val="auto"/>
              </w:rPr>
            </w:pPr>
            <w:r>
              <w:rPr>
                <w:rFonts w:ascii="Arial" w:cs="Arial" w:eastAsia="Arial" w:hAnsi="Arial"/>
                <w:sz w:val="20"/>
                <w:szCs w:val="20"/>
                <w:color w:val="231F20"/>
              </w:rPr>
              <w:t>Net loss on natural gas purchase derivatives  . . . . . . . . . . . . . . .</w:t>
            </w:r>
          </w:p>
        </w:tc>
        <w:tc>
          <w:tcPr>
            <w:tcW w:w="140" w:type="dxa"/>
            <w:vAlign w:val="bottom"/>
            <w:gridSpan w:val="2"/>
          </w:tcPr>
          <w:p>
            <w:pPr>
              <w:ind w:left="20"/>
              <w:spacing w:after="0"/>
              <w:rPr>
                <w:sz w:val="20"/>
                <w:szCs w:val="20"/>
                <w:color w:val="auto"/>
              </w:rPr>
            </w:pPr>
            <w:r>
              <w:rPr>
                <w:rFonts w:ascii="Arial" w:cs="Arial" w:eastAsia="Arial" w:hAnsi="Arial"/>
                <w:sz w:val="20"/>
                <w:szCs w:val="20"/>
                <w:color w:val="231F20"/>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231F20"/>
              </w:rPr>
              <w:t>50</w:t>
            </w:r>
          </w:p>
        </w:tc>
        <w:tc>
          <w:tcPr>
            <w:tcW w:w="340" w:type="dxa"/>
            <w:vAlign w:val="bottom"/>
            <w:gridSpan w:val="3"/>
          </w:tcPr>
          <w:p>
            <w:pPr>
              <w:ind w:left="220"/>
              <w:spacing w:after="0"/>
              <w:rPr>
                <w:sz w:val="20"/>
                <w:szCs w:val="20"/>
                <w:color w:val="auto"/>
              </w:rPr>
            </w:pPr>
            <w:r>
              <w:rPr>
                <w:rFonts w:ascii="Arial" w:cs="Arial" w:eastAsia="Arial" w:hAnsi="Arial"/>
                <w:sz w:val="20"/>
                <w:szCs w:val="20"/>
                <w:color w:val="231F20"/>
                <w:w w:val="89"/>
              </w:rPr>
              <w:t>$</w:t>
            </w: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231F20"/>
              </w:rPr>
              <w:t>30</w:t>
            </w:r>
          </w:p>
        </w:tc>
      </w:tr>
      <w:tr>
        <w:trPr>
          <w:trHeight w:val="28"/>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Measurement period adjustments, net </w:t>
      </w:r>
      <w:r>
        <w:rPr>
          <w:rFonts w:ascii="Arial" w:cs="Arial" w:eastAsia="Arial" w:hAnsi="Arial"/>
          <w:sz w:val="20"/>
          <w:szCs w:val="20"/>
          <w:color w:val="231F20"/>
        </w:rPr>
        <w:t>– Measurement period adjustments relate to changes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made to the initial accounting for assets acquired and liabilities assumed in the Aera Merger. The adjustments for the year ended December 31, 2025 included adjustments to depreciation, depletion and amortization expense resulting from changes to the initial purchase price allocation. The adjustments for the year ended December 31, 2024 related to accretion expense related to asset retirement obligations and depreciation, depletion and amortization expense resulting from changes to the initial purchase price allocation.</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20"/>
          <w:szCs w:val="20"/>
          <w:b w:val="1"/>
          <w:bCs w:val="1"/>
          <w:i w:val="1"/>
          <w:iCs w:val="1"/>
          <w:color w:val="231F20"/>
        </w:rPr>
        <w:t xml:space="preserve">Other operating expenses, net </w:t>
      </w:r>
      <w:r>
        <w:rPr>
          <w:rFonts w:ascii="Arial" w:cs="Arial" w:eastAsia="Arial" w:hAnsi="Arial"/>
          <w:sz w:val="20"/>
          <w:szCs w:val="20"/>
          <w:color w:val="231F20"/>
        </w:rPr>
        <w:t>– Other operating expenses, net decreased $30 million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$209 million for the year ended December 31, 2025 compared to $239 million for the year ended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December 31, 2024.</w:t>
      </w:r>
    </w:p>
    <w:p>
      <w:pPr>
        <w:spacing w:after="0" w:line="228" w:lineRule="exact"/>
        <w:rPr>
          <w:sz w:val="20"/>
          <w:szCs w:val="20"/>
          <w:color w:val="auto"/>
        </w:rPr>
      </w:pPr>
    </w:p>
    <w:p>
      <w:pPr>
        <w:ind w:right="440" w:firstLine="300"/>
        <w:spacing w:after="0" w:line="245" w:lineRule="auto"/>
        <w:rPr>
          <w:sz w:val="20"/>
          <w:szCs w:val="20"/>
          <w:color w:val="auto"/>
        </w:rPr>
      </w:pPr>
      <w:r>
        <w:rPr>
          <w:rFonts w:ascii="Arial" w:cs="Arial" w:eastAsia="Arial" w:hAnsi="Arial"/>
          <w:sz w:val="20"/>
          <w:szCs w:val="20"/>
          <w:color w:val="231F20"/>
        </w:rPr>
        <w:t>For the years ended December 31, 2025 and 2024, other operating expenses, net includes the following:</w:t>
      </w:r>
    </w:p>
    <w:p>
      <w:pPr>
        <w:spacing w:after="0" w:line="179" w:lineRule="exact"/>
        <w:rPr>
          <w:sz w:val="20"/>
          <w:szCs w:val="20"/>
          <w:color w:val="auto"/>
        </w:rPr>
      </w:pPr>
    </w:p>
    <w:p>
      <w:pPr>
        <w:jc w:val="center"/>
        <w:ind w:left="6520"/>
        <w:spacing w:after="0"/>
        <w:rPr>
          <w:sz w:val="20"/>
          <w:szCs w:val="20"/>
          <w:color w:val="auto"/>
        </w:rPr>
      </w:pPr>
      <w:r>
        <w:rPr>
          <w:rFonts w:ascii="Arial" w:cs="Arial" w:eastAsia="Arial" w:hAnsi="Arial"/>
          <w:sz w:val="20"/>
          <w:szCs w:val="20"/>
          <w:b w:val="1"/>
          <w:bCs w:val="1"/>
          <w:color w:val="231F20"/>
        </w:rPr>
        <w:t>Year ended</w:t>
      </w:r>
    </w:p>
    <w:p>
      <w:pPr>
        <w:jc w:val="center"/>
        <w:ind w:left="6520"/>
        <w:spacing w:after="0" w:line="208" w:lineRule="auto"/>
        <w:rPr>
          <w:sz w:val="20"/>
          <w:szCs w:val="20"/>
          <w:color w:val="auto"/>
        </w:rPr>
      </w:pPr>
      <w:r>
        <w:rPr>
          <w:rFonts w:ascii="Arial" w:cs="Arial" w:eastAsia="Arial" w:hAnsi="Arial"/>
          <w:sz w:val="20"/>
          <w:szCs w:val="20"/>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4133850</wp:posOffset>
                </wp:positionH>
                <wp:positionV relativeFrom="paragraph">
                  <wp:posOffset>17780</wp:posOffset>
                </wp:positionV>
                <wp:extent cx="165735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5pt,1.4pt" to="456pt,1.4pt" o:allowincell="f" strokecolor="#231F20" strokeweight="1pt"/>
            </w:pict>
          </mc:Fallback>
        </mc:AlternateConten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520" w:type="dxa"/>
            <w:vAlign w:val="bottom"/>
          </w:tcPr>
          <w:p>
            <w:pPr>
              <w:spacing w:after="0"/>
              <w:rPr>
                <w:sz w:val="21"/>
                <w:szCs w:val="21"/>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360" w:type="dxa"/>
            <w:vAlign w:val="bottom"/>
            <w:tcBorders>
              <w:bottom w:val="single" w:sz="8" w:color="231F20"/>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280"/>
              <w:spacing w:after="0"/>
              <w:rPr>
                <w:sz w:val="20"/>
                <w:szCs w:val="20"/>
                <w:color w:val="auto"/>
              </w:rPr>
            </w:pPr>
            <w:r>
              <w:rPr>
                <w:rFonts w:ascii="Arial" w:cs="Arial" w:eastAsia="Arial" w:hAnsi="Arial"/>
                <w:sz w:val="20"/>
                <w:szCs w:val="20"/>
                <w:b w:val="1"/>
                <w:bCs w:val="1"/>
                <w:color w:val="231F20"/>
                <w:w w:val="98"/>
              </w:rPr>
              <w:t>2024</w:t>
            </w:r>
          </w:p>
        </w:tc>
      </w:tr>
      <w:tr>
        <w:trPr>
          <w:trHeight w:val="272"/>
        </w:trPr>
        <w:tc>
          <w:tcPr>
            <w:tcW w:w="6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231F20"/>
              </w:rPr>
              <w:t>(in millions)</w:t>
            </w:r>
          </w:p>
        </w:tc>
        <w:tc>
          <w:tcPr>
            <w:tcW w:w="840" w:type="dxa"/>
            <w:vAlign w:val="bottom"/>
          </w:tcPr>
          <w:p>
            <w:pPr>
              <w:spacing w:after="0"/>
              <w:rPr>
                <w:sz w:val="23"/>
                <w:szCs w:val="23"/>
                <w:color w:val="auto"/>
              </w:rPr>
            </w:pPr>
          </w:p>
        </w:tc>
      </w:tr>
      <w:tr>
        <w:trPr>
          <w:trHeight w:val="265"/>
        </w:trPr>
        <w:tc>
          <w:tcPr>
            <w:tcW w:w="6520" w:type="dxa"/>
            <w:vAlign w:val="bottom"/>
          </w:tcPr>
          <w:p>
            <w:pPr>
              <w:jc w:val="right"/>
              <w:ind w:right="120"/>
              <w:spacing w:after="0" w:line="265" w:lineRule="exact"/>
              <w:rPr>
                <w:sz w:val="20"/>
                <w:szCs w:val="20"/>
                <w:color w:val="auto"/>
              </w:rPr>
            </w:pPr>
            <w:r>
              <w:rPr>
                <w:rFonts w:ascii="Arial" w:cs="Arial" w:eastAsia="Arial" w:hAnsi="Arial"/>
                <w:sz w:val="20"/>
                <w:szCs w:val="20"/>
                <w:color w:val="231F20"/>
                <w:w w:val="96"/>
              </w:rPr>
              <w:t>Carbon management expenses</w:t>
            </w:r>
            <w:r>
              <w:rPr>
                <w:rFonts w:ascii="Arial" w:cs="Arial" w:eastAsia="Arial" w:hAnsi="Arial"/>
                <w:sz w:val="26"/>
                <w:szCs w:val="26"/>
                <w:color w:val="231F20"/>
                <w:w w:val="96"/>
                <w:vertAlign w:val="superscript"/>
              </w:rPr>
              <w:t>(a)</w:t>
            </w:r>
            <w:r>
              <w:rPr>
                <w:rFonts w:ascii="Arial" w:cs="Arial" w:eastAsia="Arial" w:hAnsi="Arial"/>
                <w:sz w:val="20"/>
                <w:szCs w:val="20"/>
                <w:color w:val="231F20"/>
                <w:w w:val="96"/>
              </w:rPr>
              <w:t xml:space="preserve">  . . . . . . . . . . . . . . . . . . . . . . . . . . . . . . .</w:t>
            </w:r>
          </w:p>
        </w:tc>
        <w:tc>
          <w:tcPr>
            <w:tcW w:w="840" w:type="dxa"/>
            <w:vAlign w:val="bottom"/>
          </w:tcPr>
          <w:p>
            <w:pPr>
              <w:jc w:val="right"/>
              <w:ind w:right="640"/>
              <w:spacing w:after="0"/>
              <w:rPr>
                <w:sz w:val="20"/>
                <w:szCs w:val="20"/>
                <w:color w:val="auto"/>
              </w:rPr>
            </w:pPr>
            <w:r>
              <w:rPr>
                <w:rFonts w:ascii="Arial" w:cs="Arial" w:eastAsia="Arial" w:hAnsi="Arial"/>
                <w:sz w:val="20"/>
                <w:szCs w:val="20"/>
                <w:color w:val="231F20"/>
                <w:w w:val="71"/>
              </w:rPr>
              <w:t>$</w:t>
            </w:r>
          </w:p>
        </w:tc>
        <w:tc>
          <w:tcPr>
            <w:tcW w:w="360" w:type="dxa"/>
            <w:vAlign w:val="bottom"/>
          </w:tcPr>
          <w:p>
            <w:pPr>
              <w:jc w:val="right"/>
              <w:spacing w:after="0"/>
              <w:rPr>
                <w:sz w:val="20"/>
                <w:szCs w:val="20"/>
                <w:color w:val="auto"/>
              </w:rPr>
            </w:pPr>
            <w:r>
              <w:rPr>
                <w:rFonts w:ascii="Arial" w:cs="Arial" w:eastAsia="Arial" w:hAnsi="Arial"/>
                <w:sz w:val="20"/>
                <w:szCs w:val="20"/>
                <w:color w:val="231F20"/>
              </w:rPr>
              <w:t>54</w:t>
            </w:r>
          </w:p>
        </w:tc>
        <w:tc>
          <w:tcPr>
            <w:tcW w:w="20" w:type="dxa"/>
            <w:vAlign w:val="bottom"/>
          </w:tcPr>
          <w:p>
            <w:pPr>
              <w:spacing w:after="0"/>
              <w:rPr>
                <w:sz w:val="23"/>
                <w:szCs w:val="23"/>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56</w:t>
            </w:r>
          </w:p>
        </w:tc>
      </w:tr>
      <w:tr>
        <w:trPr>
          <w:trHeight w:val="225"/>
        </w:trPr>
        <w:tc>
          <w:tcPr>
            <w:tcW w:w="6520" w:type="dxa"/>
            <w:vAlign w:val="bottom"/>
          </w:tcPr>
          <w:p>
            <w:pPr>
              <w:jc w:val="right"/>
              <w:ind w:right="120"/>
              <w:spacing w:after="0" w:line="226" w:lineRule="exact"/>
              <w:rPr>
                <w:sz w:val="20"/>
                <w:szCs w:val="20"/>
                <w:color w:val="auto"/>
              </w:rPr>
            </w:pPr>
            <w:r>
              <w:rPr>
                <w:rFonts w:ascii="Arial" w:cs="Arial" w:eastAsia="Arial" w:hAnsi="Arial"/>
                <w:sz w:val="20"/>
                <w:szCs w:val="20"/>
                <w:color w:val="231F20"/>
                <w:w w:val="97"/>
              </w:rPr>
              <w:t>Transaction and integration costs  . . . . . . . . . . . . . . . . . . . . . . . . . . . . . . .</w:t>
            </w:r>
          </w:p>
        </w:tc>
        <w:tc>
          <w:tcPr>
            <w:tcW w:w="840" w:type="dxa"/>
            <w:vAlign w:val="bottom"/>
          </w:tcPr>
          <w:p>
            <w:pPr>
              <w:spacing w:after="0"/>
              <w:rPr>
                <w:sz w:val="19"/>
                <w:szCs w:val="19"/>
                <w:color w:val="auto"/>
              </w:rPr>
            </w:pPr>
          </w:p>
        </w:tc>
        <w:tc>
          <w:tcPr>
            <w:tcW w:w="360" w:type="dxa"/>
            <w:vAlign w:val="bottom"/>
          </w:tcPr>
          <w:p>
            <w:pPr>
              <w:jc w:val="right"/>
              <w:spacing w:after="0" w:line="226" w:lineRule="exact"/>
              <w:rPr>
                <w:sz w:val="20"/>
                <w:szCs w:val="20"/>
                <w:color w:val="auto"/>
              </w:rPr>
            </w:pPr>
            <w:r>
              <w:rPr>
                <w:rFonts w:ascii="Arial" w:cs="Arial" w:eastAsia="Arial" w:hAnsi="Arial"/>
                <w:sz w:val="20"/>
                <w:szCs w:val="20"/>
                <w:color w:val="231F20"/>
              </w:rPr>
              <w:t>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line="226" w:lineRule="exact"/>
              <w:rPr>
                <w:sz w:val="20"/>
                <w:szCs w:val="20"/>
                <w:color w:val="auto"/>
              </w:rPr>
            </w:pPr>
            <w:r>
              <w:rPr>
                <w:rFonts w:ascii="Arial" w:cs="Arial" w:eastAsia="Arial" w:hAnsi="Arial"/>
                <w:sz w:val="20"/>
                <w:szCs w:val="20"/>
                <w:color w:val="231F20"/>
              </w:rPr>
              <w:t>57</w:t>
            </w:r>
          </w:p>
        </w:tc>
      </w:tr>
      <w:tr>
        <w:trPr>
          <w:trHeight w:val="240"/>
        </w:trPr>
        <w:tc>
          <w:tcPr>
            <w:tcW w:w="6520" w:type="dxa"/>
            <w:vAlign w:val="bottom"/>
          </w:tcPr>
          <w:p>
            <w:pPr>
              <w:jc w:val="right"/>
              <w:ind w:right="720"/>
              <w:spacing w:after="0"/>
              <w:rPr>
                <w:sz w:val="20"/>
                <w:szCs w:val="20"/>
                <w:color w:val="auto"/>
              </w:rPr>
            </w:pPr>
            <w:r>
              <w:rPr>
                <w:rFonts w:ascii="Arial" w:cs="Arial" w:eastAsia="Arial" w:hAnsi="Arial"/>
                <w:sz w:val="20"/>
                <w:szCs w:val="20"/>
                <w:color w:val="231F20"/>
                <w:w w:val="99"/>
              </w:rPr>
              <w:t>Incremental energy costs due to downtime at our Elk Hills power</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6520" w:type="dxa"/>
            <w:vAlign w:val="bottom"/>
          </w:tcPr>
          <w:p>
            <w:pPr>
              <w:jc w:val="right"/>
              <w:ind w:right="120"/>
              <w:spacing w:after="0"/>
              <w:rPr>
                <w:sz w:val="20"/>
                <w:szCs w:val="20"/>
                <w:color w:val="auto"/>
              </w:rPr>
            </w:pPr>
            <w:r>
              <w:rPr>
                <w:rFonts w:ascii="Arial" w:cs="Arial" w:eastAsia="Arial" w:hAnsi="Arial"/>
                <w:sz w:val="20"/>
                <w:szCs w:val="20"/>
                <w:color w:val="231F20"/>
                <w:w w:val="99"/>
              </w:rPr>
              <w:t>plant . . . . . . . . . . . . . . . . . . . . . . . . . . . . . . . . . . . . . . . . . . . . . . . . . . . . .</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31F20"/>
              </w:rPr>
              <w:t>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50</w:t>
            </w:r>
          </w:p>
        </w:tc>
      </w:tr>
      <w:tr>
        <w:trPr>
          <w:trHeight w:val="240"/>
        </w:trPr>
        <w:tc>
          <w:tcPr>
            <w:tcW w:w="6520" w:type="dxa"/>
            <w:vAlign w:val="bottom"/>
          </w:tcPr>
          <w:p>
            <w:pPr>
              <w:jc w:val="right"/>
              <w:ind w:right="120"/>
              <w:spacing w:after="0"/>
              <w:rPr>
                <w:sz w:val="20"/>
                <w:szCs w:val="20"/>
                <w:color w:val="auto"/>
              </w:rPr>
            </w:pPr>
            <w:r>
              <w:rPr>
                <w:rFonts w:ascii="Arial" w:cs="Arial" w:eastAsia="Arial" w:hAnsi="Arial"/>
                <w:sz w:val="20"/>
                <w:szCs w:val="20"/>
                <w:color w:val="231F20"/>
                <w:w w:val="97"/>
              </w:rPr>
              <w:t>Severance and termination costs . . . . . . . . . . . . . . . . . . . . . . . . . . . . . . . .</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31F20"/>
              </w:rPr>
              <w:t>20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30</w:t>
            </w:r>
          </w:p>
        </w:tc>
      </w:tr>
      <w:tr>
        <w:trPr>
          <w:trHeight w:val="255"/>
        </w:trPr>
        <w:tc>
          <w:tcPr>
            <w:tcW w:w="6520" w:type="dxa"/>
            <w:vAlign w:val="bottom"/>
          </w:tcPr>
          <w:p>
            <w:pPr>
              <w:jc w:val="right"/>
              <w:ind w:right="120"/>
              <w:spacing w:after="0" w:line="255" w:lineRule="exact"/>
              <w:rPr>
                <w:sz w:val="20"/>
                <w:szCs w:val="20"/>
                <w:color w:val="auto"/>
              </w:rPr>
            </w:pPr>
            <w:r>
              <w:rPr>
                <w:rFonts w:ascii="Arial" w:cs="Arial" w:eastAsia="Arial" w:hAnsi="Arial"/>
                <w:sz w:val="20"/>
                <w:szCs w:val="20"/>
                <w:color w:val="231F20"/>
                <w:w w:val="97"/>
              </w:rPr>
              <w:t>Litigation and settlement related expenses</w:t>
            </w:r>
            <w:r>
              <w:rPr>
                <w:rFonts w:ascii="Arial" w:cs="Arial" w:eastAsia="Arial" w:hAnsi="Arial"/>
                <w:sz w:val="26"/>
                <w:szCs w:val="26"/>
                <w:color w:val="231F20"/>
                <w:w w:val="97"/>
                <w:vertAlign w:val="superscript"/>
              </w:rPr>
              <w:t>(b)</w:t>
            </w:r>
            <w:r>
              <w:rPr>
                <w:rFonts w:ascii="Arial" w:cs="Arial" w:eastAsia="Arial" w:hAnsi="Arial"/>
                <w:sz w:val="20"/>
                <w:szCs w:val="20"/>
                <w:color w:val="231F20"/>
                <w:w w:val="97"/>
              </w:rPr>
              <w:t xml:space="preserve">  . . . . . . . . . . . . . . . . . . . . . .</w:t>
            </w:r>
          </w:p>
        </w:tc>
        <w:tc>
          <w:tcPr>
            <w:tcW w:w="8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31F20"/>
              </w:rPr>
              <w:t>26</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12</w:t>
            </w:r>
          </w:p>
        </w:tc>
      </w:tr>
      <w:tr>
        <w:trPr>
          <w:trHeight w:val="223"/>
        </w:trPr>
        <w:tc>
          <w:tcPr>
            <w:tcW w:w="6520" w:type="dxa"/>
            <w:vAlign w:val="bottom"/>
          </w:tcPr>
          <w:p>
            <w:pPr>
              <w:jc w:val="right"/>
              <w:ind w:right="120"/>
              <w:spacing w:after="0" w:line="223" w:lineRule="exact"/>
              <w:rPr>
                <w:sz w:val="20"/>
                <w:szCs w:val="20"/>
                <w:color w:val="auto"/>
              </w:rPr>
            </w:pPr>
            <w:r>
              <w:rPr>
                <w:rFonts w:ascii="Arial" w:cs="Arial" w:eastAsia="Arial" w:hAnsi="Arial"/>
                <w:sz w:val="20"/>
                <w:szCs w:val="20"/>
                <w:color w:val="231F20"/>
                <w:w w:val="98"/>
              </w:rPr>
              <w:t>Offshore platforms maintenance and abandonment costs . . . . . . . . . . . .</w:t>
            </w:r>
          </w:p>
        </w:tc>
        <w:tc>
          <w:tcPr>
            <w:tcW w:w="840" w:type="dxa"/>
            <w:vAlign w:val="bottom"/>
          </w:tcPr>
          <w:p>
            <w:pPr>
              <w:spacing w:after="0"/>
              <w:rPr>
                <w:sz w:val="19"/>
                <w:szCs w:val="19"/>
                <w:color w:val="auto"/>
              </w:rPr>
            </w:pPr>
          </w:p>
        </w:tc>
        <w:tc>
          <w:tcPr>
            <w:tcW w:w="360" w:type="dxa"/>
            <w:vAlign w:val="bottom"/>
          </w:tcPr>
          <w:p>
            <w:pPr>
              <w:jc w:val="right"/>
              <w:spacing w:after="0" w:line="223" w:lineRule="exact"/>
              <w:rPr>
                <w:sz w:val="20"/>
                <w:szCs w:val="20"/>
                <w:color w:val="auto"/>
              </w:rPr>
            </w:pPr>
            <w:r>
              <w:rPr>
                <w:rFonts w:ascii="Arial" w:cs="Arial" w:eastAsia="Arial" w:hAnsi="Arial"/>
                <w:sz w:val="20"/>
                <w:szCs w:val="20"/>
                <w:color w:val="231F20"/>
              </w:rPr>
              <w:t>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Arial" w:cs="Arial" w:eastAsia="Arial" w:hAnsi="Arial"/>
                <w:sz w:val="20"/>
                <w:szCs w:val="20"/>
                <w:color w:val="231F20"/>
              </w:rPr>
              <w:t>5</w:t>
            </w:r>
          </w:p>
        </w:tc>
      </w:tr>
      <w:tr>
        <w:trPr>
          <w:trHeight w:val="240"/>
        </w:trPr>
        <w:tc>
          <w:tcPr>
            <w:tcW w:w="6520" w:type="dxa"/>
            <w:vAlign w:val="bottom"/>
          </w:tcPr>
          <w:p>
            <w:pPr>
              <w:jc w:val="right"/>
              <w:ind w:right="120"/>
              <w:spacing w:after="0"/>
              <w:rPr>
                <w:sz w:val="20"/>
                <w:szCs w:val="20"/>
                <w:color w:val="auto"/>
              </w:rPr>
            </w:pPr>
            <w:r>
              <w:rPr>
                <w:rFonts w:ascii="Arial" w:cs="Arial" w:eastAsia="Arial" w:hAnsi="Arial"/>
                <w:sz w:val="20"/>
                <w:szCs w:val="20"/>
                <w:color w:val="231F20"/>
                <w:w w:val="97"/>
              </w:rPr>
              <w:t>Information technology infrastructure  . . . . . . . . . . . . . . . . . . . . . . . . . . . .</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31F20"/>
              </w:rPr>
              <w:t>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6520" w:type="dxa"/>
            <w:vAlign w:val="bottom"/>
          </w:tcPr>
          <w:p>
            <w:pPr>
              <w:jc w:val="right"/>
              <w:ind w:right="120"/>
              <w:spacing w:after="0"/>
              <w:rPr>
                <w:sz w:val="20"/>
                <w:szCs w:val="20"/>
                <w:color w:val="auto"/>
              </w:rPr>
            </w:pPr>
            <w:r>
              <w:rPr>
                <w:rFonts w:ascii="Arial" w:cs="Arial" w:eastAsia="Arial" w:hAnsi="Arial"/>
                <w:sz w:val="20"/>
                <w:szCs w:val="20"/>
                <w:color w:val="231F20"/>
                <w:w w:val="96"/>
              </w:rPr>
              <w:t>Environmental remediation . . . . . . . . . . . . . . . . . . . . . . . . . . . . . . . . . . . . .</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31F20"/>
              </w:rPr>
              <w:t>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6520" w:type="dxa"/>
            <w:vAlign w:val="bottom"/>
          </w:tcPr>
          <w:p>
            <w:pPr>
              <w:jc w:val="right"/>
              <w:ind w:right="120"/>
              <w:spacing w:after="0"/>
              <w:rPr>
                <w:sz w:val="20"/>
                <w:szCs w:val="20"/>
                <w:color w:val="auto"/>
              </w:rPr>
            </w:pPr>
            <w:r>
              <w:rPr>
                <w:rFonts w:ascii="Arial" w:cs="Arial" w:eastAsia="Arial" w:hAnsi="Arial"/>
                <w:sz w:val="20"/>
                <w:szCs w:val="20"/>
                <w:color w:val="231F20"/>
                <w:w w:val="95"/>
              </w:rPr>
              <w:t>All other  . . . . . . . . . . . . . . . . . . . . . . . . . . . . . . . . . . . . . . . . . . . . . . . . . . . .</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31F20"/>
              </w:rPr>
              <w:t>34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29</w:t>
            </w:r>
          </w:p>
        </w:tc>
      </w:tr>
      <w:tr>
        <w:trPr>
          <w:trHeight w:val="30"/>
        </w:trPr>
        <w:tc>
          <w:tcPr>
            <w:tcW w:w="6520" w:type="dxa"/>
            <w:vAlign w:val="bottom"/>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gridSpan w:val="2"/>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72"/>
        </w:trPr>
        <w:tc>
          <w:tcPr>
            <w:tcW w:w="6520" w:type="dxa"/>
            <w:vAlign w:val="bottom"/>
          </w:tcPr>
          <w:p>
            <w:pPr>
              <w:jc w:val="right"/>
              <w:ind w:right="120"/>
              <w:spacing w:after="0"/>
              <w:rPr>
                <w:sz w:val="20"/>
                <w:szCs w:val="20"/>
                <w:color w:val="auto"/>
              </w:rPr>
            </w:pPr>
            <w:r>
              <w:rPr>
                <w:rFonts w:ascii="Arial" w:cs="Arial" w:eastAsia="Arial" w:hAnsi="Arial"/>
                <w:sz w:val="20"/>
                <w:szCs w:val="20"/>
                <w:color w:val="231F20"/>
              </w:rPr>
              <w:t>Total operating expenses, net  . . . . . . . . . . . . . . . . . . . . . . . . . . . . . .</w:t>
            </w:r>
          </w:p>
        </w:tc>
        <w:tc>
          <w:tcPr>
            <w:tcW w:w="840" w:type="dxa"/>
            <w:vAlign w:val="bottom"/>
          </w:tcPr>
          <w:p>
            <w:pPr>
              <w:jc w:val="right"/>
              <w:ind w:right="640"/>
              <w:spacing w:after="0"/>
              <w:rPr>
                <w:sz w:val="20"/>
                <w:szCs w:val="20"/>
                <w:color w:val="auto"/>
              </w:rPr>
            </w:pPr>
            <w:r>
              <w:rPr>
                <w:rFonts w:ascii="Arial" w:cs="Arial" w:eastAsia="Arial" w:hAnsi="Arial"/>
                <w:sz w:val="20"/>
                <w:szCs w:val="20"/>
                <w:color w:val="231F20"/>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20"/>
                <w:szCs w:val="20"/>
                <w:color w:val="231F20"/>
              </w:rPr>
              <w:t>209</w:t>
            </w:r>
          </w:p>
        </w:tc>
        <w:tc>
          <w:tcPr>
            <w:tcW w:w="540" w:type="dxa"/>
            <w:vAlign w:val="bottom"/>
            <w:gridSpan w:val="2"/>
          </w:tcPr>
          <w:p>
            <w:pPr>
              <w:jc w:val="right"/>
              <w:ind w:right="26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239</w:t>
            </w:r>
          </w:p>
        </w:tc>
      </w:tr>
      <w:tr>
        <w:trPr>
          <w:trHeight w:val="28"/>
        </w:trPr>
        <w:tc>
          <w:tcPr>
            <w:tcW w:w="6520" w:type="dxa"/>
            <w:vAlign w:val="bottom"/>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53" w:lineRule="exact"/>
        <w:rPr>
          <w:sz w:val="20"/>
          <w:szCs w:val="20"/>
          <w:color w:val="auto"/>
        </w:rPr>
      </w:pPr>
    </w:p>
    <w:p>
      <w:pPr>
        <w:ind w:left="320" w:right="20" w:hanging="320"/>
        <w:spacing w:after="0" w:line="258" w:lineRule="auto"/>
        <w:tabs>
          <w:tab w:leader="none" w:pos="32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 xml:space="preserve">Carbon management expenses relates to the development of our carbon management business and includes operating lease costs, payroll costs related to our technical teams and is included in other segment expenses. For more information on our carbon management segment, refer to </w:t>
      </w:r>
      <w:r>
        <w:rPr>
          <w:rFonts w:ascii="Arial" w:cs="Arial" w:eastAsia="Arial" w:hAnsi="Arial"/>
          <w:sz w:val="16"/>
          <w:szCs w:val="16"/>
          <w:i w:val="1"/>
          <w:iCs w:val="1"/>
          <w:color w:val="231F20"/>
        </w:rPr>
        <w:t>Part II, Item 8 – Financial Statements and Supplementary Data, Note 16</w:t>
      </w:r>
      <w:r>
        <w:rPr>
          <w:rFonts w:ascii="Arial" w:cs="Arial" w:eastAsia="Arial" w:hAnsi="Arial"/>
          <w:sz w:val="16"/>
          <w:szCs w:val="16"/>
          <w:color w:val="231F20"/>
        </w:rPr>
        <w:t xml:space="preserve"> </w:t>
      </w:r>
      <w:r>
        <w:rPr>
          <w:rFonts w:ascii="Arial" w:cs="Arial" w:eastAsia="Arial" w:hAnsi="Arial"/>
          <w:sz w:val="16"/>
          <w:szCs w:val="16"/>
          <w:i w:val="1"/>
          <w:iCs w:val="1"/>
          <w:color w:val="231F20"/>
        </w:rPr>
        <w:t>Segment Information.</w:t>
      </w:r>
    </w:p>
    <w:p>
      <w:pPr>
        <w:spacing w:after="0" w:line="6" w:lineRule="exact"/>
        <w:rPr>
          <w:rFonts w:ascii="Arial" w:cs="Arial" w:eastAsia="Arial" w:hAnsi="Arial"/>
          <w:sz w:val="16"/>
          <w:szCs w:val="16"/>
          <w:color w:val="231F20"/>
        </w:rPr>
      </w:pPr>
    </w:p>
    <w:p>
      <w:pPr>
        <w:ind w:left="320" w:right="840" w:hanging="320"/>
        <w:spacing w:after="0" w:line="256" w:lineRule="auto"/>
        <w:tabs>
          <w:tab w:leader="none" w:pos="32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 xml:space="preserve">See </w:t>
      </w:r>
      <w:r>
        <w:rPr>
          <w:rFonts w:ascii="Arial" w:cs="Arial" w:eastAsia="Arial" w:hAnsi="Arial"/>
          <w:sz w:val="16"/>
          <w:szCs w:val="16"/>
          <w:i w:val="1"/>
          <w:iCs w:val="1"/>
          <w:color w:val="231F20"/>
        </w:rPr>
        <w:t>Part II, Item 8 – Financial Statements and Supplementary Data, Note 6 Lawsuits, Claims, Commitments and</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Contingencies </w:t>
      </w:r>
      <w:r>
        <w:rPr>
          <w:rFonts w:ascii="Arial" w:cs="Arial" w:eastAsia="Arial" w:hAnsi="Arial"/>
          <w:sz w:val="16"/>
          <w:szCs w:val="16"/>
          <w:color w:val="231F20"/>
        </w:rPr>
        <w:t>for more information on a $25 million payment we made to CalGEM.</w:t>
      </w:r>
    </w:p>
    <w:p>
      <w:pPr>
        <w:spacing w:after="0" w:line="221" w:lineRule="exact"/>
        <w:rPr>
          <w:sz w:val="20"/>
          <w:szCs w:val="20"/>
          <w:color w:val="auto"/>
        </w:rPr>
      </w:pPr>
    </w:p>
    <w:p>
      <w:pPr>
        <w:ind w:right="300" w:firstLine="300"/>
        <w:spacing w:after="0" w:line="249" w:lineRule="auto"/>
        <w:rPr>
          <w:sz w:val="20"/>
          <w:szCs w:val="20"/>
          <w:color w:val="auto"/>
        </w:rPr>
      </w:pPr>
      <w:r>
        <w:rPr>
          <w:rFonts w:ascii="Arial" w:cs="Arial" w:eastAsia="Arial" w:hAnsi="Arial"/>
          <w:sz w:val="20"/>
          <w:szCs w:val="20"/>
          <w:b w:val="1"/>
          <w:bCs w:val="1"/>
          <w:i w:val="1"/>
          <w:iCs w:val="1"/>
          <w:color w:val="231F20"/>
        </w:rPr>
        <w:t xml:space="preserve">(Loss) gain on asset divestitures </w:t>
      </w:r>
      <w:r>
        <w:rPr>
          <w:rFonts w:ascii="Arial" w:cs="Arial" w:eastAsia="Arial" w:hAnsi="Arial"/>
          <w:sz w:val="20"/>
          <w:szCs w:val="20"/>
          <w:color w:val="231F20"/>
        </w:rPr>
        <w:t>– Our loss on asset divestitures for the year ended</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December 31, 2025 was $1 million primarily related to the final purchase price adjustment related to the sale of oil and gas assets located in Ventura. Gain on asset divestitures for the year ended</w:t>
      </w:r>
    </w:p>
    <w:p>
      <w:pPr>
        <w:sectPr>
          <w:pgSz w:w="11880" w:h="15480" w:orient="portrait"/>
          <w:cols w:equalWidth="0" w:num="1">
            <w:col w:w="9120"/>
          </w:cols>
          <w:pgMar w:left="1380" w:top="1316" w:right="1380" w:bottom="655"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68</w:t>
      </w:r>
    </w:p>
    <w:p>
      <w:pPr>
        <w:sectPr>
          <w:pgSz w:w="11880" w:h="15480" w:orient="portrait"/>
          <w:cols w:equalWidth="0" w:num="1">
            <w:col w:w="9120"/>
          </w:cols>
          <w:pgMar w:left="1380" w:top="1316" w:right="1380" w:bottom="655" w:gutter="0" w:footer="0" w:header="0"/>
          <w:type w:val="continuous"/>
        </w:sectPr>
      </w:pPr>
    </w:p>
    <w:bookmarkStart w:id="72" w:name="page73"/>
    <w:bookmarkEnd w:id="72"/>
    <w:p>
      <w:pPr>
        <w:jc w:val="both"/>
        <w:ind w:right="500"/>
        <w:spacing w:after="0" w:line="246" w:lineRule="auto"/>
        <w:rPr>
          <w:sz w:val="20"/>
          <w:szCs w:val="20"/>
          <w:color w:val="auto"/>
        </w:rPr>
      </w:pPr>
      <w:r>
        <w:rPr>
          <w:rFonts w:ascii="Arial" w:cs="Arial" w:eastAsia="Arial" w:hAnsi="Arial"/>
          <w:sz w:val="20"/>
          <w:szCs w:val="20"/>
          <w:color w:val="231F20"/>
        </w:rPr>
        <w:t xml:space="preserve">December 31, 2024 was $11 million primarily related to the divestiture of non-core assets and our Ventura divestiture. For more information on our asset divestitures, see </w:t>
      </w:r>
      <w:r>
        <w:rPr>
          <w:rFonts w:ascii="Arial" w:cs="Arial" w:eastAsia="Arial" w:hAnsi="Arial"/>
          <w:sz w:val="20"/>
          <w:szCs w:val="20"/>
          <w:i w:val="1"/>
          <w:iCs w:val="1"/>
          <w:color w:val="231F20"/>
        </w:rPr>
        <w:t>Part II, Item 8 – Financial</w:t>
      </w:r>
      <w:r>
        <w:rPr>
          <w:rFonts w:ascii="Arial" w:cs="Arial" w:eastAsia="Arial" w:hAnsi="Arial"/>
          <w:sz w:val="20"/>
          <w:szCs w:val="20"/>
          <w:color w:val="231F20"/>
        </w:rPr>
        <w:t xml:space="preserve"> </w:t>
      </w:r>
      <w:r>
        <w:rPr>
          <w:rFonts w:ascii="Arial" w:cs="Arial" w:eastAsia="Arial" w:hAnsi="Arial"/>
          <w:sz w:val="20"/>
          <w:szCs w:val="20"/>
          <w:i w:val="1"/>
          <w:iCs w:val="1"/>
          <w:color w:val="231F20"/>
        </w:rPr>
        <w:t>Statements and Supplementary Data, Note 9 Divestitures and Acquisitions.</w:t>
      </w:r>
    </w:p>
    <w:p>
      <w:pPr>
        <w:spacing w:after="0" w:line="168" w:lineRule="exact"/>
        <w:rPr>
          <w:sz w:val="20"/>
          <w:szCs w:val="20"/>
          <w:color w:val="auto"/>
        </w:rPr>
      </w:pPr>
    </w:p>
    <w:p>
      <w:pPr>
        <w:ind w:right="6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Interest and debt expense, net </w:t>
      </w:r>
      <w:r>
        <w:rPr>
          <w:rFonts w:ascii="Arial" w:cs="Arial" w:eastAsia="Arial" w:hAnsi="Arial"/>
          <w:sz w:val="20"/>
          <w:szCs w:val="20"/>
          <w:color w:val="231F20"/>
        </w:rPr>
        <w:t>– Interest and debt expense, net was $106 million for the year</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 xml:space="preserve">ended December 31, 2025, which was an increase of $19 million from $87 million for the year ended December 31, 2024. The increase was predominately due to higher outstanding debt for the full year ended 2025 compared to 2024. Our 2029 Senior Notes were outstanding for only part of 2024 compared to the full year in 2025, as $600 million was issued in June 2024 and $300 million was issued in August 2024 in a follow-on issuance. Outstanding debt was also higher in 2025 due to the issuance of $400 million of our 2034 Senior Notes completed in October 2025 resulting in increased interest expense. This increase in interest expense was partially offset by lower interest expense resulting from debt repayments, including the redemption of $123 million of our 2026 Senior Notes in February 2025 and the redemption of the remaining $122 million of the 2026 Senior Notes in October 2025, which reduced outstanding principal and related interest expense. See </w:t>
      </w:r>
      <w:r>
        <w:rPr>
          <w:rFonts w:ascii="Arial" w:cs="Arial" w:eastAsia="Arial" w:hAnsi="Arial"/>
          <w:sz w:val="20"/>
          <w:szCs w:val="20"/>
          <w:i w:val="1"/>
          <w:iCs w:val="1"/>
          <w:color w:val="231F20"/>
        </w:rPr>
        <w:t>Part II, Item 8 – Financial</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Statements and Supplementary Data, Note 5 Debt </w:t>
      </w:r>
      <w:r>
        <w:rPr>
          <w:rFonts w:ascii="Arial" w:cs="Arial" w:eastAsia="Arial" w:hAnsi="Arial"/>
          <w:sz w:val="20"/>
          <w:szCs w:val="20"/>
          <w:color w:val="231F20"/>
        </w:rPr>
        <w:t>for information on our recent financings.</w:t>
      </w:r>
    </w:p>
    <w:p>
      <w:pPr>
        <w:spacing w:after="0" w:line="165" w:lineRule="exact"/>
        <w:rPr>
          <w:sz w:val="20"/>
          <w:szCs w:val="20"/>
          <w:color w:val="auto"/>
        </w:rPr>
      </w:pPr>
    </w:p>
    <w:p>
      <w:pPr>
        <w:ind w:right="24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Other non-operating income (expenses), net </w:t>
      </w:r>
      <w:r>
        <w:rPr>
          <w:rFonts w:ascii="Arial" w:cs="Arial" w:eastAsia="Arial" w:hAnsi="Arial"/>
          <w:sz w:val="20"/>
          <w:szCs w:val="20"/>
          <w:color w:val="231F20"/>
        </w:rPr>
        <w:t>– We recognized $15 million other non-operating</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income during the year ended December 31, 2025 primarily related to actuarial gains on plan assets held in our pension and postretirement benefit plan. During the year ended December 31, 2024, we recognized $2 million other non-operating expense primarily relating to the write-off of financing fees related to a bridge loan we entered into in connection with the Aera Merger which was partially offset by a prior service cost gain on our postretirement benefit plan.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Segment Results of Oil and Natural Gas Operations</w:t>
      </w:r>
    </w:p>
    <w:p>
      <w:pPr>
        <w:spacing w:after="0" w:line="175"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 xml:space="preserve">The following tables includes financial results and key operating data for our oil and natural gas segment for the years ended December 31, 2025, 2024 and 2023. Our results of operations for the oil and natural gas segment include the financial and operating results of Aera beginning on July 1, 2024, the closing date of the Aera Merger. For more information on the Aera Merger, see </w:t>
      </w:r>
      <w:r>
        <w:rPr>
          <w:rFonts w:ascii="Arial" w:cs="Arial" w:eastAsia="Arial" w:hAnsi="Arial"/>
          <w:sz w:val="20"/>
          <w:szCs w:val="20"/>
          <w:i w:val="1"/>
          <w:iCs w:val="1"/>
          <w:color w:val="231F20"/>
        </w:rPr>
        <w:t>Part II, Item 8 –</w:t>
      </w:r>
      <w:r>
        <w:rPr>
          <w:rFonts w:ascii="Arial" w:cs="Arial" w:eastAsia="Arial" w:hAnsi="Arial"/>
          <w:sz w:val="20"/>
          <w:szCs w:val="20"/>
          <w:color w:val="231F20"/>
        </w:rPr>
        <w:t xml:space="preserve"> </w:t>
      </w:r>
      <w:r>
        <w:rPr>
          <w:rFonts w:ascii="Arial" w:cs="Arial" w:eastAsia="Arial" w:hAnsi="Arial"/>
          <w:sz w:val="20"/>
          <w:szCs w:val="20"/>
          <w:i w:val="1"/>
          <w:iCs w:val="1"/>
          <w:color w:val="231F20"/>
        </w:rPr>
        <w:t>Financial Statements and Supplementary Data, Note 2 Business Combinations.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3320" w:type="dxa"/>
            <w:vAlign w:val="bottom"/>
            <w:tcBorders>
              <w:bottom w:val="single" w:sz="8" w:color="231F20"/>
            </w:tcBorders>
            <w:gridSpan w:val="8"/>
          </w:tcPr>
          <w:p>
            <w:pPr>
              <w:jc w:val="center"/>
              <w:ind w:left="621"/>
              <w:spacing w:after="0"/>
              <w:rPr>
                <w:sz w:val="20"/>
                <w:szCs w:val="20"/>
                <w:color w:val="auto"/>
              </w:rPr>
            </w:pPr>
            <w:r>
              <w:rPr>
                <w:rFonts w:ascii="Arial" w:cs="Arial" w:eastAsia="Arial" w:hAnsi="Arial"/>
                <w:sz w:val="20"/>
                <w:szCs w:val="20"/>
                <w:b w:val="1"/>
                <w:bCs w:val="1"/>
                <w:color w:val="231F20"/>
              </w:rPr>
              <w:t>Year ended December 31,</w:t>
            </w:r>
          </w:p>
        </w:tc>
        <w:tc>
          <w:tcPr>
            <w:tcW w:w="10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381"/>
              <w:spacing w:after="0"/>
              <w:rPr>
                <w:sz w:val="20"/>
                <w:szCs w:val="20"/>
                <w:color w:val="auto"/>
              </w:rPr>
            </w:pPr>
            <w:r>
              <w:rPr>
                <w:rFonts w:ascii="Arial" w:cs="Arial" w:eastAsia="Arial" w:hAnsi="Arial"/>
                <w:sz w:val="20"/>
                <w:szCs w:val="20"/>
                <w:b w:val="1"/>
                <w:bCs w:val="1"/>
                <w:color w:val="231F20"/>
              </w:rPr>
              <w:t>2025</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380"/>
              <w:spacing w:after="0"/>
              <w:rPr>
                <w:sz w:val="20"/>
                <w:szCs w:val="20"/>
                <w:color w:val="auto"/>
              </w:rPr>
            </w:pPr>
            <w:r>
              <w:rPr>
                <w:rFonts w:ascii="Arial" w:cs="Arial" w:eastAsia="Arial" w:hAnsi="Arial"/>
                <w:sz w:val="20"/>
                <w:szCs w:val="20"/>
                <w:b w:val="1"/>
                <w:bCs w:val="1"/>
                <w:color w:val="231F20"/>
              </w:rPr>
              <w:t>2024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ind w:right="380"/>
              <w:spacing w:after="0"/>
              <w:rPr>
                <w:sz w:val="20"/>
                <w:szCs w:val="20"/>
                <w:color w:val="auto"/>
              </w:rPr>
            </w:pPr>
            <w:r>
              <w:rPr>
                <w:rFonts w:ascii="Arial" w:cs="Arial" w:eastAsia="Arial" w:hAnsi="Arial"/>
                <w:sz w:val="20"/>
                <w:szCs w:val="20"/>
                <w:b w:val="1"/>
                <w:bCs w:val="1"/>
                <w:color w:val="231F20"/>
              </w:rPr>
              <w:t>2023</w:t>
            </w:r>
          </w:p>
        </w:tc>
        <w:tc>
          <w:tcPr>
            <w:tcW w:w="0" w:type="dxa"/>
            <w:vAlign w:val="bottom"/>
          </w:tcPr>
          <w:p>
            <w:pPr>
              <w:spacing w:after="0"/>
              <w:rPr>
                <w:sz w:val="1"/>
                <w:szCs w:val="1"/>
                <w:color w:val="auto"/>
              </w:rPr>
            </w:pPr>
          </w:p>
        </w:tc>
      </w:tr>
      <w:tr>
        <w:trPr>
          <w:trHeight w:val="192"/>
        </w:trPr>
        <w:tc>
          <w:tcPr>
            <w:tcW w:w="4380" w:type="dxa"/>
            <w:vAlign w:val="bottom"/>
            <w:vMerge w:val="restart"/>
          </w:tcPr>
          <w:p>
            <w:pPr>
              <w:spacing w:after="0"/>
              <w:rPr>
                <w:sz w:val="20"/>
                <w:szCs w:val="20"/>
                <w:color w:val="auto"/>
              </w:rPr>
            </w:pPr>
            <w:r>
              <w:rPr>
                <w:rFonts w:ascii="Arial" w:cs="Arial" w:eastAsia="Arial" w:hAnsi="Arial"/>
                <w:sz w:val="20"/>
                <w:szCs w:val="20"/>
                <w:b w:val="1"/>
                <w:bCs w:val="1"/>
                <w:color w:val="231F20"/>
              </w:rPr>
              <w:t>Production and oil and gas segment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40" w:type="dxa"/>
            <w:vAlign w:val="bottom"/>
            <w:gridSpan w:val="9"/>
          </w:tcPr>
          <w:p>
            <w:pPr>
              <w:jc w:val="right"/>
              <w:ind w:right="780"/>
              <w:spacing w:after="0"/>
              <w:rPr>
                <w:sz w:val="20"/>
                <w:szCs w:val="20"/>
                <w:color w:val="auto"/>
              </w:rPr>
            </w:pPr>
            <w:r>
              <w:rPr>
                <w:rFonts w:ascii="Arial" w:cs="Arial" w:eastAsia="Arial" w:hAnsi="Arial"/>
                <w:sz w:val="16"/>
                <w:szCs w:val="16"/>
                <w:color w:val="231F20"/>
              </w:rPr>
              <w:t>(in millions, except as otherwise stated)</w:t>
            </w:r>
          </w:p>
        </w:tc>
        <w:tc>
          <w:tcPr>
            <w:tcW w:w="0" w:type="dxa"/>
            <w:vAlign w:val="bottom"/>
          </w:tcPr>
          <w:p>
            <w:pPr>
              <w:spacing w:after="0"/>
              <w:rPr>
                <w:sz w:val="1"/>
                <w:szCs w:val="1"/>
                <w:color w:val="auto"/>
              </w:rPr>
            </w:pPr>
          </w:p>
        </w:tc>
      </w:tr>
      <w:tr>
        <w:trPr>
          <w:trHeight w:val="90"/>
        </w:trPr>
        <w:tc>
          <w:tcPr>
            <w:tcW w:w="4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380" w:type="dxa"/>
            <w:vAlign w:val="bottom"/>
          </w:tcPr>
          <w:p>
            <w:pPr>
              <w:ind w:left="200"/>
              <w:spacing w:after="0"/>
              <w:rPr>
                <w:sz w:val="20"/>
                <w:szCs w:val="20"/>
                <w:color w:val="auto"/>
              </w:rPr>
            </w:pPr>
            <w:r>
              <w:rPr>
                <w:rFonts w:ascii="Arial" w:cs="Arial" w:eastAsia="Arial" w:hAnsi="Arial"/>
                <w:sz w:val="20"/>
                <w:szCs w:val="20"/>
                <w:b w:val="1"/>
                <w:bCs w:val="1"/>
                <w:color w:val="231F20"/>
              </w:rPr>
              <w:t>financial data</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rPr>
              <w:t>Net production sold (MBoe/d)  . . . .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231F20"/>
              </w:rPr>
              <w:t>138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231F20"/>
              </w:rPr>
              <w:t>110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86</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rPr>
              <w:t>Total operating revenues . . . . . . . . . . . . . . . . . . .</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231F20"/>
              </w:rPr>
              <w:t>2,967</w:t>
            </w:r>
          </w:p>
        </w:tc>
        <w:tc>
          <w:tcPr>
            <w:tcW w:w="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231F20"/>
              </w:rPr>
              <w:t>2,572</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2,172</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w w:val="98"/>
              </w:rPr>
              <w:t>Segment profit . . . . . . . . . . . . . . . . . . . . . . . . . . . .</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231F20"/>
              </w:rPr>
              <w:t>688</w:t>
            </w:r>
          </w:p>
        </w:tc>
        <w:tc>
          <w:tcPr>
            <w:tcW w:w="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231F20"/>
              </w:rPr>
              <w:t>815</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922</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r>
              <w:rPr>
                <w:rFonts w:ascii="Arial" w:cs="Arial" w:eastAsia="Arial" w:hAnsi="Arial"/>
                <w:sz w:val="20"/>
                <w:szCs w:val="20"/>
                <w:color w:val="231F20"/>
                <w:w w:val="99"/>
              </w:rPr>
              <w:t>Items affecting comparability: . . . . .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380" w:type="dxa"/>
            <w:vAlign w:val="bottom"/>
          </w:tcPr>
          <w:p>
            <w:pPr>
              <w:jc w:val="right"/>
              <w:spacing w:after="0" w:line="257" w:lineRule="exact"/>
              <w:rPr>
                <w:sz w:val="20"/>
                <w:szCs w:val="20"/>
                <w:color w:val="auto"/>
              </w:rPr>
            </w:pPr>
            <w:r>
              <w:rPr>
                <w:rFonts w:ascii="Arial" w:cs="Arial" w:eastAsia="Arial" w:hAnsi="Arial"/>
                <w:sz w:val="20"/>
                <w:szCs w:val="20"/>
                <w:color w:val="231F20"/>
              </w:rPr>
              <w:t>Asset impairments</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 . . . . . . . .</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231F20"/>
              </w:rPr>
              <w:t>57</w:t>
            </w:r>
          </w:p>
        </w:tc>
        <w:tc>
          <w:tcPr>
            <w:tcW w:w="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231F20"/>
              </w:rPr>
              <w:t>13</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37"/>
        </w:trPr>
        <w:tc>
          <w:tcPr>
            <w:tcW w:w="4380" w:type="dxa"/>
            <w:vAlign w:val="bottom"/>
          </w:tcPr>
          <w:p>
            <w:pPr>
              <w:jc w:val="right"/>
              <w:spacing w:after="0" w:line="237" w:lineRule="exact"/>
              <w:rPr>
                <w:sz w:val="20"/>
                <w:szCs w:val="20"/>
                <w:color w:val="auto"/>
              </w:rPr>
            </w:pPr>
            <w:r>
              <w:rPr>
                <w:rFonts w:ascii="Arial" w:cs="Arial" w:eastAsia="Arial" w:hAnsi="Arial"/>
                <w:sz w:val="20"/>
                <w:szCs w:val="20"/>
                <w:color w:val="231F20"/>
              </w:rPr>
              <w:t>Net (loss) gain on asset divestitures</w:t>
            </w:r>
            <w:r>
              <w:rPr>
                <w:rFonts w:ascii="Arial" w:cs="Arial" w:eastAsia="Arial" w:hAnsi="Arial"/>
                <w:sz w:val="26"/>
                <w:szCs w:val="26"/>
                <w:color w:val="231F20"/>
                <w:vertAlign w:val="superscript"/>
              </w:rPr>
              <w:t>(b)</w:t>
            </w:r>
            <w:r>
              <w:rPr>
                <w:rFonts w:ascii="Arial" w:cs="Arial" w:eastAsia="Arial" w:hAnsi="Arial"/>
                <w:sz w:val="20"/>
                <w:szCs w:val="20"/>
                <w:color w:val="231F20"/>
              </w:rPr>
              <w:t xml:space="preserve">  . . . . .</w:t>
            </w:r>
          </w:p>
        </w:tc>
        <w:tc>
          <w:tcPr>
            <w:tcW w:w="400" w:type="dxa"/>
            <w:vAlign w:val="bottom"/>
            <w:gridSpan w:val="2"/>
          </w:tcPr>
          <w:p>
            <w:pPr>
              <w:jc w:val="right"/>
              <w:ind w:right="180"/>
              <w:spacing w:after="0" w:line="226" w:lineRule="exact"/>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80"/>
              <w:spacing w:after="0" w:line="226" w:lineRule="exact"/>
              <w:rPr>
                <w:sz w:val="20"/>
                <w:szCs w:val="20"/>
                <w:color w:val="auto"/>
              </w:rPr>
            </w:pPr>
            <w:r>
              <w:rPr>
                <w:rFonts w:ascii="Arial" w:cs="Arial" w:eastAsia="Arial" w:hAnsi="Arial"/>
                <w:sz w:val="20"/>
                <w:szCs w:val="20"/>
                <w:color w:val="231F20"/>
              </w:rPr>
              <w:t>(1)</w:t>
            </w:r>
          </w:p>
        </w:tc>
        <w:tc>
          <w:tcPr>
            <w:tcW w:w="360" w:type="dxa"/>
            <w:vAlign w:val="bottom"/>
            <w:gridSpan w:val="2"/>
          </w:tcPr>
          <w:p>
            <w:pPr>
              <w:jc w:val="right"/>
              <w:ind w:right="200"/>
              <w:spacing w:after="0" w:line="226" w:lineRule="exact"/>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10</w:t>
            </w:r>
          </w:p>
        </w:tc>
        <w:tc>
          <w:tcPr>
            <w:tcW w:w="500" w:type="dxa"/>
            <w:vAlign w:val="bottom"/>
            <w:gridSpan w:val="2"/>
          </w:tcPr>
          <w:p>
            <w:pPr>
              <w:jc w:val="right"/>
              <w:ind w:right="280"/>
              <w:spacing w:after="0" w:line="226" w:lineRule="exact"/>
              <w:rPr>
                <w:sz w:val="20"/>
                <w:szCs w:val="20"/>
                <w:color w:val="auto"/>
              </w:rPr>
            </w:pPr>
            <w:r>
              <w:rPr>
                <w:rFonts w:ascii="Arial" w:cs="Arial" w:eastAsia="Arial" w:hAnsi="Arial"/>
                <w:sz w:val="20"/>
                <w:szCs w:val="20"/>
                <w:color w:val="231F20"/>
              </w:rPr>
              <w:t>$</w:t>
            </w:r>
          </w:p>
        </w:tc>
        <w:tc>
          <w:tcPr>
            <w:tcW w:w="1020" w:type="dxa"/>
            <w:vAlign w:val="bottom"/>
          </w:tcPr>
          <w:p>
            <w:pPr>
              <w:jc w:val="right"/>
              <w:spacing w:after="0" w:line="226" w:lineRule="exact"/>
              <w:rPr>
                <w:sz w:val="20"/>
                <w:szCs w:val="20"/>
                <w:color w:val="auto"/>
              </w:rPr>
            </w:pPr>
            <w:r>
              <w:rPr>
                <w:rFonts w:ascii="Arial" w:cs="Arial" w:eastAsia="Arial" w:hAnsi="Arial"/>
                <w:sz w:val="20"/>
                <w:szCs w:val="20"/>
                <w:color w:val="231F20"/>
              </w:rPr>
              <w:t>32</w:t>
            </w:r>
          </w:p>
        </w:tc>
        <w:tc>
          <w:tcPr>
            <w:tcW w:w="0" w:type="dxa"/>
            <w:vAlign w:val="bottom"/>
          </w:tcPr>
          <w:p>
            <w:pPr>
              <w:spacing w:after="0"/>
              <w:rPr>
                <w:sz w:val="1"/>
                <w:szCs w:val="1"/>
                <w:color w:val="auto"/>
              </w:rPr>
            </w:pPr>
          </w:p>
        </w:tc>
      </w:tr>
      <w:tr>
        <w:trPr>
          <w:trHeight w:val="228"/>
        </w:trPr>
        <w:tc>
          <w:tcPr>
            <w:tcW w:w="4380" w:type="dxa"/>
            <w:vAlign w:val="bottom"/>
          </w:tcPr>
          <w:p>
            <w:pPr>
              <w:spacing w:after="0" w:line="228" w:lineRule="exact"/>
              <w:rPr>
                <w:sz w:val="20"/>
                <w:szCs w:val="20"/>
                <w:color w:val="auto"/>
              </w:rPr>
            </w:pPr>
            <w:r>
              <w:rPr>
                <w:rFonts w:ascii="Arial" w:cs="Arial" w:eastAsia="Arial" w:hAnsi="Arial"/>
                <w:sz w:val="20"/>
                <w:szCs w:val="20"/>
                <w:b w:val="1"/>
                <w:bCs w:val="1"/>
                <w:color w:val="231F20"/>
              </w:rPr>
              <w:t>Key operating expenses per Boe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w w:val="99"/>
              </w:rPr>
              <w:t>Operating costs . . . . . . . . . . . . . . . . . . . . . . . . . . .</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231F20"/>
              </w:rPr>
              <w:t>25.42</w:t>
            </w:r>
          </w:p>
        </w:tc>
        <w:tc>
          <w:tcPr>
            <w:tcW w:w="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231F20"/>
              </w:rPr>
              <w:t>24.51</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26.24</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rPr>
              <w:t>Operating costs, after hedges on purchased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80" w:type="dxa"/>
            <w:vAlign w:val="bottom"/>
          </w:tcPr>
          <w:p>
            <w:pPr>
              <w:jc w:val="right"/>
              <w:spacing w:after="0"/>
              <w:rPr>
                <w:sz w:val="20"/>
                <w:szCs w:val="20"/>
                <w:color w:val="auto"/>
              </w:rPr>
            </w:pPr>
            <w:r>
              <w:rPr>
                <w:rFonts w:ascii="Arial" w:cs="Arial" w:eastAsia="Arial" w:hAnsi="Arial"/>
                <w:sz w:val="20"/>
                <w:szCs w:val="20"/>
                <w:color w:val="231F20"/>
              </w:rPr>
              <w:t>natural gas . . . . . . . . . . . . . . . . . . . . . . . . . . . . .</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231F20"/>
              </w:rPr>
              <w:t>25.94</w:t>
            </w:r>
          </w:p>
        </w:tc>
        <w:tc>
          <w:tcPr>
            <w:tcW w:w="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231F20"/>
              </w:rPr>
              <w:t>25.31</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26.24</w:t>
            </w:r>
          </w:p>
        </w:tc>
        <w:tc>
          <w:tcPr>
            <w:tcW w:w="0" w:type="dxa"/>
            <w:vAlign w:val="bottom"/>
          </w:tcPr>
          <w:p>
            <w:pPr>
              <w:spacing w:after="0"/>
              <w:rPr>
                <w:sz w:val="1"/>
                <w:szCs w:val="1"/>
                <w:color w:val="auto"/>
              </w:rPr>
            </w:pPr>
          </w:p>
        </w:tc>
      </w:tr>
      <w:tr>
        <w:trPr>
          <w:trHeight w:val="255"/>
        </w:trPr>
        <w:tc>
          <w:tcPr>
            <w:tcW w:w="4380" w:type="dxa"/>
            <w:vAlign w:val="bottom"/>
          </w:tcPr>
          <w:p>
            <w:pPr>
              <w:spacing w:after="0" w:line="255" w:lineRule="exact"/>
              <w:rPr>
                <w:sz w:val="20"/>
                <w:szCs w:val="20"/>
                <w:color w:val="auto"/>
              </w:rPr>
            </w:pPr>
            <w:r>
              <w:rPr>
                <w:rFonts w:ascii="Arial" w:cs="Arial" w:eastAsia="Arial" w:hAnsi="Arial"/>
                <w:sz w:val="20"/>
                <w:szCs w:val="20"/>
                <w:color w:val="231F20"/>
                <w:w w:val="99"/>
              </w:rPr>
              <w:t>General and administrative expenses</w:t>
            </w:r>
            <w:r>
              <w:rPr>
                <w:rFonts w:ascii="Arial" w:cs="Arial" w:eastAsia="Arial" w:hAnsi="Arial"/>
                <w:sz w:val="26"/>
                <w:szCs w:val="26"/>
                <w:color w:val="231F20"/>
                <w:w w:val="99"/>
                <w:vertAlign w:val="superscript"/>
              </w:rPr>
              <w:t>(c)</w:t>
            </w:r>
            <w:r>
              <w:rPr>
                <w:rFonts w:ascii="Arial" w:cs="Arial" w:eastAsia="Arial" w:hAnsi="Arial"/>
                <w:sz w:val="20"/>
                <w:szCs w:val="20"/>
                <w:color w:val="231F20"/>
                <w:w w:val="99"/>
              </w:rPr>
              <w:t xml:space="preserve">   . . . . . . .</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231F20"/>
              </w:rPr>
              <w:t>0.85</w:t>
            </w:r>
          </w:p>
        </w:tc>
        <w:tc>
          <w:tcPr>
            <w:tcW w:w="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231F20"/>
              </w:rPr>
              <w:t>1.07</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1.34</w:t>
            </w:r>
          </w:p>
        </w:tc>
        <w:tc>
          <w:tcPr>
            <w:tcW w:w="0" w:type="dxa"/>
            <w:vAlign w:val="bottom"/>
          </w:tcPr>
          <w:p>
            <w:pPr>
              <w:spacing w:after="0"/>
              <w:rPr>
                <w:sz w:val="1"/>
                <w:szCs w:val="1"/>
                <w:color w:val="auto"/>
              </w:rPr>
            </w:pPr>
          </w:p>
        </w:tc>
      </w:tr>
      <w:tr>
        <w:trPr>
          <w:trHeight w:val="240"/>
        </w:trPr>
        <w:tc>
          <w:tcPr>
            <w:tcW w:w="4380" w:type="dxa"/>
            <w:vAlign w:val="bottom"/>
          </w:tcPr>
          <w:p>
            <w:pPr>
              <w:spacing w:after="0" w:line="240" w:lineRule="exact"/>
              <w:rPr>
                <w:sz w:val="20"/>
                <w:szCs w:val="20"/>
                <w:color w:val="auto"/>
              </w:rPr>
            </w:pPr>
            <w:r>
              <w:rPr>
                <w:rFonts w:ascii="Arial" w:cs="Arial" w:eastAsia="Arial" w:hAnsi="Arial"/>
                <w:sz w:val="20"/>
                <w:szCs w:val="20"/>
                <w:color w:val="231F20"/>
              </w:rPr>
              <w:t>Depreciation, depletion and amortization</w:t>
            </w:r>
            <w:r>
              <w:rPr>
                <w:rFonts w:ascii="Arial" w:cs="Arial" w:eastAsia="Arial" w:hAnsi="Arial"/>
                <w:sz w:val="26"/>
                <w:szCs w:val="26"/>
                <w:color w:val="231F20"/>
                <w:vertAlign w:val="superscript"/>
              </w:rPr>
              <w:t>(d)</w:t>
            </w:r>
            <w:r>
              <w:rPr>
                <w:rFonts w:ascii="Arial" w:cs="Arial" w:eastAsia="Arial" w:hAnsi="Arial"/>
                <w:sz w:val="20"/>
                <w:szCs w:val="20"/>
                <w:color w:val="231F20"/>
              </w:rPr>
              <w:t xml:space="preserve"> . . . . .</w:t>
            </w:r>
          </w:p>
        </w:tc>
        <w:tc>
          <w:tcPr>
            <w:tcW w:w="400" w:type="dxa"/>
            <w:vAlign w:val="bottom"/>
            <w:gridSpan w:val="2"/>
          </w:tcPr>
          <w:p>
            <w:pPr>
              <w:jc w:val="right"/>
              <w:ind w:right="180"/>
              <w:spacing w:after="0" w:line="226" w:lineRule="exact"/>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140"/>
              <w:spacing w:after="0" w:line="226" w:lineRule="exact"/>
              <w:rPr>
                <w:sz w:val="20"/>
                <w:szCs w:val="20"/>
                <w:color w:val="auto"/>
              </w:rPr>
            </w:pPr>
            <w:r>
              <w:rPr>
                <w:rFonts w:ascii="Arial" w:cs="Arial" w:eastAsia="Arial" w:hAnsi="Arial"/>
                <w:sz w:val="20"/>
                <w:szCs w:val="20"/>
                <w:color w:val="231F20"/>
              </w:rPr>
              <w:t>9.77</w:t>
            </w:r>
          </w:p>
        </w:tc>
        <w:tc>
          <w:tcPr>
            <w:tcW w:w="360" w:type="dxa"/>
            <w:vAlign w:val="bottom"/>
            <w:gridSpan w:val="2"/>
          </w:tcPr>
          <w:p>
            <w:pPr>
              <w:jc w:val="right"/>
              <w:ind w:right="200"/>
              <w:spacing w:after="0" w:line="226" w:lineRule="exact"/>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8.83</w:t>
            </w:r>
          </w:p>
        </w:tc>
        <w:tc>
          <w:tcPr>
            <w:tcW w:w="500" w:type="dxa"/>
            <w:vAlign w:val="bottom"/>
            <w:gridSpan w:val="2"/>
          </w:tcPr>
          <w:p>
            <w:pPr>
              <w:jc w:val="right"/>
              <w:ind w:right="280"/>
              <w:spacing w:after="0" w:line="226" w:lineRule="exact"/>
              <w:rPr>
                <w:sz w:val="20"/>
                <w:szCs w:val="20"/>
                <w:color w:val="auto"/>
              </w:rPr>
            </w:pPr>
            <w:r>
              <w:rPr>
                <w:rFonts w:ascii="Arial" w:cs="Arial" w:eastAsia="Arial" w:hAnsi="Arial"/>
                <w:sz w:val="20"/>
                <w:szCs w:val="20"/>
                <w:color w:val="231F20"/>
              </w:rPr>
              <w:t>$</w:t>
            </w:r>
          </w:p>
        </w:tc>
        <w:tc>
          <w:tcPr>
            <w:tcW w:w="1020" w:type="dxa"/>
            <w:vAlign w:val="bottom"/>
          </w:tcPr>
          <w:p>
            <w:pPr>
              <w:jc w:val="right"/>
              <w:spacing w:after="0" w:line="226" w:lineRule="exact"/>
              <w:rPr>
                <w:sz w:val="20"/>
                <w:szCs w:val="20"/>
                <w:color w:val="auto"/>
              </w:rPr>
            </w:pPr>
            <w:r>
              <w:rPr>
                <w:rFonts w:ascii="Arial" w:cs="Arial" w:eastAsia="Arial" w:hAnsi="Arial"/>
                <w:sz w:val="20"/>
                <w:szCs w:val="20"/>
                <w:color w:val="231F20"/>
              </w:rPr>
              <w:t>6.61</w:t>
            </w:r>
          </w:p>
        </w:tc>
        <w:tc>
          <w:tcPr>
            <w:tcW w:w="0" w:type="dxa"/>
            <w:vAlign w:val="bottom"/>
          </w:tcPr>
          <w:p>
            <w:pPr>
              <w:spacing w:after="0"/>
              <w:rPr>
                <w:sz w:val="1"/>
                <w:szCs w:val="1"/>
                <w:color w:val="auto"/>
              </w:rPr>
            </w:pPr>
          </w:p>
        </w:tc>
      </w:tr>
      <w:tr>
        <w:trPr>
          <w:trHeight w:val="225"/>
        </w:trPr>
        <w:tc>
          <w:tcPr>
            <w:tcW w:w="4380" w:type="dxa"/>
            <w:vAlign w:val="bottom"/>
          </w:tcPr>
          <w:p>
            <w:pPr>
              <w:spacing w:after="0" w:line="226" w:lineRule="exact"/>
              <w:rPr>
                <w:sz w:val="20"/>
                <w:szCs w:val="20"/>
                <w:color w:val="auto"/>
              </w:rPr>
            </w:pPr>
            <w:r>
              <w:rPr>
                <w:rFonts w:ascii="Arial" w:cs="Arial" w:eastAsia="Arial" w:hAnsi="Arial"/>
                <w:sz w:val="20"/>
                <w:szCs w:val="20"/>
                <w:color w:val="231F20"/>
                <w:w w:val="99"/>
              </w:rPr>
              <w:t>Taxes other than on income . . . . . . . . . . . . . . . . .</w:t>
            </w:r>
          </w:p>
        </w:tc>
        <w:tc>
          <w:tcPr>
            <w:tcW w:w="400" w:type="dxa"/>
            <w:vAlign w:val="bottom"/>
            <w:gridSpan w:val="2"/>
          </w:tcPr>
          <w:p>
            <w:pPr>
              <w:jc w:val="right"/>
              <w:ind w:right="180"/>
              <w:spacing w:after="0" w:line="226" w:lineRule="exact"/>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140"/>
              <w:spacing w:after="0" w:line="226" w:lineRule="exact"/>
              <w:rPr>
                <w:sz w:val="20"/>
                <w:szCs w:val="20"/>
                <w:color w:val="auto"/>
              </w:rPr>
            </w:pPr>
            <w:r>
              <w:rPr>
                <w:rFonts w:ascii="Arial" w:cs="Arial" w:eastAsia="Arial" w:hAnsi="Arial"/>
                <w:sz w:val="20"/>
                <w:szCs w:val="20"/>
                <w:color w:val="231F20"/>
              </w:rPr>
              <w:t>4.03</w:t>
            </w:r>
          </w:p>
        </w:tc>
        <w:tc>
          <w:tcPr>
            <w:tcW w:w="360" w:type="dxa"/>
            <w:vAlign w:val="bottom"/>
            <w:gridSpan w:val="2"/>
          </w:tcPr>
          <w:p>
            <w:pPr>
              <w:jc w:val="right"/>
              <w:ind w:right="200"/>
              <w:spacing w:after="0" w:line="226" w:lineRule="exact"/>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5.16</w:t>
            </w:r>
          </w:p>
        </w:tc>
        <w:tc>
          <w:tcPr>
            <w:tcW w:w="500" w:type="dxa"/>
            <w:vAlign w:val="bottom"/>
            <w:gridSpan w:val="2"/>
          </w:tcPr>
          <w:p>
            <w:pPr>
              <w:jc w:val="right"/>
              <w:ind w:right="280"/>
              <w:spacing w:after="0" w:line="226" w:lineRule="exact"/>
              <w:rPr>
                <w:sz w:val="20"/>
                <w:szCs w:val="20"/>
                <w:color w:val="auto"/>
              </w:rPr>
            </w:pPr>
            <w:r>
              <w:rPr>
                <w:rFonts w:ascii="Arial" w:cs="Arial" w:eastAsia="Arial" w:hAnsi="Arial"/>
                <w:sz w:val="20"/>
                <w:szCs w:val="20"/>
                <w:color w:val="231F20"/>
              </w:rPr>
              <w:t>$</w:t>
            </w:r>
          </w:p>
        </w:tc>
        <w:tc>
          <w:tcPr>
            <w:tcW w:w="1020" w:type="dxa"/>
            <w:vAlign w:val="bottom"/>
          </w:tcPr>
          <w:p>
            <w:pPr>
              <w:jc w:val="right"/>
              <w:spacing w:after="0" w:line="226" w:lineRule="exact"/>
              <w:rPr>
                <w:sz w:val="20"/>
                <w:szCs w:val="20"/>
                <w:color w:val="auto"/>
              </w:rPr>
            </w:pPr>
            <w:r>
              <w:rPr>
                <w:rFonts w:ascii="Arial" w:cs="Arial" w:eastAsia="Arial" w:hAnsi="Arial"/>
                <w:sz w:val="20"/>
                <w:szCs w:val="20"/>
                <w:color w:val="231F20"/>
              </w:rPr>
              <w:t>3.61</w:t>
            </w:r>
          </w:p>
        </w:tc>
        <w:tc>
          <w:tcPr>
            <w:tcW w:w="0" w:type="dxa"/>
            <w:vAlign w:val="bottom"/>
          </w:tcPr>
          <w:p>
            <w:pPr>
              <w:spacing w:after="0"/>
              <w:rPr>
                <w:sz w:val="1"/>
                <w:szCs w:val="1"/>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rPr>
              <w:t>Field transportation expenses  . . . . . . . . . . . . . . .</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231F20"/>
              </w:rPr>
              <w:t>0.81</w:t>
            </w:r>
          </w:p>
        </w:tc>
        <w:tc>
          <w:tcPr>
            <w:tcW w:w="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200" w:type="dxa"/>
            <w:vAlign w:val="bottom"/>
            <w:gridSpan w:val="2"/>
          </w:tcPr>
          <w:p>
            <w:pPr>
              <w:jc w:val="right"/>
              <w:ind w:right="100"/>
              <w:spacing w:after="0"/>
              <w:rPr>
                <w:sz w:val="20"/>
                <w:szCs w:val="20"/>
                <w:color w:val="auto"/>
              </w:rPr>
            </w:pPr>
            <w:r>
              <w:rPr>
                <w:rFonts w:ascii="Arial" w:cs="Arial" w:eastAsia="Arial" w:hAnsi="Arial"/>
                <w:sz w:val="20"/>
                <w:szCs w:val="20"/>
                <w:color w:val="231F20"/>
              </w:rPr>
              <w:t>0.90</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0.99</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20" w:right="20" w:hanging="320"/>
        <w:spacing w:after="0" w:line="258" w:lineRule="auto"/>
        <w:tabs>
          <w:tab w:leader="none" w:pos="32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Asset impairment for the year ended December 31, 2025 includes the write-down of our proved properties in the Sacramento basin. Asset impairment for the year ended December 31, 2024 related to the write-off of excess and obsolete materials and supplies, generally requisitioned for wells and capitalized as part of drilling and completion activities. The table above excludes asset impairments that were not related to the oil and natural gas segment.</w:t>
      </w:r>
    </w:p>
    <w:p>
      <w:pPr>
        <w:sectPr>
          <w:pgSz w:w="11880" w:h="15480" w:orient="portrait"/>
          <w:cols w:equalWidth="0" w:num="1">
            <w:col w:w="9120"/>
          </w:cols>
          <w:pgMar w:left="1380" w:top="1316" w:right="1380" w:bottom="65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69</w:t>
      </w:r>
    </w:p>
    <w:p>
      <w:pPr>
        <w:sectPr>
          <w:pgSz w:w="11880" w:h="15480" w:orient="portrait"/>
          <w:cols w:equalWidth="0" w:num="1">
            <w:col w:w="9120"/>
          </w:cols>
          <w:pgMar w:left="1380" w:top="1316" w:right="1380" w:bottom="655" w:gutter="0" w:footer="0" w:header="0"/>
          <w:type w:val="continuous"/>
        </w:sectPr>
      </w:pPr>
    </w:p>
    <w:bookmarkStart w:id="73" w:name="page74"/>
    <w:bookmarkEnd w:id="73"/>
    <w:p>
      <w:pPr>
        <w:ind w:left="320" w:right="500" w:hanging="320"/>
        <w:spacing w:after="0" w:line="278" w:lineRule="auto"/>
        <w:tabs>
          <w:tab w:leader="none" w:pos="320" w:val="left"/>
        </w:tabs>
        <w:numPr>
          <w:ilvl w:val="0"/>
          <w:numId w:val="40"/>
        </w:numPr>
        <w:rPr>
          <w:rFonts w:ascii="Arial" w:cs="Arial" w:eastAsia="Arial" w:hAnsi="Arial"/>
          <w:sz w:val="15"/>
          <w:szCs w:val="15"/>
          <w:color w:val="231F20"/>
        </w:rPr>
      </w:pPr>
      <w:r>
        <w:rPr>
          <w:rFonts w:ascii="Arial" w:cs="Arial" w:eastAsia="Arial" w:hAnsi="Arial"/>
          <w:sz w:val="15"/>
          <w:szCs w:val="15"/>
          <w:color w:val="231F20"/>
        </w:rPr>
        <w:t>Loss on asset divestitures for the year ended December 31, 2025 related to the sale of our West Montalvo property in Ventura County, California. Gain on asset divestitures for the year ended December 31, 2024 related to the sale of our</w:t>
      </w:r>
    </w:p>
    <w:p>
      <w:pPr>
        <w:ind w:left="320" w:right="100"/>
        <w:spacing w:after="0" w:line="258" w:lineRule="auto"/>
        <w:rPr>
          <w:rFonts w:ascii="Arial" w:cs="Arial" w:eastAsia="Arial" w:hAnsi="Arial"/>
          <w:sz w:val="15"/>
          <w:szCs w:val="15"/>
          <w:color w:val="231F20"/>
        </w:rPr>
      </w:pPr>
      <w:r>
        <w:rPr>
          <w:rFonts w:ascii="Arial" w:cs="Arial" w:eastAsia="Arial" w:hAnsi="Arial"/>
          <w:sz w:val="16"/>
          <w:szCs w:val="16"/>
          <w:color w:val="231F20"/>
        </w:rPr>
        <w:t>0.9-acre Fort Apache real estate property in Huntington Beach, California as well as the remaining portion of our Ventura assets which were classified as held for sale. Gain on asset divestitures for the year ended December 31, 2023 related to the sale of our non-operated interest in the Round Mountain Unit and a non-producing asset in exchange for the assumption of liabilities.</w:t>
      </w:r>
    </w:p>
    <w:p>
      <w:pPr>
        <w:spacing w:after="0" w:line="3" w:lineRule="exact"/>
        <w:rPr>
          <w:rFonts w:ascii="Arial" w:cs="Arial" w:eastAsia="Arial" w:hAnsi="Arial"/>
          <w:sz w:val="15"/>
          <w:szCs w:val="15"/>
          <w:color w:val="231F20"/>
        </w:rPr>
      </w:pPr>
    </w:p>
    <w:p>
      <w:pPr>
        <w:ind w:left="320" w:hanging="320"/>
        <w:spacing w:after="0"/>
        <w:tabs>
          <w:tab w:leader="none" w:pos="32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Only includes general and administrative expenses allocated to our oil and natural gas segment.</w:t>
      </w:r>
    </w:p>
    <w:p>
      <w:pPr>
        <w:spacing w:after="0" w:line="16" w:lineRule="exact"/>
        <w:rPr>
          <w:rFonts w:ascii="Arial" w:cs="Arial" w:eastAsia="Arial" w:hAnsi="Arial"/>
          <w:sz w:val="16"/>
          <w:szCs w:val="16"/>
          <w:color w:val="231F20"/>
        </w:rPr>
      </w:pPr>
    </w:p>
    <w:p>
      <w:pPr>
        <w:ind w:left="320" w:hanging="320"/>
        <w:spacing w:after="0"/>
        <w:tabs>
          <w:tab w:leader="none" w:pos="32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Excludes depreciation, depletion and amortization related to our corporate assets and Elk Hills power plant.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Production, Prices and Realizations</w:t>
      </w:r>
    </w:p>
    <w:p>
      <w:pPr>
        <w:spacing w:after="0" w:line="215"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231F20"/>
        </w:rPr>
        <w:t>The amounts in the production tables below show volumes from CRC’s operated and non-operated fields for each of the periods presented. These amounts include volumes produced from Berry’s operated and non-operated fields during the period from December 18, 2025 through December 31, 2025, and volumes produced from Aera’s operated and non-operated fields beginning July 1, 2024.</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Net Production Sold</w:t>
      </w:r>
    </w:p>
    <w:p>
      <w:pPr>
        <w:spacing w:after="0" w:line="215" w:lineRule="exact"/>
        <w:rPr>
          <w:sz w:val="20"/>
          <w:szCs w:val="20"/>
          <w:color w:val="auto"/>
        </w:rPr>
      </w:pPr>
    </w:p>
    <w:p>
      <w:pPr>
        <w:ind w:right="600" w:firstLine="300"/>
        <w:spacing w:after="0" w:line="247" w:lineRule="auto"/>
        <w:rPr>
          <w:sz w:val="20"/>
          <w:szCs w:val="20"/>
          <w:color w:val="auto"/>
        </w:rPr>
      </w:pPr>
      <w:r>
        <w:rPr>
          <w:rFonts w:ascii="Arial" w:cs="Arial" w:eastAsia="Arial" w:hAnsi="Arial"/>
          <w:sz w:val="20"/>
          <w:szCs w:val="20"/>
          <w:color w:val="231F20"/>
        </w:rPr>
        <w:t>The following table presents our net production sold per day in each of the basins in which we operate for the periods presented. The amounts in the production table below include volumes produced from operated and non-operated fields for each of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00" w:type="dxa"/>
            <w:vAlign w:val="bottom"/>
          </w:tcPr>
          <w:p>
            <w:pPr>
              <w:spacing w:after="0"/>
              <w:rPr>
                <w:sz w:val="21"/>
                <w:szCs w:val="21"/>
                <w:color w:val="auto"/>
              </w:rPr>
            </w:pPr>
          </w:p>
        </w:tc>
        <w:tc>
          <w:tcPr>
            <w:tcW w:w="1020" w:type="dxa"/>
            <w:vAlign w:val="bottom"/>
            <w:tcBorders>
              <w:bottom w:val="single" w:sz="8" w:color="231F20"/>
            </w:tcBorders>
          </w:tcPr>
          <w:p>
            <w:pPr>
              <w:spacing w:after="0"/>
              <w:rPr>
                <w:sz w:val="21"/>
                <w:szCs w:val="21"/>
                <w:color w:val="auto"/>
              </w:rPr>
            </w:pPr>
          </w:p>
        </w:tc>
        <w:tc>
          <w:tcPr>
            <w:tcW w:w="2600" w:type="dxa"/>
            <w:vAlign w:val="bottom"/>
            <w:tcBorders>
              <w:bottom w:val="single" w:sz="8" w:color="231F20"/>
            </w:tcBorders>
            <w:gridSpan w:val="5"/>
          </w:tcPr>
          <w:p>
            <w:pPr>
              <w:ind w:left="80"/>
              <w:spacing w:after="0"/>
              <w:rPr>
                <w:sz w:val="20"/>
                <w:szCs w:val="20"/>
                <w:color w:val="auto"/>
              </w:rPr>
            </w:pPr>
            <w:r>
              <w:rPr>
                <w:rFonts w:ascii="Arial" w:cs="Arial" w:eastAsia="Arial" w:hAnsi="Arial"/>
                <w:sz w:val="20"/>
                <w:szCs w:val="20"/>
                <w:b w:val="1"/>
                <w:bCs w:val="1"/>
                <w:color w:val="231F20"/>
              </w:rPr>
              <w:t>Year ended December 31,</w:t>
            </w:r>
          </w:p>
        </w:tc>
        <w:tc>
          <w:tcPr>
            <w:tcW w:w="1000" w:type="dxa"/>
            <w:vAlign w:val="bottom"/>
            <w:tcBorders>
              <w:bottom w:val="single" w:sz="8" w:color="231F20"/>
            </w:tcBorders>
          </w:tcPr>
          <w:p>
            <w:pPr>
              <w:spacing w:after="0"/>
              <w:rPr>
                <w:sz w:val="21"/>
                <w:szCs w:val="21"/>
                <w:color w:val="auto"/>
              </w:rPr>
            </w:pPr>
          </w:p>
        </w:tc>
      </w:tr>
      <w:tr>
        <w:trPr>
          <w:trHeight w:val="240"/>
        </w:trPr>
        <w:tc>
          <w:tcPr>
            <w:tcW w:w="5520" w:type="dxa"/>
            <w:vAlign w:val="bottom"/>
            <w:gridSpan w:val="2"/>
          </w:tcPr>
          <w:p>
            <w:pPr>
              <w:ind w:left="5000"/>
              <w:spacing w:after="0"/>
              <w:rPr>
                <w:sz w:val="20"/>
                <w:szCs w:val="20"/>
                <w:color w:val="auto"/>
              </w:rPr>
            </w:pPr>
            <w:r>
              <w:rPr>
                <w:rFonts w:ascii="Arial" w:cs="Arial" w:eastAsia="Arial" w:hAnsi="Arial"/>
                <w:sz w:val="20"/>
                <w:szCs w:val="20"/>
                <w:b w:val="1"/>
                <w:bCs w:val="1"/>
                <w:color w:val="231F20"/>
              </w:rPr>
              <w:t>2025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400"/>
              <w:spacing w:after="0"/>
              <w:rPr>
                <w:sz w:val="20"/>
                <w:szCs w:val="20"/>
                <w:color w:val="auto"/>
              </w:rPr>
            </w:pPr>
            <w:r>
              <w:rPr>
                <w:rFonts w:ascii="Arial" w:cs="Arial" w:eastAsia="Arial" w:hAnsi="Arial"/>
                <w:sz w:val="20"/>
                <w:szCs w:val="20"/>
                <w:b w:val="1"/>
                <w:bCs w:val="1"/>
                <w:color w:val="231F20"/>
              </w:rPr>
              <w:t>2024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340"/>
              <w:spacing w:after="0"/>
              <w:rPr>
                <w:sz w:val="20"/>
                <w:szCs w:val="20"/>
                <w:color w:val="auto"/>
              </w:rPr>
            </w:pPr>
            <w:r>
              <w:rPr>
                <w:rFonts w:ascii="Arial" w:cs="Arial" w:eastAsia="Arial" w:hAnsi="Arial"/>
                <w:sz w:val="20"/>
                <w:szCs w:val="20"/>
                <w:b w:val="1"/>
                <w:bCs w:val="1"/>
                <w:color w:val="231F20"/>
              </w:rPr>
              <w:t>2023</w:t>
            </w: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r>
      <w:tr>
        <w:trPr>
          <w:trHeight w:val="282"/>
        </w:trPr>
        <w:tc>
          <w:tcPr>
            <w:tcW w:w="5520" w:type="dxa"/>
            <w:vAlign w:val="bottom"/>
            <w:gridSpan w:val="2"/>
          </w:tcPr>
          <w:p>
            <w:pPr>
              <w:spacing w:after="0"/>
              <w:rPr>
                <w:sz w:val="20"/>
                <w:szCs w:val="20"/>
                <w:color w:val="auto"/>
              </w:rPr>
            </w:pPr>
            <w:r>
              <w:rPr>
                <w:rFonts w:ascii="Arial" w:cs="Arial" w:eastAsia="Arial" w:hAnsi="Arial"/>
                <w:sz w:val="20"/>
                <w:szCs w:val="20"/>
                <w:color w:val="231F20"/>
              </w:rPr>
              <w:t>Oil (MBbl/d)  . . . . . . . . . . . . . . . . . . . . . . . . . . . . . .</w:t>
            </w:r>
          </w:p>
        </w:tc>
        <w:tc>
          <w:tcPr>
            <w:tcW w:w="420" w:type="dxa"/>
            <w:vAlign w:val="bottom"/>
          </w:tcPr>
          <w:p>
            <w:pPr>
              <w:jc w:val="right"/>
              <w:spacing w:after="0"/>
              <w:rPr>
                <w:sz w:val="20"/>
                <w:szCs w:val="20"/>
                <w:color w:val="auto"/>
              </w:rPr>
            </w:pPr>
            <w:r>
              <w:rPr>
                <w:rFonts w:ascii="Arial" w:cs="Arial" w:eastAsia="Arial" w:hAnsi="Arial"/>
                <w:sz w:val="20"/>
                <w:szCs w:val="20"/>
                <w:color w:val="231F20"/>
              </w:rPr>
              <w:t>109</w:t>
            </w:r>
          </w:p>
        </w:tc>
        <w:tc>
          <w:tcPr>
            <w:tcW w:w="200" w:type="dxa"/>
            <w:vAlign w:val="bottom"/>
          </w:tcPr>
          <w:p>
            <w:pPr>
              <w:spacing w:after="0"/>
              <w:rPr>
                <w:sz w:val="24"/>
                <w:szCs w:val="2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231F20"/>
              </w:rPr>
              <w:t>80</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52</w:t>
            </w:r>
          </w:p>
        </w:tc>
      </w:tr>
      <w:tr>
        <w:trPr>
          <w:trHeight w:val="240"/>
        </w:trPr>
        <w:tc>
          <w:tcPr>
            <w:tcW w:w="5520" w:type="dxa"/>
            <w:vAlign w:val="bottom"/>
            <w:gridSpan w:val="2"/>
          </w:tcPr>
          <w:p>
            <w:pPr>
              <w:spacing w:after="0"/>
              <w:rPr>
                <w:sz w:val="20"/>
                <w:szCs w:val="20"/>
                <w:color w:val="auto"/>
              </w:rPr>
            </w:pPr>
            <w:r>
              <w:rPr>
                <w:rFonts w:ascii="Arial" w:cs="Arial" w:eastAsia="Arial" w:hAnsi="Arial"/>
                <w:sz w:val="20"/>
                <w:szCs w:val="20"/>
                <w:color w:val="231F20"/>
              </w:rPr>
              <w:t>NGLs (MBbl/d) . . . . . . . . . . . . . . . . . . . . . . . . . . . .</w:t>
            </w:r>
          </w:p>
        </w:tc>
        <w:tc>
          <w:tcPr>
            <w:tcW w:w="420" w:type="dxa"/>
            <w:vAlign w:val="bottom"/>
          </w:tcPr>
          <w:p>
            <w:pPr>
              <w:jc w:val="right"/>
              <w:spacing w:after="0"/>
              <w:rPr>
                <w:sz w:val="20"/>
                <w:szCs w:val="20"/>
                <w:color w:val="auto"/>
              </w:rPr>
            </w:pPr>
            <w:r>
              <w:rPr>
                <w:rFonts w:ascii="Arial" w:cs="Arial" w:eastAsia="Arial" w:hAnsi="Arial"/>
                <w:sz w:val="20"/>
                <w:szCs w:val="20"/>
                <w:color w:val="231F20"/>
              </w:rPr>
              <w:t>10</w:t>
            </w:r>
          </w:p>
        </w:tc>
        <w:tc>
          <w:tcPr>
            <w:tcW w:w="20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231F20"/>
              </w:rPr>
              <w:t>10</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11</w:t>
            </w:r>
          </w:p>
        </w:tc>
      </w:tr>
      <w:tr>
        <w:trPr>
          <w:trHeight w:val="240"/>
        </w:trPr>
        <w:tc>
          <w:tcPr>
            <w:tcW w:w="5520" w:type="dxa"/>
            <w:vAlign w:val="bottom"/>
            <w:gridSpan w:val="2"/>
          </w:tcPr>
          <w:p>
            <w:pPr>
              <w:spacing w:after="0"/>
              <w:rPr>
                <w:sz w:val="20"/>
                <w:szCs w:val="20"/>
                <w:color w:val="auto"/>
              </w:rPr>
            </w:pPr>
            <w:r>
              <w:rPr>
                <w:rFonts w:ascii="Arial" w:cs="Arial" w:eastAsia="Arial" w:hAnsi="Arial"/>
                <w:sz w:val="20"/>
                <w:szCs w:val="20"/>
                <w:color w:val="231F20"/>
              </w:rPr>
              <w:t>Natural gas (MMcf/d)  . . . . . . . . . . . . . . . . . . . . . .</w:t>
            </w:r>
          </w:p>
        </w:tc>
        <w:tc>
          <w:tcPr>
            <w:tcW w:w="420" w:type="dxa"/>
            <w:vAlign w:val="bottom"/>
          </w:tcPr>
          <w:p>
            <w:pPr>
              <w:jc w:val="right"/>
              <w:spacing w:after="0"/>
              <w:rPr>
                <w:sz w:val="20"/>
                <w:szCs w:val="20"/>
                <w:color w:val="auto"/>
              </w:rPr>
            </w:pPr>
            <w:r>
              <w:rPr>
                <w:rFonts w:ascii="Arial" w:cs="Arial" w:eastAsia="Arial" w:hAnsi="Arial"/>
                <w:sz w:val="20"/>
                <w:szCs w:val="20"/>
                <w:color w:val="231F20"/>
              </w:rPr>
              <w:t>114</w:t>
            </w:r>
          </w:p>
        </w:tc>
        <w:tc>
          <w:tcPr>
            <w:tcW w:w="20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231F20"/>
              </w:rPr>
              <w:t>117</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135</w:t>
            </w:r>
          </w:p>
        </w:tc>
      </w:tr>
      <w:tr>
        <w:trPr>
          <w:trHeight w:val="28"/>
        </w:trPr>
        <w:tc>
          <w:tcPr>
            <w:tcW w:w="4500" w:type="dxa"/>
            <w:vAlign w:val="bottom"/>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r>
      <w:tr>
        <w:trPr>
          <w:trHeight w:val="272"/>
        </w:trPr>
        <w:tc>
          <w:tcPr>
            <w:tcW w:w="5520" w:type="dxa"/>
            <w:vAlign w:val="bottom"/>
            <w:gridSpan w:val="2"/>
          </w:tcPr>
          <w:p>
            <w:pPr>
              <w:spacing w:after="0"/>
              <w:rPr>
                <w:sz w:val="20"/>
                <w:szCs w:val="20"/>
                <w:color w:val="auto"/>
              </w:rPr>
            </w:pPr>
            <w:r>
              <w:rPr>
                <w:rFonts w:ascii="Arial" w:cs="Arial" w:eastAsia="Arial" w:hAnsi="Arial"/>
                <w:sz w:val="20"/>
                <w:szCs w:val="20"/>
                <w:b w:val="1"/>
                <w:bCs w:val="1"/>
                <w:color w:val="231F20"/>
              </w:rPr>
              <w:t xml:space="preserve">Total Daily Net Production (MBoe/d) </w:t>
            </w:r>
            <w:r>
              <w:rPr>
                <w:rFonts w:ascii="Arial" w:cs="Arial" w:eastAsia="Arial" w:hAnsi="Arial"/>
                <w:sz w:val="20"/>
                <w:szCs w:val="20"/>
                <w:color w:val="231F20"/>
              </w:rPr>
              <w:t>. . . . . . . .</w:t>
            </w:r>
          </w:p>
        </w:tc>
        <w:tc>
          <w:tcPr>
            <w:tcW w:w="420" w:type="dxa"/>
            <w:vAlign w:val="bottom"/>
          </w:tcPr>
          <w:p>
            <w:pPr>
              <w:jc w:val="right"/>
              <w:spacing w:after="0"/>
              <w:rPr>
                <w:sz w:val="20"/>
                <w:szCs w:val="20"/>
                <w:color w:val="auto"/>
              </w:rPr>
            </w:pPr>
            <w:r>
              <w:rPr>
                <w:rFonts w:ascii="Arial" w:cs="Arial" w:eastAsia="Arial" w:hAnsi="Arial"/>
                <w:sz w:val="20"/>
                <w:szCs w:val="20"/>
                <w:color w:val="231F20"/>
              </w:rPr>
              <w:t>138</w:t>
            </w:r>
          </w:p>
        </w:tc>
        <w:tc>
          <w:tcPr>
            <w:tcW w:w="20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231F20"/>
              </w:rPr>
              <w:t>110</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86</w:t>
            </w:r>
          </w:p>
        </w:tc>
      </w:tr>
      <w:tr>
        <w:trPr>
          <w:trHeight w:val="28"/>
        </w:trPr>
        <w:tc>
          <w:tcPr>
            <w:tcW w:w="4500" w:type="dxa"/>
            <w:vAlign w:val="bottom"/>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r>
    </w:tbl>
    <w:p>
      <w:pPr>
        <w:spacing w:after="0" w:line="257" w:lineRule="exact"/>
        <w:rPr>
          <w:sz w:val="20"/>
          <w:szCs w:val="20"/>
          <w:color w:val="auto"/>
        </w:rPr>
      </w:pPr>
    </w:p>
    <w:p>
      <w:pPr>
        <w:jc w:val="both"/>
        <w:ind w:right="80" w:firstLine="300"/>
        <w:spacing w:after="0" w:line="245" w:lineRule="auto"/>
        <w:rPr>
          <w:sz w:val="20"/>
          <w:szCs w:val="20"/>
          <w:color w:val="auto"/>
        </w:rPr>
      </w:pPr>
      <w:r>
        <w:rPr>
          <w:rFonts w:ascii="Arial" w:cs="Arial" w:eastAsia="Arial" w:hAnsi="Arial"/>
          <w:sz w:val="20"/>
          <w:szCs w:val="20"/>
          <w:color w:val="231F20"/>
        </w:rPr>
        <w:t>The following table summarizes the changes to our total daily net production per day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00" w:type="dxa"/>
            <w:vAlign w:val="bottom"/>
          </w:tcPr>
          <w:p>
            <w:pPr>
              <w:spacing w:after="0"/>
              <w:rPr>
                <w:sz w:val="21"/>
                <w:szCs w:val="21"/>
                <w:color w:val="auto"/>
              </w:rPr>
            </w:pPr>
          </w:p>
        </w:tc>
        <w:tc>
          <w:tcPr>
            <w:tcW w:w="1020" w:type="dxa"/>
            <w:vAlign w:val="bottom"/>
            <w:tcBorders>
              <w:bottom w:val="single" w:sz="8" w:color="231F20"/>
            </w:tcBorders>
          </w:tcPr>
          <w:p>
            <w:pPr>
              <w:spacing w:after="0"/>
              <w:rPr>
                <w:sz w:val="21"/>
                <w:szCs w:val="21"/>
                <w:color w:val="auto"/>
              </w:rPr>
            </w:pPr>
          </w:p>
        </w:tc>
        <w:tc>
          <w:tcPr>
            <w:tcW w:w="2600" w:type="dxa"/>
            <w:vAlign w:val="bottom"/>
            <w:tcBorders>
              <w:bottom w:val="single" w:sz="8" w:color="231F20"/>
            </w:tcBorders>
            <w:gridSpan w:val="5"/>
          </w:tcPr>
          <w:p>
            <w:pPr>
              <w:jc w:val="center"/>
              <w:ind w:right="20"/>
              <w:spacing w:after="0"/>
              <w:rPr>
                <w:sz w:val="20"/>
                <w:szCs w:val="20"/>
                <w:color w:val="auto"/>
              </w:rPr>
            </w:pPr>
            <w:r>
              <w:rPr>
                <w:rFonts w:ascii="Arial" w:cs="Arial" w:eastAsia="Arial" w:hAnsi="Arial"/>
                <w:sz w:val="20"/>
                <w:szCs w:val="20"/>
                <w:b w:val="1"/>
                <w:bCs w:val="1"/>
                <w:color w:val="231F20"/>
                <w:w w:val="99"/>
              </w:rPr>
              <w:t>Year ended December 31,</w:t>
            </w:r>
          </w:p>
        </w:tc>
        <w:tc>
          <w:tcPr>
            <w:tcW w:w="100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4500" w:type="dxa"/>
            <w:vAlign w:val="bottom"/>
          </w:tcPr>
          <w:p>
            <w:pPr>
              <w:spacing w:after="0"/>
              <w:rPr>
                <w:sz w:val="22"/>
                <w:szCs w:val="22"/>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420" w:type="dxa"/>
            <w:vAlign w:val="bottom"/>
            <w:tcBorders>
              <w:bottom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Borders>
              <w:bottom w:val="single" w:sz="8" w:color="231F20"/>
            </w:tcBorders>
          </w:tcPr>
          <w:p>
            <w:pPr>
              <w:jc w:val="right"/>
              <w:ind w:right="402"/>
              <w:spacing w:after="0"/>
              <w:rPr>
                <w:sz w:val="20"/>
                <w:szCs w:val="20"/>
                <w:color w:val="auto"/>
              </w:rPr>
            </w:pPr>
            <w:r>
              <w:rPr>
                <w:rFonts w:ascii="Arial" w:cs="Arial" w:eastAsia="Arial" w:hAnsi="Arial"/>
                <w:sz w:val="20"/>
                <w:szCs w:val="20"/>
                <w:b w:val="1"/>
                <w:bCs w:val="1"/>
                <w:color w:val="231F20"/>
              </w:rPr>
              <w:t>2024</w:t>
            </w:r>
          </w:p>
        </w:tc>
        <w:tc>
          <w:tcPr>
            <w:tcW w:w="20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340"/>
              <w:spacing w:after="0"/>
              <w:rPr>
                <w:sz w:val="20"/>
                <w:szCs w:val="20"/>
                <w:color w:val="auto"/>
              </w:rPr>
            </w:pPr>
            <w:r>
              <w:rPr>
                <w:rFonts w:ascii="Arial" w:cs="Arial" w:eastAsia="Arial" w:hAnsi="Arial"/>
                <w:sz w:val="20"/>
                <w:szCs w:val="20"/>
                <w:b w:val="1"/>
                <w:bCs w:val="1"/>
                <w:color w:val="231F20"/>
              </w:rPr>
              <w:t>2023</w:t>
            </w:r>
          </w:p>
        </w:tc>
        <w:tc>
          <w:tcPr>
            <w:tcW w:w="60" w:type="dxa"/>
            <w:vAlign w:val="bottom"/>
          </w:tcPr>
          <w:p>
            <w:pPr>
              <w:spacing w:after="0"/>
              <w:rPr>
                <w:sz w:val="22"/>
                <w:szCs w:val="22"/>
                <w:color w:val="auto"/>
              </w:rPr>
            </w:pPr>
          </w:p>
        </w:tc>
      </w:tr>
      <w:tr>
        <w:trPr>
          <w:trHeight w:val="192"/>
        </w:trPr>
        <w:tc>
          <w:tcPr>
            <w:tcW w:w="4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3"/>
          </w:tcPr>
          <w:p>
            <w:pPr>
              <w:jc w:val="center"/>
              <w:ind w:right="640"/>
              <w:spacing w:after="0"/>
              <w:rPr>
                <w:sz w:val="20"/>
                <w:szCs w:val="20"/>
                <w:color w:val="auto"/>
              </w:rPr>
            </w:pPr>
            <w:r>
              <w:rPr>
                <w:rFonts w:ascii="Arial" w:cs="Arial" w:eastAsia="Arial" w:hAnsi="Arial"/>
                <w:sz w:val="16"/>
                <w:szCs w:val="16"/>
                <w:color w:val="231F20"/>
              </w:rPr>
              <w:t>(MBoe/d)</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0"/>
        </w:trPr>
        <w:tc>
          <w:tcPr>
            <w:tcW w:w="5520" w:type="dxa"/>
            <w:vAlign w:val="bottom"/>
            <w:gridSpan w:val="2"/>
          </w:tcPr>
          <w:p>
            <w:pPr>
              <w:jc w:val="right"/>
              <w:ind w:right="1120"/>
              <w:spacing w:after="0"/>
              <w:rPr>
                <w:sz w:val="20"/>
                <w:szCs w:val="20"/>
                <w:color w:val="auto"/>
              </w:rPr>
            </w:pPr>
            <w:r>
              <w:rPr>
                <w:rFonts w:ascii="Arial" w:cs="Arial" w:eastAsia="Arial" w:hAnsi="Arial"/>
                <w:sz w:val="20"/>
                <w:szCs w:val="20"/>
                <w:color w:val="231F20"/>
                <w:w w:val="97"/>
              </w:rPr>
              <w:t>Beginning of the year  . . . . . . . . . . . . . . . . . . . . . .</w:t>
            </w:r>
          </w:p>
        </w:tc>
        <w:tc>
          <w:tcPr>
            <w:tcW w:w="420" w:type="dxa"/>
            <w:vAlign w:val="bottom"/>
          </w:tcPr>
          <w:p>
            <w:pPr>
              <w:jc w:val="right"/>
              <w:spacing w:after="0"/>
              <w:rPr>
                <w:sz w:val="20"/>
                <w:szCs w:val="20"/>
                <w:color w:val="auto"/>
              </w:rPr>
            </w:pPr>
            <w:r>
              <w:rPr>
                <w:rFonts w:ascii="Arial" w:cs="Arial" w:eastAsia="Arial" w:hAnsi="Arial"/>
                <w:sz w:val="20"/>
                <w:szCs w:val="20"/>
                <w:color w:val="231F20"/>
              </w:rPr>
              <w:t>110</w:t>
            </w:r>
          </w:p>
        </w:tc>
        <w:tc>
          <w:tcPr>
            <w:tcW w:w="2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231F20"/>
              </w:rPr>
              <w:t>86</w:t>
            </w:r>
          </w:p>
        </w:tc>
        <w:tc>
          <w:tcPr>
            <w:tcW w:w="3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231F20"/>
              </w:rPr>
              <w:t>91</w:t>
            </w:r>
          </w:p>
        </w:tc>
      </w:tr>
      <w:tr>
        <w:trPr>
          <w:trHeight w:val="255"/>
        </w:trPr>
        <w:tc>
          <w:tcPr>
            <w:tcW w:w="5520" w:type="dxa"/>
            <w:vAlign w:val="bottom"/>
            <w:gridSpan w:val="2"/>
          </w:tcPr>
          <w:p>
            <w:pPr>
              <w:jc w:val="right"/>
              <w:ind w:right="1120"/>
              <w:spacing w:after="0" w:line="255" w:lineRule="exact"/>
              <w:rPr>
                <w:sz w:val="20"/>
                <w:szCs w:val="20"/>
                <w:color w:val="auto"/>
              </w:rPr>
            </w:pPr>
            <w:r>
              <w:rPr>
                <w:rFonts w:ascii="Arial" w:cs="Arial" w:eastAsia="Arial" w:hAnsi="Arial"/>
                <w:sz w:val="20"/>
                <w:szCs w:val="20"/>
                <w:color w:val="231F20"/>
                <w:w w:val="95"/>
              </w:rPr>
              <w:t>Divestitures</w:t>
            </w:r>
            <w:r>
              <w:rPr>
                <w:rFonts w:ascii="Arial" w:cs="Arial" w:eastAsia="Arial" w:hAnsi="Arial"/>
                <w:sz w:val="26"/>
                <w:szCs w:val="26"/>
                <w:color w:val="231F20"/>
                <w:w w:val="95"/>
                <w:vertAlign w:val="superscript"/>
              </w:rPr>
              <w:t>(a)</w:t>
            </w:r>
            <w:r>
              <w:rPr>
                <w:rFonts w:ascii="Arial" w:cs="Arial" w:eastAsia="Arial" w:hAnsi="Arial"/>
                <w:sz w:val="20"/>
                <w:szCs w:val="20"/>
                <w:color w:val="231F20"/>
                <w:w w:val="95"/>
              </w:rPr>
              <w:t xml:space="preserve"> . . . . . . . . . . . . . . . . . . . . . . . . . . . . .</w:t>
            </w:r>
          </w:p>
        </w:tc>
        <w:tc>
          <w:tcPr>
            <w:tcW w:w="62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640" w:type="dxa"/>
            <w:vAlign w:val="bottom"/>
            <w:gridSpan w:val="2"/>
          </w:tcPr>
          <w:p>
            <w:pPr>
              <w:jc w:val="right"/>
              <w:ind w:right="120"/>
              <w:spacing w:after="0"/>
              <w:rPr>
                <w:sz w:val="20"/>
                <w:szCs w:val="20"/>
                <w:color w:val="auto"/>
              </w:rPr>
            </w:pPr>
            <w:r>
              <w:rPr>
                <w:rFonts w:ascii="Arial" w:cs="Arial" w:eastAsia="Arial" w:hAnsi="Arial"/>
                <w:sz w:val="20"/>
                <w:szCs w:val="20"/>
                <w:color w:val="231F20"/>
              </w:rPr>
              <w:t>(1)</w:t>
            </w:r>
          </w:p>
        </w:tc>
        <w:tc>
          <w:tcPr>
            <w:tcW w:w="34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r>
      <w:tr>
        <w:trPr>
          <w:trHeight w:val="240"/>
        </w:trPr>
        <w:tc>
          <w:tcPr>
            <w:tcW w:w="5520" w:type="dxa"/>
            <w:vAlign w:val="bottom"/>
            <w:gridSpan w:val="2"/>
          </w:tcPr>
          <w:p>
            <w:pPr>
              <w:jc w:val="right"/>
              <w:ind w:right="1120"/>
              <w:spacing w:after="0" w:line="240" w:lineRule="exact"/>
              <w:rPr>
                <w:sz w:val="20"/>
                <w:szCs w:val="20"/>
                <w:color w:val="auto"/>
              </w:rPr>
            </w:pPr>
            <w:r>
              <w:rPr>
                <w:rFonts w:ascii="Arial" w:cs="Arial" w:eastAsia="Arial" w:hAnsi="Arial"/>
                <w:sz w:val="20"/>
                <w:szCs w:val="20"/>
                <w:color w:val="231F20"/>
                <w:w w:val="95"/>
              </w:rPr>
              <w:t>Plant downtime</w:t>
            </w:r>
            <w:r>
              <w:rPr>
                <w:rFonts w:ascii="Arial" w:cs="Arial" w:eastAsia="Arial" w:hAnsi="Arial"/>
                <w:sz w:val="26"/>
                <w:szCs w:val="26"/>
                <w:color w:val="231F20"/>
                <w:w w:val="95"/>
                <w:vertAlign w:val="superscript"/>
              </w:rPr>
              <w:t>(b)</w:t>
            </w:r>
            <w:r>
              <w:rPr>
                <w:rFonts w:ascii="Arial" w:cs="Arial" w:eastAsia="Arial" w:hAnsi="Arial"/>
                <w:sz w:val="20"/>
                <w:szCs w:val="20"/>
                <w:color w:val="231F20"/>
                <w:w w:val="95"/>
              </w:rPr>
              <w:t xml:space="preserve"> . . . . . . . . . . . . . . . . . . . . . . . . . .</w:t>
            </w:r>
          </w:p>
        </w:tc>
        <w:tc>
          <w:tcPr>
            <w:tcW w:w="620" w:type="dxa"/>
            <w:vAlign w:val="bottom"/>
            <w:gridSpan w:val="2"/>
          </w:tcPr>
          <w:p>
            <w:pPr>
              <w:jc w:val="right"/>
              <w:ind w:right="200"/>
              <w:spacing w:after="0" w:line="226" w:lineRule="exact"/>
              <w:rPr>
                <w:sz w:val="20"/>
                <w:szCs w:val="20"/>
                <w:color w:val="auto"/>
              </w:rPr>
            </w:pPr>
            <w:r>
              <w:rPr>
                <w:rFonts w:ascii="Arial" w:cs="Arial" w:eastAsia="Arial" w:hAnsi="Arial"/>
                <w:sz w:val="20"/>
                <w:szCs w:val="20"/>
                <w:color w:val="231F20"/>
              </w:rPr>
              <w:t>—</w:t>
            </w:r>
          </w:p>
        </w:tc>
        <w:tc>
          <w:tcPr>
            <w:tcW w:w="1640" w:type="dxa"/>
            <w:vAlign w:val="bottom"/>
            <w:gridSpan w:val="2"/>
          </w:tcPr>
          <w:p>
            <w:pPr>
              <w:jc w:val="right"/>
              <w:ind w:right="120"/>
              <w:spacing w:after="0" w:line="226" w:lineRule="exact"/>
              <w:rPr>
                <w:sz w:val="20"/>
                <w:szCs w:val="20"/>
                <w:color w:val="auto"/>
              </w:rPr>
            </w:pPr>
            <w:r>
              <w:rPr>
                <w:rFonts w:ascii="Arial" w:cs="Arial" w:eastAsia="Arial" w:hAnsi="Arial"/>
                <w:sz w:val="20"/>
                <w:szCs w:val="20"/>
                <w:color w:val="231F20"/>
              </w:rPr>
              <w:t>(2)</w:t>
            </w:r>
          </w:p>
        </w:tc>
        <w:tc>
          <w:tcPr>
            <w:tcW w:w="340" w:type="dxa"/>
            <w:vAlign w:val="bottom"/>
          </w:tcPr>
          <w:p>
            <w:pPr>
              <w:spacing w:after="0"/>
              <w:rPr>
                <w:sz w:val="20"/>
                <w:szCs w:val="20"/>
                <w:color w:val="auto"/>
              </w:rPr>
            </w:pPr>
          </w:p>
        </w:tc>
        <w:tc>
          <w:tcPr>
            <w:tcW w:w="106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231F20"/>
              </w:rPr>
              <w:t>—</w:t>
            </w:r>
          </w:p>
        </w:tc>
      </w:tr>
      <w:tr>
        <w:trPr>
          <w:trHeight w:val="240"/>
        </w:trPr>
        <w:tc>
          <w:tcPr>
            <w:tcW w:w="5520" w:type="dxa"/>
            <w:vAlign w:val="bottom"/>
            <w:gridSpan w:val="2"/>
          </w:tcPr>
          <w:p>
            <w:pPr>
              <w:jc w:val="right"/>
              <w:ind w:right="1120"/>
              <w:spacing w:after="0" w:line="240" w:lineRule="exact"/>
              <w:rPr>
                <w:sz w:val="20"/>
                <w:szCs w:val="20"/>
                <w:color w:val="auto"/>
              </w:rPr>
            </w:pPr>
            <w:r>
              <w:rPr>
                <w:rFonts w:ascii="Arial" w:cs="Arial" w:eastAsia="Arial" w:hAnsi="Arial"/>
                <w:sz w:val="20"/>
                <w:szCs w:val="20"/>
                <w:color w:val="231F20"/>
                <w:w w:val="95"/>
              </w:rPr>
              <w:t>Acquisitions</w:t>
            </w:r>
            <w:r>
              <w:rPr>
                <w:rFonts w:ascii="Arial" w:cs="Arial" w:eastAsia="Arial" w:hAnsi="Arial"/>
                <w:sz w:val="26"/>
                <w:szCs w:val="26"/>
                <w:color w:val="231F20"/>
                <w:w w:val="95"/>
                <w:vertAlign w:val="superscript"/>
              </w:rPr>
              <w:t>(c)</w:t>
            </w:r>
            <w:r>
              <w:rPr>
                <w:rFonts w:ascii="Arial" w:cs="Arial" w:eastAsia="Arial" w:hAnsi="Arial"/>
                <w:sz w:val="20"/>
                <w:szCs w:val="20"/>
                <w:color w:val="231F20"/>
                <w:w w:val="95"/>
              </w:rPr>
              <w:t xml:space="preserve"> . . . . . . . . . . . . . . . . . . . . . . . . . . . . .</w:t>
            </w:r>
          </w:p>
        </w:tc>
        <w:tc>
          <w:tcPr>
            <w:tcW w:w="420" w:type="dxa"/>
            <w:vAlign w:val="bottom"/>
          </w:tcPr>
          <w:p>
            <w:pPr>
              <w:jc w:val="right"/>
              <w:spacing w:after="0" w:line="226" w:lineRule="exact"/>
              <w:rPr>
                <w:sz w:val="20"/>
                <w:szCs w:val="20"/>
                <w:color w:val="auto"/>
              </w:rPr>
            </w:pPr>
            <w:r>
              <w:rPr>
                <w:rFonts w:ascii="Arial" w:cs="Arial" w:eastAsia="Arial" w:hAnsi="Arial"/>
                <w:sz w:val="20"/>
                <w:szCs w:val="20"/>
                <w:color w:val="231F20"/>
              </w:rPr>
              <w:t>30</w:t>
            </w:r>
          </w:p>
        </w:tc>
        <w:tc>
          <w:tcPr>
            <w:tcW w:w="200" w:type="dxa"/>
            <w:vAlign w:val="bottom"/>
          </w:tcPr>
          <w:p>
            <w:pPr>
              <w:spacing w:after="0"/>
              <w:rPr>
                <w:sz w:val="20"/>
                <w:szCs w:val="20"/>
                <w:color w:val="auto"/>
              </w:rPr>
            </w:pPr>
          </w:p>
        </w:tc>
        <w:tc>
          <w:tcPr>
            <w:tcW w:w="1640" w:type="dxa"/>
            <w:vAlign w:val="bottom"/>
            <w:gridSpan w:val="2"/>
          </w:tcPr>
          <w:p>
            <w:pPr>
              <w:jc w:val="right"/>
              <w:ind w:right="200"/>
              <w:spacing w:after="0" w:line="226" w:lineRule="exact"/>
              <w:rPr>
                <w:sz w:val="20"/>
                <w:szCs w:val="20"/>
                <w:color w:val="auto"/>
              </w:rPr>
            </w:pPr>
            <w:r>
              <w:rPr>
                <w:rFonts w:ascii="Arial" w:cs="Arial" w:eastAsia="Arial" w:hAnsi="Arial"/>
                <w:sz w:val="20"/>
                <w:szCs w:val="20"/>
                <w:color w:val="231F20"/>
              </w:rPr>
              <w:t>34</w:t>
            </w:r>
          </w:p>
        </w:tc>
        <w:tc>
          <w:tcPr>
            <w:tcW w:w="340" w:type="dxa"/>
            <w:vAlign w:val="bottom"/>
          </w:tcPr>
          <w:p>
            <w:pPr>
              <w:spacing w:after="0"/>
              <w:rPr>
                <w:sz w:val="20"/>
                <w:szCs w:val="20"/>
                <w:color w:val="auto"/>
              </w:rPr>
            </w:pPr>
          </w:p>
        </w:tc>
        <w:tc>
          <w:tcPr>
            <w:tcW w:w="106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231F20"/>
              </w:rPr>
              <w:t>—</w:t>
            </w:r>
          </w:p>
        </w:tc>
      </w:tr>
      <w:tr>
        <w:trPr>
          <w:trHeight w:val="223"/>
        </w:trPr>
        <w:tc>
          <w:tcPr>
            <w:tcW w:w="5520" w:type="dxa"/>
            <w:vAlign w:val="bottom"/>
            <w:gridSpan w:val="2"/>
          </w:tcPr>
          <w:p>
            <w:pPr>
              <w:jc w:val="right"/>
              <w:ind w:right="1120"/>
              <w:spacing w:after="0" w:line="223" w:lineRule="exact"/>
              <w:rPr>
                <w:sz w:val="20"/>
                <w:szCs w:val="20"/>
                <w:color w:val="auto"/>
              </w:rPr>
            </w:pPr>
            <w:r>
              <w:rPr>
                <w:rFonts w:ascii="Arial" w:cs="Arial" w:eastAsia="Arial" w:hAnsi="Arial"/>
                <w:sz w:val="20"/>
                <w:szCs w:val="20"/>
                <w:color w:val="231F20"/>
                <w:w w:val="97"/>
              </w:rPr>
              <w:t>PSC effect . . . . . . . . . . . . . . . . . . . . . . . . . . . . . . .</w:t>
            </w:r>
          </w:p>
        </w:tc>
        <w:tc>
          <w:tcPr>
            <w:tcW w:w="420" w:type="dxa"/>
            <w:vAlign w:val="bottom"/>
          </w:tcPr>
          <w:p>
            <w:pPr>
              <w:jc w:val="right"/>
              <w:spacing w:after="0" w:line="223" w:lineRule="exact"/>
              <w:rPr>
                <w:sz w:val="20"/>
                <w:szCs w:val="20"/>
                <w:color w:val="auto"/>
              </w:rPr>
            </w:pPr>
            <w:r>
              <w:rPr>
                <w:rFonts w:ascii="Arial" w:cs="Arial" w:eastAsia="Arial" w:hAnsi="Arial"/>
                <w:sz w:val="20"/>
                <w:szCs w:val="20"/>
                <w:color w:val="231F20"/>
              </w:rPr>
              <w:t>2</w:t>
            </w:r>
          </w:p>
        </w:tc>
        <w:tc>
          <w:tcPr>
            <w:tcW w:w="200" w:type="dxa"/>
            <w:vAlign w:val="bottom"/>
          </w:tcPr>
          <w:p>
            <w:pPr>
              <w:spacing w:after="0"/>
              <w:rPr>
                <w:sz w:val="19"/>
                <w:szCs w:val="19"/>
                <w:color w:val="auto"/>
              </w:rPr>
            </w:pPr>
          </w:p>
        </w:tc>
        <w:tc>
          <w:tcPr>
            <w:tcW w:w="1980" w:type="dxa"/>
            <w:vAlign w:val="bottom"/>
            <w:gridSpan w:val="3"/>
          </w:tcPr>
          <w:p>
            <w:pPr>
              <w:jc w:val="right"/>
              <w:ind w:right="540"/>
              <w:spacing w:after="0" w:line="223" w:lineRule="exact"/>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231F20"/>
              </w:rPr>
              <w:t>1</w:t>
            </w:r>
          </w:p>
        </w:tc>
      </w:tr>
      <w:tr>
        <w:trPr>
          <w:trHeight w:val="240"/>
        </w:trPr>
        <w:tc>
          <w:tcPr>
            <w:tcW w:w="5520" w:type="dxa"/>
            <w:vAlign w:val="bottom"/>
            <w:gridSpan w:val="2"/>
          </w:tcPr>
          <w:p>
            <w:pPr>
              <w:jc w:val="right"/>
              <w:ind w:right="1120"/>
              <w:spacing w:after="0"/>
              <w:rPr>
                <w:sz w:val="20"/>
                <w:szCs w:val="20"/>
                <w:color w:val="auto"/>
              </w:rPr>
            </w:pPr>
            <w:r>
              <w:rPr>
                <w:rFonts w:ascii="Arial" w:cs="Arial" w:eastAsia="Arial" w:hAnsi="Arial"/>
                <w:sz w:val="20"/>
                <w:szCs w:val="20"/>
                <w:color w:val="231F20"/>
                <w:w w:val="98"/>
              </w:rPr>
              <w:t>Natural decline and other . . . . . . . . . . . . . . . . . . .</w:t>
            </w:r>
          </w:p>
        </w:tc>
        <w:tc>
          <w:tcPr>
            <w:tcW w:w="620" w:type="dxa"/>
            <w:vAlign w:val="bottom"/>
            <w:gridSpan w:val="2"/>
          </w:tcPr>
          <w:p>
            <w:pPr>
              <w:jc w:val="right"/>
              <w:ind w:right="140"/>
              <w:spacing w:after="0"/>
              <w:rPr>
                <w:sz w:val="20"/>
                <w:szCs w:val="20"/>
                <w:color w:val="auto"/>
              </w:rPr>
            </w:pPr>
            <w:r>
              <w:rPr>
                <w:rFonts w:ascii="Arial" w:cs="Arial" w:eastAsia="Arial" w:hAnsi="Arial"/>
                <w:sz w:val="20"/>
                <w:szCs w:val="20"/>
                <w:color w:val="231F20"/>
              </w:rPr>
              <w:t>(4)</w:t>
            </w:r>
          </w:p>
        </w:tc>
        <w:tc>
          <w:tcPr>
            <w:tcW w:w="1640" w:type="dxa"/>
            <w:vAlign w:val="bottom"/>
            <w:gridSpan w:val="2"/>
          </w:tcPr>
          <w:p>
            <w:pPr>
              <w:jc w:val="right"/>
              <w:ind w:right="120"/>
              <w:spacing w:after="0"/>
              <w:rPr>
                <w:sz w:val="20"/>
                <w:szCs w:val="20"/>
                <w:color w:val="auto"/>
              </w:rPr>
            </w:pPr>
            <w:r>
              <w:rPr>
                <w:rFonts w:ascii="Arial" w:cs="Arial" w:eastAsia="Arial" w:hAnsi="Arial"/>
                <w:sz w:val="20"/>
                <w:szCs w:val="20"/>
                <w:color w:val="231F20"/>
              </w:rPr>
              <w:t>(7)</w:t>
            </w:r>
          </w:p>
        </w:tc>
        <w:tc>
          <w:tcPr>
            <w:tcW w:w="3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231F20"/>
              </w:rPr>
              <w:t>(6)</w:t>
            </w:r>
          </w:p>
        </w:tc>
      </w:tr>
      <w:tr>
        <w:trPr>
          <w:trHeight w:val="30"/>
        </w:trPr>
        <w:tc>
          <w:tcPr>
            <w:tcW w:w="4500" w:type="dxa"/>
            <w:vAlign w:val="bottom"/>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520" w:type="dxa"/>
            <w:vAlign w:val="bottom"/>
            <w:gridSpan w:val="2"/>
          </w:tcPr>
          <w:p>
            <w:pPr>
              <w:jc w:val="right"/>
              <w:ind w:right="1120"/>
              <w:spacing w:after="0"/>
              <w:rPr>
                <w:sz w:val="20"/>
                <w:szCs w:val="20"/>
                <w:color w:val="auto"/>
              </w:rPr>
            </w:pPr>
            <w:r>
              <w:rPr>
                <w:rFonts w:ascii="Arial" w:cs="Arial" w:eastAsia="Arial" w:hAnsi="Arial"/>
                <w:sz w:val="20"/>
                <w:szCs w:val="20"/>
                <w:color w:val="231F20"/>
              </w:rPr>
              <w:t>Total change  . . . . . . . . . . . . . . . . . . . . . . . . .</w:t>
            </w:r>
          </w:p>
        </w:tc>
        <w:tc>
          <w:tcPr>
            <w:tcW w:w="420" w:type="dxa"/>
            <w:vAlign w:val="bottom"/>
          </w:tcPr>
          <w:p>
            <w:pPr>
              <w:jc w:val="right"/>
              <w:spacing w:after="0"/>
              <w:rPr>
                <w:sz w:val="20"/>
                <w:szCs w:val="20"/>
                <w:color w:val="auto"/>
              </w:rPr>
            </w:pPr>
            <w:r>
              <w:rPr>
                <w:rFonts w:ascii="Arial" w:cs="Arial" w:eastAsia="Arial" w:hAnsi="Arial"/>
                <w:sz w:val="20"/>
                <w:szCs w:val="20"/>
                <w:color w:val="231F20"/>
              </w:rPr>
              <w:t>28</w:t>
            </w:r>
          </w:p>
        </w:tc>
        <w:tc>
          <w:tcPr>
            <w:tcW w:w="20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231F20"/>
              </w:rPr>
              <w:t>24</w:t>
            </w:r>
          </w:p>
        </w:tc>
        <w:tc>
          <w:tcPr>
            <w:tcW w:w="34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231F20"/>
              </w:rPr>
              <w:t>(5)</w:t>
            </w:r>
          </w:p>
        </w:tc>
      </w:tr>
      <w:tr>
        <w:trPr>
          <w:trHeight w:val="28"/>
        </w:trPr>
        <w:tc>
          <w:tcPr>
            <w:tcW w:w="4500" w:type="dxa"/>
            <w:vAlign w:val="bottom"/>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5520" w:type="dxa"/>
            <w:vAlign w:val="bottom"/>
            <w:gridSpan w:val="2"/>
          </w:tcPr>
          <w:p>
            <w:pPr>
              <w:jc w:val="right"/>
              <w:ind w:right="1120"/>
              <w:spacing w:after="0"/>
              <w:rPr>
                <w:sz w:val="20"/>
                <w:szCs w:val="20"/>
                <w:color w:val="auto"/>
              </w:rPr>
            </w:pPr>
            <w:r>
              <w:rPr>
                <w:rFonts w:ascii="Arial" w:cs="Arial" w:eastAsia="Arial" w:hAnsi="Arial"/>
                <w:sz w:val="20"/>
                <w:szCs w:val="20"/>
                <w:color w:val="231F20"/>
                <w:w w:val="96"/>
              </w:rPr>
              <w:t>End of the year  . . . . . . . . . . . . . . . . . . . . . . . . . . .</w:t>
            </w:r>
          </w:p>
        </w:tc>
        <w:tc>
          <w:tcPr>
            <w:tcW w:w="420" w:type="dxa"/>
            <w:vAlign w:val="bottom"/>
          </w:tcPr>
          <w:p>
            <w:pPr>
              <w:jc w:val="right"/>
              <w:spacing w:after="0"/>
              <w:rPr>
                <w:sz w:val="20"/>
                <w:szCs w:val="20"/>
                <w:color w:val="auto"/>
              </w:rPr>
            </w:pPr>
            <w:r>
              <w:rPr>
                <w:rFonts w:ascii="Arial" w:cs="Arial" w:eastAsia="Arial" w:hAnsi="Arial"/>
                <w:sz w:val="20"/>
                <w:szCs w:val="20"/>
                <w:color w:val="231F20"/>
              </w:rPr>
              <w:t>138</w:t>
            </w:r>
          </w:p>
        </w:tc>
        <w:tc>
          <w:tcPr>
            <w:tcW w:w="20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20"/>
                <w:szCs w:val="20"/>
                <w:color w:val="231F20"/>
              </w:rPr>
              <w:t>110</w:t>
            </w:r>
          </w:p>
        </w:tc>
        <w:tc>
          <w:tcPr>
            <w:tcW w:w="34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231F20"/>
              </w:rPr>
              <w:t>86</w:t>
            </w:r>
          </w:p>
        </w:tc>
      </w:tr>
      <w:tr>
        <w:trPr>
          <w:trHeight w:val="28"/>
        </w:trPr>
        <w:tc>
          <w:tcPr>
            <w:tcW w:w="4500" w:type="dxa"/>
            <w:vAlign w:val="bottom"/>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1" w:lineRule="exact"/>
        <w:rPr>
          <w:sz w:val="20"/>
          <w:szCs w:val="20"/>
          <w:color w:val="auto"/>
        </w:rPr>
      </w:pPr>
    </w:p>
    <w:p>
      <w:pPr>
        <w:ind w:left="320" w:right="560" w:hanging="320"/>
        <w:spacing w:after="0" w:line="259" w:lineRule="auto"/>
        <w:tabs>
          <w:tab w:leader="none" w:pos="320" w:val="left"/>
        </w:tabs>
        <w:numPr>
          <w:ilvl w:val="0"/>
          <w:numId w:val="41"/>
        </w:numPr>
        <w:rPr>
          <w:rFonts w:ascii="Arial" w:cs="Arial" w:eastAsia="Arial" w:hAnsi="Arial"/>
          <w:sz w:val="16"/>
          <w:szCs w:val="16"/>
          <w:color w:val="231F20"/>
        </w:rPr>
      </w:pPr>
      <w:r>
        <w:rPr>
          <w:rFonts w:ascii="Arial" w:cs="Arial" w:eastAsia="Arial" w:hAnsi="Arial"/>
          <w:sz w:val="16"/>
          <w:szCs w:val="16"/>
          <w:color w:val="231F20"/>
        </w:rPr>
        <w:t xml:space="preserve">See </w:t>
      </w:r>
      <w:r>
        <w:rPr>
          <w:rFonts w:ascii="Arial" w:cs="Arial" w:eastAsia="Arial" w:hAnsi="Arial"/>
          <w:sz w:val="16"/>
          <w:szCs w:val="16"/>
          <w:i w:val="1"/>
          <w:iCs w:val="1"/>
          <w:color w:val="231F20"/>
        </w:rPr>
        <w:t>Part II, Item 8 – Financial Statements and Supplementary Data, Note 9 Divestitures and Acquisitions</w:t>
      </w:r>
      <w:r>
        <w:rPr>
          <w:rFonts w:ascii="Arial" w:cs="Arial" w:eastAsia="Arial" w:hAnsi="Arial"/>
          <w:sz w:val="16"/>
          <w:szCs w:val="16"/>
          <w:color w:val="231F20"/>
        </w:rPr>
        <w:t xml:space="preserve"> for more information. Note that for the year ended December 31, 2023, our divestitures did not have a significant impact on our production volumes because the sale of our non-operated working interest in the Round Mountain Unit closed on December 29, 2023 and we sold a non-producing asset during the year.</w:t>
      </w:r>
    </w:p>
    <w:p>
      <w:pPr>
        <w:spacing w:after="0" w:line="7" w:lineRule="exact"/>
        <w:rPr>
          <w:rFonts w:ascii="Arial" w:cs="Arial" w:eastAsia="Arial" w:hAnsi="Arial"/>
          <w:sz w:val="16"/>
          <w:szCs w:val="16"/>
          <w:color w:val="231F20"/>
        </w:rPr>
      </w:pPr>
    </w:p>
    <w:p>
      <w:pPr>
        <w:ind w:left="320" w:right="360" w:hanging="320"/>
        <w:spacing w:after="0" w:line="253" w:lineRule="auto"/>
        <w:tabs>
          <w:tab w:leader="none" w:pos="320" w:val="left"/>
        </w:tabs>
        <w:numPr>
          <w:ilvl w:val="0"/>
          <w:numId w:val="41"/>
        </w:numPr>
        <w:rPr>
          <w:rFonts w:ascii="Arial" w:cs="Arial" w:eastAsia="Arial" w:hAnsi="Arial"/>
          <w:sz w:val="16"/>
          <w:szCs w:val="16"/>
          <w:color w:val="231F20"/>
        </w:rPr>
      </w:pPr>
      <w:r>
        <w:rPr>
          <w:rFonts w:ascii="Arial" w:cs="Arial" w:eastAsia="Arial" w:hAnsi="Arial"/>
          <w:sz w:val="16"/>
          <w:szCs w:val="16"/>
          <w:color w:val="231F20"/>
        </w:rPr>
        <w:t>Included scheduled maintenance and unplanned downtime at our Elk Hills power plant for the year ended December 31, 2024.</w:t>
      </w:r>
    </w:p>
    <w:p>
      <w:pPr>
        <w:spacing w:after="0" w:line="12" w:lineRule="exact"/>
        <w:rPr>
          <w:rFonts w:ascii="Arial" w:cs="Arial" w:eastAsia="Arial" w:hAnsi="Arial"/>
          <w:sz w:val="16"/>
          <w:szCs w:val="16"/>
          <w:color w:val="231F20"/>
        </w:rPr>
      </w:pPr>
    </w:p>
    <w:p>
      <w:pPr>
        <w:ind w:left="320" w:right="220" w:hanging="320"/>
        <w:spacing w:after="0" w:line="257" w:lineRule="auto"/>
        <w:tabs>
          <w:tab w:leader="none" w:pos="320" w:val="left"/>
        </w:tabs>
        <w:numPr>
          <w:ilvl w:val="0"/>
          <w:numId w:val="41"/>
        </w:numPr>
        <w:rPr>
          <w:rFonts w:ascii="Arial" w:cs="Arial" w:eastAsia="Arial" w:hAnsi="Arial"/>
          <w:sz w:val="16"/>
          <w:szCs w:val="16"/>
          <w:color w:val="231F20"/>
        </w:rPr>
      </w:pPr>
      <w:r>
        <w:rPr>
          <w:rFonts w:ascii="Arial" w:cs="Arial" w:eastAsia="Arial" w:hAnsi="Arial"/>
          <w:sz w:val="16"/>
          <w:szCs w:val="16"/>
          <w:color w:val="231F20"/>
        </w:rPr>
        <w:t xml:space="preserve">We completed the Aera Merger on July 1, 2024 and the amount of production shown in the table above is averaged over a 12-month period. See </w:t>
      </w:r>
      <w:r>
        <w:rPr>
          <w:rFonts w:ascii="Arial" w:cs="Arial" w:eastAsia="Arial" w:hAnsi="Arial"/>
          <w:sz w:val="16"/>
          <w:szCs w:val="16"/>
          <w:i w:val="1"/>
          <w:iCs w:val="1"/>
          <w:color w:val="231F20"/>
        </w:rPr>
        <w:t>Part II, Item 8 – Financial Statements and Supplementary Data, Note 2 Business Combinations</w:t>
      </w:r>
      <w:r>
        <w:rPr>
          <w:rFonts w:ascii="Arial" w:cs="Arial" w:eastAsia="Arial" w:hAnsi="Arial"/>
          <w:sz w:val="16"/>
          <w:szCs w:val="16"/>
          <w:color w:val="231F20"/>
        </w:rPr>
        <w:t xml:space="preserve"> for more information.</w:t>
      </w:r>
    </w:p>
    <w:p>
      <w:pPr>
        <w:sectPr>
          <w:pgSz w:w="11880" w:h="15480" w:orient="portrait"/>
          <w:cols w:equalWidth="0" w:num="1">
            <w:col w:w="9180"/>
          </w:cols>
          <w:pgMar w:left="1380" w:top="1313" w:right="132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231F20"/>
        </w:rPr>
        <w:t>70</w:t>
      </w:r>
    </w:p>
    <w:p>
      <w:pPr>
        <w:sectPr>
          <w:pgSz w:w="11880" w:h="15480" w:orient="portrait"/>
          <w:cols w:equalWidth="0" w:num="1">
            <w:col w:w="9180"/>
          </w:cols>
          <w:pgMar w:left="1380" w:top="1313" w:right="1320" w:bottom="655"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i w:val="1"/>
          <w:iCs w:val="1"/>
          <w:u w:val="single" w:color="auto"/>
          <w:color w:val="231F20"/>
        </w:rPr>
        <w:t>Prices and Realizations</w:t>
      </w:r>
    </w:p>
    <w:p>
      <w:pPr>
        <w:spacing w:after="0" w:line="217"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The following tables set forth average benchmark prices, average realized prices and price realizations as a percentage of average benchmark prices for our products for the periods indicated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jc w:val="right"/>
              <w:ind w:right="725"/>
              <w:spacing w:after="0"/>
              <w:rPr>
                <w:sz w:val="20"/>
                <w:szCs w:val="20"/>
                <w:color w:val="auto"/>
              </w:rPr>
            </w:pPr>
            <w:r>
              <w:rPr>
                <w:rFonts w:ascii="Arial" w:cs="Arial" w:eastAsia="Arial" w:hAnsi="Arial"/>
                <w:sz w:val="19"/>
                <w:szCs w:val="19"/>
                <w:b w:val="1"/>
                <w:bCs w:val="1"/>
                <w:color w:val="231F20"/>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right"/>
              <w:ind w:right="840"/>
              <w:spacing w:after="0"/>
              <w:rPr>
                <w:sz w:val="20"/>
                <w:szCs w:val="20"/>
                <w:color w:val="auto"/>
              </w:rPr>
            </w:pPr>
            <w:r>
              <w:rPr>
                <w:rFonts w:ascii="Arial" w:cs="Arial" w:eastAsia="Arial" w:hAnsi="Arial"/>
                <w:sz w:val="19"/>
                <w:szCs w:val="19"/>
                <w:b w:val="1"/>
                <w:bCs w:val="1"/>
                <w:color w:val="231F20"/>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4"/>
          </w:tcPr>
          <w:p>
            <w:pPr>
              <w:jc w:val="right"/>
              <w:ind w:right="840"/>
              <w:spacing w:after="0"/>
              <w:rPr>
                <w:sz w:val="20"/>
                <w:szCs w:val="20"/>
                <w:color w:val="auto"/>
              </w:rPr>
            </w:pPr>
            <w:r>
              <w:rPr>
                <w:rFonts w:ascii="Arial" w:cs="Arial" w:eastAsia="Arial" w:hAnsi="Arial"/>
                <w:sz w:val="19"/>
                <w:szCs w:val="19"/>
                <w:b w:val="1"/>
                <w:bCs w:val="1"/>
                <w:color w:val="231F20"/>
              </w:rPr>
              <w:t>2023</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45"/>
              <w:spacing w:after="0"/>
              <w:rPr>
                <w:sz w:val="20"/>
                <w:szCs w:val="20"/>
                <w:color w:val="auto"/>
              </w:rPr>
            </w:pPr>
            <w:r>
              <w:rPr>
                <w:rFonts w:ascii="Arial" w:cs="Arial" w:eastAsia="Arial" w:hAnsi="Arial"/>
                <w:sz w:val="19"/>
                <w:szCs w:val="19"/>
                <w:b w:val="1"/>
                <w:bCs w:val="1"/>
                <w:color w:val="231F20"/>
              </w:rPr>
              <w:t>Price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9"/>
                <w:szCs w:val="19"/>
                <w:b w:val="1"/>
                <w:bCs w:val="1"/>
                <w:color w:val="231F20"/>
                <w:w w:val="97"/>
              </w:rPr>
              <w:t>Realization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231F20"/>
              </w:rPr>
              <w:t>Price</w:t>
            </w: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Realization</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231F20"/>
              </w:rPr>
              <w:t>Price</w:t>
            </w:r>
          </w:p>
        </w:tc>
        <w:tc>
          <w:tcPr>
            <w:tcW w:w="1040" w:type="dxa"/>
            <w:vAlign w:val="bottom"/>
            <w:gridSpan w:val="2"/>
          </w:tcPr>
          <w:p>
            <w:pPr>
              <w:jc w:val="right"/>
              <w:spacing w:after="0"/>
              <w:rPr>
                <w:sz w:val="20"/>
                <w:szCs w:val="20"/>
                <w:color w:val="auto"/>
              </w:rPr>
            </w:pPr>
            <w:r>
              <w:rPr>
                <w:rFonts w:ascii="Arial" w:cs="Arial" w:eastAsia="Arial" w:hAnsi="Arial"/>
                <w:sz w:val="19"/>
                <w:szCs w:val="19"/>
                <w:b w:val="1"/>
                <w:bCs w:val="1"/>
                <w:color w:val="231F20"/>
              </w:rPr>
              <w:t>Realization</w:t>
            </w:r>
          </w:p>
        </w:tc>
        <w:tc>
          <w:tcPr>
            <w:tcW w:w="0" w:type="dxa"/>
            <w:vAlign w:val="bottom"/>
          </w:tcPr>
          <w:p>
            <w:pPr>
              <w:spacing w:after="0"/>
              <w:rPr>
                <w:sz w:val="1"/>
                <w:szCs w:val="1"/>
                <w:color w:val="auto"/>
              </w:rPr>
            </w:pPr>
          </w:p>
        </w:tc>
      </w:tr>
      <w:tr>
        <w:trPr>
          <w:trHeight w:val="22"/>
        </w:trPr>
        <w:tc>
          <w:tcPr>
            <w:tcW w:w="2120" w:type="dxa"/>
            <w:vAlign w:val="bottom"/>
            <w:vMerge w:val="restart"/>
          </w:tcPr>
          <w:p>
            <w:pPr>
              <w:spacing w:after="0"/>
              <w:rPr>
                <w:sz w:val="20"/>
                <w:szCs w:val="20"/>
                <w:color w:val="auto"/>
              </w:rPr>
            </w:pPr>
            <w:r>
              <w:rPr>
                <w:rFonts w:ascii="Arial" w:cs="Arial" w:eastAsia="Arial" w:hAnsi="Arial"/>
                <w:sz w:val="19"/>
                <w:szCs w:val="19"/>
                <w:b w:val="1"/>
                <w:bCs w:val="1"/>
                <w:color w:val="231F20"/>
              </w:rPr>
              <w:t>Oil ($ per Bbl)</w:t>
            </w:r>
          </w:p>
        </w:tc>
        <w:tc>
          <w:tcPr>
            <w:tcW w:w="5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12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120" w:type="dxa"/>
            <w:vAlign w:val="bottom"/>
          </w:tcPr>
          <w:p>
            <w:pPr>
              <w:spacing w:after="0"/>
              <w:rPr>
                <w:sz w:val="20"/>
                <w:szCs w:val="20"/>
                <w:color w:val="auto"/>
              </w:rPr>
            </w:pPr>
            <w:r>
              <w:rPr>
                <w:rFonts w:ascii="Arial" w:cs="Arial" w:eastAsia="Arial" w:hAnsi="Arial"/>
                <w:sz w:val="19"/>
                <w:szCs w:val="19"/>
                <w:color w:val="231F20"/>
                <w:w w:val="97"/>
              </w:rPr>
              <w:t>Brent . . . . . . . . . . . . . . . .</w:t>
            </w:r>
          </w:p>
        </w:tc>
        <w:tc>
          <w:tcPr>
            <w:tcW w:w="500" w:type="dxa"/>
            <w:vAlign w:val="bottom"/>
          </w:tcPr>
          <w:p>
            <w:pPr>
              <w:jc w:val="right"/>
              <w:ind w:right="25"/>
              <w:spacing w:after="0"/>
              <w:rPr>
                <w:sz w:val="20"/>
                <w:szCs w:val="20"/>
                <w:color w:val="auto"/>
              </w:rPr>
            </w:pPr>
            <w:r>
              <w:rPr>
                <w:rFonts w:ascii="Arial" w:cs="Arial" w:eastAsia="Arial" w:hAnsi="Arial"/>
                <w:sz w:val="19"/>
                <w:szCs w:val="19"/>
                <w:color w:val="231F20"/>
                <w:w w:val="97"/>
              </w:rPr>
              <w:t>. . . .</w:t>
            </w:r>
          </w:p>
        </w:tc>
        <w:tc>
          <w:tcPr>
            <w:tcW w:w="180" w:type="dxa"/>
            <w:vAlign w:val="bottom"/>
          </w:tcPr>
          <w:p>
            <w:pPr>
              <w:jc w:val="right"/>
              <w:spacing w:after="0"/>
              <w:rPr>
                <w:sz w:val="20"/>
                <w:szCs w:val="20"/>
                <w:color w:val="auto"/>
              </w:rPr>
            </w:pPr>
            <w:r>
              <w:rPr>
                <w:rFonts w:ascii="Arial" w:cs="Arial" w:eastAsia="Arial" w:hAnsi="Arial"/>
                <w:sz w:val="19"/>
                <w:szCs w:val="19"/>
                <w:color w:val="231F20"/>
                <w:w w:val="75"/>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68.22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79.84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82.22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2120" w:type="dxa"/>
            <w:vAlign w:val="bottom"/>
          </w:tcPr>
          <w:p>
            <w:pPr>
              <w:spacing w:after="0"/>
              <w:rPr>
                <w:sz w:val="20"/>
                <w:szCs w:val="20"/>
                <w:color w:val="auto"/>
              </w:rPr>
            </w:pPr>
            <w:r>
              <w:rPr>
                <w:rFonts w:ascii="Arial" w:cs="Arial" w:eastAsia="Arial" w:hAnsi="Arial"/>
                <w:sz w:val="19"/>
                <w:szCs w:val="19"/>
                <w:color w:val="231F20"/>
              </w:rPr>
              <w:t>Realized price without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231F20"/>
              </w:rPr>
              <w:t>derivative settlements</w:t>
            </w:r>
          </w:p>
        </w:tc>
        <w:tc>
          <w:tcPr>
            <w:tcW w:w="680" w:type="dxa"/>
            <w:vAlign w:val="bottom"/>
            <w:gridSpan w:val="2"/>
          </w:tcPr>
          <w:p>
            <w:pPr>
              <w:jc w:val="right"/>
              <w:spacing w:after="0"/>
              <w:rPr>
                <w:sz w:val="20"/>
                <w:szCs w:val="20"/>
                <w:color w:val="auto"/>
              </w:rPr>
            </w:pPr>
            <w:r>
              <w:rPr>
                <w:rFonts w:ascii="Arial" w:cs="Arial" w:eastAsia="Arial" w:hAnsi="Arial"/>
                <w:sz w:val="19"/>
                <w:szCs w:val="19"/>
                <w:color w:val="231F20"/>
                <w:w w:val="99"/>
              </w:rPr>
              <w:t>. . . .  $</w:t>
            </w:r>
          </w:p>
        </w:tc>
        <w:tc>
          <w:tcPr>
            <w:tcW w:w="780" w:type="dxa"/>
            <w:vAlign w:val="bottom"/>
          </w:tcPr>
          <w:p>
            <w:pPr>
              <w:jc w:val="right"/>
              <w:spacing w:after="0"/>
              <w:rPr>
                <w:sz w:val="20"/>
                <w:szCs w:val="20"/>
                <w:color w:val="auto"/>
              </w:rPr>
            </w:pPr>
            <w:r>
              <w:rPr>
                <w:rFonts w:ascii="Arial" w:cs="Arial" w:eastAsia="Arial" w:hAnsi="Arial"/>
                <w:sz w:val="19"/>
                <w:szCs w:val="19"/>
                <w:color w:val="231F20"/>
              </w:rPr>
              <w:t>66.52</w:t>
            </w:r>
          </w:p>
        </w:tc>
        <w:tc>
          <w:tcPr>
            <w:tcW w:w="1120" w:type="dxa"/>
            <w:vAlign w:val="bottom"/>
            <w:gridSpan w:val="2"/>
          </w:tcPr>
          <w:p>
            <w:pPr>
              <w:jc w:val="center"/>
              <w:ind w:left="45"/>
              <w:spacing w:after="0"/>
              <w:rPr>
                <w:sz w:val="20"/>
                <w:szCs w:val="20"/>
                <w:color w:val="auto"/>
              </w:rPr>
            </w:pPr>
            <w:r>
              <w:rPr>
                <w:rFonts w:ascii="Arial" w:cs="Arial" w:eastAsia="Arial" w:hAnsi="Arial"/>
                <w:sz w:val="19"/>
                <w:szCs w:val="19"/>
                <w:color w:val="231F20"/>
                <w:w w:val="99"/>
              </w:rPr>
              <w:t>98%</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76.92</w:t>
            </w:r>
          </w:p>
        </w:tc>
        <w:tc>
          <w:tcPr>
            <w:tcW w:w="10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9"/>
              </w:rPr>
              <w:t>96%</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80.41</w:t>
            </w:r>
          </w:p>
        </w:tc>
        <w:tc>
          <w:tcPr>
            <w:tcW w:w="8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9"/>
              </w:rPr>
              <w:t>98%</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9"/>
                <w:szCs w:val="19"/>
                <w:color w:val="231F20"/>
              </w:rPr>
              <w:t>Derivative settlements . .</w:t>
            </w:r>
          </w:p>
        </w:tc>
        <w:tc>
          <w:tcPr>
            <w:tcW w:w="500" w:type="dxa"/>
            <w:vAlign w:val="bottom"/>
          </w:tcPr>
          <w:p>
            <w:pPr>
              <w:jc w:val="right"/>
              <w:ind w:right="25"/>
              <w:spacing w:after="0"/>
              <w:rPr>
                <w:sz w:val="20"/>
                <w:szCs w:val="20"/>
                <w:color w:val="auto"/>
              </w:rPr>
            </w:pPr>
            <w:r>
              <w:rPr>
                <w:rFonts w:ascii="Arial" w:cs="Arial" w:eastAsia="Arial" w:hAnsi="Arial"/>
                <w:sz w:val="19"/>
                <w:szCs w:val="19"/>
                <w:color w:val="231F20"/>
                <w:w w:val="97"/>
              </w:rPr>
              <w:t>. . .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231F20"/>
              </w:rPr>
              <w:t>0.99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231F20"/>
              </w:rPr>
              <w:t>(1.26)</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9"/>
                <w:szCs w:val="19"/>
                <w:color w:val="231F20"/>
              </w:rPr>
              <w:t>(14.44)</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620" w:type="dxa"/>
            <w:vAlign w:val="bottom"/>
            <w:gridSpan w:val="2"/>
            <w:vMerge w:val="restart"/>
          </w:tcPr>
          <w:p>
            <w:pPr>
              <w:spacing w:after="0"/>
              <w:rPr>
                <w:sz w:val="20"/>
                <w:szCs w:val="20"/>
                <w:color w:val="auto"/>
              </w:rPr>
            </w:pPr>
            <w:r>
              <w:rPr>
                <w:rFonts w:ascii="Arial" w:cs="Arial" w:eastAsia="Arial" w:hAnsi="Arial"/>
                <w:sz w:val="19"/>
                <w:szCs w:val="19"/>
                <w:color w:val="231F20"/>
              </w:rPr>
              <w:t>Realized price with derivative</w:t>
            </w:r>
          </w:p>
        </w:tc>
        <w:tc>
          <w:tcPr>
            <w:tcW w:w="1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6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231F20"/>
                <w:w w:val="98"/>
              </w:rPr>
              <w:t>settlements . . . . . . . . .</w:t>
            </w:r>
          </w:p>
        </w:tc>
        <w:tc>
          <w:tcPr>
            <w:tcW w:w="500" w:type="dxa"/>
            <w:vAlign w:val="bottom"/>
          </w:tcPr>
          <w:p>
            <w:pPr>
              <w:jc w:val="right"/>
              <w:ind w:right="25"/>
              <w:spacing w:after="0"/>
              <w:rPr>
                <w:sz w:val="20"/>
                <w:szCs w:val="20"/>
                <w:color w:val="auto"/>
              </w:rPr>
            </w:pPr>
            <w:r>
              <w:rPr>
                <w:rFonts w:ascii="Arial" w:cs="Arial" w:eastAsia="Arial" w:hAnsi="Arial"/>
                <w:sz w:val="19"/>
                <w:szCs w:val="19"/>
                <w:color w:val="231F20"/>
                <w:w w:val="97"/>
              </w:rPr>
              <w:t>. . . .</w:t>
            </w:r>
          </w:p>
        </w:tc>
        <w:tc>
          <w:tcPr>
            <w:tcW w:w="180" w:type="dxa"/>
            <w:vAlign w:val="bottom"/>
          </w:tcPr>
          <w:p>
            <w:pPr>
              <w:jc w:val="right"/>
              <w:spacing w:after="0"/>
              <w:rPr>
                <w:sz w:val="20"/>
                <w:szCs w:val="20"/>
                <w:color w:val="auto"/>
              </w:rPr>
            </w:pPr>
            <w:r>
              <w:rPr>
                <w:rFonts w:ascii="Arial" w:cs="Arial" w:eastAsia="Arial" w:hAnsi="Arial"/>
                <w:sz w:val="19"/>
                <w:szCs w:val="19"/>
                <w:color w:val="231F20"/>
                <w:w w:val="75"/>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67.51</w:t>
            </w:r>
          </w:p>
        </w:tc>
        <w:tc>
          <w:tcPr>
            <w:tcW w:w="1120" w:type="dxa"/>
            <w:vAlign w:val="bottom"/>
            <w:gridSpan w:val="2"/>
          </w:tcPr>
          <w:p>
            <w:pPr>
              <w:jc w:val="center"/>
              <w:ind w:left="45"/>
              <w:spacing w:after="0"/>
              <w:rPr>
                <w:sz w:val="20"/>
                <w:szCs w:val="20"/>
                <w:color w:val="auto"/>
              </w:rPr>
            </w:pPr>
            <w:r>
              <w:rPr>
                <w:rFonts w:ascii="Arial" w:cs="Arial" w:eastAsia="Arial" w:hAnsi="Arial"/>
                <w:sz w:val="19"/>
                <w:szCs w:val="19"/>
                <w:color w:val="231F20"/>
                <w:w w:val="99"/>
              </w:rPr>
              <w:t>99%</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75.66</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9"/>
              </w:rPr>
              <w:t>95%</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65.97</w:t>
            </w:r>
          </w:p>
        </w:tc>
        <w:tc>
          <w:tcPr>
            <w:tcW w:w="8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9"/>
              </w:rPr>
              <w:t>80%</w:t>
            </w: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2120" w:type="dxa"/>
            <w:vAlign w:val="bottom"/>
          </w:tcPr>
          <w:p>
            <w:pPr>
              <w:spacing w:after="0"/>
              <w:rPr>
                <w:sz w:val="20"/>
                <w:szCs w:val="20"/>
                <w:color w:val="auto"/>
              </w:rPr>
            </w:pPr>
            <w:r>
              <w:rPr>
                <w:rFonts w:ascii="Arial" w:cs="Arial" w:eastAsia="Arial" w:hAnsi="Arial"/>
                <w:sz w:val="19"/>
                <w:szCs w:val="19"/>
                <w:color w:val="231F20"/>
                <w:w w:val="97"/>
              </w:rPr>
              <w:t>WTI . . . . . . . . . . . . . . . . .</w:t>
            </w:r>
          </w:p>
        </w:tc>
        <w:tc>
          <w:tcPr>
            <w:tcW w:w="500" w:type="dxa"/>
            <w:vAlign w:val="bottom"/>
          </w:tcPr>
          <w:p>
            <w:pPr>
              <w:jc w:val="right"/>
              <w:ind w:right="25"/>
              <w:spacing w:after="0"/>
              <w:rPr>
                <w:sz w:val="20"/>
                <w:szCs w:val="20"/>
                <w:color w:val="auto"/>
              </w:rPr>
            </w:pPr>
            <w:r>
              <w:rPr>
                <w:rFonts w:ascii="Arial" w:cs="Arial" w:eastAsia="Arial" w:hAnsi="Arial"/>
                <w:sz w:val="19"/>
                <w:szCs w:val="19"/>
                <w:color w:val="231F20"/>
                <w:w w:val="97"/>
              </w:rPr>
              <w:t>. . . .</w:t>
            </w:r>
          </w:p>
        </w:tc>
        <w:tc>
          <w:tcPr>
            <w:tcW w:w="180" w:type="dxa"/>
            <w:vAlign w:val="bottom"/>
          </w:tcPr>
          <w:p>
            <w:pPr>
              <w:jc w:val="right"/>
              <w:spacing w:after="0"/>
              <w:rPr>
                <w:sz w:val="20"/>
                <w:szCs w:val="20"/>
                <w:color w:val="auto"/>
              </w:rPr>
            </w:pPr>
            <w:r>
              <w:rPr>
                <w:rFonts w:ascii="Arial" w:cs="Arial" w:eastAsia="Arial" w:hAnsi="Arial"/>
                <w:sz w:val="19"/>
                <w:szCs w:val="19"/>
                <w:color w:val="231F20"/>
                <w:w w:val="75"/>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64.81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75.72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77.62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9"/>
                <w:szCs w:val="19"/>
                <w:color w:val="231F20"/>
              </w:rPr>
              <w:t>Realized price without</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231F20"/>
              </w:rPr>
              <w:t>derivative settlements</w:t>
            </w:r>
          </w:p>
        </w:tc>
        <w:tc>
          <w:tcPr>
            <w:tcW w:w="680" w:type="dxa"/>
            <w:vAlign w:val="bottom"/>
            <w:gridSpan w:val="2"/>
          </w:tcPr>
          <w:p>
            <w:pPr>
              <w:jc w:val="right"/>
              <w:spacing w:after="0"/>
              <w:rPr>
                <w:sz w:val="20"/>
                <w:szCs w:val="20"/>
                <w:color w:val="auto"/>
              </w:rPr>
            </w:pPr>
            <w:r>
              <w:rPr>
                <w:rFonts w:ascii="Arial" w:cs="Arial" w:eastAsia="Arial" w:hAnsi="Arial"/>
                <w:sz w:val="19"/>
                <w:szCs w:val="19"/>
                <w:color w:val="231F20"/>
                <w:w w:val="99"/>
              </w:rPr>
              <w:t>. . . .  $</w:t>
            </w:r>
          </w:p>
        </w:tc>
        <w:tc>
          <w:tcPr>
            <w:tcW w:w="780" w:type="dxa"/>
            <w:vAlign w:val="bottom"/>
          </w:tcPr>
          <w:p>
            <w:pPr>
              <w:jc w:val="right"/>
              <w:spacing w:after="0"/>
              <w:rPr>
                <w:sz w:val="20"/>
                <w:szCs w:val="20"/>
                <w:color w:val="auto"/>
              </w:rPr>
            </w:pPr>
            <w:r>
              <w:rPr>
                <w:rFonts w:ascii="Arial" w:cs="Arial" w:eastAsia="Arial" w:hAnsi="Arial"/>
                <w:sz w:val="19"/>
                <w:szCs w:val="19"/>
                <w:color w:val="231F20"/>
              </w:rPr>
              <w:t>66.52</w:t>
            </w:r>
          </w:p>
        </w:tc>
        <w:tc>
          <w:tcPr>
            <w:tcW w:w="1120" w:type="dxa"/>
            <w:vAlign w:val="bottom"/>
            <w:gridSpan w:val="2"/>
          </w:tcPr>
          <w:p>
            <w:pPr>
              <w:jc w:val="center"/>
              <w:ind w:left="25"/>
              <w:spacing w:after="0"/>
              <w:rPr>
                <w:sz w:val="20"/>
                <w:szCs w:val="20"/>
                <w:color w:val="auto"/>
              </w:rPr>
            </w:pPr>
            <w:r>
              <w:rPr>
                <w:rFonts w:ascii="Arial" w:cs="Arial" w:eastAsia="Arial" w:hAnsi="Arial"/>
                <w:sz w:val="19"/>
                <w:szCs w:val="19"/>
                <w:color w:val="231F20"/>
                <w:w w:val="98"/>
              </w:rPr>
              <w:t>103%</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76.92</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rPr>
              <w:t>102%</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80.41</w:t>
            </w:r>
          </w:p>
        </w:tc>
        <w:tc>
          <w:tcPr>
            <w:tcW w:w="8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8"/>
              </w:rPr>
              <w:t>104%</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9"/>
                <w:szCs w:val="19"/>
                <w:color w:val="231F20"/>
              </w:rPr>
              <w:t>Realized price with derivative</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231F20"/>
                <w:w w:val="98"/>
              </w:rPr>
              <w:t>settlements . . . . . . . . .</w:t>
            </w:r>
          </w:p>
        </w:tc>
        <w:tc>
          <w:tcPr>
            <w:tcW w:w="500" w:type="dxa"/>
            <w:vAlign w:val="bottom"/>
          </w:tcPr>
          <w:p>
            <w:pPr>
              <w:jc w:val="right"/>
              <w:ind w:right="25"/>
              <w:spacing w:after="0"/>
              <w:rPr>
                <w:sz w:val="20"/>
                <w:szCs w:val="20"/>
                <w:color w:val="auto"/>
              </w:rPr>
            </w:pPr>
            <w:r>
              <w:rPr>
                <w:rFonts w:ascii="Arial" w:cs="Arial" w:eastAsia="Arial" w:hAnsi="Arial"/>
                <w:sz w:val="19"/>
                <w:szCs w:val="19"/>
                <w:color w:val="231F20"/>
                <w:w w:val="97"/>
              </w:rPr>
              <w:t>. . . .</w:t>
            </w:r>
          </w:p>
        </w:tc>
        <w:tc>
          <w:tcPr>
            <w:tcW w:w="180" w:type="dxa"/>
            <w:vAlign w:val="bottom"/>
          </w:tcPr>
          <w:p>
            <w:pPr>
              <w:jc w:val="right"/>
              <w:spacing w:after="0"/>
              <w:rPr>
                <w:sz w:val="20"/>
                <w:szCs w:val="20"/>
                <w:color w:val="auto"/>
              </w:rPr>
            </w:pPr>
            <w:r>
              <w:rPr>
                <w:rFonts w:ascii="Arial" w:cs="Arial" w:eastAsia="Arial" w:hAnsi="Arial"/>
                <w:sz w:val="19"/>
                <w:szCs w:val="19"/>
                <w:color w:val="231F20"/>
                <w:w w:val="75"/>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67.51</w:t>
            </w:r>
          </w:p>
        </w:tc>
        <w:tc>
          <w:tcPr>
            <w:tcW w:w="1120" w:type="dxa"/>
            <w:vAlign w:val="bottom"/>
            <w:gridSpan w:val="2"/>
          </w:tcPr>
          <w:p>
            <w:pPr>
              <w:jc w:val="center"/>
              <w:ind w:left="25"/>
              <w:spacing w:after="0"/>
              <w:rPr>
                <w:sz w:val="20"/>
                <w:szCs w:val="20"/>
                <w:color w:val="auto"/>
              </w:rPr>
            </w:pPr>
            <w:r>
              <w:rPr>
                <w:rFonts w:ascii="Arial" w:cs="Arial" w:eastAsia="Arial" w:hAnsi="Arial"/>
                <w:sz w:val="19"/>
                <w:szCs w:val="19"/>
                <w:color w:val="231F20"/>
                <w:w w:val="98"/>
              </w:rPr>
              <w:t>104%</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75.66</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rPr>
              <w:t>100%</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65.97</w:t>
            </w:r>
          </w:p>
        </w:tc>
        <w:tc>
          <w:tcPr>
            <w:tcW w:w="8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9"/>
              </w:rPr>
              <w:t>85%</w:t>
            </w:r>
          </w:p>
        </w:tc>
        <w:tc>
          <w:tcPr>
            <w:tcW w:w="0" w:type="dxa"/>
            <w:vAlign w:val="bottom"/>
          </w:tcPr>
          <w:p>
            <w:pPr>
              <w:spacing w:after="0"/>
              <w:rPr>
                <w:sz w:val="1"/>
                <w:szCs w:val="1"/>
                <w:color w:val="auto"/>
              </w:rPr>
            </w:pPr>
          </w:p>
        </w:tc>
      </w:tr>
      <w:tr>
        <w:trPr>
          <w:trHeight w:val="470"/>
        </w:trPr>
        <w:tc>
          <w:tcPr>
            <w:tcW w:w="2620" w:type="dxa"/>
            <w:vAlign w:val="bottom"/>
            <w:gridSpan w:val="2"/>
          </w:tcPr>
          <w:p>
            <w:pPr>
              <w:spacing w:after="0"/>
              <w:rPr>
                <w:sz w:val="20"/>
                <w:szCs w:val="20"/>
                <w:color w:val="auto"/>
              </w:rPr>
            </w:pPr>
            <w:r>
              <w:rPr>
                <w:rFonts w:ascii="Arial" w:cs="Arial" w:eastAsia="Arial" w:hAnsi="Arial"/>
                <w:sz w:val="19"/>
                <w:szCs w:val="19"/>
                <w:b w:val="1"/>
                <w:bCs w:val="1"/>
                <w:color w:val="231F20"/>
              </w:rPr>
              <w:t>Natural Gas Liquids ($ per</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b w:val="1"/>
                <w:bCs w:val="1"/>
                <w:color w:val="231F20"/>
              </w:rPr>
              <w:t>Bbl)</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9"/>
                <w:szCs w:val="19"/>
                <w:color w:val="231F20"/>
              </w:rPr>
              <w:t>Realized price (% of</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231F20"/>
                <w:w w:val="97"/>
              </w:rPr>
              <w:t>Brent)  . . . . . . . . . . . . .</w:t>
            </w:r>
          </w:p>
        </w:tc>
        <w:tc>
          <w:tcPr>
            <w:tcW w:w="500" w:type="dxa"/>
            <w:vAlign w:val="bottom"/>
          </w:tcPr>
          <w:p>
            <w:pPr>
              <w:jc w:val="right"/>
              <w:ind w:right="25"/>
              <w:spacing w:after="0"/>
              <w:rPr>
                <w:sz w:val="20"/>
                <w:szCs w:val="20"/>
                <w:color w:val="auto"/>
              </w:rPr>
            </w:pPr>
            <w:r>
              <w:rPr>
                <w:rFonts w:ascii="Arial" w:cs="Arial" w:eastAsia="Arial" w:hAnsi="Arial"/>
                <w:sz w:val="19"/>
                <w:szCs w:val="19"/>
                <w:color w:val="231F20"/>
                <w:w w:val="97"/>
              </w:rPr>
              <w:t>. . . .</w:t>
            </w:r>
          </w:p>
        </w:tc>
        <w:tc>
          <w:tcPr>
            <w:tcW w:w="180" w:type="dxa"/>
            <w:vAlign w:val="bottom"/>
          </w:tcPr>
          <w:p>
            <w:pPr>
              <w:jc w:val="right"/>
              <w:spacing w:after="0"/>
              <w:rPr>
                <w:sz w:val="20"/>
                <w:szCs w:val="20"/>
                <w:color w:val="auto"/>
              </w:rPr>
            </w:pPr>
            <w:r>
              <w:rPr>
                <w:rFonts w:ascii="Arial" w:cs="Arial" w:eastAsia="Arial" w:hAnsi="Arial"/>
                <w:sz w:val="19"/>
                <w:szCs w:val="19"/>
                <w:color w:val="231F20"/>
                <w:w w:val="75"/>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45.30</w:t>
            </w:r>
          </w:p>
        </w:tc>
        <w:tc>
          <w:tcPr>
            <w:tcW w:w="1120" w:type="dxa"/>
            <w:vAlign w:val="bottom"/>
            <w:gridSpan w:val="2"/>
          </w:tcPr>
          <w:p>
            <w:pPr>
              <w:jc w:val="center"/>
              <w:ind w:left="45"/>
              <w:spacing w:after="0"/>
              <w:rPr>
                <w:sz w:val="20"/>
                <w:szCs w:val="20"/>
                <w:color w:val="auto"/>
              </w:rPr>
            </w:pPr>
            <w:r>
              <w:rPr>
                <w:rFonts w:ascii="Arial" w:cs="Arial" w:eastAsia="Arial" w:hAnsi="Arial"/>
                <w:sz w:val="19"/>
                <w:szCs w:val="19"/>
                <w:color w:val="231F20"/>
                <w:w w:val="99"/>
              </w:rPr>
              <w:t>66%</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48.93</w:t>
            </w:r>
          </w:p>
        </w:tc>
        <w:tc>
          <w:tcPr>
            <w:tcW w:w="10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9"/>
              </w:rPr>
              <w:t>61%</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48.94</w:t>
            </w:r>
          </w:p>
        </w:tc>
        <w:tc>
          <w:tcPr>
            <w:tcW w:w="8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9"/>
              </w:rPr>
              <w:t>60%</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9"/>
                <w:szCs w:val="19"/>
                <w:color w:val="231F20"/>
              </w:rPr>
              <w:t>Realized price (% of WTI) . . .</w:t>
            </w:r>
          </w:p>
        </w:tc>
        <w:tc>
          <w:tcPr>
            <w:tcW w:w="180" w:type="dxa"/>
            <w:vAlign w:val="bottom"/>
          </w:tcPr>
          <w:p>
            <w:pPr>
              <w:jc w:val="right"/>
              <w:spacing w:after="0"/>
              <w:rPr>
                <w:sz w:val="20"/>
                <w:szCs w:val="20"/>
                <w:color w:val="auto"/>
              </w:rPr>
            </w:pPr>
            <w:r>
              <w:rPr>
                <w:rFonts w:ascii="Arial" w:cs="Arial" w:eastAsia="Arial" w:hAnsi="Arial"/>
                <w:sz w:val="19"/>
                <w:szCs w:val="19"/>
                <w:color w:val="231F20"/>
                <w:w w:val="75"/>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45.30</w:t>
            </w:r>
          </w:p>
        </w:tc>
        <w:tc>
          <w:tcPr>
            <w:tcW w:w="1120" w:type="dxa"/>
            <w:vAlign w:val="bottom"/>
            <w:gridSpan w:val="2"/>
          </w:tcPr>
          <w:p>
            <w:pPr>
              <w:jc w:val="center"/>
              <w:ind w:left="45"/>
              <w:spacing w:after="0"/>
              <w:rPr>
                <w:sz w:val="20"/>
                <w:szCs w:val="20"/>
                <w:color w:val="auto"/>
              </w:rPr>
            </w:pPr>
            <w:r>
              <w:rPr>
                <w:rFonts w:ascii="Arial" w:cs="Arial" w:eastAsia="Arial" w:hAnsi="Arial"/>
                <w:sz w:val="19"/>
                <w:szCs w:val="19"/>
                <w:color w:val="231F20"/>
                <w:w w:val="99"/>
              </w:rPr>
              <w:t>70%</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48.93</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9"/>
              </w:rPr>
              <w:t>65%</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48.94</w:t>
            </w:r>
          </w:p>
        </w:tc>
        <w:tc>
          <w:tcPr>
            <w:tcW w:w="8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9"/>
              </w:rPr>
              <w:t>63%</w:t>
            </w:r>
          </w:p>
        </w:tc>
        <w:tc>
          <w:tcPr>
            <w:tcW w:w="0" w:type="dxa"/>
            <w:vAlign w:val="bottom"/>
          </w:tcPr>
          <w:p>
            <w:pPr>
              <w:spacing w:after="0"/>
              <w:rPr>
                <w:sz w:val="1"/>
                <w:szCs w:val="1"/>
                <w:color w:val="auto"/>
              </w:rPr>
            </w:pPr>
          </w:p>
        </w:tc>
      </w:tr>
      <w:tr>
        <w:trPr>
          <w:trHeight w:val="470"/>
        </w:trPr>
        <w:tc>
          <w:tcPr>
            <w:tcW w:w="2120" w:type="dxa"/>
            <w:vAlign w:val="bottom"/>
          </w:tcPr>
          <w:p>
            <w:pPr>
              <w:spacing w:after="0"/>
              <w:rPr>
                <w:sz w:val="20"/>
                <w:szCs w:val="20"/>
                <w:color w:val="auto"/>
              </w:rPr>
            </w:pPr>
            <w:r>
              <w:rPr>
                <w:rFonts w:ascii="Arial" w:cs="Arial" w:eastAsia="Arial" w:hAnsi="Arial"/>
                <w:sz w:val="19"/>
                <w:szCs w:val="19"/>
                <w:b w:val="1"/>
                <w:bCs w:val="1"/>
                <w:color w:val="231F20"/>
              </w:rPr>
              <w:t>Natural gas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120" w:type="dxa"/>
            <w:vAlign w:val="bottom"/>
          </w:tcPr>
          <w:p>
            <w:pPr>
              <w:spacing w:after="0"/>
              <w:rPr>
                <w:sz w:val="20"/>
                <w:szCs w:val="20"/>
                <w:color w:val="auto"/>
              </w:rPr>
            </w:pPr>
            <w:r>
              <w:rPr>
                <w:rFonts w:ascii="Arial" w:cs="Arial" w:eastAsia="Arial" w:hAnsi="Arial"/>
                <w:sz w:val="19"/>
                <w:szCs w:val="19"/>
                <w:color w:val="231F20"/>
              </w:rPr>
              <w:t>NYMEX Henry Hub ($/</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9"/>
                <w:szCs w:val="19"/>
                <w:color w:val="231F20"/>
                <w:w w:val="98"/>
              </w:rPr>
              <w:t>MMBtu) . . . . . . . . . . . .</w:t>
            </w:r>
          </w:p>
        </w:tc>
        <w:tc>
          <w:tcPr>
            <w:tcW w:w="500" w:type="dxa"/>
            <w:vAlign w:val="bottom"/>
          </w:tcPr>
          <w:p>
            <w:pPr>
              <w:jc w:val="right"/>
              <w:ind w:right="25"/>
              <w:spacing w:after="0"/>
              <w:rPr>
                <w:sz w:val="20"/>
                <w:szCs w:val="20"/>
                <w:color w:val="auto"/>
              </w:rPr>
            </w:pPr>
            <w:r>
              <w:rPr>
                <w:rFonts w:ascii="Arial" w:cs="Arial" w:eastAsia="Arial" w:hAnsi="Arial"/>
                <w:sz w:val="19"/>
                <w:szCs w:val="19"/>
                <w:color w:val="231F20"/>
                <w:w w:val="97"/>
              </w:rPr>
              <w:t>. . . .</w:t>
            </w:r>
          </w:p>
        </w:tc>
        <w:tc>
          <w:tcPr>
            <w:tcW w:w="180" w:type="dxa"/>
            <w:vAlign w:val="bottom"/>
          </w:tcPr>
          <w:p>
            <w:pPr>
              <w:jc w:val="right"/>
              <w:spacing w:after="0"/>
              <w:rPr>
                <w:sz w:val="20"/>
                <w:szCs w:val="20"/>
                <w:color w:val="auto"/>
              </w:rPr>
            </w:pPr>
            <w:r>
              <w:rPr>
                <w:rFonts w:ascii="Arial" w:cs="Arial" w:eastAsia="Arial" w:hAnsi="Arial"/>
                <w:sz w:val="19"/>
                <w:szCs w:val="19"/>
                <w:color w:val="231F20"/>
                <w:w w:val="75"/>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3.43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2.27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2.74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498"/>
        </w:trPr>
        <w:tc>
          <w:tcPr>
            <w:tcW w:w="2120" w:type="dxa"/>
            <w:vAlign w:val="bottom"/>
          </w:tcPr>
          <w:p>
            <w:pPr>
              <w:spacing w:after="0"/>
              <w:rPr>
                <w:sz w:val="20"/>
                <w:szCs w:val="20"/>
                <w:color w:val="auto"/>
              </w:rPr>
            </w:pPr>
            <w:r>
              <w:rPr>
                <w:rFonts w:ascii="Arial" w:cs="Arial" w:eastAsia="Arial" w:hAnsi="Arial"/>
                <w:sz w:val="19"/>
                <w:szCs w:val="19"/>
                <w:color w:val="231F20"/>
              </w:rPr>
              <w:t>Realized price ($/Mcf) . .</w:t>
            </w:r>
          </w:p>
        </w:tc>
        <w:tc>
          <w:tcPr>
            <w:tcW w:w="500" w:type="dxa"/>
            <w:vAlign w:val="bottom"/>
          </w:tcPr>
          <w:p>
            <w:pPr>
              <w:jc w:val="right"/>
              <w:ind w:right="25"/>
              <w:spacing w:after="0"/>
              <w:rPr>
                <w:sz w:val="20"/>
                <w:szCs w:val="20"/>
                <w:color w:val="auto"/>
              </w:rPr>
            </w:pPr>
            <w:r>
              <w:rPr>
                <w:rFonts w:ascii="Arial" w:cs="Arial" w:eastAsia="Arial" w:hAnsi="Arial"/>
                <w:sz w:val="19"/>
                <w:szCs w:val="19"/>
                <w:color w:val="231F20"/>
                <w:w w:val="97"/>
              </w:rPr>
              <w:t>. . . .</w:t>
            </w:r>
          </w:p>
        </w:tc>
        <w:tc>
          <w:tcPr>
            <w:tcW w:w="180" w:type="dxa"/>
            <w:vAlign w:val="bottom"/>
          </w:tcPr>
          <w:p>
            <w:pPr>
              <w:jc w:val="right"/>
              <w:spacing w:after="0"/>
              <w:rPr>
                <w:sz w:val="20"/>
                <w:szCs w:val="20"/>
                <w:color w:val="auto"/>
              </w:rPr>
            </w:pPr>
            <w:r>
              <w:rPr>
                <w:rFonts w:ascii="Arial" w:cs="Arial" w:eastAsia="Arial" w:hAnsi="Arial"/>
                <w:sz w:val="19"/>
                <w:szCs w:val="19"/>
                <w:color w:val="231F20"/>
                <w:w w:val="75"/>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3.57</w:t>
            </w:r>
          </w:p>
        </w:tc>
        <w:tc>
          <w:tcPr>
            <w:tcW w:w="1120" w:type="dxa"/>
            <w:vAlign w:val="bottom"/>
            <w:gridSpan w:val="2"/>
          </w:tcPr>
          <w:p>
            <w:pPr>
              <w:jc w:val="center"/>
              <w:ind w:left="25"/>
              <w:spacing w:after="0"/>
              <w:rPr>
                <w:sz w:val="20"/>
                <w:szCs w:val="20"/>
                <w:color w:val="auto"/>
              </w:rPr>
            </w:pPr>
            <w:r>
              <w:rPr>
                <w:rFonts w:ascii="Arial" w:cs="Arial" w:eastAsia="Arial" w:hAnsi="Arial"/>
                <w:sz w:val="19"/>
                <w:szCs w:val="19"/>
                <w:color w:val="231F20"/>
                <w:w w:val="98"/>
              </w:rPr>
              <w:t>104%</w:t>
            </w:r>
          </w:p>
        </w:tc>
        <w:tc>
          <w:tcPr>
            <w:tcW w:w="30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780" w:type="dxa"/>
            <w:vAlign w:val="bottom"/>
          </w:tcPr>
          <w:p>
            <w:pPr>
              <w:jc w:val="right"/>
              <w:spacing w:after="0"/>
              <w:rPr>
                <w:sz w:val="20"/>
                <w:szCs w:val="20"/>
                <w:color w:val="auto"/>
              </w:rPr>
            </w:pPr>
            <w:r>
              <w:rPr>
                <w:rFonts w:ascii="Arial" w:cs="Arial" w:eastAsia="Arial" w:hAnsi="Arial"/>
                <w:sz w:val="19"/>
                <w:szCs w:val="19"/>
                <w:color w:val="231F20"/>
              </w:rPr>
              <w:t>2.99</w:t>
            </w:r>
          </w:p>
        </w:tc>
        <w:tc>
          <w:tcPr>
            <w:tcW w:w="1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rPr>
              <w:t>132%</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color w:val="231F20"/>
              </w:rPr>
              <w:t>$</w:t>
            </w:r>
          </w:p>
        </w:tc>
        <w:tc>
          <w:tcPr>
            <w:tcW w:w="800" w:type="dxa"/>
            <w:vAlign w:val="bottom"/>
          </w:tcPr>
          <w:p>
            <w:pPr>
              <w:jc w:val="right"/>
              <w:spacing w:after="0"/>
              <w:rPr>
                <w:sz w:val="20"/>
                <w:szCs w:val="20"/>
                <w:color w:val="auto"/>
              </w:rPr>
            </w:pPr>
            <w:r>
              <w:rPr>
                <w:rFonts w:ascii="Arial" w:cs="Arial" w:eastAsia="Arial" w:hAnsi="Arial"/>
                <w:sz w:val="19"/>
                <w:szCs w:val="19"/>
                <w:color w:val="231F20"/>
              </w:rPr>
              <w:t>8.59</w:t>
            </w: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9"/>
                <w:szCs w:val="19"/>
                <w:color w:val="231F20"/>
                <w:w w:val="98"/>
              </w:rPr>
              <w:t>314%</w:t>
            </w: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i w:val="1"/>
          <w:iCs w:val="1"/>
          <w:color w:val="231F20"/>
        </w:rPr>
        <w:t xml:space="preserve">Oil </w:t>
      </w:r>
      <w:r>
        <w:rPr>
          <w:rFonts w:ascii="Arial" w:cs="Arial" w:eastAsia="Arial" w:hAnsi="Arial"/>
          <w:sz w:val="20"/>
          <w:szCs w:val="20"/>
          <w:color w:val="231F20"/>
        </w:rPr>
        <w:t>— Brent and our average realized price without derivative settlements were lower for the year</w:t>
      </w:r>
      <w:r>
        <w:rPr>
          <w:rFonts w:ascii="Arial" w:cs="Arial" w:eastAsia="Arial" w:hAnsi="Arial"/>
          <w:sz w:val="20"/>
          <w:szCs w:val="20"/>
          <w:i w:val="1"/>
          <w:iCs w:val="1"/>
          <w:color w:val="231F20"/>
        </w:rPr>
        <w:t xml:space="preserve"> </w:t>
      </w:r>
      <w:r>
        <w:rPr>
          <w:rFonts w:ascii="Arial" w:cs="Arial" w:eastAsia="Arial" w:hAnsi="Arial"/>
          <w:sz w:val="20"/>
          <w:szCs w:val="20"/>
          <w:color w:val="231F20"/>
        </w:rPr>
        <w:t>ended December 31, 2025 compared to the same prior year period largely due to an increase in global oil production beginning in later 2025 as both OPEC+ and non-OPEC countries increased production.</w:t>
      </w:r>
    </w:p>
    <w:p>
      <w:pPr>
        <w:spacing w:after="0" w:line="204"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i w:val="1"/>
          <w:iCs w:val="1"/>
          <w:color w:val="231F20"/>
        </w:rPr>
        <w:t xml:space="preserve">NGLs </w:t>
      </w:r>
      <w:r>
        <w:rPr>
          <w:rFonts w:ascii="Arial" w:cs="Arial" w:eastAsia="Arial" w:hAnsi="Arial"/>
          <w:sz w:val="20"/>
          <w:szCs w:val="20"/>
          <w:color w:val="231F20"/>
        </w:rPr>
        <w:t>— Prices for natural gas liquids were lower for the year ended December 31, 2025 compared</w:t>
      </w:r>
      <w:r>
        <w:rPr>
          <w:rFonts w:ascii="Arial" w:cs="Arial" w:eastAsia="Arial" w:hAnsi="Arial"/>
          <w:sz w:val="20"/>
          <w:szCs w:val="20"/>
          <w:i w:val="1"/>
          <w:iCs w:val="1"/>
          <w:color w:val="231F20"/>
        </w:rPr>
        <w:t xml:space="preserve"> </w:t>
      </w:r>
      <w:r>
        <w:rPr>
          <w:rFonts w:ascii="Arial" w:cs="Arial" w:eastAsia="Arial" w:hAnsi="Arial"/>
          <w:sz w:val="20"/>
          <w:szCs w:val="20"/>
          <w:color w:val="231F20"/>
        </w:rPr>
        <w:t>to the prior year which is consistent with broader declines in oil commodity prices. The California market continued to carry a premium as compared to other markets in 2025.</w:t>
      </w:r>
    </w:p>
    <w:p>
      <w:pPr>
        <w:spacing w:after="0" w:line="204" w:lineRule="exact"/>
        <w:rPr>
          <w:sz w:val="20"/>
          <w:szCs w:val="20"/>
          <w:color w:val="auto"/>
        </w:rPr>
      </w:pPr>
    </w:p>
    <w:p>
      <w:pPr>
        <w:jc w:val="both"/>
        <w:ind w:right="320" w:firstLine="300"/>
        <w:spacing w:after="0" w:line="247" w:lineRule="auto"/>
        <w:rPr>
          <w:sz w:val="20"/>
          <w:szCs w:val="20"/>
          <w:color w:val="auto"/>
        </w:rPr>
      </w:pPr>
      <w:r>
        <w:rPr>
          <w:rFonts w:ascii="Arial" w:cs="Arial" w:eastAsia="Arial" w:hAnsi="Arial"/>
          <w:sz w:val="20"/>
          <w:szCs w:val="20"/>
          <w:i w:val="1"/>
          <w:iCs w:val="1"/>
          <w:color w:val="231F20"/>
        </w:rPr>
        <w:t xml:space="preserve">Natural Gas </w:t>
      </w:r>
      <w:r>
        <w:rPr>
          <w:rFonts w:ascii="Arial" w:cs="Arial" w:eastAsia="Arial" w:hAnsi="Arial"/>
          <w:sz w:val="20"/>
          <w:szCs w:val="20"/>
          <w:color w:val="231F20"/>
        </w:rPr>
        <w:t>— Average realized prices for our natural gas during the year ended December 31,</w:t>
      </w:r>
      <w:r>
        <w:rPr>
          <w:rFonts w:ascii="Arial" w:cs="Arial" w:eastAsia="Arial" w:hAnsi="Arial"/>
          <w:sz w:val="20"/>
          <w:szCs w:val="20"/>
          <w:i w:val="1"/>
          <w:iCs w:val="1"/>
          <w:color w:val="231F20"/>
        </w:rPr>
        <w:t xml:space="preserve"> </w:t>
      </w:r>
      <w:r>
        <w:rPr>
          <w:rFonts w:ascii="Arial" w:cs="Arial" w:eastAsia="Arial" w:hAnsi="Arial"/>
          <w:sz w:val="20"/>
          <w:szCs w:val="20"/>
          <w:color w:val="231F20"/>
        </w:rPr>
        <w:t>2025 were higher than the year ended December 31, 2024 as demand for U.S. natural gas reached record levels.</w:t>
      </w:r>
    </w:p>
    <w:p>
      <w:pPr>
        <w:sectPr>
          <w:pgSz w:w="11880" w:h="15480" w:orient="portrait"/>
          <w:cols w:equalWidth="0" w:num="1">
            <w:col w:w="9120"/>
          </w:cols>
          <w:pgMar w:left="1380" w:top="1310" w:right="138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71</w:t>
      </w:r>
    </w:p>
    <w:p>
      <w:pPr>
        <w:sectPr>
          <w:pgSz w:w="11880" w:h="15480" w:orient="portrait"/>
          <w:cols w:equalWidth="0" w:num="1">
            <w:col w:w="9120"/>
          </w:cols>
          <w:pgMar w:left="1380" w:top="1310" w:right="1380" w:bottom="653"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b w:val="1"/>
          <w:bCs w:val="1"/>
          <w:color w:val="231F20"/>
        </w:rPr>
        <w:t>Results of Our Carbon Management Segment</w:t>
      </w:r>
    </w:p>
    <w:p>
      <w:pPr>
        <w:spacing w:after="0" w:line="150" w:lineRule="exact"/>
        <w:rPr>
          <w:sz w:val="20"/>
          <w:szCs w:val="20"/>
          <w:color w:val="auto"/>
        </w:rPr>
      </w:pPr>
    </w:p>
    <w:p>
      <w:pPr>
        <w:ind w:right="180" w:firstLine="300"/>
        <w:spacing w:after="0" w:line="230" w:lineRule="auto"/>
        <w:rPr>
          <w:sz w:val="20"/>
          <w:szCs w:val="20"/>
          <w:color w:val="auto"/>
        </w:rPr>
      </w:pPr>
      <w:r>
        <w:rPr>
          <w:rFonts w:ascii="Arial" w:cs="Arial" w:eastAsia="Arial" w:hAnsi="Arial"/>
          <w:sz w:val="20"/>
          <w:szCs w:val="20"/>
          <w:color w:val="231F20"/>
        </w:rPr>
        <w:t>Our carbon management segment, which we refer to as Carbon TerraVault, primarily pursues the development of CCS projects. We expect that our Carbon TerraVault CCS projects will inject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captured from industrial, power, agriculture and other emissions sources into subsurface reservoirs and permanently store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deep underground. We also expect to invest in projects that rely on CCS technology in connection with reducing our own emissions. In addition, we may participate in the development of projects that are the source of these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emissions. Our carbon management segment is in its early stages of development, and did not have any revenue for the years ended December 31, 2025, 2024 or 2023. We recently completed construction of our first carbon capture project at our cryogenic gas processing facility and expect first injection in spring 2026, subject to commissioning and final regulatory approval. We define carbon management expense to be our direct operating costs to run our carbon management segment.</w:t>
      </w:r>
    </w:p>
    <w:p>
      <w:pPr>
        <w:spacing w:after="0" w:line="238" w:lineRule="exact"/>
        <w:rPr>
          <w:sz w:val="20"/>
          <w:szCs w:val="20"/>
          <w:color w:val="auto"/>
        </w:rPr>
      </w:pPr>
    </w:p>
    <w:p>
      <w:pPr>
        <w:ind w:right="400" w:firstLine="300"/>
        <w:spacing w:after="0" w:line="243" w:lineRule="auto"/>
        <w:rPr>
          <w:sz w:val="20"/>
          <w:szCs w:val="20"/>
          <w:color w:val="auto"/>
        </w:rPr>
      </w:pPr>
      <w:r>
        <w:rPr>
          <w:rFonts w:ascii="Arial" w:cs="Arial" w:eastAsia="Arial" w:hAnsi="Arial"/>
          <w:sz w:val="20"/>
          <w:szCs w:val="20"/>
          <w:color w:val="231F20"/>
        </w:rPr>
        <w:t>The following tables include results for our carbon management segment, excluding unallocated corporate expenses for the years ended December 31, 2025,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20" w:type="dxa"/>
            <w:vAlign w:val="bottom"/>
            <w:gridSpan w:val="10"/>
          </w:tcPr>
          <w:p>
            <w:pPr>
              <w:jc w:val="center"/>
              <w:ind w:right="260"/>
              <w:spacing w:after="0"/>
              <w:rPr>
                <w:sz w:val="20"/>
                <w:szCs w:val="20"/>
                <w:color w:val="auto"/>
              </w:rPr>
            </w:pPr>
            <w:r>
              <w:rPr>
                <w:rFonts w:ascii="Arial" w:cs="Arial" w:eastAsia="Arial" w:hAnsi="Arial"/>
                <w:sz w:val="20"/>
                <w:szCs w:val="20"/>
                <w:b w:val="1"/>
                <w:bCs w:val="1"/>
                <w:color w:val="231F20"/>
                <w:w w:val="99"/>
              </w:rPr>
              <w:t>Year ended December 31,</w:t>
            </w:r>
          </w:p>
        </w:tc>
      </w:tr>
      <w:tr>
        <w:trPr>
          <w:trHeight w:val="240"/>
        </w:trPr>
        <w:tc>
          <w:tcPr>
            <w:tcW w:w="5860" w:type="dxa"/>
            <w:vAlign w:val="bottom"/>
          </w:tcPr>
          <w:p>
            <w:pPr>
              <w:spacing w:after="0"/>
              <w:rPr>
                <w:sz w:val="20"/>
                <w:szCs w:val="20"/>
                <w:color w:val="auto"/>
              </w:rPr>
            </w:pPr>
          </w:p>
        </w:tc>
        <w:tc>
          <w:tcPr>
            <w:tcW w:w="200" w:type="dxa"/>
            <w:vAlign w:val="bottom"/>
            <w:tcBorders>
              <w:top w:val="single" w:sz="8" w:color="231F20"/>
            </w:tcBorders>
          </w:tcPr>
          <w:p>
            <w:pPr>
              <w:spacing w:after="0"/>
              <w:rPr>
                <w:sz w:val="20"/>
                <w:szCs w:val="20"/>
                <w:color w:val="auto"/>
              </w:rPr>
            </w:pPr>
          </w:p>
        </w:tc>
        <w:tc>
          <w:tcPr>
            <w:tcW w:w="760" w:type="dxa"/>
            <w:vAlign w:val="bottom"/>
            <w:tcBorders>
              <w:top w:val="single" w:sz="8" w:color="231F20"/>
            </w:tcBorders>
          </w:tcPr>
          <w:p>
            <w:pPr>
              <w:jc w:val="right"/>
              <w:ind w:right="164"/>
              <w:spacing w:after="0"/>
              <w:rPr>
                <w:sz w:val="20"/>
                <w:szCs w:val="20"/>
                <w:color w:val="auto"/>
              </w:rPr>
            </w:pPr>
            <w:r>
              <w:rPr>
                <w:rFonts w:ascii="Arial" w:cs="Arial" w:eastAsia="Arial" w:hAnsi="Arial"/>
                <w:sz w:val="20"/>
                <w:szCs w:val="20"/>
                <w:b w:val="1"/>
                <w:bCs w:val="1"/>
                <w:color w:val="231F20"/>
              </w:rPr>
              <w:t>2025</w:t>
            </w:r>
          </w:p>
        </w:tc>
        <w:tc>
          <w:tcPr>
            <w:tcW w:w="140" w:type="dxa"/>
            <w:vAlign w:val="bottom"/>
            <w:tcBorders>
              <w:top w:val="single" w:sz="8" w:color="231F20"/>
            </w:tcBorders>
          </w:tcPr>
          <w:p>
            <w:pPr>
              <w:spacing w:after="0"/>
              <w:rPr>
                <w:sz w:val="20"/>
                <w:szCs w:val="20"/>
                <w:color w:val="auto"/>
              </w:rPr>
            </w:pPr>
          </w:p>
        </w:tc>
        <w:tc>
          <w:tcPr>
            <w:tcW w:w="60" w:type="dxa"/>
            <w:vAlign w:val="bottom"/>
            <w:tcBorders>
              <w:top w:val="single" w:sz="8" w:color="231F20"/>
            </w:tcBorders>
          </w:tcPr>
          <w:p>
            <w:pPr>
              <w:spacing w:after="0"/>
              <w:rPr>
                <w:sz w:val="20"/>
                <w:szCs w:val="20"/>
                <w:color w:val="auto"/>
              </w:rPr>
            </w:pPr>
          </w:p>
        </w:tc>
        <w:tc>
          <w:tcPr>
            <w:tcW w:w="180" w:type="dxa"/>
            <w:vAlign w:val="bottom"/>
            <w:tcBorders>
              <w:top w:val="single" w:sz="8" w:color="231F20"/>
            </w:tcBorders>
          </w:tcPr>
          <w:p>
            <w:pPr>
              <w:spacing w:after="0"/>
              <w:rPr>
                <w:sz w:val="20"/>
                <w:szCs w:val="20"/>
                <w:color w:val="auto"/>
              </w:rPr>
            </w:pPr>
          </w:p>
        </w:tc>
        <w:tc>
          <w:tcPr>
            <w:tcW w:w="740" w:type="dxa"/>
            <w:vAlign w:val="bottom"/>
            <w:tcBorders>
              <w:top w:val="single" w:sz="8" w:color="231F20"/>
            </w:tcBorders>
          </w:tcPr>
          <w:p>
            <w:pPr>
              <w:jc w:val="center"/>
              <w:ind w:right="80"/>
              <w:spacing w:after="0"/>
              <w:rPr>
                <w:sz w:val="20"/>
                <w:szCs w:val="20"/>
                <w:color w:val="auto"/>
              </w:rPr>
            </w:pPr>
            <w:r>
              <w:rPr>
                <w:rFonts w:ascii="Arial" w:cs="Arial" w:eastAsia="Arial" w:hAnsi="Arial"/>
                <w:sz w:val="20"/>
                <w:szCs w:val="20"/>
                <w:b w:val="1"/>
                <w:bCs w:val="1"/>
                <w:color w:val="231F20"/>
                <w:w w:val="98"/>
              </w:rPr>
              <w:t>2024</w:t>
            </w:r>
          </w:p>
        </w:tc>
        <w:tc>
          <w:tcPr>
            <w:tcW w:w="140" w:type="dxa"/>
            <w:vAlign w:val="bottom"/>
            <w:tcBorders>
              <w:top w:val="single" w:sz="8" w:color="231F20"/>
            </w:tcBorders>
          </w:tcPr>
          <w:p>
            <w:pPr>
              <w:spacing w:after="0"/>
              <w:rPr>
                <w:sz w:val="20"/>
                <w:szCs w:val="20"/>
                <w:color w:val="auto"/>
              </w:rPr>
            </w:pPr>
          </w:p>
        </w:tc>
        <w:tc>
          <w:tcPr>
            <w:tcW w:w="60" w:type="dxa"/>
            <w:vAlign w:val="bottom"/>
            <w:tcBorders>
              <w:top w:val="single" w:sz="8" w:color="231F20"/>
            </w:tcBorders>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760" w:type="dxa"/>
            <w:vAlign w:val="bottom"/>
            <w:tcBorders>
              <w:top w:val="single" w:sz="8" w:color="231F20"/>
            </w:tcBorders>
          </w:tcPr>
          <w:p>
            <w:pPr>
              <w:jc w:val="right"/>
              <w:ind w:right="160"/>
              <w:spacing w:after="0"/>
              <w:rPr>
                <w:sz w:val="20"/>
                <w:szCs w:val="20"/>
                <w:color w:val="auto"/>
              </w:rPr>
            </w:pPr>
            <w:r>
              <w:rPr>
                <w:rFonts w:ascii="Arial" w:cs="Arial" w:eastAsia="Arial" w:hAnsi="Arial"/>
                <w:sz w:val="20"/>
                <w:szCs w:val="20"/>
                <w:b w:val="1"/>
                <w:bCs w:val="1"/>
                <w:color w:val="231F20"/>
              </w:rPr>
              <w:t>2023</w:t>
            </w:r>
          </w:p>
        </w:tc>
        <w:tc>
          <w:tcPr>
            <w:tcW w:w="6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bottom w:val="single" w:sz="8" w:color="231F20"/>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Borders>
              <w:bottom w:val="single" w:sz="8" w:color="231F20"/>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10"/>
          </w:tcPr>
          <w:p>
            <w:pPr>
              <w:jc w:val="center"/>
              <w:ind w:right="260"/>
              <w:spacing w:after="0"/>
              <w:rPr>
                <w:sz w:val="20"/>
                <w:szCs w:val="20"/>
                <w:color w:val="auto"/>
              </w:rPr>
            </w:pPr>
            <w:r>
              <w:rPr>
                <w:rFonts w:ascii="Arial" w:cs="Arial" w:eastAsia="Arial" w:hAnsi="Arial"/>
                <w:sz w:val="16"/>
                <w:szCs w:val="16"/>
                <w:color w:val="231F20"/>
                <w:w w:val="99"/>
              </w:rPr>
              <w:t>(in millions, except as otherwise stated)</w:t>
            </w:r>
          </w:p>
        </w:tc>
      </w:tr>
      <w:tr>
        <w:trPr>
          <w:trHeight w:val="248"/>
        </w:trPr>
        <w:tc>
          <w:tcPr>
            <w:tcW w:w="5860" w:type="dxa"/>
            <w:vAlign w:val="bottom"/>
          </w:tcPr>
          <w:p>
            <w:pPr>
              <w:spacing w:after="0"/>
              <w:rPr>
                <w:sz w:val="20"/>
                <w:szCs w:val="20"/>
                <w:color w:val="auto"/>
              </w:rPr>
            </w:pPr>
            <w:r>
              <w:rPr>
                <w:rFonts w:ascii="Arial" w:cs="Arial" w:eastAsia="Arial" w:hAnsi="Arial"/>
                <w:sz w:val="20"/>
                <w:szCs w:val="20"/>
                <w:color w:val="231F20"/>
              </w:rPr>
              <w:t>Segment loss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231F20"/>
              </w:rPr>
              <w:t>(86)</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880" w:type="dxa"/>
            <w:vAlign w:val="bottom"/>
            <w:gridSpan w:val="2"/>
          </w:tcPr>
          <w:p>
            <w:pPr>
              <w:jc w:val="right"/>
              <w:ind w:right="60"/>
              <w:spacing w:after="0"/>
              <w:rPr>
                <w:sz w:val="20"/>
                <w:szCs w:val="20"/>
                <w:color w:val="auto"/>
              </w:rPr>
            </w:pPr>
            <w:r>
              <w:rPr>
                <w:rFonts w:ascii="Arial" w:cs="Arial" w:eastAsia="Arial" w:hAnsi="Arial"/>
                <w:sz w:val="20"/>
                <w:szCs w:val="20"/>
                <w:color w:val="231F20"/>
              </w:rPr>
              <w:t>(94)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(66)</w:t>
            </w:r>
          </w:p>
        </w:tc>
      </w:tr>
      <w:tr>
        <w:trPr>
          <w:trHeight w:val="240"/>
        </w:trPr>
        <w:tc>
          <w:tcPr>
            <w:tcW w:w="5860" w:type="dxa"/>
            <w:vAlign w:val="bottom"/>
          </w:tcPr>
          <w:p>
            <w:pPr>
              <w:spacing w:after="0"/>
              <w:rPr>
                <w:sz w:val="20"/>
                <w:szCs w:val="20"/>
                <w:color w:val="auto"/>
              </w:rPr>
            </w:pPr>
            <w:r>
              <w:rPr>
                <w:rFonts w:ascii="Arial" w:cs="Arial" w:eastAsia="Arial" w:hAnsi="Arial"/>
                <w:sz w:val="20"/>
                <w:szCs w:val="20"/>
                <w:color w:val="231F20"/>
              </w:rPr>
              <w:t>Items affecting comparability:</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6"/>
        </w:trPr>
        <w:tc>
          <w:tcPr>
            <w:tcW w:w="5860" w:type="dxa"/>
            <w:vAlign w:val="bottom"/>
          </w:tcPr>
          <w:p>
            <w:pPr>
              <w:ind w:left="200"/>
              <w:spacing w:after="0"/>
              <w:rPr>
                <w:sz w:val="20"/>
                <w:szCs w:val="20"/>
                <w:color w:val="auto"/>
              </w:rPr>
            </w:pPr>
            <w:r>
              <w:rPr>
                <w:rFonts w:ascii="Arial" w:cs="Arial" w:eastAsia="Arial" w:hAnsi="Arial"/>
                <w:sz w:val="20"/>
                <w:szCs w:val="20"/>
                <w:color w:val="231F20"/>
                <w:w w:val="99"/>
              </w:rPr>
              <w:t>Asset impairments</w:t>
            </w:r>
            <w:r>
              <w:rPr>
                <w:rFonts w:ascii="Arial" w:cs="Arial" w:eastAsia="Arial" w:hAnsi="Arial"/>
                <w:sz w:val="26"/>
                <w:szCs w:val="26"/>
                <w:color w:val="231F20"/>
                <w:w w:val="99"/>
                <w:vertAlign w:val="superscript"/>
              </w:rPr>
              <w:t>(a)</w:t>
            </w:r>
            <w:r>
              <w:rPr>
                <w:rFonts w:ascii="Arial" w:cs="Arial" w:eastAsia="Arial" w:hAnsi="Arial"/>
                <w:sz w:val="20"/>
                <w:szCs w:val="20"/>
                <w:color w:val="231F20"/>
                <w:w w:val="99"/>
              </w:rPr>
              <w:t xml:space="preserve">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900" w:type="dxa"/>
            <w:vAlign w:val="bottom"/>
            <w:gridSpan w:val="2"/>
          </w:tcPr>
          <w:p>
            <w:pPr>
              <w:jc w:val="right"/>
              <w:ind w:right="140"/>
              <w:spacing w:after="0"/>
              <w:rPr>
                <w:sz w:val="20"/>
                <w:szCs w:val="20"/>
                <w:color w:val="auto"/>
              </w:rPr>
            </w:pPr>
            <w:r>
              <w:rPr>
                <w:rFonts w:ascii="Arial" w:cs="Arial" w:eastAsia="Arial" w:hAnsi="Arial"/>
                <w:sz w:val="20"/>
                <w:szCs w:val="20"/>
                <w:color w:val="231F20"/>
              </w:rPr>
              <w:t>2</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880" w:type="dxa"/>
            <w:vAlign w:val="bottom"/>
            <w:gridSpan w:val="2"/>
          </w:tcPr>
          <w:p>
            <w:pPr>
              <w:jc w:val="right"/>
              <w:ind w:right="140"/>
              <w:spacing w:after="0"/>
              <w:rPr>
                <w:sz w:val="20"/>
                <w:szCs w:val="20"/>
                <w:color w:val="auto"/>
              </w:rPr>
            </w:pPr>
            <w:r>
              <w:rPr>
                <w:rFonts w:ascii="Arial" w:cs="Arial" w:eastAsia="Arial" w:hAnsi="Arial"/>
                <w:sz w:val="20"/>
                <w:szCs w:val="20"/>
                <w:color w:val="231F20"/>
              </w:rPr>
              <w:t>1</w:t>
            </w:r>
          </w:p>
        </w:tc>
        <w:tc>
          <w:tcPr>
            <w:tcW w:w="28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820" w:type="dxa"/>
            <w:vAlign w:val="bottom"/>
            <w:gridSpan w:val="2"/>
          </w:tcPr>
          <w:p>
            <w:pPr>
              <w:jc w:val="right"/>
              <w:ind w:right="60"/>
              <w:spacing w:after="0"/>
              <w:rPr>
                <w:sz w:val="20"/>
                <w:szCs w:val="20"/>
                <w:color w:val="auto"/>
              </w:rPr>
            </w:pPr>
            <w:r>
              <w:rPr>
                <w:rFonts w:ascii="Arial" w:cs="Arial" w:eastAsia="Arial" w:hAnsi="Arial"/>
                <w:sz w:val="20"/>
                <w:szCs w:val="20"/>
                <w:color w:val="231F20"/>
              </w:rPr>
              <w:t>3</w:t>
            </w:r>
          </w:p>
        </w:tc>
      </w:tr>
    </w:tbl>
    <w:p>
      <w:pPr>
        <w:spacing w:after="0" w:line="71" w:lineRule="exact"/>
        <w:rPr>
          <w:sz w:val="20"/>
          <w:szCs w:val="20"/>
          <w:color w:val="auto"/>
        </w:rPr>
      </w:pPr>
    </w:p>
    <w:p>
      <w:pPr>
        <w:ind w:left="320" w:right="560" w:hanging="320"/>
        <w:spacing w:after="0" w:line="257" w:lineRule="auto"/>
        <w:tabs>
          <w:tab w:leader="none" w:pos="320" w:val="left"/>
        </w:tabs>
        <w:numPr>
          <w:ilvl w:val="0"/>
          <w:numId w:val="42"/>
        </w:numPr>
        <w:rPr>
          <w:rFonts w:ascii="Arial" w:cs="Arial" w:eastAsia="Arial" w:hAnsi="Arial"/>
          <w:sz w:val="16"/>
          <w:szCs w:val="16"/>
          <w:color w:val="231F20"/>
        </w:rPr>
      </w:pPr>
      <w:r>
        <w:rPr>
          <w:rFonts w:ascii="Arial" w:cs="Arial" w:eastAsia="Arial" w:hAnsi="Arial"/>
          <w:sz w:val="16"/>
          <w:szCs w:val="16"/>
          <w:color w:val="231F20"/>
        </w:rPr>
        <w:t>Asset impairment for the years ended December 31, 2025, 2024 and 2023 related to land acquired for our carbon management activities. The table above excludes asset impairments that were not related to the carbon management segment.</w:t>
      </w:r>
    </w:p>
    <w:p>
      <w:pPr>
        <w:spacing w:after="0" w:line="233"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 xml:space="preserve">We recognized our share of losses for the years ended December 31, 2025, 2024 and 2023 related to our Carbon TerraVault joint venture, as shown in the table below. See </w:t>
      </w:r>
      <w:r>
        <w:rPr>
          <w:rFonts w:ascii="Arial" w:cs="Arial" w:eastAsia="Arial" w:hAnsi="Arial"/>
          <w:sz w:val="20"/>
          <w:szCs w:val="20"/>
          <w:i w:val="1"/>
          <w:iCs w:val="1"/>
          <w:color w:val="231F20"/>
        </w:rPr>
        <w:t>Part II, Item 8 – Financial</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Statements and Supplementary Data, Note 4 Investments and Related Party Transactions </w:t>
      </w:r>
      <w:r>
        <w:rPr>
          <w:rFonts w:ascii="Arial" w:cs="Arial" w:eastAsia="Arial" w:hAnsi="Arial"/>
          <w:sz w:val="20"/>
          <w:szCs w:val="20"/>
          <w:color w:val="231F20"/>
        </w:rPr>
        <w:t>for more</w:t>
      </w:r>
      <w:r>
        <w:rPr>
          <w:rFonts w:ascii="Arial" w:cs="Arial" w:eastAsia="Arial" w:hAnsi="Arial"/>
          <w:sz w:val="20"/>
          <w:szCs w:val="20"/>
          <w:i w:val="1"/>
          <w:iCs w:val="1"/>
          <w:color w:val="231F20"/>
        </w:rPr>
        <w:t xml:space="preserve"> </w:t>
      </w:r>
      <w:r>
        <w:rPr>
          <w:rFonts w:ascii="Arial" w:cs="Arial" w:eastAsia="Arial" w:hAnsi="Arial"/>
          <w:sz w:val="20"/>
          <w:szCs w:val="20"/>
          <w:color w:val="231F20"/>
        </w:rPr>
        <w:t>information on our Carbon TerraVault joint venture. Carbon management expense and general and administrative expense for the years ended December 31, 2025, 2024 and 2023 are included in the table below.</w:t>
      </w:r>
    </w:p>
    <w:p>
      <w:pPr>
        <w:spacing w:after="0" w:line="185" w:lineRule="exact"/>
        <w:rPr>
          <w:sz w:val="20"/>
          <w:szCs w:val="20"/>
          <w:color w:val="auto"/>
        </w:rPr>
      </w:pPr>
    </w:p>
    <w:p>
      <w:pPr>
        <w:jc w:val="center"/>
        <w:ind w:left="5480"/>
        <w:spacing w:after="0"/>
        <w:rPr>
          <w:sz w:val="20"/>
          <w:szCs w:val="20"/>
          <w:color w:val="auto"/>
        </w:rPr>
      </w:pPr>
      <w:r>
        <w:rPr>
          <w:rFonts w:ascii="Arial" w:cs="Arial" w:eastAsia="Arial" w:hAnsi="Arial"/>
          <w:sz w:val="20"/>
          <w:szCs w:val="20"/>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3474085</wp:posOffset>
                </wp:positionH>
                <wp:positionV relativeFrom="paragraph">
                  <wp:posOffset>17780</wp:posOffset>
                </wp:positionV>
                <wp:extent cx="231711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711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55pt,1.4pt" to="456pt,1.4pt" o:allowincell="f" strokecolor="#231F20" strokeweight="1pt"/>
            </w:pict>
          </mc:Fallback>
        </mc:AlternateContent>
      </w:r>
    </w:p>
    <w:p>
      <w:pPr>
        <w:spacing w:after="0" w:line="30" w:lineRule="exact"/>
        <w:rPr>
          <w:sz w:val="20"/>
          <w:szCs w:val="20"/>
          <w:color w:val="auto"/>
        </w:rPr>
      </w:pPr>
    </w:p>
    <w:p>
      <w:pPr>
        <w:ind w:left="5800"/>
        <w:spacing w:after="0"/>
        <w:tabs>
          <w:tab w:leader="none" w:pos="7060" w:val="left"/>
          <w:tab w:leader="none" w:pos="8340" w:val="left"/>
        </w:tabs>
        <w:rPr>
          <w:sz w:val="20"/>
          <w:szCs w:val="20"/>
          <w:color w:val="auto"/>
        </w:rPr>
      </w:pPr>
      <w:r>
        <w:rPr>
          <w:rFonts w:ascii="Arial" w:cs="Arial" w:eastAsia="Arial" w:hAnsi="Arial"/>
          <w:sz w:val="20"/>
          <w:szCs w:val="20"/>
          <w:b w:val="1"/>
          <w:bCs w:val="1"/>
          <w:color w:val="231F20"/>
        </w:rPr>
        <w:t>2025</w:t>
      </w:r>
      <w:r>
        <w:rPr>
          <w:sz w:val="20"/>
          <w:szCs w:val="20"/>
          <w:color w:val="auto"/>
        </w:rPr>
        <w:tab/>
      </w:r>
      <w:r>
        <w:rPr>
          <w:rFonts w:ascii="Arial" w:cs="Arial" w:eastAsia="Arial" w:hAnsi="Arial"/>
          <w:sz w:val="20"/>
          <w:szCs w:val="20"/>
          <w:b w:val="1"/>
          <w:bCs w:val="1"/>
          <w:color w:val="231F20"/>
        </w:rPr>
        <w:t>2024</w:t>
      </w:r>
      <w:r>
        <w:rPr>
          <w:sz w:val="20"/>
          <w:szCs w:val="20"/>
          <w:color w:val="auto"/>
        </w:rPr>
        <w:tab/>
      </w:r>
      <w:r>
        <w:rPr>
          <w:rFonts w:ascii="Arial" w:cs="Arial" w:eastAsia="Arial" w:hAnsi="Arial"/>
          <w:sz w:val="19"/>
          <w:szCs w:val="19"/>
          <w:b w:val="1"/>
          <w:bCs w:val="1"/>
          <w:color w:val="231F20"/>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3474085</wp:posOffset>
                </wp:positionH>
                <wp:positionV relativeFrom="paragraph">
                  <wp:posOffset>17780</wp:posOffset>
                </wp:positionV>
                <wp:extent cx="68770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70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55pt,1.4pt" to="327.7pt,1.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4288790</wp:posOffset>
                </wp:positionH>
                <wp:positionV relativeFrom="paragraph">
                  <wp:posOffset>17780</wp:posOffset>
                </wp:positionV>
                <wp:extent cx="68770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70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7pt,1.4pt" to="391.85pt,1.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5103495</wp:posOffset>
                </wp:positionH>
                <wp:positionV relativeFrom="paragraph">
                  <wp:posOffset>17780</wp:posOffset>
                </wp:positionV>
                <wp:extent cx="68770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70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85pt,1.4pt" to="456pt,1.4pt" o:allowincell="f" strokecolor="#231F20" strokeweight="1pt"/>
            </w:pict>
          </mc:Fallback>
        </mc:AlternateContent>
      </w:r>
    </w:p>
    <w:p>
      <w:pPr>
        <w:spacing w:after="0" w:line="26" w:lineRule="exact"/>
        <w:rPr>
          <w:sz w:val="20"/>
          <w:szCs w:val="20"/>
          <w:color w:val="auto"/>
        </w:rPr>
      </w:pPr>
    </w:p>
    <w:p>
      <w:pPr>
        <w:ind w:left="6900"/>
        <w:spacing w:after="0"/>
        <w:rPr>
          <w:sz w:val="20"/>
          <w:szCs w:val="20"/>
          <w:color w:val="auto"/>
        </w:rPr>
      </w:pPr>
      <w:r>
        <w:rPr>
          <w:rFonts w:ascii="Arial" w:cs="Arial" w:eastAsia="Arial" w:hAnsi="Arial"/>
          <w:sz w:val="16"/>
          <w:szCs w:val="16"/>
          <w:color w:val="231F20"/>
        </w:rPr>
        <w:t>(in millions)</w:t>
      </w:r>
    </w:p>
    <w:p>
      <w:pPr>
        <w:sectPr>
          <w:pgSz w:w="11880" w:h="15480" w:orient="portrait"/>
          <w:cols w:equalWidth="0" w:num="1">
            <w:col w:w="9180"/>
          </w:cols>
          <w:pgMar w:left="1380" w:top="1310" w:right="1320" w:bottom="653" w:gutter="0" w:footer="0" w:header="0"/>
        </w:sectPr>
      </w:pPr>
    </w:p>
    <w:p>
      <w:pPr>
        <w:spacing w:after="0" w:line="25" w:lineRule="exact"/>
        <w:rPr>
          <w:sz w:val="20"/>
          <w:szCs w:val="20"/>
          <w:color w:val="auto"/>
        </w:rPr>
      </w:pPr>
    </w:p>
    <w:p>
      <w:pPr>
        <w:jc w:val="right"/>
        <w:spacing w:after="0"/>
        <w:rPr>
          <w:sz w:val="20"/>
          <w:szCs w:val="20"/>
          <w:color w:val="auto"/>
        </w:rPr>
      </w:pPr>
      <w:r>
        <w:rPr>
          <w:rFonts w:ascii="Arial" w:cs="Arial" w:eastAsia="Arial" w:hAnsi="Arial"/>
          <w:sz w:val="19"/>
          <w:szCs w:val="19"/>
          <w:color w:val="231F20"/>
        </w:rPr>
        <w:t>Carbon management expenses . . . . . . . . . . . . . . . . . . . . . . .</w:t>
      </w:r>
    </w:p>
    <w:p>
      <w:pPr>
        <w:spacing w:after="0" w:line="15" w:lineRule="exact"/>
        <w:rPr>
          <w:sz w:val="20"/>
          <w:szCs w:val="20"/>
          <w:color w:val="auto"/>
        </w:rPr>
      </w:pPr>
    </w:p>
    <w:p>
      <w:pPr>
        <w:jc w:val="right"/>
        <w:spacing w:after="0"/>
        <w:tabs>
          <w:tab w:leader="none" w:pos="1100" w:val="left"/>
        </w:tabs>
        <w:rPr>
          <w:sz w:val="20"/>
          <w:szCs w:val="20"/>
          <w:color w:val="auto"/>
        </w:rPr>
      </w:pPr>
      <w:r>
        <w:rPr>
          <w:rFonts w:ascii="Arial" w:cs="Arial" w:eastAsia="Arial" w:hAnsi="Arial"/>
          <w:sz w:val="20"/>
          <w:szCs w:val="20"/>
          <w:color w:val="231F20"/>
        </w:rPr>
        <w:t>Segment general and administrative expense</w:t>
      </w:r>
      <w:r>
        <w:rPr>
          <w:sz w:val="20"/>
          <w:szCs w:val="20"/>
          <w:color w:val="auto"/>
        </w:rPr>
        <w:tab/>
      </w:r>
      <w:r>
        <w:rPr>
          <w:rFonts w:ascii="Arial" w:cs="Arial" w:eastAsia="Arial" w:hAnsi="Arial"/>
          <w:sz w:val="19"/>
          <w:szCs w:val="19"/>
          <w:color w:val="231F20"/>
        </w:rPr>
        <w:t>. . . . . . . . . . .</w:t>
      </w:r>
    </w:p>
    <w:p>
      <w:pPr>
        <w:spacing w:after="0" w:line="10"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20"/>
          <w:szCs w:val="20"/>
          <w:color w:val="231F20"/>
        </w:rPr>
        <w:t>Loss from investment in the Carbon TerraVault JV</w:t>
      </w:r>
      <w:r>
        <w:rPr>
          <w:sz w:val="20"/>
          <w:szCs w:val="20"/>
          <w:color w:val="auto"/>
        </w:rPr>
        <w:tab/>
      </w:r>
      <w:r>
        <w:rPr>
          <w:rFonts w:ascii="Arial" w:cs="Arial" w:eastAsia="Arial" w:hAnsi="Arial"/>
          <w:sz w:val="19"/>
          <w:szCs w:val="19"/>
          <w:color w:val="231F20"/>
        </w:rPr>
        <w:t>. . . .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40"/>
              <w:spacing w:after="0"/>
              <w:rPr>
                <w:sz w:val="20"/>
                <w:szCs w:val="20"/>
                <w:color w:val="auto"/>
              </w:rPr>
            </w:pPr>
            <w:r>
              <w:rPr>
                <w:rFonts w:ascii="Arial" w:cs="Arial" w:eastAsia="Arial" w:hAnsi="Arial"/>
                <w:sz w:val="20"/>
                <w:szCs w:val="20"/>
                <w:color w:val="231F20"/>
                <w:w w:val="89"/>
              </w:rPr>
              <w:t>$</w:t>
            </w:r>
          </w:p>
        </w:tc>
        <w:tc>
          <w:tcPr>
            <w:tcW w:w="700" w:type="dxa"/>
            <w:vAlign w:val="bottom"/>
          </w:tcPr>
          <w:p>
            <w:pPr>
              <w:jc w:val="right"/>
              <w:ind w:right="20"/>
              <w:spacing w:after="0"/>
              <w:rPr>
                <w:sz w:val="20"/>
                <w:szCs w:val="20"/>
                <w:color w:val="auto"/>
              </w:rPr>
            </w:pPr>
            <w:r>
              <w:rPr>
                <w:rFonts w:ascii="Arial" w:cs="Arial" w:eastAsia="Arial" w:hAnsi="Arial"/>
                <w:sz w:val="20"/>
                <w:szCs w:val="20"/>
                <w:color w:val="231F20"/>
              </w:rPr>
              <w:t>54</w:t>
            </w:r>
          </w:p>
        </w:tc>
        <w:tc>
          <w:tcPr>
            <w:tcW w:w="580" w:type="dxa"/>
            <w:vAlign w:val="bottom"/>
          </w:tcPr>
          <w:p>
            <w:pPr>
              <w:jc w:val="right"/>
              <w:ind w:right="240"/>
              <w:spacing w:after="0"/>
              <w:rPr>
                <w:sz w:val="20"/>
                <w:szCs w:val="20"/>
                <w:color w:val="auto"/>
              </w:rPr>
            </w:pPr>
            <w:r>
              <w:rPr>
                <w:rFonts w:ascii="Arial" w:cs="Arial" w:eastAsia="Arial" w:hAnsi="Arial"/>
                <w:sz w:val="20"/>
                <w:szCs w:val="20"/>
                <w:color w:val="231F20"/>
              </w:rPr>
              <w:t>$</w:t>
            </w:r>
          </w:p>
        </w:tc>
        <w:tc>
          <w:tcPr>
            <w:tcW w:w="700" w:type="dxa"/>
            <w:vAlign w:val="bottom"/>
          </w:tcPr>
          <w:p>
            <w:pPr>
              <w:jc w:val="right"/>
              <w:ind w:right="20"/>
              <w:spacing w:after="0"/>
              <w:rPr>
                <w:sz w:val="20"/>
                <w:szCs w:val="20"/>
                <w:color w:val="auto"/>
              </w:rPr>
            </w:pPr>
            <w:r>
              <w:rPr>
                <w:rFonts w:ascii="Arial" w:cs="Arial" w:eastAsia="Arial" w:hAnsi="Arial"/>
                <w:sz w:val="20"/>
                <w:szCs w:val="20"/>
                <w:color w:val="231F20"/>
              </w:rPr>
              <w:t>56</w:t>
            </w:r>
          </w:p>
        </w:tc>
        <w:tc>
          <w:tcPr>
            <w:tcW w:w="580" w:type="dxa"/>
            <w:vAlign w:val="bottom"/>
          </w:tcPr>
          <w:p>
            <w:pPr>
              <w:jc w:val="right"/>
              <w:ind w:right="240"/>
              <w:spacing w:after="0"/>
              <w:rPr>
                <w:sz w:val="20"/>
                <w:szCs w:val="20"/>
                <w:color w:val="auto"/>
              </w:rPr>
            </w:pPr>
            <w:r>
              <w:rPr>
                <w:rFonts w:ascii="Arial" w:cs="Arial" w:eastAsia="Arial" w:hAnsi="Arial"/>
                <w:sz w:val="20"/>
                <w:szCs w:val="20"/>
                <w:color w:val="231F20"/>
              </w:rPr>
              <w:t>$</w:t>
            </w:r>
          </w:p>
        </w:tc>
        <w:tc>
          <w:tcPr>
            <w:tcW w:w="580" w:type="dxa"/>
            <w:vAlign w:val="bottom"/>
          </w:tcPr>
          <w:p>
            <w:pPr>
              <w:jc w:val="right"/>
              <w:spacing w:after="0"/>
              <w:rPr>
                <w:sz w:val="20"/>
                <w:szCs w:val="20"/>
                <w:color w:val="auto"/>
              </w:rPr>
            </w:pPr>
            <w:r>
              <w:rPr>
                <w:rFonts w:ascii="Arial" w:cs="Arial" w:eastAsia="Arial" w:hAnsi="Arial"/>
                <w:sz w:val="20"/>
                <w:szCs w:val="20"/>
                <w:color w:val="231F20"/>
              </w:rPr>
              <w:t>37</w:t>
            </w:r>
          </w:p>
        </w:tc>
      </w:tr>
      <w:tr>
        <w:trPr>
          <w:trHeight w:val="238"/>
        </w:trPr>
        <w:tc>
          <w:tcPr>
            <w:tcW w:w="460" w:type="dxa"/>
            <w:vAlign w:val="bottom"/>
          </w:tcPr>
          <w:p>
            <w:pPr>
              <w:jc w:val="right"/>
              <w:ind w:right="240"/>
              <w:spacing w:after="0"/>
              <w:rPr>
                <w:sz w:val="20"/>
                <w:szCs w:val="20"/>
                <w:color w:val="auto"/>
              </w:rPr>
            </w:pPr>
            <w:r>
              <w:rPr>
                <w:rFonts w:ascii="Arial" w:cs="Arial" w:eastAsia="Arial" w:hAnsi="Arial"/>
                <w:sz w:val="20"/>
                <w:szCs w:val="20"/>
                <w:color w:val="231F20"/>
                <w:w w:val="89"/>
              </w:rPr>
              <w:t>$</w:t>
            </w:r>
          </w:p>
        </w:tc>
        <w:tc>
          <w:tcPr>
            <w:tcW w:w="700" w:type="dxa"/>
            <w:vAlign w:val="bottom"/>
          </w:tcPr>
          <w:p>
            <w:pPr>
              <w:jc w:val="right"/>
              <w:ind w:right="20"/>
              <w:spacing w:after="0"/>
              <w:rPr>
                <w:sz w:val="20"/>
                <w:szCs w:val="20"/>
                <w:color w:val="auto"/>
              </w:rPr>
            </w:pPr>
            <w:r>
              <w:rPr>
                <w:rFonts w:ascii="Arial" w:cs="Arial" w:eastAsia="Arial" w:hAnsi="Arial"/>
                <w:sz w:val="20"/>
                <w:szCs w:val="20"/>
                <w:color w:val="231F20"/>
              </w:rPr>
              <w:t>13</w:t>
            </w:r>
          </w:p>
        </w:tc>
        <w:tc>
          <w:tcPr>
            <w:tcW w:w="580" w:type="dxa"/>
            <w:vAlign w:val="bottom"/>
          </w:tcPr>
          <w:p>
            <w:pPr>
              <w:jc w:val="right"/>
              <w:ind w:right="240"/>
              <w:spacing w:after="0"/>
              <w:rPr>
                <w:sz w:val="20"/>
                <w:szCs w:val="20"/>
                <w:color w:val="auto"/>
              </w:rPr>
            </w:pPr>
            <w:r>
              <w:rPr>
                <w:rFonts w:ascii="Arial" w:cs="Arial" w:eastAsia="Arial" w:hAnsi="Arial"/>
                <w:sz w:val="20"/>
                <w:szCs w:val="20"/>
                <w:color w:val="231F20"/>
              </w:rPr>
              <w:t>$</w:t>
            </w:r>
          </w:p>
        </w:tc>
        <w:tc>
          <w:tcPr>
            <w:tcW w:w="700" w:type="dxa"/>
            <w:vAlign w:val="bottom"/>
          </w:tcPr>
          <w:p>
            <w:pPr>
              <w:jc w:val="right"/>
              <w:ind w:right="20"/>
              <w:spacing w:after="0"/>
              <w:rPr>
                <w:sz w:val="20"/>
                <w:szCs w:val="20"/>
                <w:color w:val="auto"/>
              </w:rPr>
            </w:pPr>
            <w:r>
              <w:rPr>
                <w:rFonts w:ascii="Arial" w:cs="Arial" w:eastAsia="Arial" w:hAnsi="Arial"/>
                <w:sz w:val="20"/>
                <w:szCs w:val="20"/>
                <w:color w:val="231F20"/>
              </w:rPr>
              <w:t>15</w:t>
            </w:r>
          </w:p>
        </w:tc>
        <w:tc>
          <w:tcPr>
            <w:tcW w:w="580" w:type="dxa"/>
            <w:vAlign w:val="bottom"/>
          </w:tcPr>
          <w:p>
            <w:pPr>
              <w:jc w:val="right"/>
              <w:ind w:right="240"/>
              <w:spacing w:after="0"/>
              <w:rPr>
                <w:sz w:val="20"/>
                <w:szCs w:val="20"/>
                <w:color w:val="auto"/>
              </w:rPr>
            </w:pPr>
            <w:r>
              <w:rPr>
                <w:rFonts w:ascii="Arial" w:cs="Arial" w:eastAsia="Arial" w:hAnsi="Arial"/>
                <w:sz w:val="20"/>
                <w:szCs w:val="20"/>
                <w:color w:val="231F20"/>
              </w:rPr>
              <w:t>$</w:t>
            </w:r>
          </w:p>
        </w:tc>
        <w:tc>
          <w:tcPr>
            <w:tcW w:w="580" w:type="dxa"/>
            <w:vAlign w:val="bottom"/>
          </w:tcPr>
          <w:p>
            <w:pPr>
              <w:jc w:val="right"/>
              <w:spacing w:after="0"/>
              <w:rPr>
                <w:sz w:val="20"/>
                <w:szCs w:val="20"/>
                <w:color w:val="auto"/>
              </w:rPr>
            </w:pPr>
            <w:r>
              <w:rPr>
                <w:rFonts w:ascii="Arial" w:cs="Arial" w:eastAsia="Arial" w:hAnsi="Arial"/>
                <w:sz w:val="20"/>
                <w:szCs w:val="20"/>
                <w:color w:val="231F20"/>
              </w:rPr>
              <w:t>12</w:t>
            </w:r>
          </w:p>
        </w:tc>
      </w:tr>
      <w:tr>
        <w:trPr>
          <w:trHeight w:val="240"/>
        </w:trPr>
        <w:tc>
          <w:tcPr>
            <w:tcW w:w="460" w:type="dxa"/>
            <w:vAlign w:val="bottom"/>
          </w:tcPr>
          <w:p>
            <w:pPr>
              <w:jc w:val="right"/>
              <w:ind w:right="240"/>
              <w:spacing w:after="0"/>
              <w:rPr>
                <w:sz w:val="20"/>
                <w:szCs w:val="20"/>
                <w:color w:val="auto"/>
              </w:rPr>
            </w:pPr>
            <w:r>
              <w:rPr>
                <w:rFonts w:ascii="Arial" w:cs="Arial" w:eastAsia="Arial" w:hAnsi="Arial"/>
                <w:sz w:val="20"/>
                <w:szCs w:val="20"/>
                <w:color w:val="231F20"/>
                <w:w w:val="89"/>
              </w:rPr>
              <w:t>$</w:t>
            </w:r>
          </w:p>
        </w:tc>
        <w:tc>
          <w:tcPr>
            <w:tcW w:w="700" w:type="dxa"/>
            <w:vAlign w:val="bottom"/>
          </w:tcPr>
          <w:p>
            <w:pPr>
              <w:jc w:val="right"/>
              <w:ind w:right="20"/>
              <w:spacing w:after="0"/>
              <w:rPr>
                <w:sz w:val="20"/>
                <w:szCs w:val="20"/>
                <w:color w:val="auto"/>
              </w:rPr>
            </w:pPr>
            <w:r>
              <w:rPr>
                <w:rFonts w:ascii="Arial" w:cs="Arial" w:eastAsia="Arial" w:hAnsi="Arial"/>
                <w:sz w:val="20"/>
                <w:szCs w:val="20"/>
                <w:color w:val="231F20"/>
              </w:rPr>
              <w:t>6</w:t>
            </w:r>
          </w:p>
        </w:tc>
        <w:tc>
          <w:tcPr>
            <w:tcW w:w="580" w:type="dxa"/>
            <w:vAlign w:val="bottom"/>
          </w:tcPr>
          <w:p>
            <w:pPr>
              <w:jc w:val="right"/>
              <w:ind w:right="240"/>
              <w:spacing w:after="0"/>
              <w:rPr>
                <w:sz w:val="20"/>
                <w:szCs w:val="20"/>
                <w:color w:val="auto"/>
              </w:rPr>
            </w:pPr>
            <w:r>
              <w:rPr>
                <w:rFonts w:ascii="Arial" w:cs="Arial" w:eastAsia="Arial" w:hAnsi="Arial"/>
                <w:sz w:val="20"/>
                <w:szCs w:val="20"/>
                <w:color w:val="231F20"/>
              </w:rPr>
              <w:t>$</w:t>
            </w:r>
          </w:p>
        </w:tc>
        <w:tc>
          <w:tcPr>
            <w:tcW w:w="700" w:type="dxa"/>
            <w:vAlign w:val="bottom"/>
          </w:tcPr>
          <w:p>
            <w:pPr>
              <w:jc w:val="right"/>
              <w:ind w:right="20"/>
              <w:spacing w:after="0"/>
              <w:rPr>
                <w:sz w:val="20"/>
                <w:szCs w:val="20"/>
                <w:color w:val="auto"/>
              </w:rPr>
            </w:pPr>
            <w:r>
              <w:rPr>
                <w:rFonts w:ascii="Arial" w:cs="Arial" w:eastAsia="Arial" w:hAnsi="Arial"/>
                <w:sz w:val="20"/>
                <w:szCs w:val="20"/>
                <w:color w:val="231F20"/>
              </w:rPr>
              <w:t>12</w:t>
            </w:r>
          </w:p>
        </w:tc>
        <w:tc>
          <w:tcPr>
            <w:tcW w:w="580" w:type="dxa"/>
            <w:vAlign w:val="bottom"/>
          </w:tcPr>
          <w:p>
            <w:pPr>
              <w:jc w:val="right"/>
              <w:ind w:right="240"/>
              <w:spacing w:after="0"/>
              <w:rPr>
                <w:sz w:val="20"/>
                <w:szCs w:val="20"/>
                <w:color w:val="auto"/>
              </w:rPr>
            </w:pPr>
            <w:r>
              <w:rPr>
                <w:rFonts w:ascii="Arial" w:cs="Arial" w:eastAsia="Arial" w:hAnsi="Arial"/>
                <w:sz w:val="20"/>
                <w:szCs w:val="20"/>
                <w:color w:val="231F20"/>
              </w:rPr>
              <w:t>$</w:t>
            </w:r>
          </w:p>
        </w:tc>
        <w:tc>
          <w:tcPr>
            <w:tcW w:w="580" w:type="dxa"/>
            <w:vAlign w:val="bottom"/>
          </w:tcPr>
          <w:p>
            <w:pPr>
              <w:jc w:val="right"/>
              <w:spacing w:after="0"/>
              <w:rPr>
                <w:sz w:val="20"/>
                <w:szCs w:val="20"/>
                <w:color w:val="auto"/>
              </w:rPr>
            </w:pPr>
            <w:r>
              <w:rPr>
                <w:rFonts w:ascii="Arial" w:cs="Arial" w:eastAsia="Arial" w:hAnsi="Arial"/>
                <w:sz w:val="20"/>
                <w:szCs w:val="20"/>
                <w:color w:val="231F20"/>
              </w:rPr>
              <w:t>9</w:t>
            </w:r>
          </w:p>
        </w:tc>
      </w:tr>
    </w:tbl>
    <w:p>
      <w:pPr>
        <w:spacing w:after="0" w:line="200" w:lineRule="exact"/>
        <w:rPr>
          <w:sz w:val="20"/>
          <w:szCs w:val="20"/>
          <w:color w:val="auto"/>
        </w:rPr>
      </w:pPr>
    </w:p>
    <w:p>
      <w:pPr>
        <w:sectPr>
          <w:pgSz w:w="11880" w:h="15480" w:orient="portrait"/>
          <w:cols w:equalWidth="0" w:num="2">
            <w:col w:w="5280" w:space="240"/>
            <w:col w:w="3660"/>
          </w:cols>
          <w:pgMar w:left="1380" w:top="1310" w:right="1320" w:bottom="653" w:gutter="0" w:footer="0" w:header="0"/>
          <w:type w:val="continuous"/>
        </w:sectPr>
      </w:pPr>
    </w:p>
    <w:p>
      <w:pPr>
        <w:spacing w:after="0" w:line="38" w:lineRule="exact"/>
        <w:rPr>
          <w:sz w:val="20"/>
          <w:szCs w:val="20"/>
          <w:color w:val="auto"/>
        </w:rPr>
      </w:pPr>
    </w:p>
    <w:p>
      <w:pPr>
        <w:ind w:right="680" w:firstLine="300"/>
        <w:spacing w:after="0" w:line="247" w:lineRule="auto"/>
        <w:rPr>
          <w:sz w:val="20"/>
          <w:szCs w:val="20"/>
          <w:color w:val="auto"/>
        </w:rPr>
      </w:pPr>
      <w:r>
        <w:rPr>
          <w:rFonts w:ascii="Arial" w:cs="Arial" w:eastAsia="Arial" w:hAnsi="Arial"/>
          <w:sz w:val="20"/>
          <w:szCs w:val="20"/>
          <w:color w:val="231F20"/>
        </w:rPr>
        <w:t>Carbon management expenses decreased in 2025 compared to 2024 as a result of lower community development activities which were partially offset by higher costs related to feasibility studies that were undertaken.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Liquidity</w:t>
      </w:r>
    </w:p>
    <w:p>
      <w:pPr>
        <w:spacing w:after="0" w:line="236" w:lineRule="exact"/>
        <w:rPr>
          <w:sz w:val="20"/>
          <w:szCs w:val="20"/>
          <w:color w:val="auto"/>
        </w:rPr>
      </w:pPr>
    </w:p>
    <w:p>
      <w:pPr>
        <w:ind w:right="120" w:firstLine="300"/>
        <w:spacing w:after="0" w:line="266" w:lineRule="auto"/>
        <w:rPr>
          <w:sz w:val="20"/>
          <w:szCs w:val="20"/>
          <w:color w:val="auto"/>
        </w:rPr>
      </w:pPr>
      <w:r>
        <w:rPr>
          <w:rFonts w:ascii="Arial" w:cs="Arial" w:eastAsia="Arial" w:hAnsi="Arial"/>
          <w:sz w:val="19"/>
          <w:szCs w:val="19"/>
          <w:color w:val="231F20"/>
        </w:rPr>
        <w:t>Our primary sources of liquidity and capital resources are cash flows from operations, available cash and cash equivalents, proceeds from the issuance of our senior notes and available borrowing capacity under our Revolving Credit Facility. We consider our low leverage and ability to control costs to be a core strength and strategic advantage, which we are focused on maintaining. Our primary uses</w:t>
      </w:r>
    </w:p>
    <w:p>
      <w:pPr>
        <w:sectPr>
          <w:pgSz w:w="11880" w:h="15480" w:orient="portrait"/>
          <w:cols w:equalWidth="0" w:num="1">
            <w:col w:w="9180"/>
          </w:cols>
          <w:pgMar w:left="1380" w:top="1310" w:right="1320" w:bottom="653" w:gutter="0" w:footer="0" w:header="0"/>
          <w:type w:val="continuous"/>
        </w:sect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231F20"/>
        </w:rPr>
        <w:t>72</w:t>
      </w:r>
    </w:p>
    <w:p>
      <w:pPr>
        <w:sectPr>
          <w:pgSz w:w="11880" w:h="15480" w:orient="portrait"/>
          <w:cols w:equalWidth="0" w:num="1">
            <w:col w:w="9180"/>
          </w:cols>
          <w:pgMar w:left="1380" w:top="1310" w:right="1320" w:bottom="653" w:gutter="0" w:footer="0" w:header="0"/>
          <w:type w:val="continuous"/>
        </w:sectPr>
      </w:pPr>
    </w:p>
    <w:bookmarkStart w:id="76" w:name="page77"/>
    <w:bookmarkEnd w:id="76"/>
    <w:p>
      <w:pPr>
        <w:ind w:right="40"/>
        <w:spacing w:after="0" w:line="243" w:lineRule="auto"/>
        <w:rPr>
          <w:sz w:val="20"/>
          <w:szCs w:val="20"/>
          <w:color w:val="auto"/>
        </w:rPr>
      </w:pPr>
      <w:r>
        <w:rPr>
          <w:rFonts w:ascii="Arial" w:cs="Arial" w:eastAsia="Arial" w:hAnsi="Arial"/>
          <w:sz w:val="20"/>
          <w:szCs w:val="20"/>
          <w:color w:val="231F20"/>
        </w:rPr>
        <w:t>of operating cash flow for the year ended December 31, 2025 were for capital investments, redemption of our 2026 Senior Notes, repurchase of our common stock, and payment of dividends.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following table summarizes our liquidity: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20"/>
                <w:szCs w:val="20"/>
                <w:b w:val="1"/>
                <w:bCs w:val="1"/>
                <w:color w:val="231F20"/>
                <w:w w:val="98"/>
              </w:rPr>
              <w:t>December 31,</w:t>
            </w:r>
          </w:p>
        </w:tc>
        <w:tc>
          <w:tcPr>
            <w:tcW w:w="0" w:type="dxa"/>
            <w:vAlign w:val="bottom"/>
          </w:tcPr>
          <w:p>
            <w:pPr>
              <w:spacing w:after="0"/>
              <w:rPr>
                <w:sz w:val="1"/>
                <w:szCs w:val="1"/>
                <w:color w:val="auto"/>
              </w:rPr>
            </w:pPr>
          </w:p>
        </w:tc>
      </w:tr>
      <w:tr>
        <w:trPr>
          <w:trHeight w:val="248"/>
        </w:trPr>
        <w:tc>
          <w:tcPr>
            <w:tcW w:w="780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343"/>
              <w:spacing w:after="0" w:line="228" w:lineRule="exact"/>
              <w:rPr>
                <w:sz w:val="20"/>
                <w:szCs w:val="20"/>
                <w:color w:val="auto"/>
              </w:rPr>
            </w:pPr>
            <w:r>
              <w:rPr>
                <w:rFonts w:ascii="Arial" w:cs="Arial" w:eastAsia="Arial" w:hAnsi="Arial"/>
                <w:sz w:val="20"/>
                <w:szCs w:val="20"/>
                <w:b w:val="1"/>
                <w:bCs w:val="1"/>
                <w:color w:val="231F20"/>
              </w:rPr>
              <w:t>2025</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b w:val="1"/>
                <w:bCs w:val="1"/>
                <w:color w:val="231F20"/>
              </w:rPr>
              <w:t>(in millions)</w:t>
            </w:r>
          </w:p>
        </w:tc>
        <w:tc>
          <w:tcPr>
            <w:tcW w:w="0" w:type="dxa"/>
            <w:vAlign w:val="bottom"/>
          </w:tcPr>
          <w:p>
            <w:pPr>
              <w:spacing w:after="0"/>
              <w:rPr>
                <w:sz w:val="1"/>
                <w:szCs w:val="1"/>
                <w:color w:val="auto"/>
              </w:rPr>
            </w:pPr>
          </w:p>
        </w:tc>
      </w:tr>
      <w:tr>
        <w:trPr>
          <w:trHeight w:val="265"/>
        </w:trPr>
        <w:tc>
          <w:tcPr>
            <w:tcW w:w="7800" w:type="dxa"/>
            <w:vAlign w:val="bottom"/>
          </w:tcPr>
          <w:p>
            <w:pPr>
              <w:jc w:val="right"/>
              <w:ind w:right="100"/>
              <w:spacing w:after="0" w:line="265" w:lineRule="exact"/>
              <w:rPr>
                <w:sz w:val="20"/>
                <w:szCs w:val="20"/>
                <w:color w:val="auto"/>
              </w:rPr>
            </w:pPr>
            <w:r>
              <w:rPr>
                <w:rFonts w:ascii="Arial" w:cs="Arial" w:eastAsia="Arial" w:hAnsi="Arial"/>
                <w:sz w:val="20"/>
                <w:szCs w:val="20"/>
                <w:color w:val="231F20"/>
                <w:w w:val="96"/>
              </w:rPr>
              <w:t>Available cash and cash equivalents</w:t>
            </w:r>
            <w:r>
              <w:rPr>
                <w:rFonts w:ascii="Arial" w:cs="Arial" w:eastAsia="Arial" w:hAnsi="Arial"/>
                <w:sz w:val="26"/>
                <w:szCs w:val="26"/>
                <w:color w:val="231F20"/>
                <w:w w:val="96"/>
                <w:vertAlign w:val="superscript"/>
              </w:rPr>
              <w:t>(a)</w:t>
            </w:r>
            <w:r>
              <w:rPr>
                <w:rFonts w:ascii="Arial" w:cs="Arial" w:eastAsia="Arial" w:hAnsi="Arial"/>
                <w:sz w:val="20"/>
                <w:szCs w:val="20"/>
                <w:color w:val="231F20"/>
                <w:w w:val="96"/>
              </w:rPr>
              <w:t xml:space="preserve">   . . . . . . . . . . . . . . . . . . . . . . . . . . . . . . . . . . . . . . .</w:t>
            </w:r>
          </w:p>
        </w:tc>
        <w:tc>
          <w:tcPr>
            <w:tcW w:w="160" w:type="dxa"/>
            <w:vAlign w:val="bottom"/>
          </w:tcPr>
          <w:p>
            <w:pPr>
              <w:spacing w:after="0"/>
              <w:rPr>
                <w:sz w:val="20"/>
                <w:szCs w:val="20"/>
                <w:color w:val="auto"/>
              </w:rPr>
            </w:pPr>
            <w:r>
              <w:rPr>
                <w:rFonts w:ascii="Arial" w:cs="Arial" w:eastAsia="Arial" w:hAnsi="Arial"/>
                <w:sz w:val="20"/>
                <w:szCs w:val="20"/>
                <w:color w:val="231F20"/>
              </w:rPr>
              <w:t>$</w:t>
            </w:r>
          </w:p>
        </w:tc>
        <w:tc>
          <w:tcPr>
            <w:tcW w:w="1160" w:type="dxa"/>
            <w:vAlign w:val="bottom"/>
          </w:tcPr>
          <w:p>
            <w:pPr>
              <w:jc w:val="right"/>
              <w:spacing w:after="0"/>
              <w:rPr>
                <w:sz w:val="20"/>
                <w:szCs w:val="20"/>
                <w:color w:val="auto"/>
              </w:rPr>
            </w:pPr>
            <w:r>
              <w:rPr>
                <w:rFonts w:ascii="Arial" w:cs="Arial" w:eastAsia="Arial" w:hAnsi="Arial"/>
                <w:sz w:val="20"/>
                <w:szCs w:val="20"/>
                <w:color w:val="231F20"/>
              </w:rPr>
              <w:t>117</w:t>
            </w:r>
          </w:p>
        </w:tc>
        <w:tc>
          <w:tcPr>
            <w:tcW w:w="0" w:type="dxa"/>
            <w:vAlign w:val="bottom"/>
          </w:tcPr>
          <w:p>
            <w:pPr>
              <w:spacing w:after="0"/>
              <w:rPr>
                <w:sz w:val="1"/>
                <w:szCs w:val="1"/>
                <w:color w:val="auto"/>
              </w:rPr>
            </w:pPr>
          </w:p>
        </w:tc>
      </w:tr>
      <w:tr>
        <w:trPr>
          <w:trHeight w:val="225"/>
        </w:trPr>
        <w:tc>
          <w:tcPr>
            <w:tcW w:w="7800" w:type="dxa"/>
            <w:vAlign w:val="bottom"/>
          </w:tcPr>
          <w:p>
            <w:pPr>
              <w:jc w:val="right"/>
              <w:ind w:right="5500"/>
              <w:spacing w:after="0" w:line="226" w:lineRule="exact"/>
              <w:rPr>
                <w:sz w:val="20"/>
                <w:szCs w:val="20"/>
                <w:color w:val="auto"/>
              </w:rPr>
            </w:pPr>
            <w:r>
              <w:rPr>
                <w:rFonts w:ascii="Arial" w:cs="Arial" w:eastAsia="Arial" w:hAnsi="Arial"/>
                <w:sz w:val="20"/>
                <w:szCs w:val="20"/>
                <w:color w:val="231F20"/>
                <w:w w:val="99"/>
              </w:rPr>
              <w:t>Revolving Credit Facility: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800" w:type="dxa"/>
            <w:vAlign w:val="bottom"/>
          </w:tcPr>
          <w:p>
            <w:pPr>
              <w:jc w:val="right"/>
              <w:ind w:right="100"/>
              <w:spacing w:after="0"/>
              <w:rPr>
                <w:sz w:val="20"/>
                <w:szCs w:val="20"/>
                <w:color w:val="auto"/>
              </w:rPr>
            </w:pPr>
            <w:r>
              <w:rPr>
                <w:rFonts w:ascii="Arial" w:cs="Arial" w:eastAsia="Arial" w:hAnsi="Arial"/>
                <w:sz w:val="20"/>
                <w:szCs w:val="20"/>
                <w:color w:val="231F20"/>
                <w:w w:val="99"/>
              </w:rPr>
              <w:t>Borrowing capacity  . . . . . . . . . . . . . . . . . . . . . . . . . . . . . . . . . . . . . . . . . . . . . . . . . . . .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1,460</w:t>
            </w:r>
          </w:p>
        </w:tc>
        <w:tc>
          <w:tcPr>
            <w:tcW w:w="0" w:type="dxa"/>
            <w:vAlign w:val="bottom"/>
          </w:tcPr>
          <w:p>
            <w:pPr>
              <w:spacing w:after="0"/>
              <w:rPr>
                <w:sz w:val="1"/>
                <w:szCs w:val="1"/>
                <w:color w:val="auto"/>
              </w:rPr>
            </w:pPr>
          </w:p>
        </w:tc>
      </w:tr>
      <w:tr>
        <w:trPr>
          <w:trHeight w:val="240"/>
        </w:trPr>
        <w:tc>
          <w:tcPr>
            <w:tcW w:w="7800" w:type="dxa"/>
            <w:vAlign w:val="bottom"/>
          </w:tcPr>
          <w:p>
            <w:pPr>
              <w:jc w:val="right"/>
              <w:ind w:right="100"/>
              <w:spacing w:after="0"/>
              <w:rPr>
                <w:sz w:val="20"/>
                <w:szCs w:val="20"/>
                <w:color w:val="auto"/>
              </w:rPr>
            </w:pPr>
            <w:r>
              <w:rPr>
                <w:rFonts w:ascii="Arial" w:cs="Arial" w:eastAsia="Arial" w:hAnsi="Arial"/>
                <w:sz w:val="20"/>
                <w:szCs w:val="20"/>
                <w:color w:val="231F20"/>
                <w:w w:val="99"/>
              </w:rPr>
              <w:t>Outstanding letters of credit  . . . . . . . . . . . . . . . . . . . . . . . . . . . . . . . . . . . . . . . . . . . . .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(176)</w:t>
            </w:r>
          </w:p>
        </w:tc>
        <w:tc>
          <w:tcPr>
            <w:tcW w:w="0" w:type="dxa"/>
            <w:vAlign w:val="bottom"/>
          </w:tcPr>
          <w:p>
            <w:pPr>
              <w:spacing w:after="0"/>
              <w:rPr>
                <w:sz w:val="1"/>
                <w:szCs w:val="1"/>
                <w:color w:val="auto"/>
              </w:rPr>
            </w:pPr>
          </w:p>
        </w:tc>
      </w:tr>
      <w:tr>
        <w:trPr>
          <w:trHeight w:val="28"/>
        </w:trPr>
        <w:tc>
          <w:tcPr>
            <w:tcW w:w="780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231F20"/>
              </w:rPr>
              <w:t xml:space="preserve">Availability </w:t>
            </w:r>
            <w:r>
              <w:rPr>
                <w:rFonts w:ascii="Arial" w:cs="Arial" w:eastAsia="Arial" w:hAnsi="Arial"/>
                <w:sz w:val="20"/>
                <w:szCs w:val="20"/>
                <w:color w:val="231F20"/>
              </w:rPr>
              <w:t>. . . . . . . . . . . . . . . . . . . . . . . . . . . . . . . . . . . . . . . . . . . . . . . . . . . . . . . . . .</w:t>
            </w:r>
          </w:p>
        </w:tc>
        <w:tc>
          <w:tcPr>
            <w:tcW w:w="16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800" w:type="dxa"/>
            <w:vAlign w:val="bottom"/>
            <w:vMerge w:val="continue"/>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20"/>
                <w:szCs w:val="20"/>
                <w:color w:val="231F20"/>
              </w:rPr>
              <w:t>$</w:t>
            </w:r>
          </w:p>
        </w:tc>
        <w:tc>
          <w:tcPr>
            <w:tcW w:w="1160" w:type="dxa"/>
            <w:vAlign w:val="bottom"/>
          </w:tcPr>
          <w:p>
            <w:pPr>
              <w:jc w:val="right"/>
              <w:spacing w:after="0"/>
              <w:rPr>
                <w:sz w:val="20"/>
                <w:szCs w:val="20"/>
                <w:color w:val="auto"/>
              </w:rPr>
            </w:pPr>
            <w:r>
              <w:rPr>
                <w:rFonts w:ascii="Arial" w:cs="Arial" w:eastAsia="Arial" w:hAnsi="Arial"/>
                <w:sz w:val="20"/>
                <w:szCs w:val="20"/>
                <w:color w:val="231F20"/>
              </w:rPr>
              <w:t>1,284</w:t>
            </w:r>
          </w:p>
        </w:tc>
        <w:tc>
          <w:tcPr>
            <w:tcW w:w="0" w:type="dxa"/>
            <w:vAlign w:val="bottom"/>
          </w:tcPr>
          <w:p>
            <w:pPr>
              <w:spacing w:after="0"/>
              <w:rPr>
                <w:sz w:val="1"/>
                <w:szCs w:val="1"/>
                <w:color w:val="auto"/>
              </w:rPr>
            </w:pPr>
          </w:p>
        </w:tc>
      </w:tr>
      <w:tr>
        <w:trPr>
          <w:trHeight w:val="30"/>
        </w:trPr>
        <w:tc>
          <w:tcPr>
            <w:tcW w:w="780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231F20"/>
              </w:rPr>
              <w:t xml:space="preserve">Liquidity </w:t>
            </w:r>
            <w:r>
              <w:rPr>
                <w:rFonts w:ascii="Arial" w:cs="Arial" w:eastAsia="Arial" w:hAnsi="Arial"/>
                <w:sz w:val="20"/>
                <w:szCs w:val="20"/>
                <w:color w:val="231F20"/>
              </w:rPr>
              <w:t>. . . . . . . . . . . . . . . . . . . . . . . . . . . . . . . . . . . . . . . . . . . . . . . . . . . . . . . . . . . .</w:t>
            </w:r>
          </w:p>
        </w:tc>
        <w:tc>
          <w:tcPr>
            <w:tcW w:w="16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800" w:type="dxa"/>
            <w:vAlign w:val="bottom"/>
            <w:vMerge w:val="continue"/>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20"/>
                <w:szCs w:val="20"/>
                <w:color w:val="231F20"/>
              </w:rPr>
              <w:t>$</w:t>
            </w:r>
          </w:p>
        </w:tc>
        <w:tc>
          <w:tcPr>
            <w:tcW w:w="1160" w:type="dxa"/>
            <w:vAlign w:val="bottom"/>
          </w:tcPr>
          <w:p>
            <w:pPr>
              <w:jc w:val="right"/>
              <w:spacing w:after="0"/>
              <w:rPr>
                <w:sz w:val="20"/>
                <w:szCs w:val="20"/>
                <w:color w:val="auto"/>
              </w:rPr>
            </w:pPr>
            <w:r>
              <w:rPr>
                <w:rFonts w:ascii="Arial" w:cs="Arial" w:eastAsia="Arial" w:hAnsi="Arial"/>
                <w:sz w:val="20"/>
                <w:szCs w:val="20"/>
                <w:color w:val="231F20"/>
              </w:rPr>
              <w:t>1,401</w:t>
            </w:r>
          </w:p>
        </w:tc>
        <w:tc>
          <w:tcPr>
            <w:tcW w:w="0" w:type="dxa"/>
            <w:vAlign w:val="bottom"/>
          </w:tcPr>
          <w:p>
            <w:pPr>
              <w:spacing w:after="0"/>
              <w:rPr>
                <w:sz w:val="1"/>
                <w:szCs w:val="1"/>
                <w:color w:val="auto"/>
              </w:rPr>
            </w:pPr>
          </w:p>
        </w:tc>
      </w:tr>
      <w:tr>
        <w:trPr>
          <w:trHeight w:val="30"/>
        </w:trPr>
        <w:tc>
          <w:tcPr>
            <w:tcW w:w="78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231F20"/>
        </w:rPr>
        <w:t>(a)</w:t>
      </w:r>
      <w:r>
        <w:rPr>
          <w:sz w:val="20"/>
          <w:szCs w:val="20"/>
          <w:color w:val="auto"/>
        </w:rPr>
        <w:tab/>
      </w:r>
      <w:r>
        <w:rPr>
          <w:rFonts w:ascii="Arial" w:cs="Arial" w:eastAsia="Arial" w:hAnsi="Arial"/>
          <w:sz w:val="15"/>
          <w:szCs w:val="15"/>
          <w:color w:val="231F20"/>
        </w:rPr>
        <w:t>Excludes restricted cash of $15 million.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Derivatives</w:t>
      </w:r>
    </w:p>
    <w:p>
      <w:pPr>
        <w:spacing w:after="0" w:line="201" w:lineRule="exact"/>
        <w:rPr>
          <w:sz w:val="20"/>
          <w:szCs w:val="20"/>
          <w:color w:val="auto"/>
        </w:rPr>
      </w:pPr>
    </w:p>
    <w:p>
      <w:pPr>
        <w:ind w:right="100" w:firstLine="300"/>
        <w:spacing w:after="0" w:line="265" w:lineRule="auto"/>
        <w:rPr>
          <w:sz w:val="20"/>
          <w:szCs w:val="20"/>
          <w:color w:val="auto"/>
        </w:rPr>
      </w:pPr>
      <w:r>
        <w:rPr>
          <w:rFonts w:ascii="Arial" w:cs="Arial" w:eastAsia="Arial" w:hAnsi="Arial"/>
          <w:sz w:val="19"/>
          <w:szCs w:val="19"/>
          <w:color w:val="231F20"/>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upon prevailing market prices and conditions.</w:t>
      </w:r>
    </w:p>
    <w:p>
      <w:pPr>
        <w:spacing w:after="0" w:line="180" w:lineRule="exact"/>
        <w:rPr>
          <w:sz w:val="20"/>
          <w:szCs w:val="20"/>
          <w:color w:val="auto"/>
        </w:rPr>
      </w:pPr>
    </w:p>
    <w:p>
      <w:pPr>
        <w:ind w:right="400" w:firstLine="300"/>
        <w:spacing w:after="0" w:line="248" w:lineRule="auto"/>
        <w:rPr>
          <w:sz w:val="20"/>
          <w:szCs w:val="20"/>
          <w:color w:val="auto"/>
        </w:rPr>
      </w:pPr>
      <w:r>
        <w:rPr>
          <w:rFonts w:ascii="Arial" w:cs="Arial" w:eastAsia="Arial" w:hAnsi="Arial"/>
          <w:sz w:val="20"/>
          <w:szCs w:val="20"/>
          <w:color w:val="231F20"/>
        </w:rPr>
        <w:t>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for the year ended December 31, 2025.</w:t>
      </w:r>
    </w:p>
    <w:p>
      <w:pPr>
        <w:spacing w:after="0" w:line="191"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color w:val="231F20"/>
        </w:rPr>
        <w:t xml:space="preserve">Refer to </w:t>
      </w:r>
      <w:r>
        <w:rPr>
          <w:rFonts w:ascii="Arial" w:cs="Arial" w:eastAsia="Arial" w:hAnsi="Arial"/>
          <w:sz w:val="20"/>
          <w:szCs w:val="20"/>
          <w:i w:val="1"/>
          <w:iCs w:val="1"/>
          <w:color w:val="231F20"/>
        </w:rPr>
        <w:t>Part II, Item 8 – Financial Statements and Supplementary Data, Note 7 Derivatives</w:t>
      </w:r>
      <w:r>
        <w:rPr>
          <w:rFonts w:ascii="Arial" w:cs="Arial" w:eastAsia="Arial" w:hAnsi="Arial"/>
          <w:sz w:val="20"/>
          <w:szCs w:val="20"/>
          <w:color w:val="231F20"/>
        </w:rPr>
        <w:t xml:space="preserve"> for more information on our open derivative contracts as of December 31, 2025 and </w:t>
      </w:r>
      <w:r>
        <w:rPr>
          <w:rFonts w:ascii="Arial" w:cs="Arial" w:eastAsia="Arial" w:hAnsi="Arial"/>
          <w:sz w:val="20"/>
          <w:szCs w:val="20"/>
          <w:i w:val="1"/>
          <w:iCs w:val="1"/>
          <w:color w:val="231F20"/>
        </w:rPr>
        <w:t>Note 5 Debt</w:t>
      </w:r>
      <w:r>
        <w:rPr>
          <w:rFonts w:ascii="Arial" w:cs="Arial" w:eastAsia="Arial" w:hAnsi="Arial"/>
          <w:sz w:val="20"/>
          <w:szCs w:val="20"/>
          <w:color w:val="231F20"/>
        </w:rPr>
        <w:t xml:space="preserve"> for more information on the hedging requirements included in our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Long-Term Debt</w:t>
      </w:r>
    </w:p>
    <w:p>
      <w:pPr>
        <w:spacing w:after="0" w:line="201"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231F20"/>
        </w:rPr>
        <w:t xml:space="preserve">Our long-term debt consists of borrowings and indebtedness under our Revolving Credit Facility, 2029 Senior Notes and 2034 Senior Notes. Our previously issued 2026 Senior Notes were redeemed in full in 2025. For more information regarding our Revolving Credit Facility, 2026 Senior Notes, 2029 Senior Notes and 2034 Senior Notes, refer to </w:t>
      </w:r>
      <w:r>
        <w:rPr>
          <w:rFonts w:ascii="Arial" w:cs="Arial" w:eastAsia="Arial" w:hAnsi="Arial"/>
          <w:sz w:val="20"/>
          <w:szCs w:val="20"/>
          <w:i w:val="1"/>
          <w:iCs w:val="1"/>
          <w:color w:val="231F20"/>
        </w:rPr>
        <w:t>Part II, Item 8 – Financial Statements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Supplementary Data, Note 5 Debt.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Revolving Credit Facility</w:t>
      </w:r>
    </w:p>
    <w:p>
      <w:pPr>
        <w:spacing w:after="0" w:line="201"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 xml:space="preserve">On April 26, 2023, we entered into an Amended and Restated Credit Agreement (Revolving Credit Facility) with Citibank, N.A., as administrative agent, and certain other lenders, which amended and restated in its entirety the prior credit agreement dated October 27, 2020. As of December 31, 2025, we were in compliance with all of the covenants of our Revolving Credit Facility. Refer to </w:t>
      </w:r>
      <w:r>
        <w:rPr>
          <w:rFonts w:ascii="Arial" w:cs="Arial" w:eastAsia="Arial" w:hAnsi="Arial"/>
          <w:sz w:val="20"/>
          <w:szCs w:val="20"/>
          <w:i w:val="1"/>
          <w:iCs w:val="1"/>
          <w:color w:val="231F20"/>
        </w:rPr>
        <w:t>Part II, Item 8</w:t>
      </w:r>
    </w:p>
    <w:p>
      <w:pPr>
        <w:spacing w:after="0" w:line="7" w:lineRule="exact"/>
        <w:rPr>
          <w:sz w:val="20"/>
          <w:szCs w:val="20"/>
          <w:color w:val="auto"/>
        </w:rPr>
      </w:pPr>
    </w:p>
    <w:p>
      <w:pPr>
        <w:ind w:right="900"/>
        <w:spacing w:after="0" w:line="245" w:lineRule="auto"/>
        <w:rPr>
          <w:sz w:val="20"/>
          <w:szCs w:val="20"/>
          <w:color w:val="auto"/>
        </w:rPr>
      </w:pPr>
      <w:r>
        <w:rPr>
          <w:rFonts w:ascii="Arial" w:cs="Arial" w:eastAsia="Arial" w:hAnsi="Arial"/>
          <w:sz w:val="20"/>
          <w:szCs w:val="20"/>
          <w:i w:val="1"/>
          <w:iCs w:val="1"/>
          <w:color w:val="231F20"/>
        </w:rPr>
        <w:t xml:space="preserve">– Financial Statements and Supplementary Data, Note 5 Debt </w:t>
      </w:r>
      <w:r>
        <w:rPr>
          <w:rFonts w:ascii="Arial" w:cs="Arial" w:eastAsia="Arial" w:hAnsi="Arial"/>
          <w:sz w:val="20"/>
          <w:szCs w:val="20"/>
          <w:color w:val="231F20"/>
        </w:rPr>
        <w:t>for more information on recent</w:t>
      </w:r>
      <w:r>
        <w:rPr>
          <w:rFonts w:ascii="Arial" w:cs="Arial" w:eastAsia="Arial" w:hAnsi="Arial"/>
          <w:sz w:val="20"/>
          <w:szCs w:val="20"/>
          <w:i w:val="1"/>
          <w:iCs w:val="1"/>
          <w:color w:val="231F20"/>
        </w:rPr>
        <w:t xml:space="preserve"> </w:t>
      </w:r>
      <w:r>
        <w:rPr>
          <w:rFonts w:ascii="Arial" w:cs="Arial" w:eastAsia="Arial" w:hAnsi="Arial"/>
          <w:sz w:val="20"/>
          <w:szCs w:val="20"/>
          <w:color w:val="231F20"/>
        </w:rPr>
        <w:t>amendments to our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2034 Senior Notes</w:t>
      </w:r>
    </w:p>
    <w:p>
      <w:pPr>
        <w:spacing w:after="0" w:line="201" w:lineRule="exact"/>
        <w:rPr>
          <w:sz w:val="20"/>
          <w:szCs w:val="20"/>
          <w:color w:val="auto"/>
        </w:rPr>
      </w:pPr>
    </w:p>
    <w:p>
      <w:pPr>
        <w:ind w:right="40" w:firstLine="300"/>
        <w:spacing w:after="0" w:line="243" w:lineRule="auto"/>
        <w:rPr>
          <w:sz w:val="20"/>
          <w:szCs w:val="20"/>
          <w:color w:val="auto"/>
        </w:rPr>
      </w:pPr>
      <w:r>
        <w:rPr>
          <w:rFonts w:ascii="Arial" w:cs="Arial" w:eastAsia="Arial" w:hAnsi="Arial"/>
          <w:sz w:val="20"/>
          <w:szCs w:val="20"/>
          <w:color w:val="231F20"/>
        </w:rPr>
        <w:t>On October 8, 2025, we completed an offering of $400 million in an aggregate principal amount of 7.000% senior notes due 2034 (2034 Senior Notes). The terms of the 2034 Senior Notes are governed</w:t>
      </w:r>
    </w:p>
    <w:p>
      <w:pPr>
        <w:sectPr>
          <w:pgSz w:w="11880" w:h="15480" w:orient="portrait"/>
          <w:cols w:equalWidth="0" w:num="1">
            <w:col w:w="9120"/>
          </w:cols>
          <w:pgMar w:left="1380" w:top="1316" w:right="1380" w:bottom="655"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73</w:t>
      </w:r>
    </w:p>
    <w:p>
      <w:pPr>
        <w:sectPr>
          <w:pgSz w:w="11880" w:h="15480" w:orient="portrait"/>
          <w:cols w:equalWidth="0" w:num="1">
            <w:col w:w="9120"/>
          </w:cols>
          <w:pgMar w:left="1380" w:top="1316" w:right="1380" w:bottom="655" w:gutter="0" w:footer="0" w:header="0"/>
          <w:type w:val="continuous"/>
        </w:sectPr>
      </w:pPr>
    </w:p>
    <w:bookmarkStart w:id="77" w:name="page78"/>
    <w:bookmarkEnd w:id="77"/>
    <w:p>
      <w:pPr>
        <w:ind w:right="80"/>
        <w:spacing w:after="0" w:line="248" w:lineRule="auto"/>
        <w:rPr>
          <w:sz w:val="20"/>
          <w:szCs w:val="20"/>
          <w:color w:val="auto"/>
        </w:rPr>
      </w:pPr>
      <w:r>
        <w:rPr>
          <w:rFonts w:ascii="Arial" w:cs="Arial" w:eastAsia="Arial" w:hAnsi="Arial"/>
          <w:sz w:val="20"/>
          <w:szCs w:val="20"/>
          <w:color w:val="231F20"/>
        </w:rPr>
        <w:t>by the Indenture, dated as of October 8, 2025, by and among us, our subsidiary guarantors and Wilmington Trust, National Association, as trustee (2034 Senior Notes Indenture). The net proceeds of $393 million, after $7 million of debt issuance costs, were used to repay Berry’s long-term debt at closing of the Berry Merger.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2029 Senior Notes</w:t>
      </w:r>
    </w:p>
    <w:p>
      <w:pPr>
        <w:spacing w:after="0" w:line="215" w:lineRule="exact"/>
        <w:rPr>
          <w:sz w:val="20"/>
          <w:szCs w:val="20"/>
          <w:color w:val="auto"/>
        </w:rPr>
      </w:pPr>
    </w:p>
    <w:p>
      <w:pPr>
        <w:ind w:right="120" w:firstLine="300"/>
        <w:spacing w:after="0" w:line="263" w:lineRule="auto"/>
        <w:rPr>
          <w:sz w:val="20"/>
          <w:szCs w:val="20"/>
          <w:color w:val="auto"/>
        </w:rPr>
      </w:pPr>
      <w:r>
        <w:rPr>
          <w:rFonts w:ascii="Arial" w:cs="Arial" w:eastAsia="Arial" w:hAnsi="Arial"/>
          <w:sz w:val="19"/>
          <w:szCs w:val="19"/>
          <w:color w:val="231F20"/>
        </w:rPr>
        <w:t>On June 5, 2024, we completed an offering of $600 million in aggregate principal amount of 8.25% senior notes due 2029 (2029 Senior Notes). The terms of the 2029 Senior Notes are governed by the Indenture, dated as of June 5, 2024, by and among us, our subsidiary guarantors and Wilmington Trust, National Association, as trustee (2029 Senior Notes Indenture). The net proceeds of</w:t>
      </w:r>
    </w:p>
    <w:p>
      <w:pPr>
        <w:spacing w:after="0" w:line="2" w:lineRule="exact"/>
        <w:rPr>
          <w:sz w:val="20"/>
          <w:szCs w:val="20"/>
          <w:color w:val="auto"/>
        </w:rPr>
      </w:pPr>
    </w:p>
    <w:p>
      <w:pPr>
        <w:ind w:right="480"/>
        <w:spacing w:after="0" w:line="243" w:lineRule="auto"/>
        <w:rPr>
          <w:sz w:val="20"/>
          <w:szCs w:val="20"/>
          <w:color w:val="auto"/>
        </w:rPr>
      </w:pPr>
      <w:r>
        <w:rPr>
          <w:rFonts w:ascii="Arial" w:cs="Arial" w:eastAsia="Arial" w:hAnsi="Arial"/>
          <w:sz w:val="20"/>
          <w:szCs w:val="20"/>
          <w:color w:val="231F20"/>
        </w:rPr>
        <w:t>$590 million, after $10 million of debt discount and issuance costs, were used along with available cash to repay all of Aera’s outstanding debt at closing of the Aera Merger.</w:t>
      </w:r>
    </w:p>
    <w:p>
      <w:pPr>
        <w:spacing w:after="0" w:line="214" w:lineRule="exact"/>
        <w:rPr>
          <w:sz w:val="20"/>
          <w:szCs w:val="20"/>
          <w:color w:val="auto"/>
        </w:rPr>
      </w:pPr>
    </w:p>
    <w:p>
      <w:pPr>
        <w:ind w:right="320" w:firstLine="300"/>
        <w:spacing w:after="0" w:line="249" w:lineRule="auto"/>
        <w:rPr>
          <w:sz w:val="20"/>
          <w:szCs w:val="20"/>
          <w:color w:val="auto"/>
        </w:rPr>
      </w:pPr>
      <w:r>
        <w:rPr>
          <w:rFonts w:ascii="Arial" w:cs="Arial" w:eastAsia="Arial" w:hAnsi="Arial"/>
          <w:sz w:val="20"/>
          <w:szCs w:val="20"/>
          <w:color w:val="231F20"/>
        </w:rPr>
        <w:t>On August 22, 2024, we completed a follow-on offering of $300 million in aggregate principal amount of 2029 Senior Notes. The net proceeds from this offering of $298 million, after $3 million of debt premium and $5 million of debt issuance costs, were used to repurchase a portion of our outstanding 2026 Senior Notes as described below. The follow-on 2029 Senior Notes issued on August 22, 2024 are governed by the same indenture as the $600 million of 2029 Senior Notes that were previously issued on June 5, 2024.</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2026 Senior Notes</w:t>
      </w:r>
    </w:p>
    <w:p>
      <w:pPr>
        <w:spacing w:after="0" w:line="215"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231F20"/>
        </w:rPr>
        <w:t>In the year ended December 31, 2025, we redeemed $245 million of our 7.125% Senior Notes due 2026 (2026 Senior Notes) at 100% of the principal amount, resulting in an extinguishment loss in the amount of $1 million for the write-off of unamortized debt issuance costs. Following this redemption, none of our 2026 Senior Notes were outstanding.</w:t>
      </w:r>
    </w:p>
    <w:p>
      <w:pPr>
        <w:spacing w:after="0" w:line="209" w:lineRule="exact"/>
        <w:rPr>
          <w:sz w:val="20"/>
          <w:szCs w:val="20"/>
          <w:color w:val="auto"/>
        </w:rPr>
      </w:pPr>
    </w:p>
    <w:p>
      <w:pPr>
        <w:jc w:val="both"/>
        <w:ind w:right="540" w:firstLine="300"/>
        <w:spacing w:after="0" w:line="247" w:lineRule="auto"/>
        <w:rPr>
          <w:sz w:val="20"/>
          <w:szCs w:val="20"/>
          <w:color w:val="auto"/>
        </w:rPr>
      </w:pPr>
      <w:r>
        <w:rPr>
          <w:rFonts w:ascii="Arial" w:cs="Arial" w:eastAsia="Arial" w:hAnsi="Arial"/>
          <w:sz w:val="20"/>
          <w:szCs w:val="20"/>
          <w:color w:val="231F20"/>
        </w:rPr>
        <w:t>In the year ended December 31, 2024, we repurchased $300 million in face value of our 2026 Senior Notes for $303 million resulting in a loss on early extinguishment of debt in the amount of $5 million which includes a $2 million write-off of unamortized debt issuance costs.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Transactions Related to Our Common Stock</w:t>
      </w:r>
    </w:p>
    <w:p>
      <w:pPr>
        <w:spacing w:after="0" w:line="215" w:lineRule="exact"/>
        <w:rPr>
          <w:sz w:val="20"/>
          <w:szCs w:val="20"/>
          <w:color w:val="auto"/>
        </w:rPr>
      </w:pPr>
    </w:p>
    <w:p>
      <w:pPr>
        <w:ind w:right="40" w:firstLine="300"/>
        <w:spacing w:after="0" w:line="245" w:lineRule="auto"/>
        <w:rPr>
          <w:sz w:val="20"/>
          <w:szCs w:val="20"/>
          <w:color w:val="auto"/>
        </w:rPr>
      </w:pPr>
      <w:r>
        <w:rPr>
          <w:rFonts w:ascii="Arial" w:cs="Arial" w:eastAsia="Arial" w:hAnsi="Arial"/>
          <w:sz w:val="20"/>
          <w:szCs w:val="20"/>
          <w:color w:val="231F20"/>
        </w:rPr>
        <w:t>The following table is a summary of changes in our outstanding shares of our common stock during the year ended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260" w:type="dxa"/>
            <w:vAlign w:val="bottom"/>
          </w:tcPr>
          <w:p>
            <w:pPr>
              <w:spacing w:after="0"/>
              <w:rPr>
                <w:sz w:val="21"/>
                <w:szCs w:val="21"/>
                <w:color w:val="auto"/>
              </w:rPr>
            </w:pPr>
          </w:p>
        </w:tc>
        <w:tc>
          <w:tcPr>
            <w:tcW w:w="1860" w:type="dxa"/>
            <w:vAlign w:val="bottom"/>
            <w:tcBorders>
              <w:bottom w:val="single" w:sz="8" w:color="231F20"/>
            </w:tcBorders>
          </w:tcPr>
          <w:p>
            <w:pPr>
              <w:jc w:val="right"/>
              <w:ind w:right="140"/>
              <w:spacing w:after="0"/>
              <w:rPr>
                <w:sz w:val="20"/>
                <w:szCs w:val="20"/>
                <w:color w:val="auto"/>
              </w:rPr>
            </w:pPr>
            <w:r>
              <w:rPr>
                <w:rFonts w:ascii="Arial" w:cs="Arial" w:eastAsia="Arial" w:hAnsi="Arial"/>
                <w:sz w:val="20"/>
                <w:szCs w:val="20"/>
                <w:color w:val="231F20"/>
              </w:rPr>
              <w:t>Common Stock</w:t>
            </w:r>
          </w:p>
        </w:tc>
      </w:tr>
      <w:tr>
        <w:trPr>
          <w:trHeight w:val="282"/>
        </w:trPr>
        <w:tc>
          <w:tcPr>
            <w:tcW w:w="7260" w:type="dxa"/>
            <w:vAlign w:val="bottom"/>
          </w:tcPr>
          <w:p>
            <w:pPr>
              <w:jc w:val="right"/>
              <w:ind w:right="100"/>
              <w:spacing w:after="0"/>
              <w:rPr>
                <w:sz w:val="20"/>
                <w:szCs w:val="20"/>
                <w:color w:val="auto"/>
              </w:rPr>
            </w:pPr>
            <w:r>
              <w:rPr>
                <w:rFonts w:ascii="Arial" w:cs="Arial" w:eastAsia="Arial" w:hAnsi="Arial"/>
                <w:sz w:val="20"/>
                <w:szCs w:val="20"/>
                <w:color w:val="231F20"/>
                <w:w w:val="97"/>
              </w:rPr>
              <w:t>Balance at December 31, 2024 . . . . . . . . . . . . . . . . . . . . . . . . . . . . . . . . . . . . . . . .</w:t>
            </w:r>
          </w:p>
        </w:tc>
        <w:tc>
          <w:tcPr>
            <w:tcW w:w="1860" w:type="dxa"/>
            <w:vAlign w:val="bottom"/>
          </w:tcPr>
          <w:p>
            <w:pPr>
              <w:jc w:val="right"/>
              <w:spacing w:after="0"/>
              <w:rPr>
                <w:sz w:val="20"/>
                <w:szCs w:val="20"/>
                <w:color w:val="auto"/>
              </w:rPr>
            </w:pPr>
            <w:r>
              <w:rPr>
                <w:rFonts w:ascii="Arial" w:cs="Arial" w:eastAsia="Arial" w:hAnsi="Arial"/>
                <w:sz w:val="20"/>
                <w:szCs w:val="20"/>
                <w:color w:val="231F20"/>
              </w:rPr>
              <w:t>91,100,322</w:t>
            </w:r>
          </w:p>
        </w:tc>
      </w:tr>
      <w:tr>
        <w:trPr>
          <w:trHeight w:val="255"/>
        </w:trPr>
        <w:tc>
          <w:tcPr>
            <w:tcW w:w="7260" w:type="dxa"/>
            <w:vAlign w:val="bottom"/>
          </w:tcPr>
          <w:p>
            <w:pPr>
              <w:jc w:val="right"/>
              <w:ind w:right="100"/>
              <w:spacing w:after="0" w:line="255" w:lineRule="exact"/>
              <w:rPr>
                <w:sz w:val="20"/>
                <w:szCs w:val="20"/>
                <w:color w:val="auto"/>
              </w:rPr>
            </w:pPr>
            <w:r>
              <w:rPr>
                <w:rFonts w:ascii="Arial" w:cs="Arial" w:eastAsia="Arial" w:hAnsi="Arial"/>
                <w:sz w:val="20"/>
                <w:szCs w:val="20"/>
                <w:color w:val="231F20"/>
              </w:rPr>
              <w:t>Issued as part of the Berry Merger</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 . . . . . . . . . . . . . . . . . . . . .</w:t>
            </w:r>
          </w:p>
        </w:tc>
        <w:tc>
          <w:tcPr>
            <w:tcW w:w="1860" w:type="dxa"/>
            <w:vAlign w:val="bottom"/>
          </w:tcPr>
          <w:p>
            <w:pPr>
              <w:jc w:val="right"/>
              <w:spacing w:after="0"/>
              <w:rPr>
                <w:sz w:val="20"/>
                <w:szCs w:val="20"/>
                <w:color w:val="auto"/>
              </w:rPr>
            </w:pPr>
            <w:r>
              <w:rPr>
                <w:rFonts w:ascii="Arial" w:cs="Arial" w:eastAsia="Arial" w:hAnsi="Arial"/>
                <w:sz w:val="20"/>
                <w:szCs w:val="20"/>
                <w:color w:val="231F20"/>
              </w:rPr>
              <w:t>5,572,115</w:t>
            </w:r>
          </w:p>
        </w:tc>
      </w:tr>
      <w:tr>
        <w:trPr>
          <w:trHeight w:val="240"/>
        </w:trPr>
        <w:tc>
          <w:tcPr>
            <w:tcW w:w="7260" w:type="dxa"/>
            <w:vAlign w:val="bottom"/>
          </w:tcPr>
          <w:p>
            <w:pPr>
              <w:jc w:val="right"/>
              <w:ind w:right="100"/>
              <w:spacing w:after="0" w:line="240" w:lineRule="exact"/>
              <w:rPr>
                <w:sz w:val="20"/>
                <w:szCs w:val="20"/>
                <w:color w:val="auto"/>
              </w:rPr>
            </w:pPr>
            <w:r>
              <w:rPr>
                <w:rFonts w:ascii="Arial" w:cs="Arial" w:eastAsia="Arial" w:hAnsi="Arial"/>
                <w:sz w:val="20"/>
                <w:szCs w:val="20"/>
                <w:color w:val="231F20"/>
              </w:rPr>
              <w:t>Shares issued related to the Aera Merger</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 . . . . . . . . . . . . . . .</w:t>
            </w:r>
          </w:p>
        </w:tc>
        <w:tc>
          <w:tcPr>
            <w:tcW w:w="1860" w:type="dxa"/>
            <w:vAlign w:val="bottom"/>
          </w:tcPr>
          <w:p>
            <w:pPr>
              <w:jc w:val="right"/>
              <w:spacing w:after="0" w:line="226" w:lineRule="exact"/>
              <w:rPr>
                <w:sz w:val="20"/>
                <w:szCs w:val="20"/>
                <w:color w:val="auto"/>
              </w:rPr>
            </w:pPr>
            <w:r>
              <w:rPr>
                <w:rFonts w:ascii="Arial" w:cs="Arial" w:eastAsia="Arial" w:hAnsi="Arial"/>
                <w:sz w:val="20"/>
                <w:szCs w:val="20"/>
                <w:color w:val="231F20"/>
              </w:rPr>
              <w:t>107,265</w:t>
            </w:r>
          </w:p>
        </w:tc>
      </w:tr>
      <w:tr>
        <w:trPr>
          <w:trHeight w:val="225"/>
        </w:trPr>
        <w:tc>
          <w:tcPr>
            <w:tcW w:w="7260" w:type="dxa"/>
            <w:vAlign w:val="bottom"/>
          </w:tcPr>
          <w:p>
            <w:pPr>
              <w:jc w:val="right"/>
              <w:ind w:right="100"/>
              <w:spacing w:after="0" w:line="226" w:lineRule="exact"/>
              <w:rPr>
                <w:sz w:val="20"/>
                <w:szCs w:val="20"/>
                <w:color w:val="auto"/>
              </w:rPr>
            </w:pPr>
            <w:r>
              <w:rPr>
                <w:rFonts w:ascii="Arial" w:cs="Arial" w:eastAsia="Arial" w:hAnsi="Arial"/>
                <w:sz w:val="20"/>
                <w:szCs w:val="20"/>
                <w:color w:val="231F20"/>
              </w:rPr>
              <w:t>Shares issued under ESPP  . . . . . . . . . . . . . . . . . . . . . . . . . . . . . . . . . . . . . . .</w:t>
            </w:r>
          </w:p>
        </w:tc>
        <w:tc>
          <w:tcPr>
            <w:tcW w:w="1860" w:type="dxa"/>
            <w:vAlign w:val="bottom"/>
          </w:tcPr>
          <w:p>
            <w:pPr>
              <w:jc w:val="right"/>
              <w:spacing w:after="0" w:line="226" w:lineRule="exact"/>
              <w:rPr>
                <w:sz w:val="20"/>
                <w:szCs w:val="20"/>
                <w:color w:val="auto"/>
              </w:rPr>
            </w:pPr>
            <w:r>
              <w:rPr>
                <w:rFonts w:ascii="Arial" w:cs="Arial" w:eastAsia="Arial" w:hAnsi="Arial"/>
                <w:sz w:val="20"/>
                <w:szCs w:val="20"/>
                <w:color w:val="231F20"/>
              </w:rPr>
              <w:t>60,128</w:t>
            </w:r>
          </w:p>
        </w:tc>
      </w:tr>
      <w:tr>
        <w:trPr>
          <w:trHeight w:val="240"/>
        </w:trPr>
        <w:tc>
          <w:tcPr>
            <w:tcW w:w="7260" w:type="dxa"/>
            <w:vAlign w:val="bottom"/>
          </w:tcPr>
          <w:p>
            <w:pPr>
              <w:jc w:val="right"/>
              <w:ind w:right="100"/>
              <w:spacing w:after="0"/>
              <w:rPr>
                <w:sz w:val="20"/>
                <w:szCs w:val="20"/>
                <w:color w:val="auto"/>
              </w:rPr>
            </w:pPr>
            <w:r>
              <w:rPr>
                <w:rFonts w:ascii="Arial" w:cs="Arial" w:eastAsia="Arial" w:hAnsi="Arial"/>
                <w:sz w:val="20"/>
                <w:szCs w:val="20"/>
                <w:color w:val="231F20"/>
              </w:rPr>
              <w:t>Shares issued under stock-based compensation arrangements . . . . . . . . . .</w:t>
            </w:r>
          </w:p>
        </w:tc>
        <w:tc>
          <w:tcPr>
            <w:tcW w:w="1860" w:type="dxa"/>
            <w:vAlign w:val="bottom"/>
          </w:tcPr>
          <w:p>
            <w:pPr>
              <w:jc w:val="right"/>
              <w:spacing w:after="0"/>
              <w:rPr>
                <w:sz w:val="20"/>
                <w:szCs w:val="20"/>
                <w:color w:val="auto"/>
              </w:rPr>
            </w:pPr>
            <w:r>
              <w:rPr>
                <w:rFonts w:ascii="Arial" w:cs="Arial" w:eastAsia="Arial" w:hAnsi="Arial"/>
                <w:sz w:val="20"/>
                <w:szCs w:val="20"/>
                <w:color w:val="231F20"/>
              </w:rPr>
              <w:t>478,609</w:t>
            </w:r>
          </w:p>
        </w:tc>
      </w:tr>
      <w:tr>
        <w:trPr>
          <w:trHeight w:val="240"/>
        </w:trPr>
        <w:tc>
          <w:tcPr>
            <w:tcW w:w="7260" w:type="dxa"/>
            <w:vAlign w:val="bottom"/>
          </w:tcPr>
          <w:p>
            <w:pPr>
              <w:jc w:val="right"/>
              <w:ind w:right="100"/>
              <w:spacing w:after="0"/>
              <w:rPr>
                <w:sz w:val="20"/>
                <w:szCs w:val="20"/>
                <w:color w:val="auto"/>
              </w:rPr>
            </w:pPr>
            <w:r>
              <w:rPr>
                <w:rFonts w:ascii="Arial" w:cs="Arial" w:eastAsia="Arial" w:hAnsi="Arial"/>
                <w:sz w:val="20"/>
                <w:szCs w:val="20"/>
                <w:color w:val="231F20"/>
              </w:rPr>
              <w:t>Repurchased shares held as treasury stock . . . . . . . . . . . . . . . . . . . . . . . . . .</w:t>
            </w:r>
          </w:p>
        </w:tc>
        <w:tc>
          <w:tcPr>
            <w:tcW w:w="1860" w:type="dxa"/>
            <w:vAlign w:val="bottom"/>
          </w:tcPr>
          <w:p>
            <w:pPr>
              <w:jc w:val="right"/>
              <w:spacing w:after="0"/>
              <w:rPr>
                <w:sz w:val="20"/>
                <w:szCs w:val="20"/>
                <w:color w:val="auto"/>
              </w:rPr>
            </w:pPr>
            <w:r>
              <w:rPr>
                <w:rFonts w:ascii="Arial" w:cs="Arial" w:eastAsia="Arial" w:hAnsi="Arial"/>
                <w:sz w:val="20"/>
                <w:szCs w:val="20"/>
                <w:color w:val="231F20"/>
              </w:rPr>
              <w:t>(3,378,263)</w:t>
            </w:r>
          </w:p>
        </w:tc>
      </w:tr>
      <w:tr>
        <w:trPr>
          <w:trHeight w:val="240"/>
        </w:trPr>
        <w:tc>
          <w:tcPr>
            <w:tcW w:w="7260" w:type="dxa"/>
            <w:vAlign w:val="bottom"/>
          </w:tcPr>
          <w:p>
            <w:pPr>
              <w:jc w:val="right"/>
              <w:ind w:right="100"/>
              <w:spacing w:after="0"/>
              <w:rPr>
                <w:sz w:val="20"/>
                <w:szCs w:val="20"/>
                <w:color w:val="auto"/>
              </w:rPr>
            </w:pPr>
            <w:r>
              <w:rPr>
                <w:rFonts w:ascii="Arial" w:cs="Arial" w:eastAsia="Arial" w:hAnsi="Arial"/>
                <w:sz w:val="20"/>
                <w:szCs w:val="20"/>
                <w:color w:val="231F20"/>
              </w:rPr>
              <w:t>Repurchased shares cancelled  . . . . . . . . . . . . . . . . . . . . . . . . . . . . . . . . . . . .</w:t>
            </w:r>
          </w:p>
        </w:tc>
        <w:tc>
          <w:tcPr>
            <w:tcW w:w="1860" w:type="dxa"/>
            <w:vAlign w:val="bottom"/>
          </w:tcPr>
          <w:p>
            <w:pPr>
              <w:jc w:val="right"/>
              <w:spacing w:after="0"/>
              <w:rPr>
                <w:sz w:val="20"/>
                <w:szCs w:val="20"/>
                <w:color w:val="auto"/>
              </w:rPr>
            </w:pPr>
            <w:r>
              <w:rPr>
                <w:rFonts w:ascii="Arial" w:cs="Arial" w:eastAsia="Arial" w:hAnsi="Arial"/>
                <w:sz w:val="20"/>
                <w:szCs w:val="20"/>
                <w:color w:val="231F20"/>
              </w:rPr>
              <w:t>(4,950,000)</w:t>
            </w:r>
          </w:p>
        </w:tc>
      </w:tr>
      <w:tr>
        <w:trPr>
          <w:trHeight w:val="268"/>
        </w:trPr>
        <w:tc>
          <w:tcPr>
            <w:tcW w:w="7260" w:type="dxa"/>
            <w:vAlign w:val="bottom"/>
          </w:tcPr>
          <w:p>
            <w:pPr>
              <w:jc w:val="right"/>
              <w:ind w:right="100"/>
              <w:spacing w:after="0" w:line="268" w:lineRule="exact"/>
              <w:rPr>
                <w:sz w:val="20"/>
                <w:szCs w:val="20"/>
                <w:color w:val="auto"/>
              </w:rPr>
            </w:pPr>
            <w:r>
              <w:rPr>
                <w:rFonts w:ascii="Arial" w:cs="Arial" w:eastAsia="Arial" w:hAnsi="Arial"/>
                <w:sz w:val="20"/>
                <w:szCs w:val="20"/>
                <w:color w:val="231F20"/>
              </w:rPr>
              <w:t>Shares cancelled for taxes</w:t>
            </w:r>
            <w:r>
              <w:rPr>
                <w:rFonts w:ascii="Arial" w:cs="Arial" w:eastAsia="Arial" w:hAnsi="Arial"/>
                <w:sz w:val="26"/>
                <w:szCs w:val="26"/>
                <w:color w:val="231F20"/>
                <w:vertAlign w:val="superscript"/>
              </w:rPr>
              <w:t>(b)</w:t>
            </w:r>
            <w:r>
              <w:rPr>
                <w:rFonts w:ascii="Arial" w:cs="Arial" w:eastAsia="Arial" w:hAnsi="Arial"/>
                <w:sz w:val="20"/>
                <w:szCs w:val="20"/>
                <w:color w:val="231F20"/>
              </w:rPr>
              <w:t xml:space="preserve"> . . . . . . . . . . . . . . . . . . . . . . . . . . . . . . . . . . . . . . .</w:t>
            </w:r>
          </w:p>
        </w:tc>
        <w:tc>
          <w:tcPr>
            <w:tcW w:w="18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(236,011)</w:t>
            </w:r>
          </w:p>
        </w:tc>
      </w:tr>
      <w:tr>
        <w:trPr>
          <w:trHeight w:val="270"/>
        </w:trPr>
        <w:tc>
          <w:tcPr>
            <w:tcW w:w="7260" w:type="dxa"/>
            <w:vAlign w:val="bottom"/>
          </w:tcPr>
          <w:p>
            <w:pPr>
              <w:jc w:val="right"/>
              <w:ind w:right="100"/>
              <w:spacing w:after="0"/>
              <w:rPr>
                <w:sz w:val="20"/>
                <w:szCs w:val="20"/>
                <w:color w:val="auto"/>
              </w:rPr>
            </w:pPr>
            <w:r>
              <w:rPr>
                <w:rFonts w:ascii="Arial" w:cs="Arial" w:eastAsia="Arial" w:hAnsi="Arial"/>
                <w:sz w:val="20"/>
                <w:szCs w:val="20"/>
                <w:color w:val="231F20"/>
                <w:w w:val="97"/>
              </w:rPr>
              <w:t>Balance at December 31, 2025 . . . . . . . . . . . . . . . . . . . . . . . . . . . . . . . . . . . . . . . .</w:t>
            </w:r>
          </w:p>
        </w:tc>
        <w:tc>
          <w:tcPr>
            <w:tcW w:w="1860" w:type="dxa"/>
            <w:vAlign w:val="bottom"/>
          </w:tcPr>
          <w:p>
            <w:pPr>
              <w:jc w:val="right"/>
              <w:spacing w:after="0"/>
              <w:rPr>
                <w:sz w:val="20"/>
                <w:szCs w:val="20"/>
                <w:color w:val="auto"/>
              </w:rPr>
            </w:pPr>
            <w:r>
              <w:rPr>
                <w:rFonts w:ascii="Arial" w:cs="Arial" w:eastAsia="Arial" w:hAnsi="Arial"/>
                <w:sz w:val="20"/>
                <w:szCs w:val="20"/>
                <w:color w:val="231F20"/>
              </w:rPr>
              <w:t>88,754,165</w:t>
            </w:r>
          </w:p>
        </w:tc>
      </w:tr>
      <w:tr>
        <w:trPr>
          <w:trHeight w:val="30"/>
        </w:trPr>
        <w:tc>
          <w:tcPr>
            <w:tcW w:w="7260" w:type="dxa"/>
            <w:vAlign w:val="bottom"/>
          </w:tcPr>
          <w:p>
            <w:pPr>
              <w:spacing w:after="0"/>
              <w:rPr>
                <w:sz w:val="2"/>
                <w:szCs w:val="2"/>
                <w:color w:val="auto"/>
              </w:rPr>
            </w:pPr>
          </w:p>
        </w:tc>
        <w:tc>
          <w:tcPr>
            <w:tcW w:w="1860" w:type="dxa"/>
            <w:vAlign w:val="bottom"/>
            <w:tcBorders>
              <w:bottom w:val="single" w:sz="8" w:color="231F20"/>
            </w:tcBorders>
          </w:tcPr>
          <w:p>
            <w:pPr>
              <w:spacing w:after="0"/>
              <w:rPr>
                <w:sz w:val="2"/>
                <w:szCs w:val="2"/>
                <w:color w:val="auto"/>
              </w:rPr>
            </w:pPr>
          </w:p>
        </w:tc>
      </w:tr>
      <w:tr>
        <w:trPr>
          <w:trHeight w:val="20"/>
        </w:trPr>
        <w:tc>
          <w:tcPr>
            <w:tcW w:w="7260" w:type="dxa"/>
            <w:vAlign w:val="bottom"/>
          </w:tcPr>
          <w:p>
            <w:pPr>
              <w:spacing w:after="0" w:line="20" w:lineRule="exact"/>
              <w:rPr>
                <w:sz w:val="1"/>
                <w:szCs w:val="1"/>
                <w:color w:val="auto"/>
              </w:rPr>
            </w:pPr>
          </w:p>
        </w:tc>
        <w:tc>
          <w:tcPr>
            <w:tcW w:w="1860" w:type="dxa"/>
            <w:vAlign w:val="bottom"/>
            <w:tcBorders>
              <w:bottom w:val="single" w:sz="8" w:color="231F20"/>
            </w:tcBorders>
          </w:tcPr>
          <w:p>
            <w:pPr>
              <w:spacing w:after="0" w:line="20" w:lineRule="exact"/>
              <w:rPr>
                <w:sz w:val="1"/>
                <w:szCs w:val="1"/>
                <w:color w:val="auto"/>
              </w:rPr>
            </w:pPr>
          </w:p>
        </w:tc>
      </w:tr>
    </w:tbl>
    <w:p>
      <w:pPr>
        <w:spacing w:after="0" w:line="51" w:lineRule="exact"/>
        <w:rPr>
          <w:sz w:val="20"/>
          <w:szCs w:val="20"/>
          <w:color w:val="auto"/>
        </w:rPr>
      </w:pPr>
    </w:p>
    <w:p>
      <w:pPr>
        <w:ind w:left="320" w:right="520" w:hanging="320"/>
        <w:spacing w:after="0" w:line="256" w:lineRule="auto"/>
        <w:tabs>
          <w:tab w:leader="none" w:pos="320" w:val="left"/>
        </w:tabs>
        <w:numPr>
          <w:ilvl w:val="0"/>
          <w:numId w:val="44"/>
        </w:numPr>
        <w:rPr>
          <w:rFonts w:ascii="Arial" w:cs="Arial" w:eastAsia="Arial" w:hAnsi="Arial"/>
          <w:sz w:val="16"/>
          <w:szCs w:val="16"/>
          <w:color w:val="231F20"/>
        </w:rPr>
      </w:pPr>
      <w:r>
        <w:rPr>
          <w:rFonts w:ascii="Arial" w:cs="Arial" w:eastAsia="Arial" w:hAnsi="Arial"/>
          <w:sz w:val="16"/>
          <w:szCs w:val="16"/>
          <w:color w:val="231F20"/>
        </w:rPr>
        <w:t xml:space="preserve">Refer to </w:t>
      </w:r>
      <w:r>
        <w:rPr>
          <w:rFonts w:ascii="Arial" w:cs="Arial" w:eastAsia="Arial" w:hAnsi="Arial"/>
          <w:sz w:val="16"/>
          <w:szCs w:val="16"/>
          <w:i w:val="1"/>
          <w:iCs w:val="1"/>
          <w:color w:val="231F20"/>
        </w:rPr>
        <w:t>Part II, Item 8 – Financial Statements and Supplementary Data, Note 2 Business Combinations</w:t>
      </w:r>
      <w:r>
        <w:rPr>
          <w:rFonts w:ascii="Arial" w:cs="Arial" w:eastAsia="Arial" w:hAnsi="Arial"/>
          <w:sz w:val="16"/>
          <w:szCs w:val="16"/>
          <w:color w:val="231F20"/>
        </w:rPr>
        <w:t xml:space="preserve"> for additional information.</w:t>
      </w:r>
    </w:p>
    <w:p>
      <w:pPr>
        <w:spacing w:after="0" w:line="9" w:lineRule="exact"/>
        <w:rPr>
          <w:rFonts w:ascii="Arial" w:cs="Arial" w:eastAsia="Arial" w:hAnsi="Arial"/>
          <w:sz w:val="16"/>
          <w:szCs w:val="16"/>
          <w:color w:val="231F20"/>
        </w:rPr>
      </w:pPr>
    </w:p>
    <w:p>
      <w:pPr>
        <w:ind w:left="320" w:right="460" w:hanging="320"/>
        <w:spacing w:after="0" w:line="253" w:lineRule="auto"/>
        <w:tabs>
          <w:tab w:leader="none" w:pos="320" w:val="left"/>
        </w:tabs>
        <w:numPr>
          <w:ilvl w:val="0"/>
          <w:numId w:val="44"/>
        </w:numPr>
        <w:rPr>
          <w:rFonts w:ascii="Arial" w:cs="Arial" w:eastAsia="Arial" w:hAnsi="Arial"/>
          <w:sz w:val="16"/>
          <w:szCs w:val="16"/>
          <w:color w:val="231F20"/>
        </w:rPr>
      </w:pPr>
      <w:r>
        <w:rPr>
          <w:rFonts w:ascii="Arial" w:cs="Arial" w:eastAsia="Arial" w:hAnsi="Arial"/>
          <w:sz w:val="16"/>
          <w:szCs w:val="16"/>
          <w:color w:val="231F20"/>
        </w:rPr>
        <w:t>In connection with the vesting of equity awards, we withheld and cancelled shares to satisfy applicable tax-withholding requirements.</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74</w:t>
      </w:r>
    </w:p>
    <w:p>
      <w:pPr>
        <w:sectPr>
          <w:pgSz w:w="11880" w:h="15480" w:orient="portrait"/>
          <w:cols w:equalWidth="0" w:num="1">
            <w:col w:w="9120"/>
          </w:cols>
          <w:pgMar w:left="1380" w:top="1316" w:right="1380" w:bottom="655"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i w:val="1"/>
          <w:iCs w:val="1"/>
          <w:color w:val="231F20"/>
        </w:rPr>
        <w:t>Common Stock Issued as Part of the Berry Merger</w:t>
      </w:r>
    </w:p>
    <w:p>
      <w:pPr>
        <w:spacing w:after="0" w:line="213"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We issued 5,572,115 shares of CRC common stock in connection with the Berry Merger. The shares issued were registered under the Securities Act of 1933, as amended, pursuant to a registration statement on Form S-4 (File No. 333-290871) filed by CRC with the Securities and Exchange Commission on October 14, 2025, which became effective on November 3, 2025.</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Dividends</w:t>
      </w:r>
    </w:p>
    <w:p>
      <w:pPr>
        <w:spacing w:after="0" w:line="213" w:lineRule="exact"/>
        <w:rPr>
          <w:sz w:val="20"/>
          <w:szCs w:val="20"/>
          <w:color w:val="auto"/>
        </w:rPr>
      </w:pPr>
    </w:p>
    <w:p>
      <w:pPr>
        <w:ind w:right="140" w:firstLine="300"/>
        <w:spacing w:after="0" w:line="267" w:lineRule="auto"/>
        <w:rPr>
          <w:sz w:val="20"/>
          <w:szCs w:val="20"/>
          <w:color w:val="auto"/>
        </w:rPr>
      </w:pPr>
      <w:r>
        <w:rPr>
          <w:rFonts w:ascii="Arial" w:cs="Arial" w:eastAsia="Arial" w:hAnsi="Arial"/>
          <w:sz w:val="19"/>
          <w:szCs w:val="19"/>
          <w:color w:val="231F20"/>
        </w:rPr>
        <w:t>Once declared, dividends are payable to shareholders in cash on a quarterly basis. The actual declaration of future cash dividends, and the establishment of record and payment dates, is subject to final determination by our Board of Directors each quarter after reviewing our financial performance.</w:t>
      </w:r>
    </w:p>
    <w:p>
      <w:pPr>
        <w:spacing w:after="0" w:line="189" w:lineRule="exact"/>
        <w:rPr>
          <w:sz w:val="20"/>
          <w:szCs w:val="20"/>
          <w:color w:val="auto"/>
        </w:rPr>
      </w:pPr>
    </w:p>
    <w:p>
      <w:pPr>
        <w:ind w:right="40" w:firstLine="300"/>
        <w:spacing w:after="0" w:line="246" w:lineRule="auto"/>
        <w:rPr>
          <w:sz w:val="20"/>
          <w:szCs w:val="20"/>
          <w:color w:val="auto"/>
        </w:rPr>
      </w:pPr>
      <w:r>
        <w:rPr>
          <w:rFonts w:ascii="Arial" w:cs="Arial" w:eastAsia="Arial" w:hAnsi="Arial"/>
          <w:sz w:val="20"/>
          <w:szCs w:val="20"/>
          <w:color w:val="231F20"/>
        </w:rPr>
        <w:t>On March 1, 2026, our Board of Directors declared a cash dividend of $0.405 per share of common stock. The dividend is payable to shareholders of record at the close of business on March 13, 2026 and is expected to be paid on March 20, 2026.</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We paid the following cash dividends for each of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231F20"/>
              </w:rPr>
              <w:t>Total Dividend</w:t>
            </w:r>
          </w:p>
        </w:tc>
        <w:tc>
          <w:tcPr>
            <w:tcW w:w="20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231F20"/>
                <w:w w:val="99"/>
              </w:rPr>
              <w:t>Annual Rate Per</w:t>
            </w:r>
          </w:p>
        </w:tc>
        <w:tc>
          <w:tcPr>
            <w:tcW w:w="0" w:type="dxa"/>
            <w:vAlign w:val="bottom"/>
          </w:tcPr>
          <w:p>
            <w:pPr>
              <w:spacing w:after="0"/>
              <w:rPr>
                <w:sz w:val="1"/>
                <w:szCs w:val="1"/>
                <w:color w:val="auto"/>
              </w:rPr>
            </w:pPr>
          </w:p>
        </w:tc>
      </w:tr>
      <w:tr>
        <w:trPr>
          <w:trHeight w:val="248"/>
        </w:trPr>
        <w:tc>
          <w:tcPr>
            <w:tcW w:w="5820" w:type="dxa"/>
            <w:vAlign w:val="bottom"/>
          </w:tcPr>
          <w:p>
            <w:pPr>
              <w:spacing w:after="0"/>
              <w:rPr>
                <w:sz w:val="21"/>
                <w:szCs w:val="21"/>
                <w:color w:val="auto"/>
              </w:rPr>
            </w:pPr>
          </w:p>
        </w:tc>
        <w:tc>
          <w:tcPr>
            <w:tcW w:w="1520" w:type="dxa"/>
            <w:vAlign w:val="bottom"/>
            <w:tcBorders>
              <w:bottom w:val="single" w:sz="8" w:color="231F20"/>
            </w:tcBorders>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ind w:left="20"/>
              <w:spacing w:after="0"/>
              <w:rPr>
                <w:sz w:val="20"/>
                <w:szCs w:val="20"/>
                <w:color w:val="auto"/>
              </w:rPr>
            </w:pPr>
            <w:r>
              <w:rPr>
                <w:rFonts w:ascii="Arial" w:cs="Arial" w:eastAsia="Arial" w:hAnsi="Arial"/>
                <w:sz w:val="20"/>
                <w:szCs w:val="20"/>
                <w:b w:val="1"/>
                <w:bCs w:val="1"/>
                <w:color w:val="231F20"/>
              </w:rPr>
              <w:t>Share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264"/>
              <w:spacing w:after="0"/>
              <w:rPr>
                <w:sz w:val="20"/>
                <w:szCs w:val="20"/>
                <w:color w:val="auto"/>
              </w:rPr>
            </w:pPr>
            <w:r>
              <w:rPr>
                <w:rFonts w:ascii="Arial" w:cs="Arial" w:eastAsia="Arial" w:hAnsi="Arial"/>
                <w:sz w:val="16"/>
                <w:szCs w:val="16"/>
                <w:color w:val="231F20"/>
              </w:rPr>
              <w:t>(in millions)</w:t>
            </w:r>
          </w:p>
        </w:tc>
        <w:tc>
          <w:tcPr>
            <w:tcW w:w="680" w:type="dxa"/>
            <w:vAlign w:val="bottom"/>
            <w:gridSpan w:val="2"/>
          </w:tcPr>
          <w:p>
            <w:pPr>
              <w:jc w:val="right"/>
              <w:spacing w:after="0"/>
              <w:rPr>
                <w:sz w:val="20"/>
                <w:szCs w:val="20"/>
                <w:color w:val="auto"/>
              </w:rPr>
            </w:pPr>
            <w:r>
              <w:rPr>
                <w:rFonts w:ascii="Arial" w:cs="Arial" w:eastAsia="Arial" w:hAnsi="Arial"/>
                <w:sz w:val="16"/>
                <w:szCs w:val="16"/>
                <w:color w:val="231F20"/>
              </w:rPr>
              <w:t>($</w:t>
            </w:r>
          </w:p>
        </w:tc>
        <w:tc>
          <w:tcPr>
            <w:tcW w:w="1100" w:type="dxa"/>
            <w:vAlign w:val="bottom"/>
          </w:tcPr>
          <w:p>
            <w:pPr>
              <w:ind w:left="40"/>
              <w:spacing w:after="0"/>
              <w:rPr>
                <w:sz w:val="20"/>
                <w:szCs w:val="20"/>
                <w:color w:val="auto"/>
              </w:rPr>
            </w:pPr>
            <w:r>
              <w:rPr>
                <w:rFonts w:ascii="Arial" w:cs="Arial" w:eastAsia="Arial" w:hAnsi="Arial"/>
                <w:sz w:val="16"/>
                <w:szCs w:val="16"/>
                <w:color w:val="231F20"/>
              </w:rPr>
              <w:t>per share)</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0"/>
                <w:szCs w:val="20"/>
                <w:color w:val="auto"/>
              </w:rPr>
            </w:pPr>
            <w:r>
              <w:rPr>
                <w:rFonts w:ascii="Arial" w:cs="Arial" w:eastAsia="Arial" w:hAnsi="Arial"/>
                <w:sz w:val="20"/>
                <w:szCs w:val="20"/>
                <w:color w:val="231F20"/>
              </w:rPr>
              <w:t>Year ended December 31, 2023 . . . . . . . . . . . . . . . . . . . . . . . . . .</w:t>
            </w:r>
          </w:p>
        </w:tc>
        <w:tc>
          <w:tcPr>
            <w:tcW w:w="240" w:type="dxa"/>
            <w:vAlign w:val="bottom"/>
          </w:tcPr>
          <w:p>
            <w:pPr>
              <w:jc w:val="right"/>
              <w:ind w:right="20"/>
              <w:spacing w:after="0"/>
              <w:rPr>
                <w:sz w:val="20"/>
                <w:szCs w:val="20"/>
                <w:color w:val="auto"/>
              </w:rPr>
            </w:pPr>
            <w:r>
              <w:rPr>
                <w:rFonts w:ascii="Arial" w:cs="Arial" w:eastAsia="Arial" w:hAnsi="Arial"/>
                <w:sz w:val="20"/>
                <w:szCs w:val="20"/>
                <w:color w:val="231F20"/>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231F20"/>
              </w:rPr>
              <w:t>81</w:t>
            </w:r>
          </w:p>
        </w:tc>
        <w:tc>
          <w:tcPr>
            <w:tcW w:w="680" w:type="dxa"/>
            <w:vAlign w:val="bottom"/>
            <w:gridSpan w:val="2"/>
          </w:tcPr>
          <w:p>
            <w:pPr>
              <w:ind w:left="200"/>
              <w:spacing w:after="0"/>
              <w:rPr>
                <w:sz w:val="20"/>
                <w:szCs w:val="20"/>
                <w:color w:val="auto"/>
              </w:rPr>
            </w:pPr>
            <w:r>
              <w:rPr>
                <w:rFonts w:ascii="Arial" w:cs="Arial" w:eastAsia="Arial" w:hAnsi="Arial"/>
                <w:sz w:val="20"/>
                <w:szCs w:val="20"/>
                <w:color w:val="231F20"/>
              </w:rPr>
              <w:t>$</w:t>
            </w:r>
          </w:p>
        </w:tc>
        <w:tc>
          <w:tcPr>
            <w:tcW w:w="1100" w:type="dxa"/>
            <w:vAlign w:val="bottom"/>
          </w:tcPr>
          <w:p>
            <w:pPr>
              <w:jc w:val="right"/>
              <w:spacing w:after="0"/>
              <w:rPr>
                <w:sz w:val="20"/>
                <w:szCs w:val="20"/>
                <w:color w:val="auto"/>
              </w:rPr>
            </w:pPr>
            <w:r>
              <w:rPr>
                <w:rFonts w:ascii="Arial" w:cs="Arial" w:eastAsia="Arial" w:hAnsi="Arial"/>
                <w:sz w:val="20"/>
                <w:szCs w:val="20"/>
                <w:color w:val="231F20"/>
              </w:rPr>
              <w:t>1.1575</w:t>
            </w: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r>
              <w:rPr>
                <w:rFonts w:ascii="Arial" w:cs="Arial" w:eastAsia="Arial" w:hAnsi="Arial"/>
                <w:sz w:val="20"/>
                <w:szCs w:val="20"/>
                <w:color w:val="231F20"/>
              </w:rPr>
              <w:t>Year ended December 31, 2024 . . . . . . . . . . . . . . . . . . . . . . . . . .</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231F20"/>
              </w:rPr>
              <w:t>113</w:t>
            </w:r>
          </w:p>
        </w:tc>
        <w:tc>
          <w:tcPr>
            <w:tcW w:w="680" w:type="dxa"/>
            <w:vAlign w:val="bottom"/>
            <w:gridSpan w:val="2"/>
          </w:tcPr>
          <w:p>
            <w:pPr>
              <w:ind w:left="200"/>
              <w:spacing w:after="0"/>
              <w:rPr>
                <w:sz w:val="20"/>
                <w:szCs w:val="20"/>
                <w:color w:val="auto"/>
              </w:rPr>
            </w:pPr>
            <w:r>
              <w:rPr>
                <w:rFonts w:ascii="Arial" w:cs="Arial" w:eastAsia="Arial" w:hAnsi="Arial"/>
                <w:sz w:val="20"/>
                <w:szCs w:val="20"/>
                <w:color w:val="231F20"/>
              </w:rPr>
              <w:t>$</w:t>
            </w:r>
          </w:p>
        </w:tc>
        <w:tc>
          <w:tcPr>
            <w:tcW w:w="1100" w:type="dxa"/>
            <w:vAlign w:val="bottom"/>
          </w:tcPr>
          <w:p>
            <w:pPr>
              <w:jc w:val="right"/>
              <w:spacing w:after="0"/>
              <w:rPr>
                <w:sz w:val="20"/>
                <w:szCs w:val="20"/>
                <w:color w:val="auto"/>
              </w:rPr>
            </w:pPr>
            <w:r>
              <w:rPr>
                <w:rFonts w:ascii="Arial" w:cs="Arial" w:eastAsia="Arial" w:hAnsi="Arial"/>
                <w:sz w:val="20"/>
                <w:szCs w:val="20"/>
                <w:color w:val="231F20"/>
              </w:rPr>
              <w:t>1.3950</w:t>
            </w: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r>
              <w:rPr>
                <w:rFonts w:ascii="Arial" w:cs="Arial" w:eastAsia="Arial" w:hAnsi="Arial"/>
                <w:sz w:val="20"/>
                <w:szCs w:val="20"/>
                <w:color w:val="231F20"/>
              </w:rPr>
              <w:t>Year ended December 31, 2025 . . . . . . . . . . . . . . . . . . . . . . . . . .</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231F20"/>
              </w:rPr>
              <w:t>136</w:t>
            </w:r>
          </w:p>
        </w:tc>
        <w:tc>
          <w:tcPr>
            <w:tcW w:w="680" w:type="dxa"/>
            <w:vAlign w:val="bottom"/>
            <w:gridSpan w:val="2"/>
          </w:tcPr>
          <w:p>
            <w:pPr>
              <w:ind w:left="200"/>
              <w:spacing w:after="0"/>
              <w:rPr>
                <w:sz w:val="20"/>
                <w:szCs w:val="20"/>
                <w:color w:val="auto"/>
              </w:rPr>
            </w:pPr>
            <w:r>
              <w:rPr>
                <w:rFonts w:ascii="Arial" w:cs="Arial" w:eastAsia="Arial" w:hAnsi="Arial"/>
                <w:sz w:val="20"/>
                <w:szCs w:val="20"/>
                <w:color w:val="231F20"/>
              </w:rPr>
              <w:t>$</w:t>
            </w:r>
          </w:p>
        </w:tc>
        <w:tc>
          <w:tcPr>
            <w:tcW w:w="1100" w:type="dxa"/>
            <w:vAlign w:val="bottom"/>
          </w:tcPr>
          <w:p>
            <w:pPr>
              <w:jc w:val="right"/>
              <w:spacing w:after="0"/>
              <w:rPr>
                <w:sz w:val="20"/>
                <w:szCs w:val="20"/>
                <w:color w:val="auto"/>
              </w:rPr>
            </w:pPr>
            <w:r>
              <w:rPr>
                <w:rFonts w:ascii="Arial" w:cs="Arial" w:eastAsia="Arial" w:hAnsi="Arial"/>
                <w:sz w:val="20"/>
                <w:szCs w:val="20"/>
                <w:color w:val="231F20"/>
              </w:rPr>
              <w:t>1.5675</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820" w:type="dxa"/>
            <w:vAlign w:val="bottom"/>
          </w:tcPr>
          <w:p>
            <w:pPr>
              <w:spacing w:after="0"/>
              <w:rPr>
                <w:sz w:val="23"/>
                <w:szCs w:val="23"/>
                <w:color w:val="auto"/>
              </w:rPr>
            </w:pPr>
          </w:p>
        </w:tc>
        <w:tc>
          <w:tcPr>
            <w:tcW w:w="240" w:type="dxa"/>
            <w:vAlign w:val="bottom"/>
          </w:tcPr>
          <w:p>
            <w:pPr>
              <w:jc w:val="right"/>
              <w:ind w:right="20"/>
              <w:spacing w:after="0"/>
              <w:rPr>
                <w:sz w:val="20"/>
                <w:szCs w:val="20"/>
                <w:color w:val="auto"/>
              </w:rPr>
            </w:pPr>
            <w:r>
              <w:rPr>
                <w:rFonts w:ascii="Arial" w:cs="Arial" w:eastAsia="Arial" w:hAnsi="Arial"/>
                <w:sz w:val="20"/>
                <w:szCs w:val="20"/>
                <w:color w:val="231F20"/>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231F20"/>
              </w:rPr>
              <w:t>330</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Share Repurchase Program</w:t>
      </w:r>
    </w:p>
    <w:p>
      <w:pPr>
        <w:spacing w:after="0" w:line="213"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 xml:space="preserve">Our Board of Directors authorized a Share Repurchase Program to acquire up to $1.78 billion of our common stock through December 31, 2027. This includes a recent increase of $430 million and extension approved by our Board of Directors on February 24, 2026. After the increase and shares repurchased in January 2026, we had approximately $600 million of remaining unused capacity under this program as of February 28, 2026. For additional information, see </w:t>
      </w:r>
      <w:r>
        <w:rPr>
          <w:rFonts w:ascii="Arial" w:cs="Arial" w:eastAsia="Arial" w:hAnsi="Arial"/>
          <w:sz w:val="20"/>
          <w:szCs w:val="20"/>
          <w:i w:val="1"/>
          <w:iCs w:val="1"/>
          <w:color w:val="231F20"/>
        </w:rPr>
        <w:t>Part II, Item 8 – Financial</w:t>
      </w:r>
      <w:r>
        <w:rPr>
          <w:rFonts w:ascii="Arial" w:cs="Arial" w:eastAsia="Arial" w:hAnsi="Arial"/>
          <w:sz w:val="20"/>
          <w:szCs w:val="20"/>
          <w:color w:val="231F20"/>
        </w:rPr>
        <w:t xml:space="preserve"> </w:t>
      </w:r>
      <w:r>
        <w:rPr>
          <w:rFonts w:ascii="Arial" w:cs="Arial" w:eastAsia="Arial" w:hAnsi="Arial"/>
          <w:sz w:val="20"/>
          <w:szCs w:val="20"/>
          <w:i w:val="1"/>
          <w:iCs w:val="1"/>
          <w:color w:val="231F20"/>
        </w:rPr>
        <w:t>Statements and Supplementary Data, Note 19 Subsequent Events.</w:t>
      </w:r>
    </w:p>
    <w:p>
      <w:pPr>
        <w:spacing w:after="0" w:line="206"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231F20"/>
              </w:rPr>
              <w:t>Total Number of</w:t>
            </w:r>
          </w:p>
        </w:tc>
        <w:tc>
          <w:tcPr>
            <w:tcW w:w="100" w:type="dxa"/>
            <w:vAlign w:val="bottom"/>
          </w:tcPr>
          <w:p>
            <w:pPr>
              <w:spacing w:after="0"/>
              <w:rPr>
                <w:sz w:val="19"/>
                <w:szCs w:val="19"/>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20"/>
                <w:szCs w:val="20"/>
                <w:b w:val="1"/>
                <w:bCs w:val="1"/>
                <w:color w:val="231F20"/>
                <w:w w:val="99"/>
              </w:rPr>
              <w:t>Dollar Value of</w:t>
            </w:r>
          </w:p>
        </w:tc>
        <w:tc>
          <w:tcPr>
            <w:tcW w:w="1920" w:type="dxa"/>
            <w:vAlign w:val="bottom"/>
            <w:gridSpan w:val="2"/>
          </w:tcPr>
          <w:p>
            <w:pPr>
              <w:jc w:val="center"/>
              <w:spacing w:after="0"/>
              <w:rPr>
                <w:sz w:val="20"/>
                <w:szCs w:val="20"/>
                <w:color w:val="auto"/>
              </w:rPr>
            </w:pPr>
            <w:r>
              <w:rPr>
                <w:rFonts w:ascii="Arial" w:cs="Arial" w:eastAsia="Arial" w:hAnsi="Arial"/>
                <w:sz w:val="20"/>
                <w:szCs w:val="20"/>
                <w:b w:val="1"/>
                <w:bCs w:val="1"/>
                <w:color w:val="231F20"/>
              </w:rPr>
              <w:t>Average Price Paid</w:t>
            </w:r>
          </w:p>
        </w:tc>
      </w:tr>
      <w:tr>
        <w:trPr>
          <w:trHeight w:val="248"/>
        </w:trPr>
        <w:tc>
          <w:tcPr>
            <w:tcW w:w="3420" w:type="dxa"/>
            <w:vAlign w:val="bottom"/>
          </w:tcPr>
          <w:p>
            <w:pPr>
              <w:spacing w:after="0"/>
              <w:rPr>
                <w:sz w:val="21"/>
                <w:szCs w:val="21"/>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231F20"/>
                <w:w w:val="99"/>
              </w:rPr>
              <w:t>Shares Purchased</w:t>
            </w:r>
          </w:p>
        </w:tc>
        <w:tc>
          <w:tcPr>
            <w:tcW w:w="1940" w:type="dxa"/>
            <w:vAlign w:val="bottom"/>
            <w:gridSpan w:val="4"/>
          </w:tcPr>
          <w:p>
            <w:pPr>
              <w:jc w:val="center"/>
              <w:spacing w:after="0"/>
              <w:rPr>
                <w:sz w:val="20"/>
                <w:szCs w:val="20"/>
                <w:color w:val="auto"/>
              </w:rPr>
            </w:pPr>
            <w:r>
              <w:rPr>
                <w:rFonts w:ascii="Arial" w:cs="Arial" w:eastAsia="Arial" w:hAnsi="Arial"/>
                <w:sz w:val="20"/>
                <w:szCs w:val="20"/>
                <w:b w:val="1"/>
                <w:bCs w:val="1"/>
                <w:color w:val="231F20"/>
              </w:rPr>
              <w:t>Shares Purchased</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231F20"/>
                <w:w w:val="99"/>
              </w:rPr>
              <w:t>per Share</w:t>
            </w:r>
          </w:p>
        </w:tc>
      </w:tr>
      <w:tr>
        <w:trPr>
          <w:trHeight w:val="216"/>
        </w:trPr>
        <w:tc>
          <w:tcPr>
            <w:tcW w:w="3420" w:type="dxa"/>
            <w:vAlign w:val="bottom"/>
          </w:tcPr>
          <w:p>
            <w:pPr>
              <w:spacing w:after="0"/>
              <w:rPr>
                <w:sz w:val="18"/>
                <w:szCs w:val="18"/>
                <w:color w:val="auto"/>
              </w:rPr>
            </w:pPr>
          </w:p>
        </w:tc>
        <w:tc>
          <w:tcPr>
            <w:tcW w:w="1740" w:type="dxa"/>
            <w:vAlign w:val="bottom"/>
            <w:tcBorders>
              <w:top w:val="single" w:sz="8" w:color="231F20"/>
            </w:tcBorders>
          </w:tcPr>
          <w:p>
            <w:pPr>
              <w:jc w:val="center"/>
              <w:spacing w:after="0"/>
              <w:rPr>
                <w:sz w:val="20"/>
                <w:szCs w:val="20"/>
                <w:color w:val="auto"/>
              </w:rPr>
            </w:pPr>
            <w:r>
              <w:rPr>
                <w:rFonts w:ascii="Arial" w:cs="Arial" w:eastAsia="Arial" w:hAnsi="Arial"/>
                <w:sz w:val="18"/>
                <w:szCs w:val="18"/>
                <w:color w:val="231F20"/>
                <w:w w:val="99"/>
              </w:rPr>
              <w:t>(number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top w:val="single" w:sz="8" w:color="231F20"/>
            </w:tcBorders>
            <w:gridSpan w:val="2"/>
          </w:tcPr>
          <w:p>
            <w:pPr>
              <w:jc w:val="center"/>
              <w:spacing w:after="0"/>
              <w:rPr>
                <w:sz w:val="20"/>
                <w:szCs w:val="20"/>
                <w:color w:val="auto"/>
              </w:rPr>
            </w:pPr>
            <w:r>
              <w:rPr>
                <w:rFonts w:ascii="Arial" w:cs="Arial" w:eastAsia="Arial" w:hAnsi="Arial"/>
                <w:sz w:val="18"/>
                <w:szCs w:val="18"/>
                <w:color w:val="231F20"/>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231F20"/>
            </w:tcBorders>
          </w:tcPr>
          <w:p>
            <w:pPr>
              <w:jc w:val="center"/>
              <w:spacing w:after="0"/>
              <w:rPr>
                <w:sz w:val="20"/>
                <w:szCs w:val="20"/>
                <w:color w:val="auto"/>
              </w:rPr>
            </w:pPr>
            <w:r>
              <w:rPr>
                <w:rFonts w:ascii="Arial" w:cs="Arial" w:eastAsia="Arial" w:hAnsi="Arial"/>
                <w:sz w:val="18"/>
                <w:szCs w:val="18"/>
                <w:color w:val="231F20"/>
                <w:w w:val="98"/>
              </w:rPr>
              <w:t>($ per share)</w:t>
            </w:r>
          </w:p>
        </w:tc>
      </w:tr>
      <w:tr>
        <w:trPr>
          <w:trHeight w:val="244"/>
        </w:trPr>
        <w:tc>
          <w:tcPr>
            <w:tcW w:w="3420" w:type="dxa"/>
            <w:vAlign w:val="bottom"/>
          </w:tcPr>
          <w:p>
            <w:pPr>
              <w:spacing w:after="0"/>
              <w:rPr>
                <w:sz w:val="20"/>
                <w:szCs w:val="20"/>
                <w:color w:val="auto"/>
              </w:rPr>
            </w:pPr>
            <w:r>
              <w:rPr>
                <w:rFonts w:ascii="Arial" w:cs="Arial" w:eastAsia="Arial" w:hAnsi="Arial"/>
                <w:sz w:val="20"/>
                <w:szCs w:val="20"/>
                <w:color w:val="231F20"/>
              </w:rPr>
              <w:t>Year ended December 31, 2023 . . .</w:t>
            </w:r>
          </w:p>
        </w:tc>
        <w:tc>
          <w:tcPr>
            <w:tcW w:w="1740" w:type="dxa"/>
            <w:vAlign w:val="bottom"/>
          </w:tcPr>
          <w:p>
            <w:pPr>
              <w:jc w:val="right"/>
              <w:ind w:right="261"/>
              <w:spacing w:after="0"/>
              <w:rPr>
                <w:sz w:val="20"/>
                <w:szCs w:val="20"/>
                <w:color w:val="auto"/>
              </w:rPr>
            </w:pPr>
            <w:r>
              <w:rPr>
                <w:rFonts w:ascii="Arial" w:cs="Arial" w:eastAsia="Arial" w:hAnsi="Arial"/>
                <w:sz w:val="20"/>
                <w:szCs w:val="20"/>
                <w:color w:val="231F20"/>
              </w:rPr>
              <w:t>3,407,655</w:t>
            </w: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460"/>
              <w:spacing w:after="0"/>
              <w:rPr>
                <w:sz w:val="20"/>
                <w:szCs w:val="20"/>
                <w:color w:val="auto"/>
              </w:rPr>
            </w:pPr>
            <w:r>
              <w:rPr>
                <w:rFonts w:ascii="Arial" w:cs="Arial" w:eastAsia="Arial" w:hAnsi="Arial"/>
                <w:sz w:val="20"/>
                <w:szCs w:val="20"/>
                <w:color w:val="231F20"/>
              </w:rPr>
              <w:t>143</w:t>
            </w:r>
          </w:p>
        </w:tc>
        <w:tc>
          <w:tcPr>
            <w:tcW w:w="100" w:type="dxa"/>
            <w:vAlign w:val="bottom"/>
          </w:tcPr>
          <w:p>
            <w:pPr>
              <w:spacing w:after="0"/>
              <w:rPr>
                <w:sz w:val="21"/>
                <w:szCs w:val="21"/>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color w:val="231F20"/>
              </w:rPr>
              <w:t>$41.69</w:t>
            </w: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231F20"/>
              </w:rPr>
              <w:t>Year ended December 31, 2024 . . .</w:t>
            </w:r>
          </w:p>
        </w:tc>
        <w:tc>
          <w:tcPr>
            <w:tcW w:w="1740" w:type="dxa"/>
            <w:vAlign w:val="bottom"/>
          </w:tcPr>
          <w:p>
            <w:pPr>
              <w:jc w:val="right"/>
              <w:ind w:right="261"/>
              <w:spacing w:after="0"/>
              <w:rPr>
                <w:sz w:val="20"/>
                <w:szCs w:val="20"/>
                <w:color w:val="auto"/>
              </w:rPr>
            </w:pPr>
            <w:r>
              <w:rPr>
                <w:rFonts w:ascii="Arial" w:cs="Arial" w:eastAsia="Arial" w:hAnsi="Arial"/>
                <w:sz w:val="20"/>
                <w:szCs w:val="20"/>
                <w:color w:val="231F20"/>
              </w:rPr>
              <w:t>3,649,348</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460"/>
              <w:spacing w:after="0"/>
              <w:rPr>
                <w:sz w:val="20"/>
                <w:szCs w:val="20"/>
                <w:color w:val="auto"/>
              </w:rPr>
            </w:pPr>
            <w:r>
              <w:rPr>
                <w:rFonts w:ascii="Arial" w:cs="Arial" w:eastAsia="Arial" w:hAnsi="Arial"/>
                <w:sz w:val="20"/>
                <w:szCs w:val="20"/>
                <w:color w:val="231F20"/>
              </w:rPr>
              <w:t>192</w:t>
            </w:r>
          </w:p>
        </w:tc>
        <w:tc>
          <w:tcPr>
            <w:tcW w:w="10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color w:val="231F20"/>
              </w:rPr>
              <w:t>$52.12</w:t>
            </w: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231F20"/>
              </w:rPr>
              <w:t>Year ended December 31, 2025 . . .</w:t>
            </w:r>
          </w:p>
        </w:tc>
        <w:tc>
          <w:tcPr>
            <w:tcW w:w="1740" w:type="dxa"/>
            <w:vAlign w:val="bottom"/>
          </w:tcPr>
          <w:p>
            <w:pPr>
              <w:jc w:val="right"/>
              <w:ind w:right="261"/>
              <w:spacing w:after="0"/>
              <w:rPr>
                <w:sz w:val="20"/>
                <w:szCs w:val="20"/>
                <w:color w:val="auto"/>
              </w:rPr>
            </w:pPr>
            <w:r>
              <w:rPr>
                <w:rFonts w:ascii="Arial" w:cs="Arial" w:eastAsia="Arial" w:hAnsi="Arial"/>
                <w:sz w:val="20"/>
                <w:szCs w:val="20"/>
                <w:color w:val="231F20"/>
              </w:rPr>
              <w:t>8,328,263</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460"/>
              <w:spacing w:after="0"/>
              <w:rPr>
                <w:sz w:val="20"/>
                <w:szCs w:val="20"/>
                <w:color w:val="auto"/>
              </w:rPr>
            </w:pPr>
            <w:r>
              <w:rPr>
                <w:rFonts w:ascii="Arial" w:cs="Arial" w:eastAsia="Arial" w:hAnsi="Arial"/>
                <w:sz w:val="20"/>
                <w:szCs w:val="20"/>
                <w:color w:val="231F20"/>
              </w:rPr>
              <w:t>377</w:t>
            </w:r>
          </w:p>
        </w:tc>
        <w:tc>
          <w:tcPr>
            <w:tcW w:w="10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color w:val="231F20"/>
              </w:rPr>
              <w:t>$45.29</w:t>
            </w: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231F20"/>
              </w:rPr>
              <w:t>Inception of Program (May 2021)</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0"/>
        </w:trPr>
        <w:tc>
          <w:tcPr>
            <w:tcW w:w="3420" w:type="dxa"/>
            <w:vAlign w:val="bottom"/>
          </w:tcPr>
          <w:p>
            <w:pPr>
              <w:ind w:left="200"/>
              <w:spacing w:after="0"/>
              <w:rPr>
                <w:sz w:val="20"/>
                <w:szCs w:val="20"/>
                <w:color w:val="auto"/>
              </w:rPr>
            </w:pPr>
            <w:r>
              <w:rPr>
                <w:rFonts w:ascii="Arial" w:cs="Arial" w:eastAsia="Arial" w:hAnsi="Arial"/>
                <w:sz w:val="20"/>
                <w:szCs w:val="20"/>
                <w:color w:val="231F20"/>
              </w:rPr>
              <w:t>through December 31, 2025 . . . . .</w:t>
            </w:r>
          </w:p>
        </w:tc>
        <w:tc>
          <w:tcPr>
            <w:tcW w:w="1740" w:type="dxa"/>
            <w:vAlign w:val="bottom"/>
          </w:tcPr>
          <w:p>
            <w:pPr>
              <w:jc w:val="right"/>
              <w:ind w:right="261"/>
              <w:spacing w:after="0"/>
              <w:rPr>
                <w:sz w:val="20"/>
                <w:szCs w:val="20"/>
                <w:color w:val="auto"/>
              </w:rPr>
            </w:pPr>
            <w:r>
              <w:rPr>
                <w:rFonts w:ascii="Arial" w:cs="Arial" w:eastAsia="Arial" w:hAnsi="Arial"/>
                <w:sz w:val="20"/>
                <w:szCs w:val="20"/>
                <w:color w:val="231F20"/>
              </w:rPr>
              <w:t>26,841,526</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460"/>
              <w:spacing w:after="0"/>
              <w:rPr>
                <w:sz w:val="20"/>
                <w:szCs w:val="20"/>
                <w:color w:val="auto"/>
              </w:rPr>
            </w:pPr>
            <w:r>
              <w:rPr>
                <w:rFonts w:ascii="Arial" w:cs="Arial" w:eastAsia="Arial" w:hAnsi="Arial"/>
                <w:sz w:val="20"/>
                <w:szCs w:val="20"/>
                <w:color w:val="231F20"/>
                <w:w w:val="95"/>
              </w:rPr>
              <w:t>1,173</w:t>
            </w:r>
          </w:p>
        </w:tc>
        <w:tc>
          <w:tcPr>
            <w:tcW w:w="10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Arial" w:cs="Arial" w:eastAsia="Arial" w:hAnsi="Arial"/>
                <w:sz w:val="20"/>
                <w:szCs w:val="20"/>
                <w:color w:val="231F20"/>
              </w:rPr>
              <w:t>$43.59</w:t>
            </w:r>
          </w:p>
        </w:tc>
      </w:tr>
    </w:tbl>
    <w:p>
      <w:pPr>
        <w:spacing w:after="0" w:line="13"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231F20"/>
        </w:rPr>
        <w:t>Note: The total value of shares purchased includes approximately $2 million and $1 million in the years ended December 31, 2024 and 2023 related to excise taxes on share repurchases. Excise taxes in 2025 were insignificant and include a reversal for 2024 excise taxes that were no longer due. Commissions paid were not significant in all periods presented.</w:t>
      </w:r>
    </w:p>
    <w:p>
      <w:pPr>
        <w:sectPr>
          <w:pgSz w:w="11880" w:h="15480" w:orient="portrait"/>
          <w:cols w:equalWidth="0" w:num="1">
            <w:col w:w="9120"/>
          </w:cols>
          <w:pgMar w:left="1380" w:top="1312" w:right="1380" w:bottom="655"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75</w:t>
      </w:r>
    </w:p>
    <w:p>
      <w:pPr>
        <w:sectPr>
          <w:pgSz w:w="11880" w:h="15480" w:orient="portrait"/>
          <w:cols w:equalWidth="0" w:num="1">
            <w:col w:w="9120"/>
          </w:cols>
          <w:pgMar w:left="1380" w:top="1312" w:right="1380" w:bottom="655"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b w:val="1"/>
          <w:bCs w:val="1"/>
          <w:color w:val="231F20"/>
        </w:rPr>
        <w:t>Uses of Cash</w:t>
      </w:r>
    </w:p>
    <w:p>
      <w:pPr>
        <w:spacing w:after="0" w:line="19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At current commodity prices, we expect to generate operating cash flow to support and invest in our assets as part of our planned 2026 capital program described below. We regularly review our financial position, commodity prices, market conditions and other considerations to evaluate and optimize the deployment of our cash. We believe we have sufficient sources of liquidity to meet our obligations for the next twelve months.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2026 Capital Program</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We expect our total 2026 capital program to range between $430 million and $470 million. Of this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amount, $410 million to $435 million is related to our oil and natural gas segment, $12 million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$20 million is for our carbon management segment and $8 million to $15 million is for corporate 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other activities. The above amounts related to carbon management projects do not include amounts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funded by Brookfield through the Carbon TerraVault JV, such as drilling injection and monitoring wells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 xml:space="preserve">at our 26R reservoir. See </w:t>
      </w:r>
      <w:r>
        <w:rPr>
          <w:rFonts w:ascii="Arial" w:cs="Arial" w:eastAsia="Arial" w:hAnsi="Arial"/>
          <w:sz w:val="20"/>
          <w:szCs w:val="20"/>
          <w:i w:val="1"/>
          <w:iCs w:val="1"/>
          <w:color w:val="231F20"/>
        </w:rPr>
        <w:t>Part II, Item 8 – Financial Statements and Supplementary Data, Note 4</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 xml:space="preserve">Investments and Related Party Transactions </w:t>
      </w:r>
      <w:r>
        <w:rPr>
          <w:rFonts w:ascii="Arial" w:cs="Arial" w:eastAsia="Arial" w:hAnsi="Arial"/>
          <w:sz w:val="20"/>
          <w:szCs w:val="20"/>
          <w:color w:val="231F20"/>
        </w:rPr>
        <w:t>for more information on our joint venture with Brookfield.</w:t>
      </w:r>
    </w:p>
    <w:p>
      <w:pPr>
        <w:spacing w:after="0" w:line="191" w:lineRule="exact"/>
        <w:rPr>
          <w:sz w:val="20"/>
          <w:szCs w:val="20"/>
          <w:color w:val="auto"/>
        </w:rPr>
      </w:pPr>
    </w:p>
    <w:p>
      <w:pPr>
        <w:ind w:right="80" w:firstLine="300"/>
        <w:spacing w:after="0" w:line="250" w:lineRule="auto"/>
        <w:rPr>
          <w:sz w:val="20"/>
          <w:szCs w:val="20"/>
          <w:color w:val="auto"/>
        </w:rPr>
      </w:pPr>
      <w:r>
        <w:rPr>
          <w:rFonts w:ascii="Arial" w:cs="Arial" w:eastAsia="Arial" w:hAnsi="Arial"/>
          <w:sz w:val="20"/>
          <w:szCs w:val="20"/>
          <w:i w:val="1"/>
          <w:iCs w:val="1"/>
          <w:color w:val="231F20"/>
        </w:rPr>
        <w:t xml:space="preserve">Oil and natural gas segment – </w:t>
      </w:r>
      <w:r>
        <w:rPr>
          <w:rFonts w:ascii="Arial" w:cs="Arial" w:eastAsia="Arial" w:hAnsi="Arial"/>
          <w:sz w:val="20"/>
          <w:szCs w:val="20"/>
          <w:color w:val="231F20"/>
        </w:rPr>
        <w:t>With respect to oil and natural gas development, we expect to run a</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four rig program in 2026. We currently hold the majority of permits necessary to undertake our 2026 capital program. We expect to obtain additional new well permits for the remainder of our 2026 capital program on a timely basis. For more information on permitting, refer to </w:t>
      </w:r>
      <w:r>
        <w:rPr>
          <w:rFonts w:ascii="Arial" w:cs="Arial" w:eastAsia="Arial" w:hAnsi="Arial"/>
          <w:sz w:val="20"/>
          <w:szCs w:val="20"/>
          <w:i w:val="1"/>
          <w:iCs w:val="1"/>
          <w:color w:val="231F20"/>
        </w:rPr>
        <w:t>Part I, Item 1 and 2 – Business</w:t>
      </w:r>
      <w:r>
        <w:rPr>
          <w:rFonts w:ascii="Arial" w:cs="Arial" w:eastAsia="Arial" w:hAnsi="Arial"/>
          <w:sz w:val="20"/>
          <w:szCs w:val="20"/>
          <w:color w:val="231F20"/>
        </w:rPr>
        <w:t xml:space="preserve"> </w:t>
      </w:r>
      <w:r>
        <w:rPr>
          <w:rFonts w:ascii="Arial" w:cs="Arial" w:eastAsia="Arial" w:hAnsi="Arial"/>
          <w:sz w:val="20"/>
          <w:szCs w:val="20"/>
          <w:i w:val="1"/>
          <w:iCs w:val="1"/>
          <w:color w:val="231F20"/>
        </w:rPr>
        <w:t>and Properties, Regulation of the Industries in Which We Operate, Regulation of Exploration and Production Activities</w:t>
      </w:r>
      <w:r>
        <w:rPr>
          <w:rFonts w:ascii="Arial" w:cs="Arial" w:eastAsia="Arial" w:hAnsi="Arial"/>
          <w:sz w:val="20"/>
          <w:szCs w:val="20"/>
          <w:color w:val="231F20"/>
        </w:rPr>
        <w:t>.</w:t>
      </w:r>
    </w:p>
    <w:p>
      <w:pPr>
        <w:spacing w:after="0" w:line="181"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i w:val="1"/>
          <w:iCs w:val="1"/>
          <w:color w:val="231F20"/>
        </w:rPr>
        <w:t xml:space="preserve">Carbon management segment – </w:t>
      </w:r>
      <w:r>
        <w:rPr>
          <w:rFonts w:ascii="Arial" w:cs="Arial" w:eastAsia="Arial" w:hAnsi="Arial"/>
          <w:sz w:val="20"/>
          <w:szCs w:val="20"/>
          <w:color w:val="231F20"/>
        </w:rPr>
        <w:t>Our 2026 capital for carbon management projects includes</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approximately $15 million for the completion of the carbon capture project at our cryogenic gas processing facility at Elk Hills. This gas processing facility is adjacent to the 26R storage reservoir held by Carbon TerraVault JV. For more information this project, refer to </w:t>
      </w:r>
      <w:r>
        <w:rPr>
          <w:rFonts w:ascii="Arial" w:cs="Arial" w:eastAsia="Arial" w:hAnsi="Arial"/>
          <w:sz w:val="20"/>
          <w:szCs w:val="20"/>
          <w:i w:val="1"/>
          <w:iCs w:val="1"/>
          <w:color w:val="231F20"/>
        </w:rPr>
        <w:t>Part I, Item 1 and 2 – Business</w:t>
      </w:r>
      <w:r>
        <w:rPr>
          <w:rFonts w:ascii="Arial" w:cs="Arial" w:eastAsia="Arial" w:hAnsi="Arial"/>
          <w:sz w:val="20"/>
          <w:szCs w:val="20"/>
          <w:color w:val="231F20"/>
        </w:rPr>
        <w:t xml:space="preserve"> </w:t>
      </w:r>
      <w:r>
        <w:rPr>
          <w:rFonts w:ascii="Arial" w:cs="Arial" w:eastAsia="Arial" w:hAnsi="Arial"/>
          <w:sz w:val="20"/>
          <w:szCs w:val="20"/>
          <w:i w:val="1"/>
          <w:iCs w:val="1"/>
          <w:color w:val="231F20"/>
        </w:rPr>
        <w:t>and Properties, Carbon Management Segment</w:t>
      </w:r>
      <w:r>
        <w:rPr>
          <w:rFonts w:ascii="Arial" w:cs="Arial" w:eastAsia="Arial" w:hAnsi="Arial"/>
          <w:sz w:val="20"/>
          <w:szCs w:val="20"/>
          <w:color w:val="231F20"/>
        </w:rPr>
        <w:t>.</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Other Uses of Cash</w:t>
      </w:r>
    </w:p>
    <w:p>
      <w:pPr>
        <w:spacing w:after="0" w:line="193" w:lineRule="exact"/>
        <w:rPr>
          <w:sz w:val="20"/>
          <w:szCs w:val="20"/>
          <w:color w:val="auto"/>
        </w:rPr>
      </w:pPr>
    </w:p>
    <w:p>
      <w:pPr>
        <w:ind w:right="80" w:firstLine="300"/>
        <w:spacing w:after="0" w:line="247" w:lineRule="auto"/>
        <w:rPr>
          <w:sz w:val="20"/>
          <w:szCs w:val="20"/>
          <w:color w:val="auto"/>
        </w:rPr>
      </w:pPr>
      <w:r>
        <w:rPr>
          <w:rFonts w:ascii="Arial" w:cs="Arial" w:eastAsia="Arial" w:hAnsi="Arial"/>
          <w:sz w:val="20"/>
          <w:szCs w:val="20"/>
          <w:color w:val="231F20"/>
        </w:rPr>
        <w:t>Other than our 2026 capital program, our expected material uses of cash during 2026 may include, subject to available liquidity, commodity prices, market conditions and other considerations, one or more of the following: (1) operating expenses; (2) dividends, share and debt repurchases;</w:t>
      </w:r>
    </w:p>
    <w:p>
      <w:pPr>
        <w:spacing w:after="0" w:line="5" w:lineRule="exact"/>
        <w:rPr>
          <w:sz w:val="20"/>
          <w:szCs w:val="20"/>
          <w:color w:val="auto"/>
        </w:rPr>
      </w:pPr>
    </w:p>
    <w:p>
      <w:pPr>
        <w:ind w:left="300" w:hanging="300"/>
        <w:spacing w:after="0"/>
        <w:tabs>
          <w:tab w:leader="none" w:pos="300" w:val="left"/>
        </w:tabs>
        <w:numPr>
          <w:ilvl w:val="0"/>
          <w:numId w:val="45"/>
        </w:numPr>
        <w:rPr>
          <w:rFonts w:ascii="Arial" w:cs="Arial" w:eastAsia="Arial" w:hAnsi="Arial"/>
          <w:sz w:val="20"/>
          <w:szCs w:val="20"/>
          <w:color w:val="231F20"/>
        </w:rPr>
      </w:pPr>
      <w:r>
        <w:rPr>
          <w:rFonts w:ascii="Arial" w:cs="Arial" w:eastAsia="Arial" w:hAnsi="Arial"/>
          <w:sz w:val="20"/>
          <w:szCs w:val="20"/>
          <w:color w:val="231F20"/>
        </w:rPr>
        <w:t>settlements on commodity derivative contracts; (4) income taxes and other taxes not on income;</w:t>
      </w:r>
    </w:p>
    <w:p>
      <w:pPr>
        <w:spacing w:after="0" w:line="14" w:lineRule="exact"/>
        <w:rPr>
          <w:rFonts w:ascii="Arial" w:cs="Arial" w:eastAsia="Arial" w:hAnsi="Arial"/>
          <w:sz w:val="20"/>
          <w:szCs w:val="20"/>
          <w:color w:val="231F20"/>
        </w:rPr>
      </w:pPr>
    </w:p>
    <w:p>
      <w:pPr>
        <w:ind w:right="500"/>
        <w:spacing w:after="0" w:line="247" w:lineRule="auto"/>
        <w:tabs>
          <w:tab w:leader="none" w:pos="301" w:val="left"/>
        </w:tabs>
        <w:numPr>
          <w:ilvl w:val="0"/>
          <w:numId w:val="46"/>
        </w:numPr>
        <w:rPr>
          <w:rFonts w:ascii="Arial" w:cs="Arial" w:eastAsia="Arial" w:hAnsi="Arial"/>
          <w:sz w:val="20"/>
          <w:szCs w:val="20"/>
          <w:color w:val="231F20"/>
        </w:rPr>
      </w:pPr>
      <w:r>
        <w:rPr>
          <w:rFonts w:ascii="Arial" w:cs="Arial" w:eastAsia="Arial" w:hAnsi="Arial"/>
          <w:sz w:val="20"/>
          <w:szCs w:val="20"/>
          <w:color w:val="231F20"/>
        </w:rPr>
        <w:t>settlement of asset retirement obligations; and (6) costs related to advancing our carbon management activities not included in our capital program, such as employee costs and front-end engineering and design studies.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Our long-term material uses of cash include the following:</w:t>
      </w:r>
    </w:p>
    <w:p>
      <w:pPr>
        <w:spacing w:after="0" w:line="191" w:lineRule="exact"/>
        <w:rPr>
          <w:sz w:val="20"/>
          <w:szCs w:val="20"/>
          <w:color w:val="auto"/>
        </w:rPr>
      </w:pPr>
    </w:p>
    <w:p>
      <w:pPr>
        <w:ind w:left="600" w:right="140" w:hanging="300"/>
        <w:spacing w:after="0" w:line="245" w:lineRule="auto"/>
        <w:tabs>
          <w:tab w:leader="none" w:pos="60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 xml:space="preserve">repayment of principal and interest on our 2029 Senior Notes and 2034 Senior Notes (see </w:t>
      </w:r>
      <w:r>
        <w:rPr>
          <w:rFonts w:ascii="Arial" w:cs="Arial" w:eastAsia="Arial" w:hAnsi="Arial"/>
          <w:sz w:val="20"/>
          <w:szCs w:val="20"/>
          <w:i w:val="1"/>
          <w:iCs w:val="1"/>
          <w:color w:val="231F20"/>
        </w:rPr>
        <w:t>Part</w:t>
      </w:r>
      <w:r>
        <w:rPr>
          <w:rFonts w:ascii="Arial" w:cs="Arial" w:eastAsia="Arial" w:hAnsi="Arial"/>
          <w:sz w:val="20"/>
          <w:szCs w:val="20"/>
          <w:color w:val="231F20"/>
        </w:rPr>
        <w:t xml:space="preserve"> </w:t>
      </w:r>
      <w:r>
        <w:rPr>
          <w:rFonts w:ascii="Arial" w:cs="Arial" w:eastAsia="Arial" w:hAnsi="Arial"/>
          <w:sz w:val="20"/>
          <w:szCs w:val="20"/>
          <w:i w:val="1"/>
          <w:iCs w:val="1"/>
          <w:color w:val="231F20"/>
        </w:rPr>
        <w:t>II, Item 8 – Financial Statements and Supplementary Data, Note 5 Debt</w:t>
      </w:r>
      <w:r>
        <w:rPr>
          <w:rFonts w:ascii="Arial" w:cs="Arial" w:eastAsia="Arial" w:hAnsi="Arial"/>
          <w:sz w:val="20"/>
          <w:szCs w:val="20"/>
          <w:color w:val="231F20"/>
        </w:rPr>
        <w:t>)</w:t>
      </w:r>
    </w:p>
    <w:p>
      <w:pPr>
        <w:spacing w:after="0" w:line="12" w:lineRule="exact"/>
        <w:rPr>
          <w:rFonts w:ascii="Arial" w:cs="Arial" w:eastAsia="Arial" w:hAnsi="Arial"/>
          <w:sz w:val="20"/>
          <w:szCs w:val="20"/>
          <w:color w:val="231F20"/>
        </w:rPr>
      </w:pPr>
    </w:p>
    <w:p>
      <w:pPr>
        <w:ind w:left="600" w:right="180" w:hanging="300"/>
        <w:spacing w:after="0" w:line="246" w:lineRule="auto"/>
        <w:tabs>
          <w:tab w:leader="none" w:pos="60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 xml:space="preserve">operating lease liabilities including our commercial office space, fleet vehicles, easements and certain facilities (see </w:t>
      </w:r>
      <w:r>
        <w:rPr>
          <w:rFonts w:ascii="Arial" w:cs="Arial" w:eastAsia="Arial" w:hAnsi="Arial"/>
          <w:sz w:val="20"/>
          <w:szCs w:val="20"/>
          <w:i w:val="1"/>
          <w:iCs w:val="1"/>
          <w:color w:val="231F20"/>
        </w:rPr>
        <w:t>Part II, Item 8 – Financial Statements and Supplementary Data, Note 13</w:t>
      </w:r>
      <w:r>
        <w:rPr>
          <w:rFonts w:ascii="Arial" w:cs="Arial" w:eastAsia="Arial" w:hAnsi="Arial"/>
          <w:sz w:val="20"/>
          <w:szCs w:val="20"/>
          <w:color w:val="231F20"/>
        </w:rPr>
        <w:t xml:space="preserve"> </w:t>
      </w:r>
      <w:r>
        <w:rPr>
          <w:rFonts w:ascii="Arial" w:cs="Arial" w:eastAsia="Arial" w:hAnsi="Arial"/>
          <w:sz w:val="20"/>
          <w:szCs w:val="20"/>
          <w:i w:val="1"/>
          <w:iCs w:val="1"/>
          <w:color w:val="231F20"/>
        </w:rPr>
        <w:t>Leases)</w:t>
      </w:r>
    </w:p>
    <w:p>
      <w:pPr>
        <w:spacing w:after="0" w:line="10" w:lineRule="exact"/>
        <w:rPr>
          <w:rFonts w:ascii="Arial" w:cs="Arial" w:eastAsia="Arial" w:hAnsi="Arial"/>
          <w:sz w:val="20"/>
          <w:szCs w:val="20"/>
          <w:color w:val="231F20"/>
        </w:rPr>
      </w:pPr>
    </w:p>
    <w:p>
      <w:pPr>
        <w:ind w:left="600" w:right="160" w:hanging="300"/>
        <w:spacing w:after="0" w:line="247" w:lineRule="auto"/>
        <w:tabs>
          <w:tab w:leader="none" w:pos="60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 xml:space="preserve">obligations associated with our defined benefit and post-employment benefit plans (see </w:t>
      </w:r>
      <w:r>
        <w:rPr>
          <w:rFonts w:ascii="Arial" w:cs="Arial" w:eastAsia="Arial" w:hAnsi="Arial"/>
          <w:sz w:val="20"/>
          <w:szCs w:val="20"/>
          <w:i w:val="1"/>
          <w:iCs w:val="1"/>
          <w:color w:val="231F20"/>
        </w:rPr>
        <w:t>Part II,</w:t>
      </w:r>
      <w:r>
        <w:rPr>
          <w:rFonts w:ascii="Arial" w:cs="Arial" w:eastAsia="Arial" w:hAnsi="Arial"/>
          <w:sz w:val="20"/>
          <w:szCs w:val="20"/>
          <w:color w:val="231F20"/>
        </w:rPr>
        <w:t xml:space="preserve"> </w:t>
      </w:r>
      <w:r>
        <w:rPr>
          <w:rFonts w:ascii="Arial" w:cs="Arial" w:eastAsia="Arial" w:hAnsi="Arial"/>
          <w:sz w:val="20"/>
          <w:szCs w:val="20"/>
          <w:i w:val="1"/>
          <w:iCs w:val="1"/>
          <w:color w:val="231F20"/>
        </w:rPr>
        <w:t>Item 8 – Financial Statements and Supplementary Data, Note 14 Pension and Postretirement Benefit Plans</w:t>
      </w:r>
      <w:r>
        <w:rPr>
          <w:rFonts w:ascii="Arial" w:cs="Arial" w:eastAsia="Arial" w:hAnsi="Arial"/>
          <w:sz w:val="20"/>
          <w:szCs w:val="20"/>
          <w:color w:val="231F20"/>
        </w:rPr>
        <w:t>)</w:t>
      </w:r>
    </w:p>
    <w:p>
      <w:pPr>
        <w:spacing w:after="0" w:line="9" w:lineRule="exact"/>
        <w:rPr>
          <w:rFonts w:ascii="Arial" w:cs="Arial" w:eastAsia="Arial" w:hAnsi="Arial"/>
          <w:sz w:val="20"/>
          <w:szCs w:val="20"/>
          <w:color w:val="231F20"/>
        </w:rPr>
      </w:pPr>
    </w:p>
    <w:p>
      <w:pPr>
        <w:ind w:left="600" w:right="20" w:hanging="300"/>
        <w:spacing w:after="0" w:line="247" w:lineRule="auto"/>
        <w:tabs>
          <w:tab w:leader="none" w:pos="600" w:val="left"/>
        </w:tabs>
        <w:numPr>
          <w:ilvl w:val="0"/>
          <w:numId w:val="47"/>
        </w:numPr>
        <w:rPr>
          <w:rFonts w:ascii="Arial" w:cs="Arial" w:eastAsia="Arial" w:hAnsi="Arial"/>
          <w:sz w:val="20"/>
          <w:szCs w:val="20"/>
          <w:color w:val="231F20"/>
        </w:rPr>
      </w:pPr>
      <w:r>
        <w:rPr>
          <w:rFonts w:ascii="Arial" w:cs="Arial" w:eastAsia="Arial" w:hAnsi="Arial"/>
          <w:sz w:val="20"/>
          <w:szCs w:val="20"/>
          <w:color w:val="231F20"/>
        </w:rPr>
        <w:t xml:space="preserve">asset retirement obligations over the longer term (see </w:t>
      </w:r>
      <w:r>
        <w:rPr>
          <w:rFonts w:ascii="Arial" w:cs="Arial" w:eastAsia="Arial" w:hAnsi="Arial"/>
          <w:sz w:val="20"/>
          <w:szCs w:val="20"/>
          <w:i w:val="1"/>
          <w:iCs w:val="1"/>
          <w:color w:val="231F20"/>
        </w:rPr>
        <w:t>Part II, Item 8 – Financial Statements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Supplementary Data, Note 1 Nature of Business, Summary of Significant Accounting Policies and Other, Asset Retirement Obligations</w:t>
      </w:r>
      <w:r>
        <w:rPr>
          <w:rFonts w:ascii="Arial" w:cs="Arial" w:eastAsia="Arial" w:hAnsi="Arial"/>
          <w:sz w:val="20"/>
          <w:szCs w:val="20"/>
          <w:color w:val="231F20"/>
        </w:rPr>
        <w:t>)</w:t>
      </w:r>
    </w:p>
    <w:p>
      <w:pPr>
        <w:sectPr>
          <w:pgSz w:w="11880" w:h="15480" w:orient="portrait"/>
          <w:cols w:equalWidth="0" w:num="1">
            <w:col w:w="9100"/>
          </w:cols>
          <w:pgMar w:left="1380" w:top="1310" w:right="1400" w:bottom="653"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76</w:t>
      </w:r>
    </w:p>
    <w:p>
      <w:pPr>
        <w:sectPr>
          <w:pgSz w:w="11880" w:h="15480" w:orient="portrait"/>
          <w:cols w:equalWidth="0" w:num="1">
            <w:col w:w="9100"/>
          </w:cols>
          <w:pgMar w:left="1380" w:top="1310" w:right="1400" w:bottom="653" w:gutter="0" w:footer="0" w:header="0"/>
          <w:type w:val="continuous"/>
        </w:sectPr>
      </w:pPr>
    </w:p>
    <w:bookmarkStart w:id="80" w:name="page81"/>
    <w:bookmarkEnd w:id="80"/>
    <w:p>
      <w:pPr>
        <w:ind w:right="80" w:firstLine="300"/>
        <w:spacing w:after="0" w:line="248" w:lineRule="auto"/>
        <w:rPr>
          <w:sz w:val="20"/>
          <w:szCs w:val="20"/>
          <w:color w:val="auto"/>
        </w:rPr>
      </w:pPr>
      <w:r>
        <w:rPr>
          <w:rFonts w:ascii="Arial" w:cs="Arial" w:eastAsia="Arial" w:hAnsi="Arial"/>
          <w:sz w:val="20"/>
          <w:szCs w:val="20"/>
          <w:color w:val="231F20"/>
        </w:rPr>
        <w:t>We have certain off-balance sheet commitments under contracts, including purchase commitments for goods and services used in the normal course of business such as pipeline transportation capacity, oil and natural gas leases, obligations under long-term service agreements and field equipment. The table below summarizes our undiscounted current and long-term purchase obligations as of December 31,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231F20"/>
              </w:rPr>
              <w:t>One Year or</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231F20"/>
              </w:rPr>
              <w:t>More Than</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490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0"/>
              <w:spacing w:after="0" w:line="228" w:lineRule="exact"/>
              <w:rPr>
                <w:sz w:val="20"/>
                <w:szCs w:val="20"/>
                <w:color w:val="auto"/>
              </w:rPr>
            </w:pPr>
            <w:r>
              <w:rPr>
                <w:rFonts w:ascii="Arial" w:cs="Arial" w:eastAsia="Arial" w:hAnsi="Arial"/>
                <w:sz w:val="20"/>
                <w:szCs w:val="20"/>
                <w:b w:val="1"/>
                <w:bCs w:val="1"/>
                <w:color w:val="231F20"/>
              </w:rPr>
              <w:t>Less</w:t>
            </w:r>
          </w:p>
        </w:tc>
        <w:tc>
          <w:tcPr>
            <w:tcW w:w="200" w:type="dxa"/>
            <w:vAlign w:val="bottom"/>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gridSpan w:val="2"/>
          </w:tcPr>
          <w:p>
            <w:pPr>
              <w:jc w:val="center"/>
              <w:ind w:right="120"/>
              <w:spacing w:after="0" w:line="228" w:lineRule="exact"/>
              <w:rPr>
                <w:sz w:val="20"/>
                <w:szCs w:val="20"/>
                <w:color w:val="auto"/>
              </w:rPr>
            </w:pPr>
            <w:r>
              <w:rPr>
                <w:rFonts w:ascii="Arial" w:cs="Arial" w:eastAsia="Arial" w:hAnsi="Arial"/>
                <w:sz w:val="20"/>
                <w:szCs w:val="20"/>
                <w:b w:val="1"/>
                <w:bCs w:val="1"/>
                <w:color w:val="231F20"/>
              </w:rPr>
              <w:t>One Year</w:t>
            </w:r>
          </w:p>
        </w:tc>
        <w:tc>
          <w:tcPr>
            <w:tcW w:w="200" w:type="dxa"/>
            <w:vAlign w:val="bottom"/>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gridSpan w:val="2"/>
          </w:tcPr>
          <w:p>
            <w:pPr>
              <w:jc w:val="right"/>
              <w:ind w:right="420"/>
              <w:spacing w:after="0" w:line="228" w:lineRule="exact"/>
              <w:rPr>
                <w:sz w:val="20"/>
                <w:szCs w:val="20"/>
                <w:color w:val="auto"/>
              </w:rPr>
            </w:pPr>
            <w:r>
              <w:rPr>
                <w:rFonts w:ascii="Arial" w:cs="Arial" w:eastAsia="Arial" w:hAnsi="Arial"/>
                <w:sz w:val="20"/>
                <w:szCs w:val="20"/>
                <w:b w:val="1"/>
                <w:bCs w:val="1"/>
                <w:color w:val="231F20"/>
              </w:rPr>
              <w:t>Total</w:t>
            </w:r>
          </w:p>
        </w:tc>
      </w:tr>
      <w:tr>
        <w:trPr>
          <w:trHeight w:val="192"/>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color w:val="231F20"/>
              </w:rPr>
              <w:t>(in millions)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20"/>
                <w:szCs w:val="20"/>
                <w:color w:val="231F20"/>
              </w:rPr>
              <w:t>Oil and gas leases, surface easements and pipeline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7"/>
        </w:trPr>
        <w:tc>
          <w:tcPr>
            <w:tcW w:w="4900" w:type="dxa"/>
            <w:vAlign w:val="bottom"/>
          </w:tcPr>
          <w:p>
            <w:pPr>
              <w:spacing w:after="0" w:line="257" w:lineRule="exact"/>
              <w:rPr>
                <w:sz w:val="20"/>
                <w:szCs w:val="20"/>
                <w:color w:val="auto"/>
              </w:rPr>
            </w:pPr>
            <w:r>
              <w:rPr>
                <w:rFonts w:ascii="Arial" w:cs="Arial" w:eastAsia="Arial" w:hAnsi="Arial"/>
                <w:sz w:val="20"/>
                <w:szCs w:val="20"/>
                <w:color w:val="231F20"/>
                <w:w w:val="99"/>
              </w:rPr>
              <w:t>right-of-way</w:t>
            </w:r>
            <w:r>
              <w:rPr>
                <w:rFonts w:ascii="Arial" w:cs="Arial" w:eastAsia="Arial" w:hAnsi="Arial"/>
                <w:sz w:val="26"/>
                <w:szCs w:val="26"/>
                <w:color w:val="231F20"/>
                <w:w w:val="99"/>
                <w:vertAlign w:val="superscript"/>
              </w:rPr>
              <w:t>(a)</w:t>
            </w:r>
            <w:r>
              <w:rPr>
                <w:rFonts w:ascii="Arial" w:cs="Arial" w:eastAsia="Arial" w:hAnsi="Arial"/>
                <w:sz w:val="20"/>
                <w:szCs w:val="20"/>
                <w:color w:val="231F20"/>
                <w:w w:val="99"/>
              </w:rPr>
              <w:t xml:space="preserve">   . . . . . . . . . . . . . . . . . . . . . . . . . . . . . . . .</w:t>
            </w:r>
          </w:p>
        </w:tc>
        <w:tc>
          <w:tcPr>
            <w:tcW w:w="240" w:type="dxa"/>
            <w:vAlign w:val="bottom"/>
          </w:tcPr>
          <w:p>
            <w:pPr>
              <w:jc w:val="right"/>
              <w:ind w:right="40"/>
              <w:spacing w:after="0"/>
              <w:rPr>
                <w:sz w:val="20"/>
                <w:szCs w:val="20"/>
                <w:color w:val="auto"/>
              </w:rPr>
            </w:pPr>
            <w:r>
              <w:rPr>
                <w:rFonts w:ascii="Arial" w:cs="Arial" w:eastAsia="Arial" w:hAnsi="Arial"/>
                <w:sz w:val="20"/>
                <w:szCs w:val="20"/>
                <w:color w:val="231F20"/>
                <w:w w:val="71"/>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1</w:t>
            </w:r>
          </w:p>
        </w:tc>
        <w:tc>
          <w:tcPr>
            <w:tcW w:w="340" w:type="dxa"/>
            <w:vAlign w:val="bottom"/>
            <w:gridSpan w:val="3"/>
          </w:tcPr>
          <w:p>
            <w:pPr>
              <w:jc w:val="right"/>
              <w:spacing w:after="0"/>
              <w:rPr>
                <w:sz w:val="20"/>
                <w:szCs w:val="20"/>
                <w:color w:val="auto"/>
              </w:rPr>
            </w:pPr>
            <w:r>
              <w:rPr>
                <w:rFonts w:ascii="Arial" w:cs="Arial" w:eastAsia="Arial" w:hAnsi="Arial"/>
                <w:sz w:val="20"/>
                <w:szCs w:val="20"/>
                <w:color w:val="231F20"/>
              </w:rPr>
              <w:t>$</w:t>
            </w:r>
          </w:p>
        </w:tc>
        <w:tc>
          <w:tcPr>
            <w:tcW w:w="1140" w:type="dxa"/>
            <w:vAlign w:val="bottom"/>
          </w:tcPr>
          <w:p>
            <w:pPr>
              <w:jc w:val="right"/>
              <w:spacing w:after="0"/>
              <w:rPr>
                <w:sz w:val="20"/>
                <w:szCs w:val="20"/>
                <w:color w:val="auto"/>
              </w:rPr>
            </w:pPr>
            <w:r>
              <w:rPr>
                <w:rFonts w:ascii="Arial" w:cs="Arial" w:eastAsia="Arial" w:hAnsi="Arial"/>
                <w:sz w:val="20"/>
                <w:szCs w:val="20"/>
                <w:color w:val="231F20"/>
              </w:rPr>
              <w:t>2</w:t>
            </w:r>
          </w:p>
        </w:tc>
        <w:tc>
          <w:tcPr>
            <w:tcW w:w="20" w:type="dxa"/>
            <w:vAlign w:val="bottom"/>
          </w:tcPr>
          <w:p>
            <w:pPr>
              <w:spacing w:after="0"/>
              <w:rPr>
                <w:sz w:val="22"/>
                <w:szCs w:val="2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20"/>
                <w:szCs w:val="20"/>
                <w:color w:val="231F20"/>
              </w:rPr>
              <w:t>$</w:t>
            </w:r>
          </w:p>
        </w:tc>
        <w:tc>
          <w:tcPr>
            <w:tcW w:w="980" w:type="dxa"/>
            <w:vAlign w:val="bottom"/>
          </w:tcPr>
          <w:p>
            <w:pPr>
              <w:jc w:val="right"/>
              <w:spacing w:after="0"/>
              <w:rPr>
                <w:sz w:val="20"/>
                <w:szCs w:val="20"/>
                <w:color w:val="auto"/>
              </w:rPr>
            </w:pPr>
            <w:r>
              <w:rPr>
                <w:rFonts w:ascii="Arial" w:cs="Arial" w:eastAsia="Arial" w:hAnsi="Arial"/>
                <w:sz w:val="20"/>
                <w:szCs w:val="20"/>
                <w:color w:val="231F20"/>
              </w:rPr>
              <w:t>3</w:t>
            </w:r>
          </w:p>
        </w:tc>
        <w:tc>
          <w:tcPr>
            <w:tcW w:w="40" w:type="dxa"/>
            <w:vAlign w:val="bottom"/>
          </w:tcPr>
          <w:p>
            <w:pPr>
              <w:spacing w:after="0"/>
              <w:rPr>
                <w:sz w:val="22"/>
                <w:szCs w:val="22"/>
                <w:color w:val="auto"/>
              </w:rPr>
            </w:pPr>
          </w:p>
        </w:tc>
      </w:tr>
      <w:tr>
        <w:trPr>
          <w:trHeight w:val="223"/>
        </w:trPr>
        <w:tc>
          <w:tcPr>
            <w:tcW w:w="4900" w:type="dxa"/>
            <w:vAlign w:val="bottom"/>
          </w:tcPr>
          <w:p>
            <w:pPr>
              <w:spacing w:after="0" w:line="223" w:lineRule="exact"/>
              <w:rPr>
                <w:sz w:val="20"/>
                <w:szCs w:val="20"/>
                <w:color w:val="auto"/>
              </w:rPr>
            </w:pPr>
            <w:r>
              <w:rPr>
                <w:rFonts w:ascii="Arial" w:cs="Arial" w:eastAsia="Arial" w:hAnsi="Arial"/>
                <w:sz w:val="20"/>
                <w:szCs w:val="20"/>
                <w:color w:val="231F20"/>
              </w:rPr>
              <w:t>Oil and gas transportation, throughput and storage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7"/>
        </w:trPr>
        <w:tc>
          <w:tcPr>
            <w:tcW w:w="4900" w:type="dxa"/>
            <w:vAlign w:val="bottom"/>
          </w:tcPr>
          <w:p>
            <w:pPr>
              <w:jc w:val="right"/>
              <w:ind w:right="100"/>
              <w:spacing w:after="0" w:line="257" w:lineRule="exact"/>
              <w:rPr>
                <w:sz w:val="20"/>
                <w:szCs w:val="20"/>
                <w:color w:val="auto"/>
              </w:rPr>
            </w:pPr>
            <w:r>
              <w:rPr>
                <w:rFonts w:ascii="Arial" w:cs="Arial" w:eastAsia="Arial" w:hAnsi="Arial"/>
                <w:sz w:val="20"/>
                <w:szCs w:val="20"/>
                <w:color w:val="231F20"/>
                <w:w w:val="99"/>
              </w:rPr>
              <w:t>arrangements</w:t>
            </w:r>
            <w:r>
              <w:rPr>
                <w:rFonts w:ascii="Arial" w:cs="Arial" w:eastAsia="Arial" w:hAnsi="Arial"/>
                <w:sz w:val="26"/>
                <w:szCs w:val="26"/>
                <w:color w:val="231F20"/>
                <w:w w:val="99"/>
                <w:vertAlign w:val="superscript"/>
              </w:rPr>
              <w:t>(b)</w:t>
            </w:r>
            <w:r>
              <w:rPr>
                <w:rFonts w:ascii="Arial" w:cs="Arial" w:eastAsia="Arial" w:hAnsi="Arial"/>
                <w:sz w:val="20"/>
                <w:szCs w:val="20"/>
                <w:color w:val="231F20"/>
                <w:w w:val="99"/>
              </w:rPr>
              <w:t xml:space="preserve">  . . . . . . . . . . . . . . . . . . . . . . . . . . . . .</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19</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72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91</w:t>
            </w:r>
          </w:p>
        </w:tc>
        <w:tc>
          <w:tcPr>
            <w:tcW w:w="40" w:type="dxa"/>
            <w:vAlign w:val="bottom"/>
          </w:tcPr>
          <w:p>
            <w:pPr>
              <w:spacing w:after="0"/>
              <w:rPr>
                <w:sz w:val="22"/>
                <w:szCs w:val="22"/>
                <w:color w:val="auto"/>
              </w:rPr>
            </w:pPr>
          </w:p>
        </w:tc>
      </w:tr>
      <w:tr>
        <w:trPr>
          <w:trHeight w:val="223"/>
        </w:trPr>
        <w:tc>
          <w:tcPr>
            <w:tcW w:w="4900" w:type="dxa"/>
            <w:vAlign w:val="bottom"/>
          </w:tcPr>
          <w:p>
            <w:pPr>
              <w:spacing w:after="0" w:line="223" w:lineRule="exact"/>
              <w:rPr>
                <w:sz w:val="20"/>
                <w:szCs w:val="20"/>
                <w:color w:val="auto"/>
              </w:rPr>
            </w:pPr>
            <w:r>
              <w:rPr>
                <w:rFonts w:ascii="Arial" w:cs="Arial" w:eastAsia="Arial" w:hAnsi="Arial"/>
                <w:sz w:val="20"/>
                <w:szCs w:val="20"/>
                <w:color w:val="231F20"/>
              </w:rPr>
              <w:t>Software licenses and other contracts  . . . . . . . . . . . .</w:t>
            </w:r>
          </w:p>
        </w:tc>
        <w:tc>
          <w:tcPr>
            <w:tcW w:w="24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Arial" w:cs="Arial" w:eastAsia="Arial" w:hAnsi="Arial"/>
                <w:sz w:val="20"/>
                <w:szCs w:val="20"/>
                <w:color w:val="231F20"/>
              </w:rPr>
              <w:t>48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line="223" w:lineRule="exact"/>
              <w:rPr>
                <w:sz w:val="20"/>
                <w:szCs w:val="20"/>
                <w:color w:val="auto"/>
              </w:rPr>
            </w:pPr>
            <w:r>
              <w:rPr>
                <w:rFonts w:ascii="Arial" w:cs="Arial" w:eastAsia="Arial" w:hAnsi="Arial"/>
                <w:sz w:val="20"/>
                <w:szCs w:val="20"/>
                <w:color w:val="231F20"/>
              </w:rPr>
              <w:t>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Arial" w:cs="Arial" w:eastAsia="Arial" w:hAnsi="Arial"/>
                <w:sz w:val="20"/>
                <w:szCs w:val="20"/>
                <w:color w:val="231F20"/>
              </w:rPr>
              <w:t>106</w:t>
            </w:r>
          </w:p>
        </w:tc>
        <w:tc>
          <w:tcPr>
            <w:tcW w:w="40" w:type="dxa"/>
            <w:vAlign w:val="bottom"/>
          </w:tcPr>
          <w:p>
            <w:pPr>
              <w:spacing w:after="0"/>
              <w:rPr>
                <w:sz w:val="19"/>
                <w:szCs w:val="19"/>
                <w:color w:val="auto"/>
              </w:rPr>
            </w:pPr>
          </w:p>
        </w:tc>
      </w:tr>
      <w:tr>
        <w:trPr>
          <w:trHeight w:val="240"/>
        </w:trPr>
        <w:tc>
          <w:tcPr>
            <w:tcW w:w="4900" w:type="dxa"/>
            <w:vAlign w:val="bottom"/>
          </w:tcPr>
          <w:p>
            <w:pPr>
              <w:spacing w:after="0"/>
              <w:rPr>
                <w:sz w:val="20"/>
                <w:szCs w:val="20"/>
                <w:color w:val="auto"/>
              </w:rPr>
            </w:pPr>
            <w:r>
              <w:rPr>
                <w:rFonts w:ascii="Arial" w:cs="Arial" w:eastAsia="Arial" w:hAnsi="Arial"/>
                <w:sz w:val="20"/>
                <w:szCs w:val="20"/>
                <w:color w:val="231F20"/>
              </w:rPr>
              <w:t>Contracts related to our carbon management</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4900" w:type="dxa"/>
            <w:vAlign w:val="bottom"/>
          </w:tcPr>
          <w:p>
            <w:pPr>
              <w:jc w:val="right"/>
              <w:ind w:right="100"/>
              <w:spacing w:after="0" w:line="270" w:lineRule="exact"/>
              <w:rPr>
                <w:sz w:val="20"/>
                <w:szCs w:val="20"/>
                <w:color w:val="auto"/>
              </w:rPr>
            </w:pPr>
            <w:r>
              <w:rPr>
                <w:rFonts w:ascii="Arial" w:cs="Arial" w:eastAsia="Arial" w:hAnsi="Arial"/>
                <w:sz w:val="20"/>
                <w:szCs w:val="20"/>
                <w:color w:val="231F20"/>
                <w:w w:val="99"/>
              </w:rPr>
              <w:t>segment</w:t>
            </w:r>
            <w:r>
              <w:rPr>
                <w:rFonts w:ascii="Arial" w:cs="Arial" w:eastAsia="Arial" w:hAnsi="Arial"/>
                <w:sz w:val="26"/>
                <w:szCs w:val="26"/>
                <w:color w:val="231F20"/>
                <w:w w:val="99"/>
                <w:vertAlign w:val="superscript"/>
              </w:rPr>
              <w:t>(c)</w:t>
            </w:r>
            <w:r>
              <w:rPr>
                <w:rFonts w:ascii="Arial" w:cs="Arial" w:eastAsia="Arial" w:hAnsi="Arial"/>
                <w:sz w:val="20"/>
                <w:szCs w:val="20"/>
                <w:color w:val="231F20"/>
                <w:w w:val="99"/>
              </w:rPr>
              <w:t xml:space="preserve">  . . . . . . . . . . . . . . . . . . . . . . . . . . . . . . . . .</w:t>
            </w:r>
          </w:p>
        </w:tc>
        <w:tc>
          <w:tcPr>
            <w:tcW w:w="24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140" w:type="dxa"/>
            <w:vAlign w:val="bottom"/>
            <w:tcBorders>
              <w:bottom w:val="single" w:sz="8" w:color="231F20"/>
            </w:tcBorders>
          </w:tcPr>
          <w:p>
            <w:pPr>
              <w:jc w:val="right"/>
              <w:ind w:right="3"/>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w:t>
            </w:r>
          </w:p>
        </w:tc>
        <w:tc>
          <w:tcPr>
            <w:tcW w:w="40" w:type="dxa"/>
            <w:vAlign w:val="bottom"/>
          </w:tcPr>
          <w:p>
            <w:pPr>
              <w:spacing w:after="0"/>
              <w:rPr>
                <w:sz w:val="23"/>
                <w:szCs w:val="23"/>
                <w:color w:val="auto"/>
              </w:rPr>
            </w:pPr>
          </w:p>
        </w:tc>
      </w:tr>
      <w:tr>
        <w:trPr>
          <w:trHeight w:val="272"/>
        </w:trPr>
        <w:tc>
          <w:tcPr>
            <w:tcW w:w="4900" w:type="dxa"/>
            <w:vAlign w:val="bottom"/>
          </w:tcPr>
          <w:p>
            <w:pPr>
              <w:jc w:val="right"/>
              <w:ind w:right="100"/>
              <w:spacing w:after="0"/>
              <w:rPr>
                <w:sz w:val="20"/>
                <w:szCs w:val="20"/>
                <w:color w:val="auto"/>
              </w:rPr>
            </w:pPr>
            <w:r>
              <w:rPr>
                <w:rFonts w:ascii="Arial" w:cs="Arial" w:eastAsia="Arial" w:hAnsi="Arial"/>
                <w:sz w:val="20"/>
                <w:szCs w:val="20"/>
                <w:color w:val="231F20"/>
              </w:rPr>
              <w:t>Total . . . . . . . . . . . . . . . . . . . . . . . . . . . . . . . . . . . .</w:t>
            </w:r>
          </w:p>
        </w:tc>
        <w:tc>
          <w:tcPr>
            <w:tcW w:w="240" w:type="dxa"/>
            <w:vAlign w:val="bottom"/>
          </w:tcPr>
          <w:p>
            <w:pPr>
              <w:jc w:val="right"/>
              <w:ind w:right="40"/>
              <w:spacing w:after="0"/>
              <w:rPr>
                <w:sz w:val="20"/>
                <w:szCs w:val="20"/>
                <w:color w:val="auto"/>
              </w:rPr>
            </w:pPr>
            <w:r>
              <w:rPr>
                <w:rFonts w:ascii="Arial" w:cs="Arial" w:eastAsia="Arial" w:hAnsi="Arial"/>
                <w:sz w:val="20"/>
                <w:szCs w:val="20"/>
                <w:color w:val="231F20"/>
                <w:w w:val="71"/>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69</w:t>
            </w:r>
          </w:p>
        </w:tc>
        <w:tc>
          <w:tcPr>
            <w:tcW w:w="340" w:type="dxa"/>
            <w:vAlign w:val="bottom"/>
            <w:gridSpan w:val="3"/>
          </w:tcPr>
          <w:p>
            <w:pPr>
              <w:jc w:val="right"/>
              <w:spacing w:after="0"/>
              <w:rPr>
                <w:sz w:val="20"/>
                <w:szCs w:val="20"/>
                <w:color w:val="auto"/>
              </w:rPr>
            </w:pPr>
            <w:r>
              <w:rPr>
                <w:rFonts w:ascii="Arial" w:cs="Arial" w:eastAsia="Arial" w:hAnsi="Arial"/>
                <w:sz w:val="20"/>
                <w:szCs w:val="20"/>
                <w:color w:val="231F20"/>
              </w:rPr>
              <w:t>$</w:t>
            </w:r>
          </w:p>
        </w:tc>
        <w:tc>
          <w:tcPr>
            <w:tcW w:w="1160" w:type="dxa"/>
            <w:vAlign w:val="bottom"/>
            <w:gridSpan w:val="2"/>
          </w:tcPr>
          <w:p>
            <w:pPr>
              <w:jc w:val="right"/>
              <w:ind w:right="20"/>
              <w:spacing w:after="0"/>
              <w:rPr>
                <w:sz w:val="20"/>
                <w:szCs w:val="20"/>
                <w:color w:val="auto"/>
              </w:rPr>
            </w:pPr>
            <w:r>
              <w:rPr>
                <w:rFonts w:ascii="Arial" w:cs="Arial" w:eastAsia="Arial" w:hAnsi="Arial"/>
                <w:sz w:val="20"/>
                <w:szCs w:val="20"/>
                <w:color w:val="231F20"/>
              </w:rPr>
              <w:t>132</w:t>
            </w:r>
          </w:p>
        </w:tc>
        <w:tc>
          <w:tcPr>
            <w:tcW w:w="500" w:type="dxa"/>
            <w:vAlign w:val="bottom"/>
            <w:gridSpan w:val="3"/>
          </w:tcPr>
          <w:p>
            <w:pPr>
              <w:jc w:val="right"/>
              <w:ind w:right="140"/>
              <w:spacing w:after="0"/>
              <w:rPr>
                <w:sz w:val="20"/>
                <w:szCs w:val="20"/>
                <w:color w:val="auto"/>
              </w:rPr>
            </w:pPr>
            <w:r>
              <w:rPr>
                <w:rFonts w:ascii="Arial" w:cs="Arial" w:eastAsia="Arial" w:hAnsi="Arial"/>
                <w:sz w:val="20"/>
                <w:szCs w:val="20"/>
                <w:color w:val="231F20"/>
              </w:rPr>
              <w:t>$</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231F20"/>
              </w:rPr>
              <w:t>201</w:t>
            </w:r>
          </w:p>
        </w:tc>
      </w:tr>
      <w:tr>
        <w:trPr>
          <w:trHeight w:val="28"/>
        </w:trPr>
        <w:tc>
          <w:tcPr>
            <w:tcW w:w="49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8" w:lineRule="exact"/>
        <w:rPr>
          <w:sz w:val="20"/>
          <w:szCs w:val="20"/>
          <w:color w:val="auto"/>
        </w:rPr>
      </w:pPr>
    </w:p>
    <w:p>
      <w:pPr>
        <w:ind w:left="320" w:hanging="320"/>
        <w:spacing w:after="0"/>
        <w:tabs>
          <w:tab w:leader="none" w:pos="320" w:val="left"/>
        </w:tabs>
        <w:numPr>
          <w:ilvl w:val="0"/>
          <w:numId w:val="48"/>
        </w:numPr>
        <w:rPr>
          <w:rFonts w:ascii="Arial" w:cs="Arial" w:eastAsia="Arial" w:hAnsi="Arial"/>
          <w:sz w:val="16"/>
          <w:szCs w:val="16"/>
          <w:color w:val="231F20"/>
        </w:rPr>
      </w:pPr>
      <w:r>
        <w:rPr>
          <w:rFonts w:ascii="Arial" w:cs="Arial" w:eastAsia="Arial" w:hAnsi="Arial"/>
          <w:sz w:val="16"/>
          <w:szCs w:val="16"/>
          <w:color w:val="231F20"/>
        </w:rPr>
        <w:t>Oil and natural gas leases reflect obligations for fixed payments under our contracts.</w:t>
      </w:r>
    </w:p>
    <w:p>
      <w:pPr>
        <w:spacing w:after="0" w:line="21" w:lineRule="exact"/>
        <w:rPr>
          <w:rFonts w:ascii="Arial" w:cs="Arial" w:eastAsia="Arial" w:hAnsi="Arial"/>
          <w:sz w:val="16"/>
          <w:szCs w:val="16"/>
          <w:color w:val="231F20"/>
        </w:rPr>
      </w:pPr>
    </w:p>
    <w:p>
      <w:pPr>
        <w:ind w:left="320" w:right="380" w:hanging="320"/>
        <w:spacing w:after="0" w:line="253" w:lineRule="auto"/>
        <w:tabs>
          <w:tab w:leader="none" w:pos="320" w:val="left"/>
        </w:tabs>
        <w:numPr>
          <w:ilvl w:val="0"/>
          <w:numId w:val="48"/>
        </w:numPr>
        <w:rPr>
          <w:rFonts w:ascii="Arial" w:cs="Arial" w:eastAsia="Arial" w:hAnsi="Arial"/>
          <w:sz w:val="16"/>
          <w:szCs w:val="16"/>
          <w:color w:val="231F20"/>
        </w:rPr>
      </w:pPr>
      <w:r>
        <w:rPr>
          <w:rFonts w:ascii="Arial" w:cs="Arial" w:eastAsia="Arial" w:hAnsi="Arial"/>
          <w:sz w:val="16"/>
          <w:szCs w:val="16"/>
          <w:color w:val="231F20"/>
        </w:rPr>
        <w:t>Purchase obligations for pipeline capacity include ship or pay arrangements that are based on contractual volumes and current market rates for firm transportation capacity during the contract period.</w:t>
      </w:r>
    </w:p>
    <w:p>
      <w:pPr>
        <w:sectPr>
          <w:pgSz w:w="11880" w:h="15480" w:orient="portrait"/>
          <w:cols w:equalWidth="0" w:num="1">
            <w:col w:w="9120"/>
          </w:cols>
          <w:pgMar w:left="1380" w:top="1316" w:right="1380"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77</w:t>
      </w:r>
    </w:p>
    <w:p>
      <w:pPr>
        <w:sectPr>
          <w:pgSz w:w="11880" w:h="15480" w:orient="portrait"/>
          <w:cols w:equalWidth="0" w:num="1">
            <w:col w:w="9120"/>
          </w:cols>
          <w:pgMar w:left="1380" w:top="1316" w:right="1380" w:bottom="655"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b w:val="1"/>
          <w:bCs w:val="1"/>
          <w:i w:val="1"/>
          <w:iCs w:val="1"/>
          <w:color w:val="231F20"/>
        </w:rPr>
        <w:t>Cash Flow Analysis</w:t>
      </w:r>
    </w:p>
    <w:p>
      <w:pPr>
        <w:spacing w:after="0" w:line="177"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Cash flows from operating activities </w:t>
      </w:r>
      <w:r>
        <w:rPr>
          <w:rFonts w:ascii="Arial" w:cs="Arial" w:eastAsia="Arial" w:hAnsi="Arial"/>
          <w:sz w:val="20"/>
          <w:szCs w:val="20"/>
          <w:color w:val="231F20"/>
        </w:rPr>
        <w:t>– Our net cash provided by operating activities is sensitive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to many variables, particularly changes in commodity prices. Commodity price movements may also lead to changes in other variables in our business, including adjustments to our capital program. We experienced peak pricing for resource adequacy contracts in 2025 as compared to 2024. However, market prices for 2026 resource adequacy contracts declined due to growth in available resource adequacy-eligible capacity in the California market. As a result, we expect that our 2026 revenues from resource adequacy contracts will decrease between $125 million to $135 million in 2026 as compared to 2025.</w:t>
      </w:r>
    </w:p>
    <w:p>
      <w:pPr>
        <w:spacing w:after="0" w:line="175"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 xml:space="preserve">Our operating cash flow for the year ended December 31, 2025 was $865 million, which was an increase of $255 million, from $610 million for the year ended December 31, 2024. The increase was primarily driven by increased production after the Aera Merger which occurred on July 1, 2024. For the year ended December 31, 2025 we produced 138 MBoe/d, which was an increase of 37 MBoe/d from 110 MBoe/d for the year ended December 31, 2024. Our oil production increased to 109 MBbl/d for the year ended December 31, 2025 compared to 80 MBbl/d for the year ended December 31, 2024. Increases in production were partially offset by lower realized oil prices in 2025. Our average realized price for oil without the effects of derivative settlements decreased by $10.40 to $66.52 for the year ended December 31, 2025 compared to $76.92 for the same prior year period. For more information on our production and price changes, see </w:t>
      </w:r>
      <w:r>
        <w:rPr>
          <w:rFonts w:ascii="Arial" w:cs="Arial" w:eastAsia="Arial" w:hAnsi="Arial"/>
          <w:sz w:val="20"/>
          <w:szCs w:val="20"/>
          <w:i w:val="1"/>
          <w:iCs w:val="1"/>
          <w:color w:val="231F20"/>
        </w:rPr>
        <w:t>Segment Results of Oil and Natural Gas Operations</w:t>
      </w:r>
      <w:r>
        <w:rPr>
          <w:rFonts w:ascii="Arial" w:cs="Arial" w:eastAsia="Arial" w:hAnsi="Arial"/>
          <w:sz w:val="20"/>
          <w:szCs w:val="20"/>
          <w:color w:val="231F20"/>
        </w:rPr>
        <w:t xml:space="preserve"> above.</w:t>
      </w:r>
    </w:p>
    <w:p>
      <w:pPr>
        <w:spacing w:after="0" w:line="215"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231F20"/>
        </w:rPr>
        <w:t xml:space="preserve">Settlement proceeds from our derivative contracts increased $79 million from $64 million settlement payments for the year ended December 31, 2024 to $15 million settlement proceeds for the year ended December 31, 2025. For more information on our derivative contracts see, </w:t>
      </w:r>
      <w:r>
        <w:rPr>
          <w:rFonts w:ascii="Arial" w:cs="Arial" w:eastAsia="Arial" w:hAnsi="Arial"/>
          <w:sz w:val="20"/>
          <w:szCs w:val="20"/>
          <w:i w:val="1"/>
          <w:iCs w:val="1"/>
          <w:color w:val="231F20"/>
        </w:rPr>
        <w:t>Part II, Item 8 –</w:t>
      </w:r>
      <w:r>
        <w:rPr>
          <w:rFonts w:ascii="Arial" w:cs="Arial" w:eastAsia="Arial" w:hAnsi="Arial"/>
          <w:sz w:val="20"/>
          <w:szCs w:val="20"/>
          <w:color w:val="231F20"/>
        </w:rPr>
        <w:t xml:space="preserve"> </w:t>
      </w:r>
      <w:r>
        <w:rPr>
          <w:rFonts w:ascii="Arial" w:cs="Arial" w:eastAsia="Arial" w:hAnsi="Arial"/>
          <w:sz w:val="20"/>
          <w:szCs w:val="20"/>
          <w:i w:val="1"/>
          <w:iCs w:val="1"/>
          <w:color w:val="231F20"/>
        </w:rPr>
        <w:t>Financial Statements and Supplementary Data, Note 7 Derivatives.</w:t>
      </w:r>
    </w:p>
    <w:p>
      <w:pPr>
        <w:spacing w:after="0" w:line="210"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231F20"/>
        </w:rPr>
        <w:t>Operating costs and general and administrative expenses increased in 2025 as compared to 2024 primarily due to the addition of Aera’s operations for the full year. As a result, we had higher compensation-related costs and additional costs related to surface maintenance, energy and purchase injectant.</w:t>
      </w:r>
    </w:p>
    <w:p>
      <w:pPr>
        <w:spacing w:after="0" w:line="172" w:lineRule="exact"/>
        <w:rPr>
          <w:sz w:val="20"/>
          <w:szCs w:val="20"/>
          <w:color w:val="auto"/>
        </w:rPr>
      </w:pPr>
    </w:p>
    <w:p>
      <w:pPr>
        <w:ind w:right="12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Cash flows used in investing activities </w:t>
      </w:r>
      <w:r>
        <w:rPr>
          <w:rFonts w:ascii="Arial" w:cs="Arial" w:eastAsia="Arial" w:hAnsi="Arial"/>
          <w:sz w:val="20"/>
          <w:szCs w:val="20"/>
          <w:i w:val="1"/>
          <w:i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The following table provides a comparative summary of</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net cash used in investing activities: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8"/>
          </w:tcPr>
          <w:p>
            <w:pPr>
              <w:jc w:val="right"/>
              <w:ind w:right="240"/>
              <w:spacing w:after="0"/>
              <w:rPr>
                <w:sz w:val="20"/>
                <w:szCs w:val="20"/>
                <w:color w:val="auto"/>
              </w:rPr>
            </w:pPr>
            <w:r>
              <w:rPr>
                <w:rFonts w:ascii="Arial" w:cs="Arial" w:eastAsia="Arial" w:hAnsi="Arial"/>
                <w:sz w:val="20"/>
                <w:szCs w:val="20"/>
                <w:b w:val="1"/>
                <w:bCs w:val="1"/>
                <w:color w:val="231F20"/>
                <w:w w:val="99"/>
              </w:rPr>
              <w:t>Year ended December 31,</w:t>
            </w:r>
          </w:p>
        </w:tc>
      </w:tr>
      <w:tr>
        <w:trPr>
          <w:trHeight w:val="260"/>
        </w:trPr>
        <w:tc>
          <w:tcPr>
            <w:tcW w:w="6340" w:type="dxa"/>
            <w:vAlign w:val="bottom"/>
          </w:tcPr>
          <w:p>
            <w:pPr>
              <w:spacing w:after="0"/>
              <w:rPr>
                <w:sz w:val="22"/>
                <w:szCs w:val="22"/>
                <w:color w:val="auto"/>
              </w:rPr>
            </w:pPr>
          </w:p>
        </w:tc>
        <w:tc>
          <w:tcPr>
            <w:tcW w:w="60" w:type="dxa"/>
            <w:vAlign w:val="bottom"/>
            <w:tcBorders>
              <w:top w:val="single" w:sz="8" w:color="231F20"/>
              <w:bottom w:val="single" w:sz="8" w:color="231F20"/>
            </w:tcBorders>
          </w:tcPr>
          <w:p>
            <w:pPr>
              <w:spacing w:after="0"/>
              <w:rPr>
                <w:sz w:val="22"/>
                <w:szCs w:val="22"/>
                <w:color w:val="auto"/>
              </w:rPr>
            </w:pPr>
          </w:p>
        </w:tc>
        <w:tc>
          <w:tcPr>
            <w:tcW w:w="120" w:type="dxa"/>
            <w:vAlign w:val="bottom"/>
            <w:tcBorders>
              <w:top w:val="single" w:sz="8" w:color="231F20"/>
              <w:bottom w:val="single" w:sz="8" w:color="231F20"/>
            </w:tcBorders>
          </w:tcPr>
          <w:p>
            <w:pPr>
              <w:spacing w:after="0"/>
              <w:rPr>
                <w:sz w:val="22"/>
                <w:szCs w:val="22"/>
                <w:color w:val="auto"/>
              </w:rPr>
            </w:pPr>
          </w:p>
        </w:tc>
        <w:tc>
          <w:tcPr>
            <w:tcW w:w="1060" w:type="dxa"/>
            <w:vAlign w:val="bottom"/>
            <w:tcBorders>
              <w:top w:val="single" w:sz="8" w:color="231F20"/>
              <w:bottom w:val="single" w:sz="8" w:color="231F20"/>
            </w:tcBorders>
          </w:tcPr>
          <w:p>
            <w:pPr>
              <w:jc w:val="right"/>
              <w:ind w:right="282"/>
              <w:spacing w:after="0"/>
              <w:rPr>
                <w:sz w:val="20"/>
                <w:szCs w:val="20"/>
                <w:color w:val="auto"/>
              </w:rPr>
            </w:pPr>
            <w:r>
              <w:rPr>
                <w:rFonts w:ascii="Arial" w:cs="Arial" w:eastAsia="Arial" w:hAnsi="Arial"/>
                <w:sz w:val="20"/>
                <w:szCs w:val="20"/>
                <w:b w:val="1"/>
                <w:bCs w:val="1"/>
                <w:color w:val="231F20"/>
              </w:rPr>
              <w:t>2025</w:t>
            </w:r>
          </w:p>
        </w:tc>
        <w:tc>
          <w:tcPr>
            <w:tcW w:w="60" w:type="dxa"/>
            <w:vAlign w:val="bottom"/>
            <w:tcBorders>
              <w:top w:val="single" w:sz="8" w:color="231F20"/>
              <w:bottom w:val="single" w:sz="8" w:color="231F20"/>
            </w:tcBorders>
          </w:tcPr>
          <w:p>
            <w:pPr>
              <w:spacing w:after="0"/>
              <w:rPr>
                <w:sz w:val="22"/>
                <w:szCs w:val="22"/>
                <w:color w:val="auto"/>
              </w:rPr>
            </w:pPr>
          </w:p>
        </w:tc>
        <w:tc>
          <w:tcPr>
            <w:tcW w:w="200" w:type="dxa"/>
            <w:vAlign w:val="bottom"/>
            <w:tcBorders>
              <w:top w:val="single" w:sz="8" w:color="231F20"/>
            </w:tcBorders>
          </w:tcPr>
          <w:p>
            <w:pPr>
              <w:spacing w:after="0"/>
              <w:rPr>
                <w:sz w:val="22"/>
                <w:szCs w:val="22"/>
                <w:color w:val="auto"/>
              </w:rPr>
            </w:pPr>
          </w:p>
        </w:tc>
        <w:tc>
          <w:tcPr>
            <w:tcW w:w="20" w:type="dxa"/>
            <w:vAlign w:val="bottom"/>
            <w:tcBorders>
              <w:top w:val="single" w:sz="8" w:color="231F20"/>
              <w:bottom w:val="single" w:sz="8" w:color="231F20"/>
            </w:tcBorders>
          </w:tcPr>
          <w:p>
            <w:pPr>
              <w:spacing w:after="0"/>
              <w:rPr>
                <w:sz w:val="22"/>
                <w:szCs w:val="22"/>
                <w:color w:val="auto"/>
              </w:rPr>
            </w:pPr>
          </w:p>
        </w:tc>
        <w:tc>
          <w:tcPr>
            <w:tcW w:w="360" w:type="dxa"/>
            <w:vAlign w:val="bottom"/>
            <w:tcBorders>
              <w:top w:val="single" w:sz="8" w:color="231F20"/>
              <w:bottom w:val="single" w:sz="8" w:color="231F20"/>
            </w:tcBorders>
          </w:tcPr>
          <w:p>
            <w:pPr>
              <w:spacing w:after="0"/>
              <w:rPr>
                <w:sz w:val="22"/>
                <w:szCs w:val="22"/>
                <w:color w:val="auto"/>
              </w:rPr>
            </w:pPr>
          </w:p>
        </w:tc>
        <w:tc>
          <w:tcPr>
            <w:tcW w:w="920" w:type="dxa"/>
            <w:vAlign w:val="bottom"/>
            <w:tcBorders>
              <w:top w:val="single" w:sz="8" w:color="231F20"/>
              <w:bottom w:val="single" w:sz="8" w:color="231F20"/>
            </w:tcBorders>
          </w:tcPr>
          <w:p>
            <w:pPr>
              <w:jc w:val="right"/>
              <w:ind w:right="320"/>
              <w:spacing w:after="0"/>
              <w:rPr>
                <w:sz w:val="20"/>
                <w:szCs w:val="20"/>
                <w:color w:val="auto"/>
              </w:rPr>
            </w:pPr>
            <w:r>
              <w:rPr>
                <w:rFonts w:ascii="Arial" w:cs="Arial" w:eastAsia="Arial" w:hAnsi="Arial"/>
                <w:sz w:val="20"/>
                <w:szCs w:val="20"/>
                <w:b w:val="1"/>
                <w:bCs w:val="1"/>
                <w:color w:val="231F20"/>
              </w:rPr>
              <w:t>2024</w:t>
            </w:r>
          </w:p>
        </w:tc>
        <w:tc>
          <w:tcPr>
            <w:tcW w:w="20" w:type="dxa"/>
            <w:vAlign w:val="bottom"/>
            <w:tcBorders>
              <w:top w:val="single" w:sz="8" w:color="231F20"/>
              <w:bottom w:val="single" w:sz="8" w:color="231F20"/>
            </w:tcBorders>
          </w:tcPr>
          <w:p>
            <w:pPr>
              <w:spacing w:after="0"/>
              <w:rPr>
                <w:sz w:val="22"/>
                <w:szCs w:val="22"/>
                <w:color w:val="auto"/>
              </w:rPr>
            </w:pPr>
          </w:p>
        </w:tc>
        <w:tc>
          <w:tcPr>
            <w:tcW w:w="40" w:type="dxa"/>
            <w:vAlign w:val="bottom"/>
          </w:tcPr>
          <w:p>
            <w:pPr>
              <w:spacing w:after="0"/>
              <w:rPr>
                <w:sz w:val="22"/>
                <w:szCs w:val="22"/>
                <w:color w:val="auto"/>
              </w:rPr>
            </w:pPr>
          </w:p>
        </w:tc>
      </w:tr>
      <w:tr>
        <w:trPr>
          <w:trHeight w:val="192"/>
        </w:trPr>
        <w:tc>
          <w:tcPr>
            <w:tcW w:w="6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5"/>
          </w:tcPr>
          <w:p>
            <w:pPr>
              <w:jc w:val="right"/>
              <w:ind w:right="80"/>
              <w:spacing w:after="0"/>
              <w:rPr>
                <w:sz w:val="20"/>
                <w:szCs w:val="20"/>
                <w:color w:val="auto"/>
              </w:rPr>
            </w:pPr>
            <w:r>
              <w:rPr>
                <w:rFonts w:ascii="Arial" w:cs="Arial" w:eastAsia="Arial" w:hAnsi="Arial"/>
                <w:sz w:val="16"/>
                <w:szCs w:val="16"/>
                <w:color w:val="231F20"/>
              </w:rPr>
              <w:t>(in millions)</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6340" w:type="dxa"/>
            <w:vAlign w:val="bottom"/>
          </w:tcPr>
          <w:p>
            <w:pPr>
              <w:jc w:val="right"/>
              <w:ind w:right="100"/>
              <w:spacing w:after="0"/>
              <w:rPr>
                <w:sz w:val="20"/>
                <w:szCs w:val="20"/>
                <w:color w:val="auto"/>
              </w:rPr>
            </w:pPr>
            <w:r>
              <w:rPr>
                <w:rFonts w:ascii="Arial" w:cs="Arial" w:eastAsia="Arial" w:hAnsi="Arial"/>
                <w:sz w:val="20"/>
                <w:szCs w:val="20"/>
                <w:color w:val="231F20"/>
                <w:w w:val="97"/>
              </w:rPr>
              <w:t>Capital investments . . . . . . . . . . . . . . . . . . . . . . . . . . . . . . . . . . . . . . . . .</w:t>
            </w:r>
          </w:p>
        </w:tc>
        <w:tc>
          <w:tcPr>
            <w:tcW w:w="18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231F20"/>
              </w:rPr>
              <w:t>(322)</w:t>
            </w:r>
          </w:p>
        </w:tc>
        <w:tc>
          <w:tcPr>
            <w:tcW w:w="580" w:type="dxa"/>
            <w:vAlign w:val="bottom"/>
            <w:gridSpan w:val="3"/>
          </w:tcPr>
          <w:p>
            <w:pPr>
              <w:jc w:val="right"/>
              <w:ind w:right="240"/>
              <w:spacing w:after="0"/>
              <w:rPr>
                <w:sz w:val="20"/>
                <w:szCs w:val="20"/>
                <w:color w:val="auto"/>
              </w:rPr>
            </w:pPr>
            <w:r>
              <w:rPr>
                <w:rFonts w:ascii="Arial" w:cs="Arial" w:eastAsia="Arial" w:hAnsi="Arial"/>
                <w:sz w:val="20"/>
                <w:szCs w:val="20"/>
                <w:color w:val="231F20"/>
              </w:rPr>
              <w:t>$</w:t>
            </w:r>
          </w:p>
        </w:tc>
        <w:tc>
          <w:tcPr>
            <w:tcW w:w="980" w:type="dxa"/>
            <w:vAlign w:val="bottom"/>
            <w:gridSpan w:val="3"/>
          </w:tcPr>
          <w:p>
            <w:pPr>
              <w:jc w:val="right"/>
              <w:spacing w:after="0"/>
              <w:rPr>
                <w:sz w:val="20"/>
                <w:szCs w:val="20"/>
                <w:color w:val="auto"/>
              </w:rPr>
            </w:pPr>
            <w:r>
              <w:rPr>
                <w:rFonts w:ascii="Arial" w:cs="Arial" w:eastAsia="Arial" w:hAnsi="Arial"/>
                <w:sz w:val="20"/>
                <w:szCs w:val="20"/>
                <w:color w:val="231F20"/>
              </w:rPr>
              <w:t>(255)</w:t>
            </w:r>
          </w:p>
        </w:tc>
      </w:tr>
      <w:tr>
        <w:trPr>
          <w:trHeight w:val="238"/>
        </w:trPr>
        <w:tc>
          <w:tcPr>
            <w:tcW w:w="6340" w:type="dxa"/>
            <w:vAlign w:val="bottom"/>
          </w:tcPr>
          <w:p>
            <w:pPr>
              <w:jc w:val="right"/>
              <w:ind w:right="100"/>
              <w:spacing w:after="0"/>
              <w:rPr>
                <w:sz w:val="20"/>
                <w:szCs w:val="20"/>
                <w:color w:val="auto"/>
              </w:rPr>
            </w:pPr>
            <w:r>
              <w:rPr>
                <w:rFonts w:ascii="Arial" w:cs="Arial" w:eastAsia="Arial" w:hAnsi="Arial"/>
                <w:sz w:val="20"/>
                <w:szCs w:val="20"/>
                <w:color w:val="231F20"/>
                <w:w w:val="98"/>
              </w:rPr>
              <w:t>Changes in accrued capital investments . . . . . . . . . . . . . . . . . . . . . . .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231F20"/>
              </w:rPr>
              <w:t>35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231F20"/>
              </w:rPr>
              <w:t>29</w:t>
            </w:r>
          </w:p>
        </w:tc>
        <w:tc>
          <w:tcPr>
            <w:tcW w:w="40" w:type="dxa"/>
            <w:vAlign w:val="bottom"/>
          </w:tcPr>
          <w:p>
            <w:pPr>
              <w:spacing w:after="0"/>
              <w:rPr>
                <w:sz w:val="20"/>
                <w:szCs w:val="20"/>
                <w:color w:val="auto"/>
              </w:rPr>
            </w:pPr>
          </w:p>
        </w:tc>
      </w:tr>
      <w:tr>
        <w:trPr>
          <w:trHeight w:val="240"/>
        </w:trPr>
        <w:tc>
          <w:tcPr>
            <w:tcW w:w="6340" w:type="dxa"/>
            <w:vAlign w:val="bottom"/>
          </w:tcPr>
          <w:p>
            <w:pPr>
              <w:jc w:val="right"/>
              <w:ind w:right="100"/>
              <w:spacing w:after="0"/>
              <w:rPr>
                <w:sz w:val="20"/>
                <w:szCs w:val="20"/>
                <w:color w:val="auto"/>
              </w:rPr>
            </w:pPr>
            <w:r>
              <w:rPr>
                <w:rFonts w:ascii="Arial" w:cs="Arial" w:eastAsia="Arial" w:hAnsi="Arial"/>
                <w:sz w:val="20"/>
                <w:szCs w:val="20"/>
                <w:color w:val="231F20"/>
                <w:w w:val="98"/>
              </w:rPr>
              <w:t>Proceeds from asset divestitures . . . . . . . . . . . . . . . . . . . . . . . . . . . . .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231F20"/>
              </w:rPr>
              <w:t>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231F20"/>
              </w:rPr>
              <w:t>15</w:t>
            </w:r>
          </w:p>
        </w:tc>
        <w:tc>
          <w:tcPr>
            <w:tcW w:w="40" w:type="dxa"/>
            <w:vAlign w:val="bottom"/>
          </w:tcPr>
          <w:p>
            <w:pPr>
              <w:spacing w:after="0"/>
              <w:rPr>
                <w:sz w:val="20"/>
                <w:szCs w:val="20"/>
                <w:color w:val="auto"/>
              </w:rPr>
            </w:pPr>
          </w:p>
        </w:tc>
      </w:tr>
      <w:tr>
        <w:trPr>
          <w:trHeight w:val="240"/>
        </w:trPr>
        <w:tc>
          <w:tcPr>
            <w:tcW w:w="6340" w:type="dxa"/>
            <w:vAlign w:val="bottom"/>
          </w:tcPr>
          <w:p>
            <w:pPr>
              <w:jc w:val="right"/>
              <w:ind w:right="100"/>
              <w:spacing w:after="0"/>
              <w:rPr>
                <w:sz w:val="20"/>
                <w:szCs w:val="20"/>
                <w:color w:val="auto"/>
              </w:rPr>
            </w:pPr>
            <w:r>
              <w:rPr>
                <w:rFonts w:ascii="Arial" w:cs="Arial" w:eastAsia="Arial" w:hAnsi="Arial"/>
                <w:sz w:val="20"/>
                <w:szCs w:val="20"/>
                <w:color w:val="231F20"/>
                <w:w w:val="98"/>
              </w:rPr>
              <w:t>Purchase of a business, net of cash acquired . . . . . . . . . . . . . . . . . . .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231F20"/>
              </w:rPr>
              <w:t>(440)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20"/>
                <w:szCs w:val="20"/>
                <w:color w:val="231F20"/>
              </w:rPr>
              <w:t>(853)</w:t>
            </w:r>
          </w:p>
        </w:tc>
      </w:tr>
      <w:tr>
        <w:trPr>
          <w:trHeight w:val="240"/>
        </w:trPr>
        <w:tc>
          <w:tcPr>
            <w:tcW w:w="6340" w:type="dxa"/>
            <w:vAlign w:val="bottom"/>
          </w:tcPr>
          <w:p>
            <w:pPr>
              <w:jc w:val="right"/>
              <w:ind w:right="100"/>
              <w:spacing w:after="0"/>
              <w:rPr>
                <w:sz w:val="20"/>
                <w:szCs w:val="20"/>
                <w:color w:val="auto"/>
              </w:rPr>
            </w:pPr>
            <w:r>
              <w:rPr>
                <w:rFonts w:ascii="Arial" w:cs="Arial" w:eastAsia="Arial" w:hAnsi="Arial"/>
                <w:sz w:val="20"/>
                <w:szCs w:val="20"/>
                <w:color w:val="231F20"/>
                <w:w w:val="96"/>
              </w:rPr>
              <w:t>Asset acquisitions  . . . . . . . . . . . . . . . . . . . . . . . . . . . . . . . . . . . . . . . . .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20"/>
                <w:szCs w:val="20"/>
                <w:color w:val="231F20"/>
              </w:rPr>
              <w:t>(6)</w:t>
            </w:r>
          </w:p>
        </w:tc>
      </w:tr>
      <w:tr>
        <w:trPr>
          <w:trHeight w:val="240"/>
        </w:trPr>
        <w:tc>
          <w:tcPr>
            <w:tcW w:w="6340" w:type="dxa"/>
            <w:vAlign w:val="bottom"/>
          </w:tcPr>
          <w:p>
            <w:pPr>
              <w:jc w:val="right"/>
              <w:ind w:right="100"/>
              <w:spacing w:after="0"/>
              <w:rPr>
                <w:sz w:val="20"/>
                <w:szCs w:val="20"/>
                <w:color w:val="auto"/>
              </w:rPr>
            </w:pPr>
            <w:r>
              <w:rPr>
                <w:rFonts w:ascii="Arial" w:cs="Arial" w:eastAsia="Arial" w:hAnsi="Arial"/>
                <w:sz w:val="20"/>
                <w:szCs w:val="20"/>
                <w:color w:val="231F20"/>
                <w:w w:val="96"/>
              </w:rPr>
              <w:t>Other, net . . . . . . . . . . . . . . . . . . . . . . . . . . . . . . . . . . . . . . . . . . . . . . . .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color w:val="231F20"/>
              </w:rPr>
              <w:t>(6)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20"/>
                <w:szCs w:val="20"/>
                <w:color w:val="231F20"/>
              </w:rPr>
              <w:t>(7)</w:t>
            </w:r>
          </w:p>
        </w:tc>
      </w:tr>
      <w:tr>
        <w:trPr>
          <w:trHeight w:val="30"/>
        </w:trPr>
        <w:tc>
          <w:tcPr>
            <w:tcW w:w="6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272"/>
        </w:trPr>
        <w:tc>
          <w:tcPr>
            <w:tcW w:w="6340" w:type="dxa"/>
            <w:vAlign w:val="bottom"/>
          </w:tcPr>
          <w:p>
            <w:pPr>
              <w:jc w:val="right"/>
              <w:ind w:right="100"/>
              <w:spacing w:after="0"/>
              <w:rPr>
                <w:sz w:val="20"/>
                <w:szCs w:val="20"/>
                <w:color w:val="auto"/>
              </w:rPr>
            </w:pPr>
            <w:r>
              <w:rPr>
                <w:rFonts w:ascii="Arial" w:cs="Arial" w:eastAsia="Arial" w:hAnsi="Arial"/>
                <w:sz w:val="20"/>
                <w:szCs w:val="20"/>
                <w:color w:val="231F20"/>
              </w:rPr>
              <w:t>Net cash used in investing activities . . . . . . . . . . . . . . . . . . . . . . . . . .</w:t>
            </w:r>
          </w:p>
        </w:tc>
        <w:tc>
          <w:tcPr>
            <w:tcW w:w="18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spacing w:after="0"/>
              <w:rPr>
                <w:sz w:val="20"/>
                <w:szCs w:val="20"/>
                <w:color w:val="auto"/>
              </w:rPr>
            </w:pPr>
            <w:r>
              <w:rPr>
                <w:rFonts w:ascii="Arial" w:cs="Arial" w:eastAsia="Arial" w:hAnsi="Arial"/>
                <w:sz w:val="20"/>
                <w:szCs w:val="20"/>
                <w:color w:val="231F20"/>
              </w:rPr>
              <w:t>(725)</w:t>
            </w:r>
          </w:p>
        </w:tc>
        <w:tc>
          <w:tcPr>
            <w:tcW w:w="580" w:type="dxa"/>
            <w:vAlign w:val="bottom"/>
            <w:gridSpan w:val="3"/>
          </w:tcPr>
          <w:p>
            <w:pPr>
              <w:jc w:val="right"/>
              <w:ind w:right="240"/>
              <w:spacing w:after="0"/>
              <w:rPr>
                <w:sz w:val="20"/>
                <w:szCs w:val="20"/>
                <w:color w:val="auto"/>
              </w:rPr>
            </w:pPr>
            <w:r>
              <w:rPr>
                <w:rFonts w:ascii="Arial" w:cs="Arial" w:eastAsia="Arial" w:hAnsi="Arial"/>
                <w:sz w:val="20"/>
                <w:szCs w:val="20"/>
                <w:color w:val="231F20"/>
              </w:rPr>
              <w:t>$</w:t>
            </w:r>
          </w:p>
        </w:tc>
        <w:tc>
          <w:tcPr>
            <w:tcW w:w="980" w:type="dxa"/>
            <w:vAlign w:val="bottom"/>
            <w:gridSpan w:val="3"/>
          </w:tcPr>
          <w:p>
            <w:pPr>
              <w:jc w:val="right"/>
              <w:spacing w:after="0"/>
              <w:rPr>
                <w:sz w:val="20"/>
                <w:szCs w:val="20"/>
                <w:color w:val="auto"/>
              </w:rPr>
            </w:pPr>
            <w:r>
              <w:rPr>
                <w:rFonts w:ascii="Arial" w:cs="Arial" w:eastAsia="Arial" w:hAnsi="Arial"/>
                <w:sz w:val="20"/>
                <w:szCs w:val="20"/>
                <w:color w:val="231F20"/>
              </w:rPr>
              <w:t>(1,077)</w:t>
            </w:r>
          </w:p>
        </w:tc>
      </w:tr>
      <w:tr>
        <w:trPr>
          <w:trHeight w:val="28"/>
        </w:trPr>
        <w:tc>
          <w:tcPr>
            <w:tcW w:w="6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6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 xml:space="preserve">For the years ended December 31, 2025 and 2024, purchase of a business, net of cash acquired includes our investing activities related to the Berry Merger and the Aera Merger, respectively. In connection with the Berry Merger, we repaid $449 million of Berry’s outstanding long-term debt and acquired cash of $12 million (after a $3 million payment for settlement of certain stock-based compensation awards). Additionally, we increased our 2025 capital program following the Aera Merger. See </w:t>
      </w:r>
      <w:r>
        <w:rPr>
          <w:rFonts w:ascii="Arial" w:cs="Arial" w:eastAsia="Arial" w:hAnsi="Arial"/>
          <w:sz w:val="20"/>
          <w:szCs w:val="20"/>
          <w:i w:val="1"/>
          <w:iCs w:val="1"/>
          <w:color w:val="231F20"/>
        </w:rPr>
        <w:t>Part II, Item 8 – Financial Statements and Supplementary Data, Note 2 Business Combinations</w:t>
      </w:r>
      <w:r>
        <w:rPr>
          <w:rFonts w:ascii="Arial" w:cs="Arial" w:eastAsia="Arial" w:hAnsi="Arial"/>
          <w:sz w:val="20"/>
          <w:szCs w:val="20"/>
          <w:color w:val="231F20"/>
        </w:rPr>
        <w:t xml:space="preserve"> for more information on these transactions.</w:t>
      </w:r>
    </w:p>
    <w:p>
      <w:pPr>
        <w:sectPr>
          <w:pgSz w:w="11880" w:h="15480" w:orient="portrait"/>
          <w:cols w:equalWidth="0" w:num="1">
            <w:col w:w="9200"/>
          </w:cols>
          <w:pgMar w:left="1380" w:top="1312" w:right="1300" w:bottom="655" w:gutter="0" w:footer="0" w:header="0"/>
        </w:sect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231F20"/>
        </w:rPr>
        <w:t>78</w:t>
      </w:r>
    </w:p>
    <w:p>
      <w:pPr>
        <w:sectPr>
          <w:pgSz w:w="11880" w:h="15480" w:orient="portrait"/>
          <w:cols w:equalWidth="0" w:num="1">
            <w:col w:w="9200"/>
          </w:cols>
          <w:pgMar w:left="1380" w:top="1312" w:right="1300" w:bottom="655" w:gutter="0" w:footer="0" w:header="0"/>
          <w:type w:val="continuous"/>
        </w:sectPr>
      </w:pPr>
    </w:p>
    <w:bookmarkStart w:id="82" w:name="page83"/>
    <w:bookmarkEnd w:id="82"/>
    <w:p>
      <w:pPr>
        <w:ind w:right="140" w:firstLine="300"/>
        <w:spacing w:after="0" w:line="249" w:lineRule="auto"/>
        <w:rPr>
          <w:sz w:val="20"/>
          <w:szCs w:val="20"/>
          <w:color w:val="auto"/>
        </w:rPr>
      </w:pPr>
      <w:r>
        <w:rPr>
          <w:rFonts w:ascii="Arial" w:cs="Arial" w:eastAsia="Arial" w:hAnsi="Arial"/>
          <w:sz w:val="20"/>
          <w:szCs w:val="20"/>
          <w:color w:val="231F20"/>
        </w:rPr>
        <w:t xml:space="preserve">Proceeds from asset divestitures for the year ended December 31, 2025 primarily included the sale of properties for carbon management activities. Proceeds from asset divestitures for the year ended December 31, 2024 included the sale of our 0.9-acre Fort Apache real estate property in Huntington Beach, California as well as the remaining portion of our Ventura assets which were classified as held for sale. In the year ended December 31, 2024, the acquisitions shown in the table above related to purchasing storage reservoirs for our carbon management segment. </w:t>
      </w:r>
      <w:r>
        <w:rPr>
          <w:rFonts w:ascii="Arial" w:cs="Arial" w:eastAsia="Arial" w:hAnsi="Arial"/>
          <w:sz w:val="20"/>
          <w:szCs w:val="20"/>
          <w:i w:val="1"/>
          <w:iCs w:val="1"/>
          <w:color w:val="231F20"/>
        </w:rPr>
        <w:t>Part II, Item 8 – Financial</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Statements and Supplementary Data, Note 9 Divestitures and Acquisitions </w:t>
      </w:r>
      <w:r>
        <w:rPr>
          <w:rFonts w:ascii="Arial" w:cs="Arial" w:eastAsia="Arial" w:hAnsi="Arial"/>
          <w:sz w:val="20"/>
          <w:szCs w:val="20"/>
          <w:color w:val="231F20"/>
        </w:rPr>
        <w:t>for more information on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divestitures and acquisitions.</w:t>
      </w:r>
    </w:p>
    <w:p>
      <w:pPr>
        <w:spacing w:after="0" w:line="191" w:lineRule="exact"/>
        <w:rPr>
          <w:sz w:val="20"/>
          <w:szCs w:val="20"/>
          <w:color w:val="auto"/>
        </w:rPr>
      </w:pPr>
    </w:p>
    <w:p>
      <w:pPr>
        <w:ind w:right="12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Cash flows used in financing activities </w:t>
      </w:r>
      <w:r>
        <w:rPr>
          <w:rFonts w:ascii="Arial" w:cs="Arial" w:eastAsia="Arial" w:hAnsi="Arial"/>
          <w:sz w:val="20"/>
          <w:szCs w:val="20"/>
          <w:i w:val="1"/>
          <w:i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The following table provides a comparative summary of</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net cash used in financing activities: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80" w:type="dxa"/>
            <w:vAlign w:val="bottom"/>
          </w:tcPr>
          <w:p>
            <w:pPr>
              <w:spacing w:after="0"/>
              <w:rPr>
                <w:sz w:val="21"/>
                <w:szCs w:val="21"/>
                <w:color w:val="auto"/>
              </w:rPr>
            </w:pPr>
          </w:p>
        </w:tc>
        <w:tc>
          <w:tcPr>
            <w:tcW w:w="3120" w:type="dxa"/>
            <w:vAlign w:val="bottom"/>
            <w:gridSpan w:val="8"/>
          </w:tcPr>
          <w:p>
            <w:pPr>
              <w:jc w:val="right"/>
              <w:ind w:right="380"/>
              <w:spacing w:after="0"/>
              <w:rPr>
                <w:sz w:val="20"/>
                <w:szCs w:val="20"/>
                <w:color w:val="auto"/>
              </w:rPr>
            </w:pPr>
            <w:r>
              <w:rPr>
                <w:rFonts w:ascii="Arial" w:cs="Arial" w:eastAsia="Arial" w:hAnsi="Arial"/>
                <w:sz w:val="20"/>
                <w:szCs w:val="20"/>
                <w:b w:val="1"/>
                <w:bCs w:val="1"/>
                <w:color w:val="231F20"/>
              </w:rPr>
              <w:t>Year ended December 31,</w:t>
            </w:r>
          </w:p>
        </w:tc>
      </w:tr>
      <w:tr>
        <w:trPr>
          <w:trHeight w:val="260"/>
        </w:trPr>
        <w:tc>
          <w:tcPr>
            <w:tcW w:w="6080" w:type="dxa"/>
            <w:vAlign w:val="bottom"/>
          </w:tcPr>
          <w:p>
            <w:pPr>
              <w:spacing w:after="0"/>
              <w:rPr>
                <w:sz w:val="22"/>
                <w:szCs w:val="22"/>
                <w:color w:val="auto"/>
              </w:rPr>
            </w:pPr>
          </w:p>
        </w:tc>
        <w:tc>
          <w:tcPr>
            <w:tcW w:w="98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440" w:type="dxa"/>
            <w:vAlign w:val="bottom"/>
            <w:tcBorders>
              <w:top w:val="single" w:sz="8" w:color="231F20"/>
              <w:bottom w:val="single" w:sz="8" w:color="231F20"/>
            </w:tcBorders>
          </w:tcPr>
          <w:p>
            <w:pPr>
              <w:spacing w:after="0"/>
              <w:rPr>
                <w:sz w:val="22"/>
                <w:szCs w:val="22"/>
                <w:color w:val="auto"/>
              </w:rPr>
            </w:pPr>
          </w:p>
        </w:tc>
        <w:tc>
          <w:tcPr>
            <w:tcW w:w="20" w:type="dxa"/>
            <w:vAlign w:val="bottom"/>
            <w:tcBorders>
              <w:top w:val="single" w:sz="8" w:color="231F20"/>
              <w:bottom w:val="single" w:sz="8" w:color="231F20"/>
            </w:tcBorders>
          </w:tcPr>
          <w:p>
            <w:pPr>
              <w:spacing w:after="0"/>
              <w:rPr>
                <w:sz w:val="22"/>
                <w:szCs w:val="22"/>
                <w:color w:val="auto"/>
              </w:rPr>
            </w:pPr>
          </w:p>
        </w:tc>
        <w:tc>
          <w:tcPr>
            <w:tcW w:w="180" w:type="dxa"/>
            <w:vAlign w:val="bottom"/>
            <w:tcBorders>
              <w:top w:val="single" w:sz="8" w:color="231F20"/>
            </w:tcBorders>
          </w:tcPr>
          <w:p>
            <w:pPr>
              <w:spacing w:after="0"/>
              <w:rPr>
                <w:sz w:val="22"/>
                <w:szCs w:val="22"/>
                <w:color w:val="auto"/>
              </w:rPr>
            </w:pPr>
          </w:p>
        </w:tc>
        <w:tc>
          <w:tcPr>
            <w:tcW w:w="20" w:type="dxa"/>
            <w:vAlign w:val="bottom"/>
            <w:tcBorders>
              <w:top w:val="single" w:sz="8" w:color="231F20"/>
              <w:bottom w:val="single" w:sz="8" w:color="231F20"/>
            </w:tcBorders>
          </w:tcPr>
          <w:p>
            <w:pPr>
              <w:spacing w:after="0"/>
              <w:rPr>
                <w:sz w:val="22"/>
                <w:szCs w:val="22"/>
                <w:color w:val="auto"/>
              </w:rPr>
            </w:pPr>
          </w:p>
        </w:tc>
        <w:tc>
          <w:tcPr>
            <w:tcW w:w="380" w:type="dxa"/>
            <w:vAlign w:val="bottom"/>
            <w:tcBorders>
              <w:top w:val="single" w:sz="8" w:color="231F20"/>
              <w:bottom w:val="single" w:sz="8" w:color="231F20"/>
            </w:tcBorders>
          </w:tcPr>
          <w:p>
            <w:pPr>
              <w:spacing w:after="0"/>
              <w:rPr>
                <w:sz w:val="22"/>
                <w:szCs w:val="22"/>
                <w:color w:val="auto"/>
              </w:rPr>
            </w:pPr>
          </w:p>
        </w:tc>
        <w:tc>
          <w:tcPr>
            <w:tcW w:w="1040" w:type="dxa"/>
            <w:vAlign w:val="bottom"/>
            <w:tcBorders>
              <w:top w:val="single" w:sz="8" w:color="231F20"/>
              <w:bottom w:val="single" w:sz="8" w:color="231F20"/>
            </w:tcBorders>
          </w:tcPr>
          <w:p>
            <w:pPr>
              <w:jc w:val="right"/>
              <w:ind w:right="400"/>
              <w:spacing w:after="0"/>
              <w:rPr>
                <w:sz w:val="20"/>
                <w:szCs w:val="20"/>
                <w:color w:val="auto"/>
              </w:rPr>
            </w:pPr>
            <w:r>
              <w:rPr>
                <w:rFonts w:ascii="Arial" w:cs="Arial" w:eastAsia="Arial" w:hAnsi="Arial"/>
                <w:sz w:val="20"/>
                <w:szCs w:val="20"/>
                <w:b w:val="1"/>
                <w:bCs w:val="1"/>
                <w:color w:val="231F20"/>
              </w:rPr>
              <w:t>2024</w:t>
            </w:r>
          </w:p>
        </w:tc>
        <w:tc>
          <w:tcPr>
            <w:tcW w:w="60" w:type="dxa"/>
            <w:vAlign w:val="bottom"/>
          </w:tcPr>
          <w:p>
            <w:pPr>
              <w:spacing w:after="0"/>
              <w:rPr>
                <w:sz w:val="22"/>
                <w:szCs w:val="22"/>
                <w:color w:val="auto"/>
              </w:rPr>
            </w:pPr>
          </w:p>
        </w:tc>
      </w:tr>
      <w:tr>
        <w:trPr>
          <w:trHeight w:val="192"/>
        </w:trPr>
        <w:tc>
          <w:tcPr>
            <w:tcW w:w="6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gridSpan w:val="5"/>
          </w:tcPr>
          <w:p>
            <w:pPr>
              <w:jc w:val="right"/>
              <w:ind w:right="80"/>
              <w:spacing w:after="0"/>
              <w:rPr>
                <w:sz w:val="20"/>
                <w:szCs w:val="20"/>
                <w:color w:val="auto"/>
              </w:rPr>
            </w:pPr>
            <w:r>
              <w:rPr>
                <w:rFonts w:ascii="Arial" w:cs="Arial" w:eastAsia="Arial" w:hAnsi="Arial"/>
                <w:sz w:val="16"/>
                <w:szCs w:val="16"/>
                <w:color w:val="231F20"/>
              </w:rPr>
              <w:t>(in millions)</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8"/>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8"/>
              </w:rPr>
              <w:t>Proceeds from Revolving Credit Facility . . . . . . . . . . . . . . . . . . . . . .</w:t>
            </w:r>
          </w:p>
        </w:tc>
        <w:tc>
          <w:tcPr>
            <w:tcW w:w="980" w:type="dxa"/>
            <w:vAlign w:val="bottom"/>
          </w:tcPr>
          <w:p>
            <w:pPr>
              <w:jc w:val="right"/>
              <w:ind w:right="760"/>
              <w:spacing w:after="0"/>
              <w:rPr>
                <w:sz w:val="20"/>
                <w:szCs w:val="20"/>
                <w:color w:val="auto"/>
              </w:rPr>
            </w:pPr>
            <w:r>
              <w:rPr>
                <w:rFonts w:ascii="Arial" w:cs="Arial" w:eastAsia="Arial" w:hAnsi="Arial"/>
                <w:sz w:val="20"/>
                <w:szCs w:val="20"/>
                <w:color w:val="231F20"/>
                <w:w w:val="89"/>
              </w:rPr>
              <w:t>$</w:t>
            </w:r>
          </w:p>
        </w:tc>
        <w:tc>
          <w:tcPr>
            <w:tcW w:w="460" w:type="dxa"/>
            <w:vAlign w:val="bottom"/>
            <w:gridSpan w:val="2"/>
          </w:tcPr>
          <w:p>
            <w:pPr>
              <w:jc w:val="right"/>
              <w:ind w:right="20"/>
              <w:spacing w:after="0"/>
              <w:rPr>
                <w:sz w:val="20"/>
                <w:szCs w:val="20"/>
                <w:color w:val="auto"/>
              </w:rPr>
            </w:pPr>
            <w:r>
              <w:rPr>
                <w:rFonts w:ascii="Arial" w:cs="Arial" w:eastAsia="Arial" w:hAnsi="Arial"/>
                <w:sz w:val="20"/>
                <w:szCs w:val="20"/>
                <w:color w:val="231F20"/>
              </w:rPr>
              <w:t>220</w:t>
            </w:r>
          </w:p>
        </w:tc>
        <w:tc>
          <w:tcPr>
            <w:tcW w:w="180" w:type="dxa"/>
            <w:vAlign w:val="bottom"/>
          </w:tcPr>
          <w:p>
            <w:pPr>
              <w:spacing w:after="0"/>
              <w:rPr>
                <w:sz w:val="21"/>
                <w:szCs w:val="21"/>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20"/>
                <w:szCs w:val="20"/>
                <w:color w:val="231F20"/>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231F20"/>
              </w:rPr>
              <w:t>30</w:t>
            </w:r>
          </w:p>
        </w:tc>
        <w:tc>
          <w:tcPr>
            <w:tcW w:w="60" w:type="dxa"/>
            <w:vAlign w:val="bottom"/>
          </w:tcPr>
          <w:p>
            <w:pPr>
              <w:spacing w:after="0"/>
              <w:rPr>
                <w:sz w:val="21"/>
                <w:szCs w:val="21"/>
                <w:color w:val="auto"/>
              </w:rPr>
            </w:pP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7"/>
              </w:rPr>
              <w:t>Repayments of Revolving Credit Facility . . . . . . . . . . . . . . . . . . . . . .</w:t>
            </w:r>
          </w:p>
        </w:tc>
        <w:tc>
          <w:tcPr>
            <w:tcW w:w="98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20"/>
                <w:szCs w:val="20"/>
                <w:color w:val="231F20"/>
              </w:rPr>
              <w:t>(220)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231F20"/>
              </w:rPr>
              <w:t>(30)</w:t>
            </w: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8"/>
              </w:rPr>
              <w:t>Proceeds from 2029 Senior Notes, net . . . . . . . . . . . . . . . . . . . . . . .</w:t>
            </w:r>
          </w:p>
        </w:tc>
        <w:tc>
          <w:tcPr>
            <w:tcW w:w="980" w:type="dxa"/>
            <w:vAlign w:val="bottom"/>
          </w:tcPr>
          <w:p>
            <w:pPr>
              <w:spacing w:after="0"/>
              <w:rPr>
                <w:sz w:val="20"/>
                <w:szCs w:val="20"/>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888</w:t>
            </w:r>
          </w:p>
        </w:tc>
        <w:tc>
          <w:tcPr>
            <w:tcW w:w="60" w:type="dxa"/>
            <w:vAlign w:val="bottom"/>
          </w:tcPr>
          <w:p>
            <w:pPr>
              <w:spacing w:after="0"/>
              <w:rPr>
                <w:sz w:val="20"/>
                <w:szCs w:val="20"/>
                <w:color w:val="auto"/>
              </w:rPr>
            </w:pP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8"/>
              </w:rPr>
              <w:t>Proceeds from 2034 Senior Notes, net . . . . . . . . . . . . . . . . . . . . . . .</w:t>
            </w:r>
          </w:p>
        </w:tc>
        <w:tc>
          <w:tcPr>
            <w:tcW w:w="98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20"/>
                <w:szCs w:val="20"/>
                <w:color w:val="231F20"/>
              </w:rPr>
              <w:t>393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r>
      <w:tr>
        <w:trPr>
          <w:trHeight w:val="257"/>
        </w:trPr>
        <w:tc>
          <w:tcPr>
            <w:tcW w:w="6080" w:type="dxa"/>
            <w:vAlign w:val="bottom"/>
          </w:tcPr>
          <w:p>
            <w:pPr>
              <w:jc w:val="right"/>
              <w:ind w:right="100"/>
              <w:spacing w:after="0" w:line="257" w:lineRule="exact"/>
              <w:rPr>
                <w:sz w:val="20"/>
                <w:szCs w:val="20"/>
                <w:color w:val="auto"/>
              </w:rPr>
            </w:pPr>
            <w:r>
              <w:rPr>
                <w:rFonts w:ascii="Arial" w:cs="Arial" w:eastAsia="Arial" w:hAnsi="Arial"/>
                <w:sz w:val="20"/>
                <w:szCs w:val="20"/>
                <w:color w:val="231F20"/>
                <w:w w:val="96"/>
              </w:rPr>
              <w:t>Repurchases of common stock</w:t>
            </w:r>
            <w:r>
              <w:rPr>
                <w:rFonts w:ascii="Arial" w:cs="Arial" w:eastAsia="Arial" w:hAnsi="Arial"/>
                <w:sz w:val="26"/>
                <w:szCs w:val="26"/>
                <w:color w:val="231F20"/>
                <w:w w:val="96"/>
                <w:vertAlign w:val="superscript"/>
              </w:rPr>
              <w:t>(a)</w:t>
            </w:r>
            <w:r>
              <w:rPr>
                <w:rFonts w:ascii="Arial" w:cs="Arial" w:eastAsia="Arial" w:hAnsi="Arial"/>
                <w:sz w:val="20"/>
                <w:szCs w:val="20"/>
                <w:color w:val="231F20"/>
                <w:w w:val="96"/>
              </w:rPr>
              <w:t xml:space="preserve"> . . . . . . . . . . . . . . . . . . . . . . . . . . . .</w:t>
            </w:r>
          </w:p>
        </w:tc>
        <w:tc>
          <w:tcPr>
            <w:tcW w:w="980" w:type="dxa"/>
            <w:vAlign w:val="bottom"/>
          </w:tcPr>
          <w:p>
            <w:pPr>
              <w:spacing w:after="0"/>
              <w:rPr>
                <w:sz w:val="22"/>
                <w:szCs w:val="22"/>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20"/>
                <w:szCs w:val="20"/>
                <w:color w:val="231F20"/>
              </w:rPr>
              <w:t>(377)</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231F20"/>
              </w:rPr>
              <w:t>(192)</w:t>
            </w:r>
          </w:p>
        </w:tc>
      </w:tr>
      <w:tr>
        <w:trPr>
          <w:trHeight w:val="225"/>
        </w:trPr>
        <w:tc>
          <w:tcPr>
            <w:tcW w:w="6080" w:type="dxa"/>
            <w:vAlign w:val="bottom"/>
          </w:tcPr>
          <w:p>
            <w:pPr>
              <w:jc w:val="right"/>
              <w:ind w:right="100"/>
              <w:spacing w:after="0" w:line="226" w:lineRule="exact"/>
              <w:rPr>
                <w:sz w:val="20"/>
                <w:szCs w:val="20"/>
                <w:color w:val="auto"/>
              </w:rPr>
            </w:pPr>
            <w:r>
              <w:rPr>
                <w:rFonts w:ascii="Arial" w:cs="Arial" w:eastAsia="Arial" w:hAnsi="Arial"/>
                <w:sz w:val="20"/>
                <w:szCs w:val="20"/>
                <w:color w:val="231F20"/>
                <w:w w:val="97"/>
              </w:rPr>
              <w:t>Common stock dividends . . . . . . . . . . . . . . . . . . . . . . . . . . . . . . . . . .</w:t>
            </w:r>
          </w:p>
        </w:tc>
        <w:tc>
          <w:tcPr>
            <w:tcW w:w="980" w:type="dxa"/>
            <w:vAlign w:val="bottom"/>
          </w:tcPr>
          <w:p>
            <w:pPr>
              <w:spacing w:after="0"/>
              <w:rPr>
                <w:sz w:val="19"/>
                <w:szCs w:val="19"/>
                <w:color w:val="auto"/>
              </w:rPr>
            </w:pPr>
          </w:p>
        </w:tc>
        <w:tc>
          <w:tcPr>
            <w:tcW w:w="640" w:type="dxa"/>
            <w:vAlign w:val="bottom"/>
            <w:gridSpan w:val="3"/>
          </w:tcPr>
          <w:p>
            <w:pPr>
              <w:jc w:val="right"/>
              <w:ind w:right="120"/>
              <w:spacing w:after="0" w:line="226" w:lineRule="exact"/>
              <w:rPr>
                <w:sz w:val="20"/>
                <w:szCs w:val="20"/>
                <w:color w:val="auto"/>
              </w:rPr>
            </w:pPr>
            <w:r>
              <w:rPr>
                <w:rFonts w:ascii="Arial" w:cs="Arial" w:eastAsia="Arial" w:hAnsi="Arial"/>
                <w:sz w:val="20"/>
                <w:szCs w:val="20"/>
                <w:color w:val="231F20"/>
              </w:rPr>
              <w:t>(136)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(113)</w:t>
            </w: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8"/>
              </w:rPr>
              <w:t>Dividend equivalents on equity-settled awards . . . . . . . . . . . . . . . . .</w:t>
            </w:r>
          </w:p>
        </w:tc>
        <w:tc>
          <w:tcPr>
            <w:tcW w:w="98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20"/>
                <w:szCs w:val="20"/>
                <w:color w:val="231F20"/>
              </w:rPr>
              <w:t>(3)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231F20"/>
              </w:rPr>
              <w:t>(4)</w:t>
            </w: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7"/>
              </w:rPr>
              <w:t>Issuance of common stock . . . . . . . . . . . . . . . . . . . . . . . . . . . . . . . . .</w:t>
            </w:r>
          </w:p>
        </w:tc>
        <w:tc>
          <w:tcPr>
            <w:tcW w:w="98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20"/>
                <w:szCs w:val="20"/>
                <w:color w:val="231F20"/>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2</w:t>
            </w:r>
          </w:p>
        </w:tc>
        <w:tc>
          <w:tcPr>
            <w:tcW w:w="60" w:type="dxa"/>
            <w:vAlign w:val="bottom"/>
          </w:tcPr>
          <w:p>
            <w:pPr>
              <w:spacing w:after="0"/>
              <w:rPr>
                <w:sz w:val="20"/>
                <w:szCs w:val="20"/>
                <w:color w:val="auto"/>
              </w:rPr>
            </w:pP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7"/>
              </w:rPr>
              <w:t>Bridge loan commitment costs . . . . . . . . . . . . . . . . . . . . . . . . . . . . . .</w:t>
            </w:r>
          </w:p>
        </w:tc>
        <w:tc>
          <w:tcPr>
            <w:tcW w:w="980" w:type="dxa"/>
            <w:vAlign w:val="bottom"/>
          </w:tcPr>
          <w:p>
            <w:pPr>
              <w:spacing w:after="0"/>
              <w:rPr>
                <w:sz w:val="20"/>
                <w:szCs w:val="20"/>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231F20"/>
              </w:rPr>
              <w:t>(5)</w:t>
            </w: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7"/>
              </w:rPr>
              <w:t>Debt redemption . . . . . . . . . . . . . . . . . . . . . . . . . . . . . . . . . . . . . . . . .</w:t>
            </w:r>
          </w:p>
        </w:tc>
        <w:tc>
          <w:tcPr>
            <w:tcW w:w="98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20"/>
                <w:szCs w:val="20"/>
                <w:color w:val="231F20"/>
              </w:rPr>
              <w:t>(245)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231F20"/>
              </w:rPr>
              <w:t>(303)</w:t>
            </w: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6"/>
              </w:rPr>
              <w:t>Debt amendment costs . . . . . . . . . . . . . . . . . . . . . . . . . . . . . . . . . . . .</w:t>
            </w:r>
          </w:p>
        </w:tc>
        <w:tc>
          <w:tcPr>
            <w:tcW w:w="98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20"/>
                <w:szCs w:val="20"/>
                <w:color w:val="231F20"/>
              </w:rPr>
              <w:t>(3)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231F20"/>
              </w:rPr>
              <w:t>(18)</w:t>
            </w: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7"/>
              </w:rPr>
              <w:t>Stock warrants exercised . . . . . . . . . . . . . . . . . . . . . . . . . . . . . . . . . .</w:t>
            </w:r>
          </w:p>
        </w:tc>
        <w:tc>
          <w:tcPr>
            <w:tcW w:w="980" w:type="dxa"/>
            <w:vAlign w:val="bottom"/>
          </w:tcPr>
          <w:p>
            <w:pPr>
              <w:spacing w:after="0"/>
              <w:rPr>
                <w:sz w:val="20"/>
                <w:szCs w:val="20"/>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130</w:t>
            </w:r>
          </w:p>
        </w:tc>
        <w:tc>
          <w:tcPr>
            <w:tcW w:w="60" w:type="dxa"/>
            <w:vAlign w:val="bottom"/>
          </w:tcPr>
          <w:p>
            <w:pPr>
              <w:spacing w:after="0"/>
              <w:rPr>
                <w:sz w:val="20"/>
                <w:szCs w:val="20"/>
                <w:color w:val="auto"/>
              </w:rPr>
            </w:pPr>
          </w:p>
        </w:tc>
      </w:tr>
      <w:tr>
        <w:trPr>
          <w:trHeight w:val="240"/>
        </w:trPr>
        <w:tc>
          <w:tcPr>
            <w:tcW w:w="6080" w:type="dxa"/>
            <w:vAlign w:val="bottom"/>
          </w:tcPr>
          <w:p>
            <w:pPr>
              <w:jc w:val="right"/>
              <w:ind w:right="100"/>
              <w:spacing w:after="0"/>
              <w:rPr>
                <w:sz w:val="20"/>
                <w:szCs w:val="20"/>
                <w:color w:val="auto"/>
              </w:rPr>
            </w:pPr>
            <w:r>
              <w:rPr>
                <w:rFonts w:ascii="Arial" w:cs="Arial" w:eastAsia="Arial" w:hAnsi="Arial"/>
                <w:sz w:val="20"/>
                <w:szCs w:val="20"/>
                <w:color w:val="231F20"/>
                <w:w w:val="97"/>
              </w:rPr>
              <w:t>Shares cancelled for taxes . . . . . . . . . . . . . . . . . . . . . . . . . . . . . . . . .</w:t>
            </w:r>
          </w:p>
        </w:tc>
        <w:tc>
          <w:tcPr>
            <w:tcW w:w="98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20"/>
                <w:szCs w:val="20"/>
                <w:color w:val="231F20"/>
              </w:rPr>
              <w:t>(12)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color w:val="231F20"/>
              </w:rPr>
              <w:t>(42)</w:t>
            </w:r>
          </w:p>
        </w:tc>
      </w:tr>
      <w:tr>
        <w:trPr>
          <w:trHeight w:val="28"/>
        </w:trPr>
        <w:tc>
          <w:tcPr>
            <w:tcW w:w="60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6080" w:type="dxa"/>
            <w:vAlign w:val="bottom"/>
          </w:tcPr>
          <w:p>
            <w:pPr>
              <w:jc w:val="right"/>
              <w:ind w:right="100"/>
              <w:spacing w:after="0"/>
              <w:rPr>
                <w:sz w:val="20"/>
                <w:szCs w:val="20"/>
                <w:color w:val="auto"/>
              </w:rPr>
            </w:pPr>
            <w:r>
              <w:rPr>
                <w:rFonts w:ascii="Arial" w:cs="Arial" w:eastAsia="Arial" w:hAnsi="Arial"/>
                <w:sz w:val="20"/>
                <w:szCs w:val="20"/>
                <w:color w:val="231F20"/>
              </w:rPr>
              <w:t>Net cash (used in) provided by financing activities . . . . . . . . . . . .</w:t>
            </w:r>
          </w:p>
        </w:tc>
        <w:tc>
          <w:tcPr>
            <w:tcW w:w="980" w:type="dxa"/>
            <w:vAlign w:val="bottom"/>
          </w:tcPr>
          <w:p>
            <w:pPr>
              <w:jc w:val="right"/>
              <w:ind w:right="760"/>
              <w:spacing w:after="0"/>
              <w:rPr>
                <w:sz w:val="20"/>
                <w:szCs w:val="20"/>
                <w:color w:val="auto"/>
              </w:rPr>
            </w:pPr>
            <w:r>
              <w:rPr>
                <w:rFonts w:ascii="Arial" w:cs="Arial" w:eastAsia="Arial" w:hAnsi="Arial"/>
                <w:sz w:val="20"/>
                <w:szCs w:val="20"/>
                <w:color w:val="231F20"/>
                <w:w w:val="89"/>
              </w:rPr>
              <w:t>$</w:t>
            </w:r>
          </w:p>
        </w:tc>
        <w:tc>
          <w:tcPr>
            <w:tcW w:w="640" w:type="dxa"/>
            <w:vAlign w:val="bottom"/>
            <w:gridSpan w:val="3"/>
          </w:tcPr>
          <w:p>
            <w:pPr>
              <w:jc w:val="right"/>
              <w:ind w:right="120"/>
              <w:spacing w:after="0"/>
              <w:rPr>
                <w:sz w:val="20"/>
                <w:szCs w:val="20"/>
                <w:color w:val="auto"/>
              </w:rPr>
            </w:pPr>
            <w:r>
              <w:rPr>
                <w:rFonts w:ascii="Arial" w:cs="Arial" w:eastAsia="Arial" w:hAnsi="Arial"/>
                <w:sz w:val="20"/>
                <w:szCs w:val="20"/>
                <w:color w:val="231F20"/>
              </w:rPr>
              <w:t>(380)</w:t>
            </w:r>
          </w:p>
        </w:tc>
        <w:tc>
          <w:tcPr>
            <w:tcW w:w="400" w:type="dxa"/>
            <w:vAlign w:val="bottom"/>
            <w:gridSpan w:val="2"/>
          </w:tcPr>
          <w:p>
            <w:pPr>
              <w:jc w:val="right"/>
              <w:ind w:right="280"/>
              <w:spacing w:after="0"/>
              <w:rPr>
                <w:sz w:val="20"/>
                <w:szCs w:val="20"/>
                <w:color w:val="auto"/>
              </w:rPr>
            </w:pPr>
            <w:r>
              <w:rPr>
                <w:rFonts w:ascii="Arial" w:cs="Arial" w:eastAsia="Arial" w:hAnsi="Arial"/>
                <w:sz w:val="20"/>
                <w:szCs w:val="20"/>
                <w:color w:val="231F20"/>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231F20"/>
              </w:rPr>
              <w:t>343</w:t>
            </w:r>
          </w:p>
        </w:tc>
        <w:tc>
          <w:tcPr>
            <w:tcW w:w="60" w:type="dxa"/>
            <w:vAlign w:val="bottom"/>
          </w:tcPr>
          <w:p>
            <w:pPr>
              <w:spacing w:after="0"/>
              <w:rPr>
                <w:sz w:val="23"/>
                <w:szCs w:val="23"/>
                <w:color w:val="auto"/>
              </w:rPr>
            </w:pPr>
          </w:p>
        </w:tc>
      </w:tr>
      <w:tr>
        <w:trPr>
          <w:trHeight w:val="28"/>
        </w:trPr>
        <w:tc>
          <w:tcPr>
            <w:tcW w:w="60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320" w:right="300" w:hanging="320"/>
        <w:spacing w:after="0" w:line="258" w:lineRule="auto"/>
        <w:tabs>
          <w:tab w:leader="none" w:pos="320" w:val="left"/>
        </w:tabs>
        <w:numPr>
          <w:ilvl w:val="0"/>
          <w:numId w:val="49"/>
        </w:numPr>
        <w:rPr>
          <w:rFonts w:ascii="Arial" w:cs="Arial" w:eastAsia="Arial" w:hAnsi="Arial"/>
          <w:sz w:val="16"/>
          <w:szCs w:val="16"/>
          <w:color w:val="231F20"/>
        </w:rPr>
      </w:pPr>
      <w:r>
        <w:rPr>
          <w:rFonts w:ascii="Arial" w:cs="Arial" w:eastAsia="Arial" w:hAnsi="Arial"/>
          <w:sz w:val="16"/>
          <w:szCs w:val="16"/>
          <w:color w:val="231F20"/>
        </w:rPr>
        <w:t>The total value of shares purchased reported on our statement of cash flows includes approximately $2 million in the year ended December 31, 2024, related to excise taxes on share repurchases. Excise taxes in 2025 were insignificant and include a reversal for 2024 excise taxes that were no longer due. Commissions paid on share repurchases were not significant in all periods presented.</w:t>
      </w:r>
    </w:p>
    <w:p>
      <w:pPr>
        <w:spacing w:after="0" w:line="192" w:lineRule="exact"/>
        <w:rPr>
          <w:sz w:val="20"/>
          <w:szCs w:val="20"/>
          <w:color w:val="auto"/>
        </w:rPr>
      </w:pPr>
    </w:p>
    <w:p>
      <w:pPr>
        <w:ind w:right="280" w:firstLine="300"/>
        <w:spacing w:after="0" w:line="250" w:lineRule="auto"/>
        <w:rPr>
          <w:sz w:val="20"/>
          <w:szCs w:val="20"/>
          <w:color w:val="auto"/>
        </w:rPr>
      </w:pPr>
      <w:r>
        <w:rPr>
          <w:rFonts w:ascii="Arial" w:cs="Arial" w:eastAsia="Arial" w:hAnsi="Arial"/>
          <w:sz w:val="20"/>
          <w:szCs w:val="20"/>
          <w:color w:val="231F20"/>
        </w:rPr>
        <w:t xml:space="preserve">As noted above in </w:t>
      </w:r>
      <w:r>
        <w:rPr>
          <w:rFonts w:ascii="Arial" w:cs="Arial" w:eastAsia="Arial" w:hAnsi="Arial"/>
          <w:sz w:val="20"/>
          <w:szCs w:val="20"/>
          <w:i w:val="1"/>
          <w:iCs w:val="1"/>
          <w:color w:val="231F20"/>
        </w:rPr>
        <w:t>Long-Term Debt</w:t>
      </w:r>
      <w:r>
        <w:rPr>
          <w:rFonts w:ascii="Arial" w:cs="Arial" w:eastAsia="Arial" w:hAnsi="Arial"/>
          <w:sz w:val="20"/>
          <w:szCs w:val="20"/>
          <w:color w:val="231F20"/>
        </w:rPr>
        <w:t xml:space="preserve">, in October 2025, we completed an offering of $400 million in aggregate principal amount of our 7.000% 2034 Senior Notes. We also redeemed $245 million of our 2026 Senior Notes at 100% of the principal amount. In the year ended December 31, 2024, we completed an initial offering and a follow-on offering for our 2029 Senior Notes and we repurchased $300 million in face value of our 2026 Senior Notes at a premium. See </w:t>
      </w:r>
      <w:r>
        <w:rPr>
          <w:rFonts w:ascii="Arial" w:cs="Arial" w:eastAsia="Arial" w:hAnsi="Arial"/>
          <w:sz w:val="20"/>
          <w:szCs w:val="20"/>
          <w:i w:val="1"/>
          <w:iCs w:val="1"/>
          <w:color w:val="231F20"/>
        </w:rPr>
        <w:t>Part II, Item 8 – Financial</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Statements and Supplementary Data, Note 5 Debt </w:t>
      </w:r>
      <w:r>
        <w:rPr>
          <w:rFonts w:ascii="Arial" w:cs="Arial" w:eastAsia="Arial" w:hAnsi="Arial"/>
          <w:sz w:val="20"/>
          <w:szCs w:val="20"/>
          <w:color w:val="231F20"/>
        </w:rPr>
        <w:t>for more information on our financing</w:t>
      </w:r>
      <w:r>
        <w:rPr>
          <w:rFonts w:ascii="Arial" w:cs="Arial" w:eastAsia="Arial" w:hAnsi="Arial"/>
          <w:sz w:val="20"/>
          <w:szCs w:val="20"/>
          <w:i w:val="1"/>
          <w:iCs w:val="1"/>
          <w:color w:val="231F20"/>
        </w:rPr>
        <w:t xml:space="preserve"> </w:t>
      </w:r>
      <w:r>
        <w:rPr>
          <w:rFonts w:ascii="Arial" w:cs="Arial" w:eastAsia="Arial" w:hAnsi="Arial"/>
          <w:sz w:val="20"/>
          <w:szCs w:val="20"/>
          <w:color w:val="231F20"/>
        </w:rPr>
        <w:t>arrangements.</w:t>
      </w:r>
    </w:p>
    <w:p>
      <w:pPr>
        <w:spacing w:after="0" w:line="191"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 xml:space="preserve">Cash used for repurchases of our common stock under our Share Repurchase Program increased in 2025 as compared to 2024. Additionally, our Board of Directors increased the quarterly dividend rate on our common stock during 2025. See </w:t>
      </w:r>
      <w:r>
        <w:rPr>
          <w:rFonts w:ascii="Arial" w:cs="Arial" w:eastAsia="Arial" w:hAnsi="Arial"/>
          <w:sz w:val="20"/>
          <w:szCs w:val="20"/>
          <w:i w:val="1"/>
          <w:iCs w:val="1"/>
          <w:color w:val="231F20"/>
        </w:rPr>
        <w:t>Part II, Item 8 – Financial Statements and Supplementary</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Data, Note 11 Stockholders’ Equity </w:t>
      </w:r>
      <w:r>
        <w:rPr>
          <w:rFonts w:ascii="Arial" w:cs="Arial" w:eastAsia="Arial" w:hAnsi="Arial"/>
          <w:sz w:val="20"/>
          <w:szCs w:val="20"/>
          <w:color w:val="231F20"/>
        </w:rPr>
        <w:t>for more information on our Share Repurchase Program and cash</w:t>
      </w:r>
      <w:r>
        <w:rPr>
          <w:rFonts w:ascii="Arial" w:cs="Arial" w:eastAsia="Arial" w:hAnsi="Arial"/>
          <w:sz w:val="20"/>
          <w:szCs w:val="20"/>
          <w:i w:val="1"/>
          <w:iCs w:val="1"/>
          <w:color w:val="231F20"/>
        </w:rPr>
        <w:t xml:space="preserve"> </w:t>
      </w:r>
      <w:r>
        <w:rPr>
          <w:rFonts w:ascii="Arial" w:cs="Arial" w:eastAsia="Arial" w:hAnsi="Arial"/>
          <w:sz w:val="20"/>
          <w:szCs w:val="20"/>
          <w:color w:val="231F20"/>
        </w:rPr>
        <w:t>dividends.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Divestitures and Acquisitions</w:t>
      </w:r>
    </w:p>
    <w:p>
      <w:pPr>
        <w:spacing w:after="0" w:line="199" w:lineRule="exact"/>
        <w:rPr>
          <w:sz w:val="20"/>
          <w:szCs w:val="20"/>
          <w:color w:val="auto"/>
        </w:rPr>
      </w:pPr>
    </w:p>
    <w:p>
      <w:pPr>
        <w:jc w:val="both"/>
        <w:ind w:right="180" w:firstLine="300"/>
        <w:spacing w:after="0" w:line="249" w:lineRule="auto"/>
        <w:rPr>
          <w:sz w:val="20"/>
          <w:szCs w:val="20"/>
          <w:color w:val="auto"/>
        </w:rPr>
      </w:pPr>
      <w:r>
        <w:rPr>
          <w:rFonts w:ascii="Arial" w:cs="Arial" w:eastAsia="Arial" w:hAnsi="Arial"/>
          <w:sz w:val="20"/>
          <w:szCs w:val="20"/>
          <w:color w:val="231F20"/>
        </w:rPr>
        <w:t xml:space="preserve">From time to time, we review our extensive portfolio of assets for potential divestitures. See </w:t>
      </w:r>
      <w:r>
        <w:rPr>
          <w:rFonts w:ascii="Arial" w:cs="Arial" w:eastAsia="Arial" w:hAnsi="Arial"/>
          <w:sz w:val="20"/>
          <w:szCs w:val="20"/>
          <w:i w:val="1"/>
          <w:iCs w:val="1"/>
          <w:color w:val="231F20"/>
        </w:rPr>
        <w:t>Part II,</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Item 8 – Financial Statements and Supplementary Data, Note 9 Divestitures and Acquisitions </w:t>
      </w:r>
      <w:r>
        <w:rPr>
          <w:rFonts w:ascii="Arial" w:cs="Arial" w:eastAsia="Arial" w:hAnsi="Arial"/>
          <w:sz w:val="20"/>
          <w:szCs w:val="20"/>
          <w:color w:val="231F20"/>
        </w:rPr>
        <w:t>for more</w:t>
      </w:r>
      <w:r>
        <w:rPr>
          <w:rFonts w:ascii="Arial" w:cs="Arial" w:eastAsia="Arial" w:hAnsi="Arial"/>
          <w:sz w:val="20"/>
          <w:szCs w:val="20"/>
          <w:i w:val="1"/>
          <w:iCs w:val="1"/>
          <w:color w:val="231F20"/>
        </w:rPr>
        <w:t xml:space="preserve"> </w:t>
      </w:r>
      <w:r>
        <w:rPr>
          <w:rFonts w:ascii="Arial" w:cs="Arial" w:eastAsia="Arial" w:hAnsi="Arial"/>
          <w:sz w:val="20"/>
          <w:szCs w:val="20"/>
          <w:color w:val="231F20"/>
        </w:rPr>
        <w:t>information.</w:t>
      </w:r>
    </w:p>
    <w:p>
      <w:pPr>
        <w:sectPr>
          <w:pgSz w:w="11880" w:h="15480" w:orient="portrait"/>
          <w:cols w:equalWidth="0" w:num="1">
            <w:col w:w="9200"/>
          </w:cols>
          <w:pgMar w:left="1380" w:top="1316" w:right="1300" w:bottom="653" w:gutter="0" w:footer="0" w:header="0"/>
        </w:sect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231F20"/>
        </w:rPr>
        <w:t>79</w:t>
      </w:r>
    </w:p>
    <w:p>
      <w:pPr>
        <w:sectPr>
          <w:pgSz w:w="11880" w:h="15480" w:orient="portrait"/>
          <w:cols w:equalWidth="0" w:num="1">
            <w:col w:w="9200"/>
          </w:cols>
          <w:pgMar w:left="1380" w:top="1316" w:right="1300" w:bottom="653"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color w:val="231F20"/>
        </w:rPr>
        <w:t>Lawsuits, Claims, Commitments and Contingencies</w:t>
      </w:r>
    </w:p>
    <w:p>
      <w:pPr>
        <w:spacing w:after="0" w:line="217"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231F20"/>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9" w:lineRule="exact"/>
        <w:rPr>
          <w:sz w:val="20"/>
          <w:szCs w:val="20"/>
          <w:color w:val="auto"/>
        </w:rPr>
      </w:pPr>
    </w:p>
    <w:p>
      <w:pPr>
        <w:ind w:right="100" w:firstLine="300"/>
        <w:spacing w:after="0" w:line="266" w:lineRule="auto"/>
        <w:rPr>
          <w:sz w:val="20"/>
          <w:szCs w:val="20"/>
          <w:color w:val="auto"/>
        </w:rPr>
      </w:pPr>
      <w:r>
        <w:rPr>
          <w:rFonts w:ascii="Arial" w:cs="Arial" w:eastAsia="Arial" w:hAnsi="Arial"/>
          <w:sz w:val="19"/>
          <w:szCs w:val="19"/>
          <w:color w:val="231F20"/>
        </w:rPr>
        <w:t>We accrue reserves for currently outstanding lawsuits, claims and proceedings when it is probable that a liability has been incurred and the liability can be reasonably estimated. Reserve balances at December 31, 2025 and 2024 were not material to our consolidated balance sheets as of such dates.</w:t>
      </w:r>
    </w:p>
    <w:p>
      <w:pPr>
        <w:spacing w:after="0" w:line="194" w:lineRule="exact"/>
        <w:rPr>
          <w:sz w:val="20"/>
          <w:szCs w:val="20"/>
          <w:color w:val="auto"/>
        </w:rPr>
      </w:pPr>
    </w:p>
    <w:p>
      <w:pPr>
        <w:ind w:firstLine="300"/>
        <w:spacing w:after="0" w:line="250" w:lineRule="auto"/>
        <w:rPr>
          <w:sz w:val="20"/>
          <w:szCs w:val="20"/>
          <w:color w:val="auto"/>
        </w:rPr>
      </w:pPr>
      <w:r>
        <w:rPr>
          <w:rFonts w:ascii="Arial" w:cs="Arial" w:eastAsia="Arial" w:hAnsi="Arial"/>
          <w:sz w:val="20"/>
          <w:szCs w:val="20"/>
          <w:color w:val="231F20"/>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we are challenging the order from BSEE. In March 2024, we entered into a cost sharing agreement with former lessees to share in ongoing maintenance costs during the pendency of the challenge to the BSEE order. In September 2025, the parties amended the cost sharing agreement to include well abandonment work. As of December 31, 2025, we recognized a liability of $12 million, included in accrued liabilities in our consolidated balance sheet related to this abandonment work.</w:t>
      </w:r>
    </w:p>
    <w:p>
      <w:pPr>
        <w:spacing w:after="0" w:line="206" w:lineRule="exact"/>
        <w:rPr>
          <w:sz w:val="20"/>
          <w:szCs w:val="20"/>
          <w:color w:val="auto"/>
        </w:rPr>
      </w:pPr>
    </w:p>
    <w:p>
      <w:pPr>
        <w:ind w:right="60" w:firstLine="300"/>
        <w:spacing w:after="0" w:line="247" w:lineRule="auto"/>
        <w:rPr>
          <w:sz w:val="20"/>
          <w:szCs w:val="20"/>
          <w:color w:val="auto"/>
        </w:rPr>
      </w:pPr>
      <w:r>
        <w:rPr>
          <w:rFonts w:ascii="Arial" w:cs="Arial" w:eastAsia="Arial" w:hAnsi="Arial"/>
          <w:sz w:val="20"/>
          <w:szCs w:val="20"/>
          <w:color w:val="231F20"/>
        </w:rPr>
        <w:t>We also evaluate the amount of reasonably possible losses that we could incur as a result of these matters. We believe that reasonably possible losses that we could incur in excess of reserves cannot be accurately determined.</w:t>
      </w:r>
    </w:p>
    <w:p>
      <w:pPr>
        <w:spacing w:after="0" w:line="208" w:lineRule="exact"/>
        <w:rPr>
          <w:sz w:val="20"/>
          <w:szCs w:val="20"/>
          <w:color w:val="auto"/>
        </w:rPr>
      </w:pPr>
    </w:p>
    <w:p>
      <w:pPr>
        <w:ind w:right="500" w:firstLine="300"/>
        <w:spacing w:after="0" w:line="247" w:lineRule="auto"/>
        <w:rPr>
          <w:sz w:val="20"/>
          <w:szCs w:val="20"/>
          <w:color w:val="auto"/>
        </w:rPr>
      </w:pPr>
      <w:r>
        <w:rPr>
          <w:rFonts w:ascii="Arial" w:cs="Arial" w:eastAsia="Arial" w:hAnsi="Arial"/>
          <w:sz w:val="20"/>
          <w:szCs w:val="20"/>
          <w:color w:val="231F20"/>
        </w:rPr>
        <w:t xml:space="preserve">See </w:t>
      </w:r>
      <w:r>
        <w:rPr>
          <w:rFonts w:ascii="Arial" w:cs="Arial" w:eastAsia="Arial" w:hAnsi="Arial"/>
          <w:sz w:val="20"/>
          <w:szCs w:val="20"/>
          <w:i w:val="1"/>
          <w:iCs w:val="1"/>
          <w:color w:val="231F20"/>
        </w:rPr>
        <w:t>Part II, Item 8 – Financial Statements and Supplementary Data, Note 6 Lawsuits, Claims,</w:t>
      </w:r>
      <w:r>
        <w:rPr>
          <w:rFonts w:ascii="Arial" w:cs="Arial" w:eastAsia="Arial" w:hAnsi="Arial"/>
          <w:sz w:val="20"/>
          <w:szCs w:val="20"/>
          <w:color w:val="231F20"/>
        </w:rPr>
        <w:t xml:space="preserve"> </w:t>
      </w:r>
      <w:r>
        <w:rPr>
          <w:rFonts w:ascii="Arial" w:cs="Arial" w:eastAsia="Arial" w:hAnsi="Arial"/>
          <w:sz w:val="20"/>
          <w:szCs w:val="20"/>
          <w:i w:val="1"/>
          <w:iCs w:val="1"/>
          <w:color w:val="231F20"/>
        </w:rPr>
        <w:t>Commitments and Contingencies</w:t>
      </w:r>
      <w:r>
        <w:rPr>
          <w:rFonts w:ascii="Arial" w:cs="Arial" w:eastAsia="Arial" w:hAnsi="Arial"/>
          <w:sz w:val="20"/>
          <w:szCs w:val="20"/>
          <w:color w:val="231F20"/>
        </w:rPr>
        <w:t>.</w:t>
      </w:r>
    </w:p>
    <w:p>
      <w:pPr>
        <w:sectPr>
          <w:pgSz w:w="11880" w:h="15480" w:orient="portrait"/>
          <w:cols w:equalWidth="0" w:num="1">
            <w:col w:w="9080"/>
          </w:cols>
          <w:pgMar w:left="1380" w:top="1310" w:right="142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80</w:t>
      </w:r>
    </w:p>
    <w:p>
      <w:pPr>
        <w:sectPr>
          <w:pgSz w:w="11880" w:h="15480" w:orient="portrait"/>
          <w:cols w:equalWidth="0" w:num="1">
            <w:col w:w="9080"/>
          </w:cols>
          <w:pgMar w:left="1380" w:top="1310" w:right="1420" w:bottom="653"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color w:val="231F20"/>
        </w:rPr>
        <w:t>Critical Accounting Estimates</w:t>
      </w:r>
    </w:p>
    <w:p>
      <w:pPr>
        <w:spacing w:after="0" w:line="254" w:lineRule="exact"/>
        <w:rPr>
          <w:sz w:val="20"/>
          <w:szCs w:val="20"/>
          <w:color w:val="auto"/>
        </w:rPr>
      </w:pPr>
    </w:p>
    <w:p>
      <w:pPr>
        <w:ind w:right="120" w:firstLine="300"/>
        <w:spacing w:after="0" w:line="243" w:lineRule="auto"/>
        <w:rPr>
          <w:sz w:val="20"/>
          <w:szCs w:val="20"/>
          <w:color w:val="auto"/>
        </w:rPr>
      </w:pPr>
      <w:r>
        <w:rPr>
          <w:rFonts w:ascii="Arial" w:cs="Arial" w:eastAsia="Arial" w:hAnsi="Arial"/>
          <w:sz w:val="20"/>
          <w:szCs w:val="20"/>
          <w:color w:val="231F20"/>
        </w:rPr>
        <w:t>Our critical accounting estimates that could result in a material impact to the consolidated financial statements due to the levels of subjectivity and management judgment include the following:</w:t>
      </w:r>
    </w:p>
    <w:p>
      <w:pPr>
        <w:sectPr>
          <w:pgSz w:w="11880" w:h="15480" w:orient="portrait"/>
          <w:cols w:equalWidth="0" w:num="1">
            <w:col w:w="9100"/>
          </w:cols>
          <w:pgMar w:left="1380" w:top="1310" w:right="1400" w:bottom="655" w:gutter="0" w:footer="0" w:header="0"/>
        </w:sect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460"/>
              <w:spacing w:after="0"/>
              <w:rPr>
                <w:sz w:val="20"/>
                <w:szCs w:val="20"/>
                <w:color w:val="auto"/>
              </w:rPr>
            </w:pPr>
            <w:r>
              <w:rPr>
                <w:rFonts w:ascii="Arial" w:cs="Arial" w:eastAsia="Arial" w:hAnsi="Arial"/>
                <w:sz w:val="18"/>
                <w:szCs w:val="18"/>
                <w:b w:val="1"/>
                <w:bCs w:val="1"/>
                <w:color w:val="231F20"/>
              </w:rPr>
              <w:t>Title</w:t>
            </w:r>
          </w:p>
        </w:tc>
        <w:tc>
          <w:tcPr>
            <w:tcW w:w="140" w:type="dxa"/>
            <w:vAlign w:val="bottom"/>
          </w:tcPr>
          <w:p>
            <w:pPr>
              <w:spacing w:after="0"/>
              <w:rPr>
                <w:sz w:val="17"/>
                <w:szCs w:val="17"/>
                <w:color w:val="auto"/>
              </w:rPr>
            </w:pPr>
          </w:p>
        </w:tc>
        <w:tc>
          <w:tcPr>
            <w:tcW w:w="2440" w:type="dxa"/>
            <w:vAlign w:val="bottom"/>
          </w:tcPr>
          <w:p>
            <w:pPr>
              <w:ind w:left="720"/>
              <w:spacing w:after="0"/>
              <w:rPr>
                <w:sz w:val="20"/>
                <w:szCs w:val="20"/>
                <w:color w:val="auto"/>
              </w:rPr>
            </w:pPr>
            <w:r>
              <w:rPr>
                <w:rFonts w:ascii="Arial" w:cs="Arial" w:eastAsia="Arial" w:hAnsi="Arial"/>
                <w:sz w:val="18"/>
                <w:szCs w:val="18"/>
                <w:b w:val="1"/>
                <w:bCs w:val="1"/>
                <w:color w:val="231F20"/>
              </w:rPr>
              <w:t>Description</w:t>
            </w:r>
          </w:p>
        </w:tc>
      </w:tr>
      <w:tr>
        <w:trPr>
          <w:trHeight w:val="24"/>
        </w:trPr>
        <w:tc>
          <w:tcPr>
            <w:tcW w:w="13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Borders>
              <w:bottom w:val="single" w:sz="8" w:color="231F20"/>
            </w:tcBorders>
          </w:tcPr>
          <w:p>
            <w:pPr>
              <w:spacing w:after="0"/>
              <w:rPr>
                <w:sz w:val="2"/>
                <w:szCs w:val="2"/>
                <w:color w:val="auto"/>
              </w:rPr>
            </w:pPr>
          </w:p>
        </w:tc>
      </w:tr>
      <w:tr>
        <w:trPr>
          <w:trHeight w:val="256"/>
        </w:trPr>
        <w:tc>
          <w:tcPr>
            <w:tcW w:w="1300" w:type="dxa"/>
            <w:vAlign w:val="bottom"/>
          </w:tcPr>
          <w:p>
            <w:pPr>
              <w:spacing w:after="0"/>
              <w:rPr>
                <w:sz w:val="20"/>
                <w:szCs w:val="20"/>
                <w:color w:val="auto"/>
              </w:rPr>
            </w:pPr>
            <w:r>
              <w:rPr>
                <w:rFonts w:ascii="Arial" w:cs="Arial" w:eastAsia="Arial" w:hAnsi="Arial"/>
                <w:sz w:val="18"/>
                <w:szCs w:val="18"/>
                <w:color w:val="231F20"/>
              </w:rPr>
              <w:t>Oil and Natural</w:t>
            </w:r>
          </w:p>
        </w:tc>
        <w:tc>
          <w:tcPr>
            <w:tcW w:w="140" w:type="dxa"/>
            <w:vAlign w:val="bottom"/>
          </w:tcPr>
          <w:p>
            <w:pPr>
              <w:spacing w:after="0"/>
              <w:rPr>
                <w:sz w:val="22"/>
                <w:szCs w:val="22"/>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The carrying value of our</w:t>
            </w:r>
          </w:p>
        </w:tc>
      </w:tr>
      <w:tr>
        <w:trPr>
          <w:trHeight w:val="220"/>
        </w:trPr>
        <w:tc>
          <w:tcPr>
            <w:tcW w:w="1300" w:type="dxa"/>
            <w:vAlign w:val="bottom"/>
          </w:tcPr>
          <w:p>
            <w:pPr>
              <w:spacing w:after="0"/>
              <w:rPr>
                <w:sz w:val="20"/>
                <w:szCs w:val="20"/>
                <w:color w:val="auto"/>
              </w:rPr>
            </w:pPr>
            <w:r>
              <w:rPr>
                <w:rFonts w:ascii="Arial" w:cs="Arial" w:eastAsia="Arial" w:hAnsi="Arial"/>
                <w:sz w:val="18"/>
                <w:szCs w:val="18"/>
                <w:color w:val="231F20"/>
              </w:rPr>
              <w:t>Gas Properties</w:t>
            </w: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property, plant and equipment</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represents the costs incurred</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to acquire or develop the</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asset, including any asset</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retirement obligations, net of</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accumulated depreciation,</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depletion and amortization.</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For assets acquired in a</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business combination, PP&amp;E</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cost is based on fair values at</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the acquisition date. We use</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the successful efforts method</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of accounting for our oil and</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natural gas producing</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activities. Under this method,</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we capitalize the cost of</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acquiring properties,</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development costs and the</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costs of drilling successful</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exploration wells.</w:t>
            </w:r>
          </w:p>
        </w:tc>
      </w:tr>
      <w:tr>
        <w:trPr>
          <w:trHeight w:val="438"/>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The estimated amount of</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proved reserve volumes is</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used as the basis for</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recording depletion expense.</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We determine depletion on</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our oil and natural gas</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w w:val="99"/>
              </w:rPr>
              <w:t>producing properties using the</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unit-of-production method.</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w w:val="99"/>
              </w:rPr>
              <w:t>Under this method, acquisition</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costs are amortized based on</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total proved oil and gas</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reserves and capitalized</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development and successful</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exploration costs are depleted</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based on proved developed</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oil and natural gas reserves.</w:t>
            </w:r>
          </w:p>
        </w:tc>
      </w:tr>
      <w:tr>
        <w:trPr>
          <w:trHeight w:val="439"/>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Accounting for business</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combinations requires the</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allocation of the purchase</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price to the various assets</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and liabilities of the acquired</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business and recording</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deferred taxes for any</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differences between the</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allocated values and tax basis</w:t>
            </w:r>
          </w:p>
        </w:tc>
      </w:tr>
      <w:tr>
        <w:trPr>
          <w:trHeight w:val="22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231F20"/>
              </w:rPr>
              <w:t>of assets and liabilities.</w:t>
            </w:r>
          </w:p>
        </w:tc>
      </w:tr>
    </w:tbl>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Estimation and</w:t>
      </w:r>
    </w:p>
    <w:p>
      <w:pPr>
        <w:jc w:val="center"/>
        <w:spacing w:after="0" w:line="208" w:lineRule="auto"/>
        <w:rPr>
          <w:sz w:val="20"/>
          <w:szCs w:val="20"/>
          <w:color w:val="auto"/>
        </w:rPr>
      </w:pPr>
      <w:r>
        <w:rPr>
          <w:rFonts w:ascii="Arial" w:cs="Arial" w:eastAsia="Arial" w:hAnsi="Arial"/>
          <w:sz w:val="18"/>
          <w:szCs w:val="18"/>
          <w:b w:val="1"/>
          <w:bCs w:val="1"/>
          <w:color w:val="231F20"/>
        </w:rPr>
        <w:t>Uncertainties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21590</wp:posOffset>
                </wp:positionV>
                <wp:extent cx="154432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432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7pt" to="121.3pt,1.7pt" o:allowincell="f" strokecolor="#231F20" strokeweight="1pt"/>
            </w:pict>
          </mc:Fallback>
        </mc:AlternateConten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The determination of quantities of proved reserves is a highly technical process performed by our engineers and geoscientists. The analysis is based on drilling results, reservoir performance, subsurface interpretation and future development plans. Production rate forecasts are primarily derived from estimates from decline-curve analysis and type-curve analysis. Secondary inputs may include material balance calculations, which consider the volumes of substances replacing the volumes produced and associated reservoir pressure changes. Additional inputs may also include seismic analysis and computer simulations of reservoir performance. These field-tested technologies have demonstrated reasonably certain results with consistency and repeatability in the formations being evaluated or in analogous formations. The data for a given reservoir may also change over time as a result of numerous factors including, but not limited to, additional development activity and future development costs, production history and continuous reassessment of the viability of future production volumes under varying economic conditions.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Several other factors could change our proved oil and gas reserves including changes in energy costs, inflation, deflation and the political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Sensitivities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20955</wp:posOffset>
                </wp:positionV>
                <wp:extent cx="160909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909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5pt" to="127pt,1.65pt" o:allowincell="f" strokecolor="#231F20" strokeweight="1pt"/>
            </w:pict>
          </mc:Fallback>
        </mc:AlternateConten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Our total proved reserves were 654 MMBoe and our total proved developed reserves were 541 MMBoe at December 31, 2025. We estimate our 2026 depletion rate for oil and natural gas producing properties using the unit-of-production method will be approximately $9/Boe. A 5% change in our reserves would increase or decrease this DD&amp;A rate by approximately $0.47/Boe.</w:t>
      </w:r>
    </w:p>
    <w:p>
      <w:pPr>
        <w:spacing w:after="0" w:line="7933" w:lineRule="exact"/>
        <w:rPr>
          <w:sz w:val="20"/>
          <w:szCs w:val="20"/>
          <w:color w:val="auto"/>
        </w:rPr>
      </w:pPr>
    </w:p>
    <w:p>
      <w:pPr>
        <w:sectPr>
          <w:pgSz w:w="11880" w:h="15480" w:orient="portrait"/>
          <w:cols w:equalWidth="0" w:num="3">
            <w:col w:w="3880" w:space="140"/>
            <w:col w:w="2420" w:space="140"/>
            <w:col w:w="2520"/>
          </w:cols>
          <w:pgMar w:left="1380" w:top="1310" w:right="1400" w:bottom="655" w:gutter="0" w:footer="0" w:header="0"/>
          <w:type w:val="continuous"/>
        </w:sectPr>
      </w:pP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81</w:t>
      </w:r>
    </w:p>
    <w:p>
      <w:pPr>
        <w:sectPr>
          <w:pgSz w:w="11880" w:h="15480" w:orient="portrait"/>
          <w:cols w:equalWidth="0" w:num="1">
            <w:col w:w="9100"/>
          </w:cols>
          <w:pgMar w:left="1380" w:top="1310" w:right="1400" w:bottom="655" w:gutter="0" w:footer="0" w:header="0"/>
          <w:type w:val="continuous"/>
        </w:sectPr>
      </w:pPr>
    </w:p>
    <w:bookmarkStart w:id="85" w:name="page86"/>
    <w:bookmarkEnd w:id="85"/>
    <w:p>
      <w:pPr>
        <w:spacing w:after="0" w:line="180"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b w:val="1"/>
          <w:bCs w:val="1"/>
          <w:color w:val="231F20"/>
        </w:rPr>
        <w:t>Title</w:t>
      </w:r>
      <w:r>
        <w:rPr>
          <w:sz w:val="20"/>
          <w:szCs w:val="20"/>
          <w:color w:val="auto"/>
        </w:rPr>
        <w:tab/>
      </w:r>
      <w:r>
        <w:rPr>
          <w:rFonts w:ascii="Arial" w:cs="Arial" w:eastAsia="Arial" w:hAnsi="Arial"/>
          <w:sz w:val="18"/>
          <w:szCs w:val="18"/>
          <w:b w:val="1"/>
          <w:bCs w:val="1"/>
          <w:color w:val="231F20"/>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20955</wp:posOffset>
                </wp:positionV>
                <wp:extent cx="8255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5pt" to="65pt,1.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914400</wp:posOffset>
                </wp:positionH>
                <wp:positionV relativeFrom="paragraph">
                  <wp:posOffset>20955</wp:posOffset>
                </wp:positionV>
                <wp:extent cx="154495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495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1.65pt" to="193.65pt,1.65pt" o:allowincell="f" strokecolor="#231F20" strokeweight="1pt"/>
            </w:pict>
          </mc:Fallback>
        </mc:AlternateConten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Any excess of the purchase</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price over the amounts</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assigned to assets and</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liabilities is recorded as</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goodwill. The preliminary fair</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value of Berry’s proved</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reserves acquired in the</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acquisition approximated</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$637 million. We do not have</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significant capitalized costs</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7"/>
          <w:szCs w:val="17"/>
          <w:color w:val="231F20"/>
        </w:rPr>
        <w:t>related to unproved properties</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and have not identified</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significant unproved</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properties as a result of the</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18"/>
          <w:szCs w:val="18"/>
          <w:color w:val="231F20"/>
        </w:rPr>
        <w:t>acquisition of Berry.</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Arial" w:cs="Arial" w:eastAsia="Arial" w:hAnsi="Arial"/>
          <w:sz w:val="18"/>
          <w:szCs w:val="18"/>
          <w:b w:val="1"/>
          <w:bCs w:val="1"/>
          <w:color w:val="231F20"/>
        </w:rPr>
        <w:t>Estimation and</w:t>
      </w:r>
    </w:p>
    <w:p>
      <w:pPr>
        <w:jc w:val="both"/>
        <w:ind w:left="640"/>
        <w:spacing w:after="0" w:line="208" w:lineRule="auto"/>
        <w:tabs>
          <w:tab w:leader="none" w:pos="3280" w:val="left"/>
        </w:tabs>
        <w:rPr>
          <w:sz w:val="20"/>
          <w:szCs w:val="20"/>
          <w:color w:val="auto"/>
        </w:rPr>
      </w:pPr>
      <w:r>
        <w:rPr>
          <w:rFonts w:ascii="Arial" w:cs="Arial" w:eastAsia="Arial" w:hAnsi="Arial"/>
          <w:sz w:val="18"/>
          <w:szCs w:val="18"/>
          <w:b w:val="1"/>
          <w:bCs w:val="1"/>
          <w:color w:val="231F20"/>
        </w:rPr>
        <w:t>Uncertainties</w:t>
      </w:r>
      <w:r>
        <w:rPr>
          <w:sz w:val="20"/>
          <w:szCs w:val="20"/>
          <w:color w:val="auto"/>
        </w:rPr>
        <w:tab/>
      </w:r>
      <w:r>
        <w:rPr>
          <w:rFonts w:ascii="Arial" w:cs="Arial" w:eastAsia="Arial" w:hAnsi="Arial"/>
          <w:sz w:val="18"/>
          <w:szCs w:val="18"/>
          <w:b w:val="1"/>
          <w:bCs w:val="1"/>
          <w:color w:val="231F20"/>
        </w:rPr>
        <w:t>Sensitivities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21590</wp:posOffset>
                </wp:positionV>
                <wp:extent cx="154432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432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7pt" to="121.3pt,1.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1629410</wp:posOffset>
                </wp:positionH>
                <wp:positionV relativeFrom="paragraph">
                  <wp:posOffset>21590</wp:posOffset>
                </wp:positionV>
                <wp:extent cx="160909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909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8.3pt,1.7pt" to="255pt,1.7pt" o:allowincell="f" strokecolor="#231F20" strokeweight="1pt"/>
            </w:pict>
          </mc:Fallback>
        </mc:AlternateConten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31F20"/>
        </w:rPr>
        <w:t>regulatory environment, all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which are beyond our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231F20"/>
        </w:rPr>
        <w:t>We estimated the fair value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Berry’s proved reserves 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acquisition date using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expected present value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discounted future cash flows,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on an after-tax basis,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applying a reasonable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discount rate. We have used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all available information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make a fair value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determination, including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assistance from third-party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valuation experts.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assumptions used 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believed to be reasonable but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could change. This would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have the effect of increasing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or decreasing the amount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DD&amp;A we recognized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acquired assets.</w:t>
      </w:r>
    </w:p>
    <w:p>
      <w:pPr>
        <w:spacing w:after="0" w:line="183" w:lineRule="exact"/>
        <w:rPr>
          <w:sz w:val="20"/>
          <w:szCs w:val="20"/>
          <w:color w:val="auto"/>
        </w:rPr>
      </w:pPr>
    </w:p>
    <w:p>
      <w:pPr>
        <w:sectPr>
          <w:pgSz w:w="11880" w:h="15480" w:orient="portrait"/>
          <w:cols w:equalWidth="0" w:num="2">
            <w:col w:w="3840" w:space="180"/>
            <w:col w:w="5040"/>
          </w:cols>
          <w:pgMar w:left="1380" w:top="1269" w:right="1440" w:bottom="655" w:gutter="0" w:footer="0" w:header="0"/>
        </w:sectPr>
      </w:pPr>
    </w:p>
    <w:p>
      <w:pPr>
        <w:spacing w:after="0"/>
        <w:tabs>
          <w:tab w:leader="none" w:pos="1420" w:val="left"/>
        </w:tabs>
        <w:rPr>
          <w:sz w:val="20"/>
          <w:szCs w:val="20"/>
          <w:color w:val="auto"/>
        </w:rPr>
      </w:pPr>
      <w:r>
        <w:rPr>
          <w:rFonts w:ascii="Arial" w:cs="Arial" w:eastAsia="Arial" w:hAnsi="Arial"/>
          <w:sz w:val="18"/>
          <w:szCs w:val="18"/>
          <w:color w:val="231F20"/>
        </w:rPr>
        <w:t>Asset</w:t>
      </w:r>
      <w:r>
        <w:rPr>
          <w:sz w:val="20"/>
          <w:szCs w:val="20"/>
          <w:color w:val="auto"/>
        </w:rPr>
        <w:tab/>
      </w:r>
      <w:r>
        <w:rPr>
          <w:rFonts w:ascii="Arial" w:cs="Arial" w:eastAsia="Arial" w:hAnsi="Arial"/>
          <w:sz w:val="18"/>
          <w:szCs w:val="18"/>
          <w:color w:val="231F20"/>
        </w:rPr>
        <w:t>Our asset retirement</w:t>
      </w:r>
    </w:p>
    <w:p>
      <w:pPr>
        <w:spacing w:after="0" w:line="2"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231F20"/>
        </w:rPr>
        <w:t>Retirement</w:t>
      </w:r>
      <w:r>
        <w:rPr>
          <w:sz w:val="20"/>
          <w:szCs w:val="20"/>
          <w:color w:val="auto"/>
        </w:rPr>
        <w:tab/>
      </w:r>
      <w:r>
        <w:rPr>
          <w:rFonts w:ascii="Arial" w:cs="Arial" w:eastAsia="Arial" w:hAnsi="Arial"/>
          <w:sz w:val="18"/>
          <w:szCs w:val="18"/>
          <w:color w:val="231F20"/>
        </w:rPr>
        <w:t>obligations relate to the</w:t>
      </w:r>
    </w:p>
    <w:p>
      <w:pPr>
        <w:spacing w:after="0" w:line="2"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231F20"/>
        </w:rPr>
        <w:t>Obligations</w:t>
      </w:r>
      <w:r>
        <w:rPr>
          <w:sz w:val="20"/>
          <w:szCs w:val="20"/>
          <w:color w:val="auto"/>
        </w:rPr>
        <w:tab/>
      </w:r>
      <w:r>
        <w:rPr>
          <w:rFonts w:ascii="Arial" w:cs="Arial" w:eastAsia="Arial" w:hAnsi="Arial"/>
          <w:sz w:val="18"/>
          <w:szCs w:val="18"/>
          <w:color w:val="231F20"/>
        </w:rPr>
        <w:t>plugging and abandonment of</w:t>
      </w:r>
    </w:p>
    <w:p>
      <w:pPr>
        <w:spacing w:after="0" w:line="8" w:lineRule="exact"/>
        <w:rPr>
          <w:sz w:val="20"/>
          <w:szCs w:val="20"/>
          <w:color w:val="auto"/>
        </w:rPr>
      </w:pPr>
    </w:p>
    <w:p>
      <w:pPr>
        <w:ind w:left="1440" w:right="140"/>
        <w:spacing w:after="0" w:line="239" w:lineRule="auto"/>
        <w:rPr>
          <w:sz w:val="20"/>
          <w:szCs w:val="20"/>
          <w:color w:val="auto"/>
        </w:rPr>
      </w:pPr>
      <w:r>
        <w:rPr>
          <w:rFonts w:ascii="Arial" w:cs="Arial" w:eastAsia="Arial" w:hAnsi="Arial"/>
          <w:sz w:val="18"/>
          <w:szCs w:val="18"/>
          <w:color w:val="231F20"/>
        </w:rPr>
        <w:t>oil and natural gas wells and facilities used in the oil and natural gas segment.</w:t>
      </w:r>
    </w:p>
    <w:p>
      <w:pPr>
        <w:spacing w:after="0" w:line="189" w:lineRule="exact"/>
        <w:rPr>
          <w:sz w:val="20"/>
          <w:szCs w:val="20"/>
          <w:color w:val="auto"/>
        </w:rPr>
      </w:pPr>
    </w:p>
    <w:p>
      <w:pPr>
        <w:ind w:left="1440" w:right="20"/>
        <w:spacing w:after="0" w:line="257" w:lineRule="auto"/>
        <w:rPr>
          <w:sz w:val="20"/>
          <w:szCs w:val="20"/>
          <w:color w:val="auto"/>
        </w:rPr>
      </w:pPr>
      <w:r>
        <w:rPr>
          <w:rFonts w:ascii="Arial" w:cs="Arial" w:eastAsia="Arial" w:hAnsi="Arial"/>
          <w:sz w:val="17"/>
          <w:szCs w:val="17"/>
          <w:color w:val="231F20"/>
        </w:rPr>
        <w:t>We determine our asset retirement obligation, including the obligations related to Berry’s assets we acquired, by calculating the present value of estimated future cash outflows related to the abandonment obligation.</w:t>
      </w:r>
    </w:p>
    <w:p>
      <w:pPr>
        <w:spacing w:after="0" w:line="178" w:lineRule="exact"/>
        <w:rPr>
          <w:sz w:val="20"/>
          <w:szCs w:val="20"/>
          <w:color w:val="auto"/>
        </w:rPr>
      </w:pPr>
    </w:p>
    <w:p>
      <w:pPr>
        <w:ind w:left="1440"/>
        <w:spacing w:after="0" w:line="241" w:lineRule="auto"/>
        <w:rPr>
          <w:sz w:val="20"/>
          <w:szCs w:val="20"/>
          <w:color w:val="auto"/>
        </w:rPr>
      </w:pPr>
      <w:r>
        <w:rPr>
          <w:rFonts w:ascii="Arial" w:cs="Arial" w:eastAsia="Arial" w:hAnsi="Arial"/>
          <w:sz w:val="18"/>
          <w:szCs w:val="18"/>
          <w:color w:val="231F20"/>
        </w:rPr>
        <w:t>The asset retirement cost is capitalized as part of the carrying amount of the related long-lived asset or included in the fair value estimate in a business combination. In periods subsequent to initial measurement, the asset retirement cost is depreciated using the unit-of-production method, while increases in the ARO liability resulting from the passage of time (accretion expense) is included in operating expenses on our consolidated statements of operations.</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8"/>
          <w:szCs w:val="18"/>
          <w:color w:val="231F20"/>
        </w:rPr>
        <w:t>The recognition of an asset retirement obligation requires us to make assumptions including an estimate of future abandonment costs and inflation rates, timing of activity and our credit-adjusted discount rate among others. Changes in the legal, regulatory and political environment could also affect our estimated future cash outflows.</w:t>
      </w:r>
    </w:p>
    <w:p>
      <w:pPr>
        <w:spacing w:after="0" w:line="20" w:lineRule="exact"/>
        <w:rPr>
          <w:sz w:val="20"/>
          <w:szCs w:val="20"/>
          <w:color w:val="auto"/>
        </w:rPr>
      </w:pPr>
      <w:r>
        <w:rPr>
          <w:sz w:val="20"/>
          <w:szCs w:val="20"/>
          <w:color w:val="auto"/>
        </w:rPr>
        <w:br w:type="column"/>
      </w:r>
    </w:p>
    <w:p>
      <w:pPr>
        <w:ind w:right="60"/>
        <w:spacing w:after="0"/>
        <w:rPr>
          <w:sz w:val="20"/>
          <w:szCs w:val="20"/>
          <w:color w:val="auto"/>
        </w:rPr>
      </w:pPr>
      <w:r>
        <w:rPr>
          <w:rFonts w:ascii="Arial" w:cs="Arial" w:eastAsia="Arial" w:hAnsi="Arial"/>
          <w:sz w:val="18"/>
          <w:szCs w:val="18"/>
          <w:color w:val="231F20"/>
        </w:rPr>
        <w:t>As of December 31, 2025 and 2024, we had asset retirement obligations of $1,033 million and $1,129 million, respectively.</w:t>
      </w:r>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8"/>
          <w:szCs w:val="18"/>
          <w:color w:val="231F20"/>
        </w:rPr>
        <w:t>A 1% increase in the inflation rate would increase our liability by $94 million and a 1% decrease in the inflation rate would decrease our liability by $89 million as of December 31, 2025.</w:t>
      </w:r>
    </w:p>
    <w:p>
      <w:pPr>
        <w:spacing w:after="0" w:line="4340" w:lineRule="exact"/>
        <w:rPr>
          <w:sz w:val="20"/>
          <w:szCs w:val="20"/>
          <w:color w:val="auto"/>
        </w:rPr>
      </w:pPr>
    </w:p>
    <w:p>
      <w:pPr>
        <w:sectPr>
          <w:pgSz w:w="11880" w:h="15480" w:orient="portrait"/>
          <w:cols w:equalWidth="0" w:num="3">
            <w:col w:w="3860" w:space="160"/>
            <w:col w:w="2400" w:space="160"/>
            <w:col w:w="2480"/>
          </w:cols>
          <w:pgMar w:left="1380" w:top="1269" w:right="1440" w:bottom="655" w:gutter="0" w:footer="0" w:header="0"/>
          <w:type w:val="continuous"/>
        </w:sect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82</w:t>
      </w:r>
    </w:p>
    <w:p>
      <w:pPr>
        <w:sectPr>
          <w:pgSz w:w="11880" w:h="15480" w:orient="portrait"/>
          <w:cols w:equalWidth="0" w:num="1">
            <w:col w:w="9060"/>
          </w:cols>
          <w:pgMar w:left="1380" w:top="1269" w:right="1440" w:bottom="655"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b w:val="1"/>
          <w:bCs w:val="1"/>
          <w:color w:val="231F20"/>
        </w:rPr>
        <w:t>Forward-Looking Statements</w:t>
      </w:r>
    </w:p>
    <w:p>
      <w:pPr>
        <w:spacing w:after="0" w:line="13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spacing w:after="0" w:line="13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880" w:h="15480" w:orient="portrait"/>
          <w:cols w:equalWidth="0" w:num="1">
            <w:col w:w="9120"/>
          </w:cols>
          <w:pgMar w:left="1380" w:top="1310" w:right="1380" w:bottom="653" w:gutter="0" w:footer="0" w:header="0"/>
        </w:sectPr>
      </w:pPr>
    </w:p>
    <w:p>
      <w:pPr>
        <w:spacing w:after="0" w:line="128" w:lineRule="exact"/>
        <w:rPr>
          <w:sz w:val="20"/>
          <w:szCs w:val="20"/>
          <w:color w:val="auto"/>
        </w:rPr>
      </w:pPr>
    </w:p>
    <w:p>
      <w:pPr>
        <w:ind w:left="600" w:right="120" w:hanging="300"/>
        <w:spacing w:after="0" w:line="263" w:lineRule="auto"/>
        <w:tabs>
          <w:tab w:leader="none" w:pos="600" w:val="left"/>
        </w:tabs>
        <w:numPr>
          <w:ilvl w:val="0"/>
          <w:numId w:val="50"/>
        </w:numPr>
        <w:rPr>
          <w:rFonts w:ascii="Arial" w:cs="Arial" w:eastAsia="Arial" w:hAnsi="Arial"/>
          <w:sz w:val="19"/>
          <w:szCs w:val="19"/>
          <w:color w:val="231F20"/>
        </w:rPr>
      </w:pPr>
      <w:r>
        <w:rPr>
          <w:rFonts w:ascii="Arial" w:cs="Arial" w:eastAsia="Arial" w:hAnsi="Arial"/>
          <w:sz w:val="19"/>
          <w:szCs w:val="19"/>
          <w:color w:val="231F20"/>
        </w:rPr>
        <w:t>fluctuations in commodity prices, including supply and demand considerations for our products and services, and the impact of such fluctuations on revenues and operating expenses;</w:t>
      </w:r>
    </w:p>
    <w:p>
      <w:pPr>
        <w:spacing w:after="0" w:line="2" w:lineRule="exact"/>
        <w:rPr>
          <w:rFonts w:ascii="Arial" w:cs="Arial" w:eastAsia="Arial" w:hAnsi="Arial"/>
          <w:sz w:val="19"/>
          <w:szCs w:val="19"/>
          <w:color w:val="231F20"/>
        </w:rPr>
      </w:pPr>
    </w:p>
    <w:p>
      <w:pPr>
        <w:ind w:left="600" w:right="360" w:hanging="300"/>
        <w:spacing w:after="0" w:line="247" w:lineRule="auto"/>
        <w:tabs>
          <w:tab w:leader="none" w:pos="600" w:val="left"/>
        </w:tabs>
        <w:numPr>
          <w:ilvl w:val="0"/>
          <w:numId w:val="50"/>
        </w:numPr>
        <w:rPr>
          <w:rFonts w:ascii="Arial" w:cs="Arial" w:eastAsia="Arial" w:hAnsi="Arial"/>
          <w:sz w:val="20"/>
          <w:szCs w:val="20"/>
          <w:color w:val="231F20"/>
        </w:rPr>
      </w:pPr>
      <w:r>
        <w:rPr>
          <w:rFonts w:ascii="Arial" w:cs="Arial" w:eastAsia="Arial" w:hAnsi="Arial"/>
          <w:sz w:val="20"/>
          <w:szCs w:val="20"/>
          <w:color w:val="231F20"/>
        </w:rPr>
        <w:t>decisions as to production levels and/or pricing by OPEC+ or U.S. producers in future periods;</w:t>
      </w:r>
    </w:p>
    <w:p>
      <w:pPr>
        <w:spacing w:after="0" w:line="9" w:lineRule="exact"/>
        <w:rPr>
          <w:rFonts w:ascii="Arial" w:cs="Arial" w:eastAsia="Arial" w:hAnsi="Arial"/>
          <w:sz w:val="20"/>
          <w:szCs w:val="20"/>
          <w:color w:val="231F20"/>
        </w:rPr>
      </w:pPr>
    </w:p>
    <w:p>
      <w:pPr>
        <w:ind w:left="600" w:right="180" w:hanging="300"/>
        <w:spacing w:after="0" w:line="249" w:lineRule="auto"/>
        <w:tabs>
          <w:tab w:leader="none" w:pos="600" w:val="left"/>
        </w:tabs>
        <w:numPr>
          <w:ilvl w:val="0"/>
          <w:numId w:val="50"/>
        </w:numPr>
        <w:rPr>
          <w:rFonts w:ascii="Arial" w:cs="Arial" w:eastAsia="Arial" w:hAnsi="Arial"/>
          <w:sz w:val="20"/>
          <w:szCs w:val="20"/>
          <w:color w:val="231F20"/>
        </w:rPr>
      </w:pPr>
      <w:r>
        <w:rPr>
          <w:rFonts w:ascii="Arial" w:cs="Arial" w:eastAsia="Arial" w:hAnsi="Arial"/>
          <w:sz w:val="20"/>
          <w:szCs w:val="20"/>
          <w:color w:val="231F20"/>
        </w:rPr>
        <w:t>government policy, war and political conditions and events, including the military conflicts in Israel and Ukraine and geopolitical uncertainty in the Middle East and Venezuela;</w:t>
      </w:r>
    </w:p>
    <w:p>
      <w:pPr>
        <w:spacing w:after="0" w:line="6" w:lineRule="exact"/>
        <w:rPr>
          <w:rFonts w:ascii="Arial" w:cs="Arial" w:eastAsia="Arial" w:hAnsi="Arial"/>
          <w:sz w:val="20"/>
          <w:szCs w:val="20"/>
          <w:color w:val="231F20"/>
        </w:rPr>
      </w:pPr>
    </w:p>
    <w:p>
      <w:pPr>
        <w:ind w:left="600" w:right="160" w:hanging="300"/>
        <w:spacing w:after="0" w:line="249" w:lineRule="auto"/>
        <w:tabs>
          <w:tab w:leader="none" w:pos="600" w:val="left"/>
        </w:tabs>
        <w:numPr>
          <w:ilvl w:val="0"/>
          <w:numId w:val="50"/>
        </w:numPr>
        <w:rPr>
          <w:rFonts w:ascii="Arial" w:cs="Arial" w:eastAsia="Arial" w:hAnsi="Arial"/>
          <w:sz w:val="20"/>
          <w:szCs w:val="20"/>
          <w:color w:val="231F20"/>
        </w:rPr>
      </w:pPr>
      <w:r>
        <w:rPr>
          <w:rFonts w:ascii="Arial" w:cs="Arial" w:eastAsia="Arial" w:hAnsi="Arial"/>
          <w:sz w:val="20"/>
          <w:szCs w:val="20"/>
          <w:color w:val="231F20"/>
        </w:rPr>
        <w:t>the ability to successfully execute integration efforts in connection with the Berry Merger, and achieve projected synergies and ensure that such synergies are sustainable;</w:t>
      </w:r>
    </w:p>
    <w:p>
      <w:pPr>
        <w:spacing w:after="0" w:line="6" w:lineRule="exact"/>
        <w:rPr>
          <w:rFonts w:ascii="Arial" w:cs="Arial" w:eastAsia="Arial" w:hAnsi="Arial"/>
          <w:sz w:val="20"/>
          <w:szCs w:val="20"/>
          <w:color w:val="231F20"/>
        </w:rPr>
      </w:pPr>
    </w:p>
    <w:p>
      <w:pPr>
        <w:ind w:left="600" w:right="80" w:hanging="300"/>
        <w:spacing w:after="0" w:line="249" w:lineRule="auto"/>
        <w:tabs>
          <w:tab w:leader="none" w:pos="600" w:val="left"/>
        </w:tabs>
        <w:numPr>
          <w:ilvl w:val="0"/>
          <w:numId w:val="50"/>
        </w:numPr>
        <w:rPr>
          <w:rFonts w:ascii="Arial" w:cs="Arial" w:eastAsia="Arial" w:hAnsi="Arial"/>
          <w:sz w:val="20"/>
          <w:szCs w:val="20"/>
          <w:color w:val="231F20"/>
        </w:rPr>
      </w:pPr>
      <w:r>
        <w:rPr>
          <w:rFonts w:ascii="Arial" w:cs="Arial" w:eastAsia="Arial" w:hAnsi="Arial"/>
          <w:sz w:val="20"/>
          <w:szCs w:val="20"/>
          <w:color w:val="231F20"/>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segment; (2) the management of energy, water, land, greenhouse gases (GHGs) or other emissions, (3) the protection of health, safety and the environment, or (4) the transportation, marketing and sale of our products;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300" w:right="20" w:hanging="300"/>
        <w:spacing w:after="0" w:line="245" w:lineRule="auto"/>
        <w:tabs>
          <w:tab w:leader="none" w:pos="300"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refinery closures and reductions in pipeline transportation capacity;</w:t>
      </w:r>
    </w:p>
    <w:p>
      <w:pPr>
        <w:spacing w:after="0" w:line="10" w:lineRule="exact"/>
        <w:rPr>
          <w:rFonts w:ascii="Arial" w:cs="Arial" w:eastAsia="Arial" w:hAnsi="Arial"/>
          <w:sz w:val="20"/>
          <w:szCs w:val="20"/>
          <w:color w:val="231F20"/>
        </w:rPr>
      </w:pPr>
    </w:p>
    <w:p>
      <w:pPr>
        <w:ind w:left="300" w:right="80" w:hanging="300"/>
        <w:spacing w:after="0" w:line="247" w:lineRule="auto"/>
        <w:tabs>
          <w:tab w:leader="none" w:pos="300"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the expected timing and resumption of the issuance of well permits following the enactment of SB 237;</w:t>
      </w:r>
    </w:p>
    <w:p>
      <w:pPr>
        <w:spacing w:after="0" w:line="9" w:lineRule="exact"/>
        <w:rPr>
          <w:rFonts w:ascii="Arial" w:cs="Arial" w:eastAsia="Arial" w:hAnsi="Arial"/>
          <w:sz w:val="20"/>
          <w:szCs w:val="20"/>
          <w:color w:val="231F20"/>
        </w:rPr>
      </w:pPr>
    </w:p>
    <w:p>
      <w:pPr>
        <w:ind w:left="300" w:right="60" w:hanging="300"/>
        <w:spacing w:after="0" w:line="263" w:lineRule="auto"/>
        <w:tabs>
          <w:tab w:leader="none" w:pos="30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the efforts of activists to delay prevent oil and gas activities or the development of our carbon management segment through a variety of tactics, including litigation;</w:t>
      </w:r>
    </w:p>
    <w:p>
      <w:pPr>
        <w:spacing w:after="0" w:line="2" w:lineRule="exact"/>
        <w:rPr>
          <w:rFonts w:ascii="Arial" w:cs="Arial" w:eastAsia="Arial" w:hAnsi="Arial"/>
          <w:sz w:val="19"/>
          <w:szCs w:val="19"/>
          <w:color w:val="231F20"/>
        </w:rPr>
      </w:pPr>
    </w:p>
    <w:p>
      <w:pPr>
        <w:ind w:left="300" w:right="100" w:hanging="300"/>
        <w:spacing w:after="0" w:line="263" w:lineRule="auto"/>
        <w:tabs>
          <w:tab w:leader="none" w:pos="30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the impact of inflation, tariffs and changes in domestic or global trade policies on future expenses and changes generally in the prices of goods and services;</w:t>
      </w:r>
    </w:p>
    <w:p>
      <w:pPr>
        <w:spacing w:after="0" w:line="2" w:lineRule="exact"/>
        <w:rPr>
          <w:rFonts w:ascii="Arial" w:cs="Arial" w:eastAsia="Arial" w:hAnsi="Arial"/>
          <w:sz w:val="19"/>
          <w:szCs w:val="19"/>
          <w:color w:val="231F20"/>
        </w:rPr>
      </w:pPr>
    </w:p>
    <w:p>
      <w:pPr>
        <w:ind w:left="300" w:right="200" w:hanging="300"/>
        <w:spacing w:after="0" w:line="263" w:lineRule="auto"/>
        <w:tabs>
          <w:tab w:leader="none" w:pos="30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changes in business strategy and the ability and financial resources to execute our capital plan in a timely manner;</w:t>
      </w:r>
    </w:p>
    <w:p>
      <w:pPr>
        <w:spacing w:after="0" w:line="1" w:lineRule="exact"/>
        <w:rPr>
          <w:rFonts w:ascii="Arial" w:cs="Arial" w:eastAsia="Arial" w:hAnsi="Arial"/>
          <w:sz w:val="19"/>
          <w:szCs w:val="19"/>
          <w:color w:val="231F20"/>
        </w:rPr>
      </w:pPr>
    </w:p>
    <w:p>
      <w:pPr>
        <w:ind w:left="300" w:right="80" w:hanging="300"/>
        <w:spacing w:after="0" w:line="263" w:lineRule="auto"/>
        <w:tabs>
          <w:tab w:leader="none" w:pos="30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lower-than-expected production or higher-than-expected production decline rates;</w:t>
      </w:r>
    </w:p>
    <w:p>
      <w:pPr>
        <w:spacing w:after="0" w:line="1" w:lineRule="exact"/>
        <w:rPr>
          <w:rFonts w:ascii="Arial" w:cs="Arial" w:eastAsia="Arial" w:hAnsi="Arial"/>
          <w:sz w:val="19"/>
          <w:szCs w:val="19"/>
          <w:color w:val="231F20"/>
        </w:rPr>
      </w:pPr>
    </w:p>
    <w:p>
      <w:pPr>
        <w:ind w:left="300" w:right="60" w:hanging="300"/>
        <w:spacing w:after="0" w:line="263" w:lineRule="auto"/>
        <w:tabs>
          <w:tab w:leader="none" w:pos="30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changes to our estimates of reserves and related future cash flows, including changes arising from our inability to develop such reserves in a timely manner, and any inability to replace such reserves;</w:t>
      </w:r>
    </w:p>
    <w:p>
      <w:pPr>
        <w:spacing w:after="0" w:line="2" w:lineRule="exact"/>
        <w:rPr>
          <w:rFonts w:ascii="Arial" w:cs="Arial" w:eastAsia="Arial" w:hAnsi="Arial"/>
          <w:sz w:val="19"/>
          <w:szCs w:val="19"/>
          <w:color w:val="231F20"/>
        </w:rPr>
      </w:pPr>
    </w:p>
    <w:p>
      <w:pPr>
        <w:ind w:left="300" w:right="740" w:hanging="300"/>
        <w:spacing w:after="0" w:line="263" w:lineRule="auto"/>
        <w:tabs>
          <w:tab w:leader="none" w:pos="30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the recoverability of resources and unexpected geologic conditions;</w:t>
      </w:r>
    </w:p>
    <w:p>
      <w:pPr>
        <w:spacing w:after="0" w:line="1" w:lineRule="exact"/>
        <w:rPr>
          <w:rFonts w:ascii="Arial" w:cs="Arial" w:eastAsia="Arial" w:hAnsi="Arial"/>
          <w:sz w:val="19"/>
          <w:szCs w:val="19"/>
          <w:color w:val="231F20"/>
        </w:rPr>
      </w:pPr>
    </w:p>
    <w:p>
      <w:pPr>
        <w:ind w:left="300" w:right="200" w:hanging="300"/>
        <w:spacing w:after="0" w:line="263" w:lineRule="auto"/>
        <w:tabs>
          <w:tab w:leader="none" w:pos="300" w:val="left"/>
        </w:tabs>
        <w:numPr>
          <w:ilvl w:val="0"/>
          <w:numId w:val="51"/>
        </w:numPr>
        <w:rPr>
          <w:rFonts w:ascii="Arial" w:cs="Arial" w:eastAsia="Arial" w:hAnsi="Arial"/>
          <w:sz w:val="19"/>
          <w:szCs w:val="19"/>
          <w:color w:val="231F20"/>
        </w:rPr>
      </w:pPr>
      <w:r>
        <w:rPr>
          <w:rFonts w:ascii="Arial" w:cs="Arial" w:eastAsia="Arial" w:hAnsi="Arial"/>
          <w:sz w:val="19"/>
          <w:szCs w:val="19"/>
          <w:color w:val="231F20"/>
        </w:rPr>
        <w:t>general economic conditions and trends, including conditions in the worldwide financial, trade and credit markets;</w:t>
      </w:r>
    </w:p>
    <w:p>
      <w:pPr>
        <w:spacing w:after="0" w:line="1" w:lineRule="exact"/>
        <w:rPr>
          <w:rFonts w:ascii="Arial" w:cs="Arial" w:eastAsia="Arial" w:hAnsi="Arial"/>
          <w:sz w:val="19"/>
          <w:szCs w:val="19"/>
          <w:color w:val="231F20"/>
        </w:rPr>
      </w:pPr>
    </w:p>
    <w:p>
      <w:pPr>
        <w:ind w:left="300" w:right="300" w:hanging="300"/>
        <w:spacing w:after="0" w:line="243" w:lineRule="auto"/>
        <w:tabs>
          <w:tab w:leader="none" w:pos="300" w:val="left"/>
        </w:tabs>
        <w:numPr>
          <w:ilvl w:val="0"/>
          <w:numId w:val="51"/>
        </w:numPr>
        <w:rPr>
          <w:rFonts w:ascii="Arial" w:cs="Arial" w:eastAsia="Arial" w:hAnsi="Arial"/>
          <w:sz w:val="20"/>
          <w:szCs w:val="20"/>
          <w:color w:val="231F20"/>
        </w:rPr>
      </w:pPr>
      <w:r>
        <w:rPr>
          <w:rFonts w:ascii="Arial" w:cs="Arial" w:eastAsia="Arial" w:hAnsi="Arial"/>
          <w:sz w:val="20"/>
          <w:szCs w:val="20"/>
          <w:color w:val="231F20"/>
        </w:rPr>
        <w:t>production-sharing contracts’ effects on production and operating costs;</w:t>
      </w:r>
    </w:p>
    <w:p>
      <w:pPr>
        <w:spacing w:after="0" w:line="674" w:lineRule="exact"/>
        <w:rPr>
          <w:sz w:val="20"/>
          <w:szCs w:val="20"/>
          <w:color w:val="auto"/>
        </w:rPr>
      </w:pPr>
    </w:p>
    <w:p>
      <w:pPr>
        <w:sectPr>
          <w:pgSz w:w="11880" w:h="15480" w:orient="portrait"/>
          <w:cols w:equalWidth="0" w:num="2">
            <w:col w:w="4380" w:space="720"/>
            <w:col w:w="4020"/>
          </w:cols>
          <w:pgMar w:left="1380" w:top="1310" w:right="1380" w:bottom="653" w:gutter="0" w:footer="0" w:header="0"/>
          <w:type w:val="continuous"/>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83</w:t>
      </w:r>
    </w:p>
    <w:p>
      <w:pPr>
        <w:sectPr>
          <w:pgSz w:w="11880" w:h="15480" w:orient="portrait"/>
          <w:cols w:equalWidth="0" w:num="1">
            <w:col w:w="9120"/>
          </w:cols>
          <w:pgMar w:left="1380" w:top="1310" w:right="1380" w:bottom="653" w:gutter="0" w:footer="0" w:header="0"/>
          <w:type w:val="continuous"/>
        </w:sectPr>
      </w:pPr>
    </w:p>
    <w:bookmarkStart w:id="87" w:name="page88"/>
    <w:bookmarkEnd w:id="87"/>
    <w:p>
      <w:pPr>
        <w:ind w:left="600" w:right="300" w:hanging="300"/>
        <w:spacing w:after="0" w:line="243" w:lineRule="auto"/>
        <w:tabs>
          <w:tab w:leader="none" w:pos="600" w:val="left"/>
        </w:tabs>
        <w:numPr>
          <w:ilvl w:val="0"/>
          <w:numId w:val="52"/>
        </w:numPr>
        <w:rPr>
          <w:rFonts w:ascii="Arial" w:cs="Arial" w:eastAsia="Arial" w:hAnsi="Arial"/>
          <w:sz w:val="20"/>
          <w:szCs w:val="20"/>
          <w:color w:val="231F20"/>
        </w:rPr>
      </w:pPr>
      <w:r>
        <w:rPr>
          <w:rFonts w:ascii="Arial" w:cs="Arial" w:eastAsia="Arial" w:hAnsi="Arial"/>
          <w:sz w:val="20"/>
          <w:szCs w:val="20"/>
          <w:color w:val="231F20"/>
        </w:rPr>
        <w:t>the lack of available equipment, service or labor price inflation;</w:t>
      </w:r>
    </w:p>
    <w:p>
      <w:pPr>
        <w:spacing w:after="0" w:line="14" w:lineRule="exact"/>
        <w:rPr>
          <w:rFonts w:ascii="Arial" w:cs="Arial" w:eastAsia="Arial" w:hAnsi="Arial"/>
          <w:sz w:val="20"/>
          <w:szCs w:val="20"/>
          <w:color w:val="231F20"/>
        </w:rPr>
      </w:pPr>
    </w:p>
    <w:p>
      <w:pPr>
        <w:jc w:val="both"/>
        <w:ind w:left="600" w:right="380" w:hanging="300"/>
        <w:spacing w:after="0" w:line="263" w:lineRule="auto"/>
        <w:tabs>
          <w:tab w:leader="none" w:pos="600" w:val="left"/>
        </w:tabs>
        <w:numPr>
          <w:ilvl w:val="0"/>
          <w:numId w:val="52"/>
        </w:numPr>
        <w:rPr>
          <w:rFonts w:ascii="Arial" w:cs="Arial" w:eastAsia="Arial" w:hAnsi="Arial"/>
          <w:sz w:val="19"/>
          <w:szCs w:val="19"/>
          <w:color w:val="231F20"/>
        </w:rPr>
      </w:pPr>
      <w:r>
        <w:rPr>
          <w:rFonts w:ascii="Arial" w:cs="Arial" w:eastAsia="Arial" w:hAnsi="Arial"/>
          <w:sz w:val="19"/>
          <w:szCs w:val="19"/>
          <w:color w:val="231F20"/>
        </w:rPr>
        <w:t>limitations on transportation or storage capacity and the need to shut-in wells;</w:t>
      </w:r>
    </w:p>
    <w:p>
      <w:pPr>
        <w:ind w:left="600" w:hanging="300"/>
        <w:spacing w:after="0"/>
        <w:tabs>
          <w:tab w:leader="none" w:pos="600" w:val="left"/>
        </w:tabs>
        <w:numPr>
          <w:ilvl w:val="0"/>
          <w:numId w:val="52"/>
        </w:numPr>
        <w:rPr>
          <w:rFonts w:ascii="Arial" w:cs="Arial" w:eastAsia="Arial" w:hAnsi="Arial"/>
          <w:sz w:val="20"/>
          <w:szCs w:val="20"/>
          <w:color w:val="231F20"/>
        </w:rPr>
      </w:pPr>
      <w:r>
        <w:rPr>
          <w:rFonts w:ascii="Arial" w:cs="Arial" w:eastAsia="Arial" w:hAnsi="Arial"/>
          <w:sz w:val="20"/>
          <w:szCs w:val="20"/>
          <w:color w:val="231F20"/>
        </w:rPr>
        <w:t>any failure of risk management;</w:t>
      </w:r>
    </w:p>
    <w:p>
      <w:pPr>
        <w:spacing w:after="0" w:line="16" w:lineRule="exact"/>
        <w:rPr>
          <w:rFonts w:ascii="Arial" w:cs="Arial" w:eastAsia="Arial" w:hAnsi="Arial"/>
          <w:sz w:val="20"/>
          <w:szCs w:val="20"/>
          <w:color w:val="231F20"/>
        </w:rPr>
      </w:pPr>
    </w:p>
    <w:p>
      <w:pPr>
        <w:ind w:left="600" w:right="60" w:hanging="300"/>
        <w:spacing w:after="0" w:line="243" w:lineRule="auto"/>
        <w:tabs>
          <w:tab w:leader="none" w:pos="600" w:val="left"/>
        </w:tabs>
        <w:numPr>
          <w:ilvl w:val="0"/>
          <w:numId w:val="52"/>
        </w:numPr>
        <w:rPr>
          <w:rFonts w:ascii="Arial" w:cs="Arial" w:eastAsia="Arial" w:hAnsi="Arial"/>
          <w:sz w:val="20"/>
          <w:szCs w:val="20"/>
          <w:color w:val="231F20"/>
        </w:rPr>
      </w:pPr>
      <w:r>
        <w:rPr>
          <w:rFonts w:ascii="Arial" w:cs="Arial" w:eastAsia="Arial" w:hAnsi="Arial"/>
          <w:sz w:val="20"/>
          <w:szCs w:val="20"/>
          <w:color w:val="231F20"/>
        </w:rPr>
        <w:t>results from operations and competition in the industries in which we operate;</w:t>
      </w:r>
    </w:p>
    <w:p>
      <w:pPr>
        <w:spacing w:after="0" w:line="14" w:lineRule="exact"/>
        <w:rPr>
          <w:rFonts w:ascii="Arial" w:cs="Arial" w:eastAsia="Arial" w:hAnsi="Arial"/>
          <w:sz w:val="20"/>
          <w:szCs w:val="20"/>
          <w:color w:val="231F20"/>
        </w:rPr>
      </w:pPr>
    </w:p>
    <w:p>
      <w:pPr>
        <w:ind w:left="600" w:right="120" w:hanging="300"/>
        <w:spacing w:after="0" w:line="263" w:lineRule="auto"/>
        <w:tabs>
          <w:tab w:leader="none" w:pos="600" w:val="left"/>
        </w:tabs>
        <w:numPr>
          <w:ilvl w:val="0"/>
          <w:numId w:val="52"/>
        </w:numPr>
        <w:rPr>
          <w:rFonts w:ascii="Arial" w:cs="Arial" w:eastAsia="Arial" w:hAnsi="Arial"/>
          <w:sz w:val="19"/>
          <w:szCs w:val="19"/>
          <w:color w:val="231F20"/>
        </w:rPr>
      </w:pPr>
      <w:r>
        <w:rPr>
          <w:rFonts w:ascii="Arial" w:cs="Arial" w:eastAsia="Arial" w:hAnsi="Arial"/>
          <w:sz w:val="19"/>
          <w:szCs w:val="19"/>
          <w:color w:val="231F20"/>
        </w:rPr>
        <w:t>our ability to realize the anticipated benefits from prior or future efforts to reduce costs;</w:t>
      </w:r>
    </w:p>
    <w:p>
      <w:pPr>
        <w:spacing w:after="0" w:line="1" w:lineRule="exact"/>
        <w:rPr>
          <w:rFonts w:ascii="Arial" w:cs="Arial" w:eastAsia="Arial" w:hAnsi="Arial"/>
          <w:sz w:val="19"/>
          <w:szCs w:val="19"/>
          <w:color w:val="231F20"/>
        </w:rPr>
      </w:pPr>
    </w:p>
    <w:p>
      <w:pPr>
        <w:ind w:left="600" w:right="60" w:hanging="300"/>
        <w:spacing w:after="0" w:line="248" w:lineRule="auto"/>
        <w:tabs>
          <w:tab w:leader="none" w:pos="600" w:val="left"/>
        </w:tabs>
        <w:numPr>
          <w:ilvl w:val="0"/>
          <w:numId w:val="52"/>
        </w:numPr>
        <w:rPr>
          <w:rFonts w:ascii="Arial" w:cs="Arial" w:eastAsia="Arial" w:hAnsi="Arial"/>
          <w:sz w:val="20"/>
          <w:szCs w:val="20"/>
          <w:color w:val="231F20"/>
        </w:rPr>
      </w:pPr>
      <w:r>
        <w:rPr>
          <w:rFonts w:ascii="Arial" w:cs="Arial" w:eastAsia="Arial" w:hAnsi="Arial"/>
          <w:sz w:val="20"/>
          <w:szCs w:val="20"/>
          <w:color w:val="231F20"/>
        </w:rPr>
        <w:t>environmental risks and liability under federal, regional, state, provincial, tribal, local and international environmental laws and regulations (including remedial actions);</w:t>
      </w:r>
    </w:p>
    <w:p>
      <w:pPr>
        <w:spacing w:after="0" w:line="11" w:lineRule="exact"/>
        <w:rPr>
          <w:rFonts w:ascii="Arial" w:cs="Arial" w:eastAsia="Arial" w:hAnsi="Arial"/>
          <w:sz w:val="20"/>
          <w:szCs w:val="20"/>
          <w:color w:val="231F20"/>
        </w:rPr>
      </w:pPr>
    </w:p>
    <w:p>
      <w:pPr>
        <w:ind w:left="600" w:right="220" w:hanging="300"/>
        <w:spacing w:after="0" w:line="248" w:lineRule="auto"/>
        <w:tabs>
          <w:tab w:leader="none" w:pos="600" w:val="left"/>
        </w:tabs>
        <w:numPr>
          <w:ilvl w:val="0"/>
          <w:numId w:val="52"/>
        </w:numPr>
        <w:rPr>
          <w:rFonts w:ascii="Arial" w:cs="Arial" w:eastAsia="Arial" w:hAnsi="Arial"/>
          <w:sz w:val="20"/>
          <w:szCs w:val="20"/>
          <w:color w:val="231F20"/>
        </w:rPr>
      </w:pPr>
      <w:r>
        <w:rPr>
          <w:rFonts w:ascii="Arial" w:cs="Arial" w:eastAsia="Arial" w:hAnsi="Arial"/>
          <w:sz w:val="20"/>
          <w:szCs w:val="20"/>
          <w:color w:val="231F20"/>
        </w:rPr>
        <w:t>the creditworthiness and performance of our counterparties, including financial institutions, operating partners, CCS project participants and other parties;</w:t>
      </w:r>
    </w:p>
    <w:p>
      <w:pPr>
        <w:spacing w:after="0" w:line="9" w:lineRule="exact"/>
        <w:rPr>
          <w:rFonts w:ascii="Arial" w:cs="Arial" w:eastAsia="Arial" w:hAnsi="Arial"/>
          <w:sz w:val="20"/>
          <w:szCs w:val="20"/>
          <w:color w:val="231F20"/>
        </w:rPr>
      </w:pPr>
    </w:p>
    <w:p>
      <w:pPr>
        <w:ind w:left="600" w:right="540" w:hanging="300"/>
        <w:spacing w:after="0" w:line="245" w:lineRule="auto"/>
        <w:tabs>
          <w:tab w:leader="none" w:pos="600" w:val="left"/>
        </w:tabs>
        <w:numPr>
          <w:ilvl w:val="0"/>
          <w:numId w:val="52"/>
        </w:numPr>
        <w:rPr>
          <w:rFonts w:ascii="Arial" w:cs="Arial" w:eastAsia="Arial" w:hAnsi="Arial"/>
          <w:sz w:val="20"/>
          <w:szCs w:val="20"/>
          <w:color w:val="231F20"/>
        </w:rPr>
      </w:pPr>
      <w:r>
        <w:rPr>
          <w:rFonts w:ascii="Arial" w:cs="Arial" w:eastAsia="Arial" w:hAnsi="Arial"/>
          <w:sz w:val="20"/>
          <w:szCs w:val="20"/>
          <w:color w:val="231F20"/>
        </w:rPr>
        <w:t>reorganization or restructuring of our operations;</w:t>
      </w:r>
    </w:p>
    <w:p>
      <w:pPr>
        <w:spacing w:after="0" w:line="10" w:lineRule="exact"/>
        <w:rPr>
          <w:rFonts w:ascii="Arial" w:cs="Arial" w:eastAsia="Arial" w:hAnsi="Arial"/>
          <w:sz w:val="20"/>
          <w:szCs w:val="20"/>
          <w:color w:val="231F20"/>
        </w:rPr>
      </w:pPr>
    </w:p>
    <w:p>
      <w:pPr>
        <w:ind w:left="600" w:right="160" w:hanging="300"/>
        <w:spacing w:after="0" w:line="247" w:lineRule="auto"/>
        <w:tabs>
          <w:tab w:leader="none" w:pos="600" w:val="left"/>
        </w:tabs>
        <w:numPr>
          <w:ilvl w:val="0"/>
          <w:numId w:val="52"/>
        </w:numPr>
        <w:rPr>
          <w:rFonts w:ascii="Arial" w:cs="Arial" w:eastAsia="Arial" w:hAnsi="Arial"/>
          <w:sz w:val="20"/>
          <w:szCs w:val="20"/>
          <w:color w:val="231F20"/>
        </w:rPr>
      </w:pPr>
      <w:r>
        <w:rPr>
          <w:rFonts w:ascii="Arial" w:cs="Arial" w:eastAsia="Arial" w:hAnsi="Arial"/>
          <w:sz w:val="20"/>
          <w:szCs w:val="20"/>
          <w:color w:val="231F20"/>
        </w:rPr>
        <w:t>our ability to claim and utilize tax credits or other incentives in connection with our CCS projects;</w:t>
      </w:r>
    </w:p>
    <w:p>
      <w:pPr>
        <w:spacing w:after="0" w:line="9" w:lineRule="exact"/>
        <w:rPr>
          <w:rFonts w:ascii="Arial" w:cs="Arial" w:eastAsia="Arial" w:hAnsi="Arial"/>
          <w:sz w:val="20"/>
          <w:szCs w:val="20"/>
          <w:color w:val="231F20"/>
        </w:rPr>
      </w:pPr>
    </w:p>
    <w:p>
      <w:pPr>
        <w:ind w:left="600" w:right="260" w:hanging="300"/>
        <w:spacing w:after="0" w:line="249" w:lineRule="auto"/>
        <w:tabs>
          <w:tab w:leader="none" w:pos="600" w:val="left"/>
        </w:tabs>
        <w:numPr>
          <w:ilvl w:val="0"/>
          <w:numId w:val="52"/>
        </w:numPr>
        <w:rPr>
          <w:rFonts w:ascii="Arial" w:cs="Arial" w:eastAsia="Arial" w:hAnsi="Arial"/>
          <w:sz w:val="20"/>
          <w:szCs w:val="20"/>
          <w:color w:val="231F20"/>
        </w:rPr>
      </w:pPr>
      <w:r>
        <w:rPr>
          <w:rFonts w:ascii="Arial" w:cs="Arial" w:eastAsia="Arial" w:hAnsi="Arial"/>
          <w:sz w:val="20"/>
          <w:szCs w:val="20"/>
          <w:color w:val="231F20"/>
        </w:rPr>
        <w:t>our ability to realize the benefits contemplated by our energy transition strategies and initiatives, including CCS projects and other renewable energy efforts;</w:t>
      </w:r>
    </w:p>
    <w:p>
      <w:pPr>
        <w:spacing w:after="0" w:line="6" w:lineRule="exact"/>
        <w:rPr>
          <w:rFonts w:ascii="Arial" w:cs="Arial" w:eastAsia="Arial" w:hAnsi="Arial"/>
          <w:sz w:val="20"/>
          <w:szCs w:val="20"/>
          <w:color w:val="231F20"/>
        </w:rPr>
      </w:pPr>
    </w:p>
    <w:p>
      <w:pPr>
        <w:ind w:left="600" w:right="60" w:hanging="300"/>
        <w:spacing w:after="0" w:line="249" w:lineRule="auto"/>
        <w:tabs>
          <w:tab w:leader="none" w:pos="600" w:val="left"/>
        </w:tabs>
        <w:numPr>
          <w:ilvl w:val="0"/>
          <w:numId w:val="52"/>
        </w:numPr>
        <w:rPr>
          <w:rFonts w:ascii="Arial" w:cs="Arial" w:eastAsia="Arial" w:hAnsi="Arial"/>
          <w:sz w:val="20"/>
          <w:szCs w:val="20"/>
          <w:color w:val="231F20"/>
        </w:rPr>
      </w:pPr>
      <w:r>
        <w:rPr>
          <w:rFonts w:ascii="Arial" w:cs="Arial" w:eastAsia="Arial" w:hAnsi="Arial"/>
          <w:sz w:val="20"/>
          <w:szCs w:val="20"/>
          <w:color w:val="231F20"/>
        </w:rPr>
        <w:t>our ability to successfully identify, develop and finance carbon capture and storage projects, power projects and other renewable energy efforts, including those in connection with the Carbon TerraVault JV, and our ability to convert our MOUs and CDMAs to definitive agreements and enter into other offtake agreements;</w:t>
      </w:r>
    </w:p>
    <w:p>
      <w:pPr>
        <w:spacing w:after="0" w:line="11" w:lineRule="exact"/>
        <w:rPr>
          <w:rFonts w:ascii="Arial" w:cs="Arial" w:eastAsia="Arial" w:hAnsi="Arial"/>
          <w:sz w:val="20"/>
          <w:szCs w:val="20"/>
          <w:color w:val="231F20"/>
        </w:rPr>
      </w:pPr>
    </w:p>
    <w:p>
      <w:pPr>
        <w:ind w:left="600" w:right="140" w:hanging="300"/>
        <w:spacing w:after="0" w:line="263" w:lineRule="auto"/>
        <w:tabs>
          <w:tab w:leader="none" w:pos="600" w:val="left"/>
        </w:tabs>
        <w:numPr>
          <w:ilvl w:val="0"/>
          <w:numId w:val="52"/>
        </w:numPr>
        <w:rPr>
          <w:rFonts w:ascii="Arial" w:cs="Arial" w:eastAsia="Arial" w:hAnsi="Arial"/>
          <w:sz w:val="19"/>
          <w:szCs w:val="19"/>
          <w:color w:val="231F20"/>
        </w:rPr>
      </w:pPr>
      <w:r>
        <w:rPr>
          <w:rFonts w:ascii="Arial" w:cs="Arial" w:eastAsia="Arial" w:hAnsi="Arial"/>
          <w:sz w:val="19"/>
          <w:szCs w:val="19"/>
          <w:color w:val="231F20"/>
        </w:rPr>
        <w:t>our ability to grow and develop our carbon management segment and achieve projected injection and storage rates;</w:t>
      </w:r>
    </w:p>
    <w:p>
      <w:pPr>
        <w:spacing w:after="0" w:line="1" w:lineRule="exact"/>
        <w:rPr>
          <w:rFonts w:ascii="Arial" w:cs="Arial" w:eastAsia="Arial" w:hAnsi="Arial"/>
          <w:sz w:val="19"/>
          <w:szCs w:val="19"/>
          <w:color w:val="231F20"/>
        </w:rPr>
      </w:pPr>
    </w:p>
    <w:p>
      <w:pPr>
        <w:ind w:left="600" w:right="140" w:hanging="300"/>
        <w:spacing w:after="0" w:line="263" w:lineRule="auto"/>
        <w:tabs>
          <w:tab w:leader="none" w:pos="600" w:val="left"/>
        </w:tabs>
        <w:numPr>
          <w:ilvl w:val="0"/>
          <w:numId w:val="52"/>
        </w:numPr>
        <w:rPr>
          <w:rFonts w:ascii="Arial" w:cs="Arial" w:eastAsia="Arial" w:hAnsi="Arial"/>
          <w:sz w:val="19"/>
          <w:szCs w:val="19"/>
          <w:color w:val="231F20"/>
        </w:rPr>
      </w:pPr>
      <w:r>
        <w:rPr>
          <w:rFonts w:ascii="Arial" w:cs="Arial" w:eastAsia="Arial" w:hAnsi="Arial"/>
          <w:sz w:val="19"/>
          <w:szCs w:val="19"/>
          <w:color w:val="231F20"/>
        </w:rPr>
        <w:t>our ability to successfully develop infrastructure projects and enter into third party contracts on contemplated terms;</w:t>
      </w:r>
    </w:p>
    <w:p>
      <w:pPr>
        <w:spacing w:after="0" w:line="1" w:lineRule="exact"/>
        <w:rPr>
          <w:rFonts w:ascii="Arial" w:cs="Arial" w:eastAsia="Arial" w:hAnsi="Arial"/>
          <w:sz w:val="19"/>
          <w:szCs w:val="19"/>
          <w:color w:val="231F20"/>
        </w:rPr>
      </w:pPr>
    </w:p>
    <w:p>
      <w:pPr>
        <w:ind w:left="600" w:right="240" w:hanging="300"/>
        <w:spacing w:after="0" w:line="265" w:lineRule="auto"/>
        <w:tabs>
          <w:tab w:leader="none" w:pos="600" w:val="left"/>
        </w:tabs>
        <w:numPr>
          <w:ilvl w:val="0"/>
          <w:numId w:val="52"/>
        </w:numPr>
        <w:rPr>
          <w:rFonts w:ascii="Arial" w:cs="Arial" w:eastAsia="Arial" w:hAnsi="Arial"/>
          <w:sz w:val="19"/>
          <w:szCs w:val="19"/>
          <w:color w:val="231F20"/>
        </w:rPr>
      </w:pPr>
      <w:r>
        <w:rPr>
          <w:rFonts w:ascii="Arial" w:cs="Arial" w:eastAsia="Arial" w:hAnsi="Arial"/>
          <w:sz w:val="19"/>
          <w:szCs w:val="19"/>
          <w:color w:val="231F20"/>
        </w:rPr>
        <w:t>uncertainty around the accounting of emissions and our ability to successfully gather and verify emissions data and other environmental impacts;</w:t>
      </w:r>
    </w:p>
    <w:p>
      <w:pPr>
        <w:spacing w:after="0" w:line="20" w:lineRule="exact"/>
        <w:rPr>
          <w:sz w:val="20"/>
          <w:szCs w:val="20"/>
          <w:color w:val="auto"/>
        </w:rPr>
      </w:pPr>
      <w:r>
        <w:rPr>
          <w:sz w:val="20"/>
          <w:szCs w:val="20"/>
          <w:color w:val="auto"/>
        </w:rPr>
        <w:br w:type="column"/>
      </w:r>
    </w:p>
    <w:p>
      <w:pPr>
        <w:ind w:left="300" w:right="80" w:hanging="300"/>
        <w:spacing w:after="0" w:line="248" w:lineRule="auto"/>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changes to our dividend policy and share repurchase program, and our ability to declare future dividends or repurchase shares under our debt agreements;</w:t>
      </w:r>
    </w:p>
    <w:p>
      <w:pPr>
        <w:spacing w:after="0" w:line="9" w:lineRule="exact"/>
        <w:rPr>
          <w:rFonts w:ascii="Arial" w:cs="Arial" w:eastAsia="Arial" w:hAnsi="Arial"/>
          <w:sz w:val="20"/>
          <w:szCs w:val="20"/>
          <w:color w:val="231F20"/>
        </w:rPr>
      </w:pPr>
    </w:p>
    <w:p>
      <w:pPr>
        <w:ind w:left="300" w:right="220" w:hanging="300"/>
        <w:spacing w:after="0" w:line="243" w:lineRule="auto"/>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limitations on our financial flexibility due to existing and future debt;</w:t>
      </w:r>
    </w:p>
    <w:p>
      <w:pPr>
        <w:spacing w:after="0" w:line="14" w:lineRule="exact"/>
        <w:rPr>
          <w:rFonts w:ascii="Arial" w:cs="Arial" w:eastAsia="Arial" w:hAnsi="Arial"/>
          <w:sz w:val="20"/>
          <w:szCs w:val="20"/>
          <w:color w:val="231F20"/>
        </w:rPr>
      </w:pPr>
    </w:p>
    <w:p>
      <w:pPr>
        <w:ind w:left="300" w:right="160" w:hanging="300"/>
        <w:spacing w:after="0" w:line="246" w:lineRule="auto"/>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insufficient cash flow to fund our capital plan and other planned investments and return capital to shareholders;</w:t>
      </w:r>
    </w:p>
    <w:p>
      <w:pPr>
        <w:spacing w:after="0" w:line="6" w:lineRule="exact"/>
        <w:rPr>
          <w:rFonts w:ascii="Arial" w:cs="Arial" w:eastAsia="Arial" w:hAnsi="Arial"/>
          <w:sz w:val="20"/>
          <w:szCs w:val="20"/>
          <w:color w:val="231F20"/>
        </w:rPr>
      </w:pPr>
    </w:p>
    <w:p>
      <w:pPr>
        <w:ind w:left="300" w:hanging="300"/>
        <w:spacing w:after="0"/>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changes in interest rates;</w:t>
      </w:r>
    </w:p>
    <w:p>
      <w:pPr>
        <w:spacing w:after="0" w:line="16" w:lineRule="exact"/>
        <w:rPr>
          <w:rFonts w:ascii="Arial" w:cs="Arial" w:eastAsia="Arial" w:hAnsi="Arial"/>
          <w:sz w:val="20"/>
          <w:szCs w:val="20"/>
          <w:color w:val="231F20"/>
        </w:rPr>
      </w:pPr>
    </w:p>
    <w:p>
      <w:pPr>
        <w:ind w:left="300" w:right="100" w:hanging="300"/>
        <w:spacing w:after="0" w:line="263" w:lineRule="auto"/>
        <w:tabs>
          <w:tab w:leader="none" w:pos="300" w:val="left"/>
        </w:tabs>
        <w:numPr>
          <w:ilvl w:val="0"/>
          <w:numId w:val="53"/>
        </w:numPr>
        <w:rPr>
          <w:rFonts w:ascii="Arial" w:cs="Arial" w:eastAsia="Arial" w:hAnsi="Arial"/>
          <w:sz w:val="19"/>
          <w:szCs w:val="19"/>
          <w:color w:val="231F20"/>
        </w:rPr>
      </w:pPr>
      <w:r>
        <w:rPr>
          <w:rFonts w:ascii="Arial" w:cs="Arial" w:eastAsia="Arial" w:hAnsi="Arial"/>
          <w:sz w:val="19"/>
          <w:szCs w:val="19"/>
          <w:color w:val="231F20"/>
        </w:rPr>
        <w:t>our access to and the terms of credit in commercial banking and capital markets, including our ability to refinance our debt or obtain separate financing for our carbon management segment;</w:t>
      </w:r>
    </w:p>
    <w:p>
      <w:pPr>
        <w:spacing w:after="0" w:line="2" w:lineRule="exact"/>
        <w:rPr>
          <w:rFonts w:ascii="Arial" w:cs="Arial" w:eastAsia="Arial" w:hAnsi="Arial"/>
          <w:sz w:val="19"/>
          <w:szCs w:val="19"/>
          <w:color w:val="231F20"/>
        </w:rPr>
      </w:pPr>
    </w:p>
    <w:p>
      <w:pPr>
        <w:ind w:left="300" w:hanging="300"/>
        <w:spacing w:after="0" w:line="248" w:lineRule="auto"/>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changes in state, federal or international tax rates, including our ability to utilize our net operating loss carryforwards to reduce our income tax obligations;</w:t>
      </w:r>
    </w:p>
    <w:p>
      <w:pPr>
        <w:spacing w:after="0" w:line="4" w:lineRule="exact"/>
        <w:rPr>
          <w:rFonts w:ascii="Arial" w:cs="Arial" w:eastAsia="Arial" w:hAnsi="Arial"/>
          <w:sz w:val="20"/>
          <w:szCs w:val="20"/>
          <w:color w:val="231F20"/>
        </w:rPr>
      </w:pPr>
    </w:p>
    <w:p>
      <w:pPr>
        <w:ind w:left="300" w:hanging="300"/>
        <w:spacing w:after="0"/>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effects of hedging transactions;</w:t>
      </w:r>
    </w:p>
    <w:p>
      <w:pPr>
        <w:spacing w:after="0" w:line="14" w:lineRule="exact"/>
        <w:rPr>
          <w:rFonts w:ascii="Arial" w:cs="Arial" w:eastAsia="Arial" w:hAnsi="Arial"/>
          <w:sz w:val="20"/>
          <w:szCs w:val="20"/>
          <w:color w:val="231F20"/>
        </w:rPr>
      </w:pPr>
    </w:p>
    <w:p>
      <w:pPr>
        <w:ind w:left="300" w:right="160" w:hanging="300"/>
        <w:spacing w:after="0" w:line="263" w:lineRule="auto"/>
        <w:tabs>
          <w:tab w:leader="none" w:pos="300" w:val="left"/>
        </w:tabs>
        <w:numPr>
          <w:ilvl w:val="0"/>
          <w:numId w:val="53"/>
        </w:numPr>
        <w:rPr>
          <w:rFonts w:ascii="Arial" w:cs="Arial" w:eastAsia="Arial" w:hAnsi="Arial"/>
          <w:sz w:val="19"/>
          <w:szCs w:val="19"/>
          <w:color w:val="231F20"/>
        </w:rPr>
      </w:pPr>
      <w:r>
        <w:rPr>
          <w:rFonts w:ascii="Arial" w:cs="Arial" w:eastAsia="Arial" w:hAnsi="Arial"/>
          <w:sz w:val="19"/>
          <w:szCs w:val="19"/>
          <w:color w:val="231F20"/>
        </w:rPr>
        <w:t>the effect of our stock price on costs associated with incentive compensation;</w:t>
      </w:r>
    </w:p>
    <w:p>
      <w:pPr>
        <w:spacing w:after="0" w:line="1" w:lineRule="exact"/>
        <w:rPr>
          <w:rFonts w:ascii="Arial" w:cs="Arial" w:eastAsia="Arial" w:hAnsi="Arial"/>
          <w:sz w:val="19"/>
          <w:szCs w:val="19"/>
          <w:color w:val="231F20"/>
        </w:rPr>
      </w:pPr>
    </w:p>
    <w:p>
      <w:pPr>
        <w:ind w:left="300" w:right="360" w:hanging="300"/>
        <w:spacing w:after="0" w:line="249" w:lineRule="auto"/>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inability to enter into desirable transactions, including joint ventures, divestitures of oil and natural gas properties and real estate, and acquisitions, and our ability to achieve any expected synergies;</w:t>
      </w:r>
    </w:p>
    <w:p>
      <w:pPr>
        <w:spacing w:after="0" w:line="8" w:lineRule="exact"/>
        <w:rPr>
          <w:rFonts w:ascii="Arial" w:cs="Arial" w:eastAsia="Arial" w:hAnsi="Arial"/>
          <w:sz w:val="20"/>
          <w:szCs w:val="20"/>
          <w:color w:val="231F20"/>
        </w:rPr>
      </w:pPr>
    </w:p>
    <w:p>
      <w:pPr>
        <w:ind w:left="300" w:right="180" w:hanging="300"/>
        <w:spacing w:after="0" w:line="263" w:lineRule="auto"/>
        <w:tabs>
          <w:tab w:leader="none" w:pos="300" w:val="left"/>
        </w:tabs>
        <w:numPr>
          <w:ilvl w:val="0"/>
          <w:numId w:val="53"/>
        </w:numPr>
        <w:rPr>
          <w:rFonts w:ascii="Arial" w:cs="Arial" w:eastAsia="Arial" w:hAnsi="Arial"/>
          <w:sz w:val="19"/>
          <w:szCs w:val="19"/>
          <w:color w:val="231F20"/>
        </w:rPr>
      </w:pPr>
      <w:r>
        <w:rPr>
          <w:rFonts w:ascii="Arial" w:cs="Arial" w:eastAsia="Arial" w:hAnsi="Arial"/>
          <w:sz w:val="19"/>
          <w:szCs w:val="19"/>
          <w:color w:val="231F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4" w:lineRule="exact"/>
        <w:rPr>
          <w:rFonts w:ascii="Arial" w:cs="Arial" w:eastAsia="Arial" w:hAnsi="Arial"/>
          <w:sz w:val="19"/>
          <w:szCs w:val="19"/>
          <w:color w:val="231F20"/>
        </w:rPr>
      </w:pPr>
    </w:p>
    <w:p>
      <w:pPr>
        <w:ind w:left="300" w:right="300" w:hanging="300"/>
        <w:spacing w:after="0" w:line="246" w:lineRule="auto"/>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pandemics, epidemics, outbreaks, or other public health events, such as the COVID-19 pandemic;</w:t>
      </w:r>
    </w:p>
    <w:p>
      <w:pPr>
        <w:spacing w:after="0" w:line="6" w:lineRule="exact"/>
        <w:rPr>
          <w:rFonts w:ascii="Arial" w:cs="Arial" w:eastAsia="Arial" w:hAnsi="Arial"/>
          <w:sz w:val="20"/>
          <w:szCs w:val="20"/>
          <w:color w:val="231F20"/>
        </w:rPr>
      </w:pPr>
    </w:p>
    <w:p>
      <w:pPr>
        <w:ind w:left="300" w:hanging="300"/>
        <w:spacing w:after="0"/>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transaction costs;</w:t>
      </w:r>
    </w:p>
    <w:p>
      <w:pPr>
        <w:spacing w:after="0" w:line="10" w:lineRule="exact"/>
        <w:rPr>
          <w:rFonts w:ascii="Arial" w:cs="Arial" w:eastAsia="Arial" w:hAnsi="Arial"/>
          <w:sz w:val="20"/>
          <w:szCs w:val="20"/>
          <w:color w:val="231F20"/>
        </w:rPr>
      </w:pPr>
    </w:p>
    <w:p>
      <w:pPr>
        <w:ind w:left="300" w:hanging="300"/>
        <w:spacing w:after="0"/>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unknown liabilities; and</w:t>
      </w:r>
    </w:p>
    <w:p>
      <w:pPr>
        <w:spacing w:after="0" w:line="10" w:lineRule="exact"/>
        <w:rPr>
          <w:rFonts w:ascii="Arial" w:cs="Arial" w:eastAsia="Arial" w:hAnsi="Arial"/>
          <w:sz w:val="20"/>
          <w:szCs w:val="20"/>
          <w:color w:val="231F20"/>
        </w:rPr>
      </w:pPr>
    </w:p>
    <w:p>
      <w:pPr>
        <w:ind w:left="300" w:hanging="300"/>
        <w:spacing w:after="0"/>
        <w:tabs>
          <w:tab w:leader="none" w:pos="300" w:val="left"/>
        </w:tabs>
        <w:numPr>
          <w:ilvl w:val="0"/>
          <w:numId w:val="53"/>
        </w:numPr>
        <w:rPr>
          <w:rFonts w:ascii="Arial" w:cs="Arial" w:eastAsia="Arial" w:hAnsi="Arial"/>
          <w:sz w:val="20"/>
          <w:szCs w:val="20"/>
          <w:color w:val="231F20"/>
        </w:rPr>
      </w:pPr>
      <w:r>
        <w:rPr>
          <w:rFonts w:ascii="Arial" w:cs="Arial" w:eastAsia="Arial" w:hAnsi="Arial"/>
          <w:sz w:val="20"/>
          <w:szCs w:val="20"/>
          <w:color w:val="231F20"/>
        </w:rPr>
        <w:t xml:space="preserve">other factors discussed in </w:t>
      </w:r>
      <w:r>
        <w:rPr>
          <w:rFonts w:ascii="Arial" w:cs="Arial" w:eastAsia="Arial" w:hAnsi="Arial"/>
          <w:sz w:val="20"/>
          <w:szCs w:val="20"/>
          <w:i w:val="1"/>
          <w:iCs w:val="1"/>
          <w:color w:val="231F20"/>
        </w:rPr>
        <w:t>Part I, Item 1A</w:t>
      </w:r>
    </w:p>
    <w:p>
      <w:pPr>
        <w:spacing w:after="0" w:line="10" w:lineRule="exact"/>
        <w:rPr>
          <w:rFonts w:ascii="Arial" w:cs="Arial" w:eastAsia="Arial" w:hAnsi="Arial"/>
          <w:sz w:val="20"/>
          <w:szCs w:val="20"/>
          <w:color w:val="231F20"/>
        </w:rPr>
      </w:pPr>
    </w:p>
    <w:p>
      <w:pPr>
        <w:ind w:left="300"/>
        <w:spacing w:after="0"/>
        <w:rPr>
          <w:rFonts w:ascii="Arial" w:cs="Arial" w:eastAsia="Arial" w:hAnsi="Arial"/>
          <w:sz w:val="20"/>
          <w:szCs w:val="20"/>
          <w:color w:val="231F20"/>
        </w:rPr>
      </w:pPr>
      <w:r>
        <w:rPr>
          <w:rFonts w:ascii="Arial" w:cs="Arial" w:eastAsia="Arial" w:hAnsi="Arial"/>
          <w:sz w:val="20"/>
          <w:szCs w:val="20"/>
          <w:i w:val="1"/>
          <w:iCs w:val="1"/>
          <w:color w:val="231F20"/>
        </w:rPr>
        <w:t>– Risk Factors.</w:t>
      </w:r>
    </w:p>
    <w:p>
      <w:pPr>
        <w:spacing w:after="0" w:line="1181" w:lineRule="exact"/>
        <w:rPr>
          <w:sz w:val="20"/>
          <w:szCs w:val="20"/>
          <w:color w:val="auto"/>
        </w:rPr>
      </w:pPr>
    </w:p>
    <w:p>
      <w:pPr>
        <w:sectPr>
          <w:pgSz w:w="11880" w:h="15480" w:orient="portrait"/>
          <w:cols w:equalWidth="0" w:num="2">
            <w:col w:w="4380" w:space="720"/>
            <w:col w:w="4020"/>
          </w:cols>
          <w:pgMar w:left="1380" w:top="1316" w:right="1380" w:bottom="653" w:gutter="0" w:footer="0" w:header="0"/>
        </w:sectPr>
      </w:pPr>
    </w:p>
    <w:p>
      <w:pPr>
        <w:spacing w:after="0" w:line="35"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231F20"/>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ectPr>
          <w:pgSz w:w="11880" w:h="15480" w:orient="portrait"/>
          <w:cols w:equalWidth="0" w:num="1">
            <w:col w:w="9120"/>
          </w:cols>
          <w:pgMar w:left="1380" w:top="1316" w:right="1380" w:bottom="653" w:gutter="0" w:footer="0" w:header="0"/>
          <w:type w:val="continuous"/>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84</w:t>
      </w:r>
    </w:p>
    <w:p>
      <w:pPr>
        <w:sectPr>
          <w:pgSz w:w="11880" w:h="15480" w:orient="portrait"/>
          <w:cols w:equalWidth="0" w:num="1">
            <w:col w:w="9120"/>
          </w:cols>
          <w:pgMar w:left="1380" w:top="1316" w:right="1380" w:bottom="653"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b w:val="1"/>
          <w:bCs w:val="1"/>
          <w:color w:val="231F20"/>
        </w:rPr>
        <w:t>ITEM 7A  QUANTITATIVE AND QUALITATIVE DISCLOSURES ABOUT MARKET RISK</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Commodity Price Risk</w:t>
      </w:r>
    </w:p>
    <w:p>
      <w:pPr>
        <w:spacing w:after="0" w:line="15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Our financial results are sensitive to fluctuations in oil, NGL and natural gas prices. These commodity price changes also impact volumes under PSCs. We maintain a commodity hedging program focused on crude oil and natural gas to help protect our cash flows, margins and capital program from the volatility of crude oil and natural gas prices. We have not designated any instruments as hedges for accounting purposes and we do not enter into such instruments for speculative trading purposes. We believe we have limited price volatility risk in the near term as a result of our current hedges in place. As of December 31, 2025, we had hedges on approximately 65% of our anticipated oil production through 2026 and approximately 40% through 2027.</w:t>
      </w:r>
    </w:p>
    <w:p>
      <w:pPr>
        <w:spacing w:after="0" w:line="15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The primary market risk relating to our derivative contracts relates to fluctuations in market prices as compared to the fixed contract price for a notional amount of our production. As of December 31, 2025, we had net assets of $229 million for our derivative commodity positions which are carried at fair value, using industry-standard models with various inputs, including the forward curve for the relevant price index. We estimate that a $10/bbl increase in Brent oil forward prices could increase our settlement payments by $179 million in 2026, limiting our upside. We estimate that a $10/bbl decrease in Brent oil forward prices could decrease our settlement payments by $294 million in 2026, negating the downside price movement for hedged volumes.</w:t>
      </w:r>
    </w:p>
    <w:p>
      <w:pPr>
        <w:spacing w:after="0" w:line="155" w:lineRule="exact"/>
        <w:rPr>
          <w:sz w:val="20"/>
          <w:szCs w:val="20"/>
          <w:color w:val="auto"/>
        </w:rPr>
      </w:pPr>
    </w:p>
    <w:p>
      <w:pPr>
        <w:ind w:right="100" w:firstLine="300"/>
        <w:spacing w:after="0" w:line="243" w:lineRule="auto"/>
        <w:rPr>
          <w:sz w:val="20"/>
          <w:szCs w:val="20"/>
          <w:color w:val="auto"/>
        </w:rPr>
      </w:pPr>
      <w:r>
        <w:rPr>
          <w:rFonts w:ascii="Arial" w:cs="Arial" w:eastAsia="Arial" w:hAnsi="Arial"/>
          <w:sz w:val="20"/>
          <w:szCs w:val="20"/>
          <w:color w:val="231F20"/>
        </w:rPr>
        <w:t xml:space="preserve">A summary of our Brent-based crude oil derivative contracts at December 31, 2025 are included in </w:t>
      </w:r>
      <w:r>
        <w:rPr>
          <w:rFonts w:ascii="Arial" w:cs="Arial" w:eastAsia="Arial" w:hAnsi="Arial"/>
          <w:sz w:val="20"/>
          <w:szCs w:val="20"/>
          <w:i w:val="1"/>
          <w:iCs w:val="1"/>
          <w:color w:val="231F20"/>
        </w:rPr>
        <w:t>Part II, Item 8 – Financial Statements and Supplementary Data, Note 7 Derivatives</w:t>
      </w:r>
      <w:r>
        <w:rPr>
          <w:rFonts w:ascii="Arial" w:cs="Arial" w:eastAsia="Arial" w:hAnsi="Arial"/>
          <w:sz w:val="20"/>
          <w:szCs w:val="20"/>
          <w:color w:val="231F20"/>
        </w:rPr>
        <w: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Counterparty Credit Risk</w:t>
      </w:r>
    </w:p>
    <w:p>
      <w:pPr>
        <w:spacing w:after="0" w:line="159" w:lineRule="exact"/>
        <w:rPr>
          <w:sz w:val="20"/>
          <w:szCs w:val="20"/>
          <w:color w:val="auto"/>
        </w:rPr>
      </w:pPr>
    </w:p>
    <w:p>
      <w:pPr>
        <w:ind w:firstLine="300"/>
        <w:spacing w:after="0" w:line="264" w:lineRule="auto"/>
        <w:rPr>
          <w:sz w:val="20"/>
          <w:szCs w:val="20"/>
          <w:color w:val="auto"/>
        </w:rPr>
      </w:pPr>
      <w:r>
        <w:rPr>
          <w:rFonts w:ascii="Arial" w:cs="Arial" w:eastAsia="Arial" w:hAnsi="Arial"/>
          <w:sz w:val="19"/>
          <w:szCs w:val="19"/>
          <w:color w:val="231F20"/>
        </w:rPr>
        <w:t>Our counterparty credit risk relates primarily to trade receivables and derivative financial instruments. Credit exposure for each counterparty is monitored for outstanding balances and current activity. Counterparty credit limits have been established based upon the financial health of counterparties, and these limits are actively monitored. In the event counterparty credit risk is heightened, we may request collateral or accelerate payment dates for product deliveries. Approximately 79% of our production during 2025 was oil which was sold predominately to refineries in California. Trade receivables for all commodities are collected within 30 to 60 days following the month of delivery. For derivative instruments entered into as part of our hedging program, we are subject to counterparty credit risk to the extent the counterparty is unable to meet its settlement commitments. We have master netting agreements with each of our derivative counterparties, which allow us to net our settlement payments for the same commodity with the same counterparty. Therefore, our loss is limited to the net amount due from a defaulting counterparty. The majority of our credit exposure was with investment grade counterparties. Concentration of credit risk is regularly reviewed to ensure that counterparty credit risk is adequately diversified.</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Interest-Rate Risk</w:t>
      </w:r>
    </w:p>
    <w:p>
      <w:pPr>
        <w:spacing w:after="0" w:line="159"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231F20"/>
        </w:rPr>
        <w:t>Changes in interest rates may affect the amount of interest we pay on our long-term debt. However, we had no variable-rate debt outstanding as of December 31, 2025. Our 2029 Senior Notes bear interest at a fixed rate of 8.250% per annum. Our 2034 Senior Notes bear interest at a fixed rate of 7.000% per annum.</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Other Competition Risk</w:t>
      </w:r>
    </w:p>
    <w:p>
      <w:pPr>
        <w:spacing w:after="0" w:line="159" w:lineRule="exact"/>
        <w:rPr>
          <w:sz w:val="20"/>
          <w:szCs w:val="20"/>
          <w:color w:val="auto"/>
        </w:rPr>
      </w:pPr>
    </w:p>
    <w:p>
      <w:pPr>
        <w:ind w:right="20" w:firstLine="300"/>
        <w:spacing w:after="0" w:line="264" w:lineRule="auto"/>
        <w:rPr>
          <w:sz w:val="20"/>
          <w:szCs w:val="20"/>
          <w:color w:val="auto"/>
        </w:rPr>
      </w:pPr>
      <w:r>
        <w:rPr>
          <w:rFonts w:ascii="Arial" w:cs="Arial" w:eastAsia="Arial" w:hAnsi="Arial"/>
          <w:sz w:val="19"/>
          <w:szCs w:val="19"/>
          <w:color w:val="231F20"/>
        </w:rPr>
        <w:t>We face competition in our oil and natural gas segment from other sources of energy, including wind and solar power. These products compete directly with the electricity we generate from certain power plants we own, including our Elk Hills power plant, and indirectly as substitutes for oil, natural gas and NGLs. We expect competition from these sources to intensify in the future due to technological advances and as California may continue to develop renewable energy and implement climate-related policies.</w:t>
      </w:r>
    </w:p>
    <w:p>
      <w:pPr>
        <w:sectPr>
          <w:pgSz w:w="11880" w:h="15480" w:orient="portrait"/>
          <w:cols w:equalWidth="0" w:num="1">
            <w:col w:w="9100"/>
          </w:cols>
          <w:pgMar w:left="1380" w:top="1310" w:right="1400" w:bottom="653"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85</w:t>
      </w:r>
    </w:p>
    <w:p>
      <w:pPr>
        <w:sectPr>
          <w:pgSz w:w="11880" w:h="15480" w:orient="portrait"/>
          <w:cols w:equalWidth="0" w:num="1">
            <w:col w:w="9100"/>
          </w:cols>
          <w:pgMar w:left="1380" w:top="1310" w:right="1400" w:bottom="653" w:gutter="0" w:footer="0" w:header="0"/>
          <w:type w:val="continuous"/>
        </w:sectPr>
      </w:pPr>
    </w:p>
    <w:bookmarkStart w:id="89" w:name="page90"/>
    <w:bookmarkEnd w:id="89"/>
    <w:p>
      <w:pPr>
        <w:spacing w:after="0"/>
        <w:tabs>
          <w:tab w:leader="none" w:pos="880" w:val="left"/>
        </w:tabs>
        <w:rPr>
          <w:sz w:val="20"/>
          <w:szCs w:val="20"/>
          <w:color w:val="auto"/>
        </w:rPr>
      </w:pPr>
      <w:r>
        <w:rPr>
          <w:rFonts w:ascii="Arial" w:cs="Arial" w:eastAsia="Arial" w:hAnsi="Arial"/>
          <w:sz w:val="20"/>
          <w:szCs w:val="20"/>
          <w:b w:val="1"/>
          <w:bCs w:val="1"/>
          <w:color w:val="231F20"/>
        </w:rPr>
        <w:t>ITEM 8</w:t>
      </w:r>
      <w:r>
        <w:rPr>
          <w:sz w:val="20"/>
          <w:szCs w:val="20"/>
          <w:color w:val="auto"/>
        </w:rPr>
        <w:tab/>
      </w:r>
      <w:r>
        <w:rPr>
          <w:rFonts w:ascii="Arial" w:cs="Arial" w:eastAsia="Arial" w:hAnsi="Arial"/>
          <w:sz w:val="19"/>
          <w:szCs w:val="19"/>
          <w:b w:val="1"/>
          <w:bCs w:val="1"/>
          <w:color w:val="231F20"/>
        </w:rPr>
        <w:t>FINANCIAL STATEMENTS AND SUPPLEMENTARY DATA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231F20"/>
        </w:rPr>
        <w:t>To the Stockholders and Board of Directors California Resources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Opinions on the Consolidated Financial Statements and Internal Control Over Financial Reporting</w:t>
      </w:r>
    </w:p>
    <w:p>
      <w:pPr>
        <w:spacing w:after="0" w:line="186"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231F20"/>
        </w:rPr>
        <w:t xml:space="preserve">We have audited the accompanying consolidated balance sheets of California Resources Corporation and subsidiaries (the Company) as of December 31, 2025 and 2024, the related consolidated statements of operations, comprehensive income (loss), changes in stockholders’ equity (deficit),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Arial" w:cs="Arial" w:eastAsia="Arial" w:hAnsi="Arial"/>
          <w:sz w:val="20"/>
          <w:szCs w:val="20"/>
          <w:i w:val="1"/>
          <w:iCs w:val="1"/>
          <w:color w:val="231F20"/>
        </w:rPr>
        <w:t xml:space="preserve">Internal Control – Integrated Framework (2013) </w:t>
      </w:r>
      <w:r>
        <w:rPr>
          <w:rFonts w:ascii="Arial" w:cs="Arial" w:eastAsia="Arial" w:hAnsi="Arial"/>
          <w:sz w:val="20"/>
          <w:szCs w:val="20"/>
          <w:color w:val="231F20"/>
        </w:rPr>
        <w:t>issued by the Committee of Sponsoring Organizations</w:t>
      </w:r>
      <w:r>
        <w:rPr>
          <w:rFonts w:ascii="Arial" w:cs="Arial" w:eastAsia="Arial" w:hAnsi="Arial"/>
          <w:sz w:val="20"/>
          <w:szCs w:val="20"/>
          <w:i w:val="1"/>
          <w:iCs w:val="1"/>
          <w:color w:val="231F20"/>
        </w:rPr>
        <w:t xml:space="preserve"> </w:t>
      </w:r>
      <w:r>
        <w:rPr>
          <w:rFonts w:ascii="Arial" w:cs="Arial" w:eastAsia="Arial" w:hAnsi="Arial"/>
          <w:sz w:val="20"/>
          <w:szCs w:val="20"/>
          <w:color w:val="231F20"/>
        </w:rPr>
        <w:t>of the Treadway Commission.</w:t>
      </w:r>
    </w:p>
    <w:p>
      <w:pPr>
        <w:spacing w:after="0" w:line="180"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231F20"/>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Arial" w:cs="Arial" w:eastAsia="Arial" w:hAnsi="Arial"/>
          <w:sz w:val="20"/>
          <w:szCs w:val="20"/>
          <w:i w:val="1"/>
          <w:iCs w:val="1"/>
          <w:color w:val="231F20"/>
        </w:rPr>
        <w:t>Internal Control – Integrated Framework</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(2013) </w:t>
      </w:r>
      <w:r>
        <w:rPr>
          <w:rFonts w:ascii="Arial" w:cs="Arial" w:eastAsia="Arial" w:hAnsi="Arial"/>
          <w:sz w:val="20"/>
          <w:szCs w:val="20"/>
          <w:color w:val="231F20"/>
        </w:rPr>
        <w:t>issued by the Committee of Sponsoring Organizations of the Treadway Commission.</w:t>
      </w:r>
    </w:p>
    <w:p>
      <w:pPr>
        <w:spacing w:after="0" w:line="179" w:lineRule="exact"/>
        <w:rPr>
          <w:sz w:val="20"/>
          <w:szCs w:val="20"/>
          <w:color w:val="auto"/>
        </w:rPr>
      </w:pPr>
    </w:p>
    <w:p>
      <w:pPr>
        <w:ind w:right="340"/>
        <w:spacing w:after="0" w:line="249" w:lineRule="auto"/>
        <w:rPr>
          <w:sz w:val="20"/>
          <w:szCs w:val="20"/>
          <w:color w:val="auto"/>
        </w:rPr>
      </w:pPr>
      <w:r>
        <w:rPr>
          <w:rFonts w:ascii="Arial" w:cs="Arial" w:eastAsia="Arial" w:hAnsi="Arial"/>
          <w:sz w:val="20"/>
          <w:szCs w:val="20"/>
          <w:color w:val="231F20"/>
        </w:rPr>
        <w:t>The Company acquired Berry Corporation during 2025, and management excluded from its assessment of the effectiveness of the Company’s internal control over financial reporting as of December 31, 2025, Berry Corporation’s internal control over financial reporting associated with approximately 12% of total assets and less than 1% of total revenues included in the consolidated financial statements of the Company as of and for the year ended December 31, 2025. Our audit of internal control over financial reporting of the Company also excluded an evaluation of the internal control over financial reporting of Berry Corporation.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Basis for Opinions</w:t>
      </w:r>
    </w:p>
    <w:p>
      <w:pPr>
        <w:spacing w:after="0" w:line="184" w:lineRule="exact"/>
        <w:rPr>
          <w:sz w:val="20"/>
          <w:szCs w:val="20"/>
          <w:color w:val="auto"/>
        </w:rPr>
      </w:pPr>
    </w:p>
    <w:p>
      <w:pPr>
        <w:spacing w:after="0" w:line="249" w:lineRule="auto"/>
        <w:rPr>
          <w:sz w:val="20"/>
          <w:szCs w:val="20"/>
          <w:color w:val="auto"/>
        </w:rPr>
      </w:pPr>
      <w:r>
        <w:rPr>
          <w:rFonts w:ascii="Arial" w:cs="Arial" w:eastAsia="Arial" w:hAnsi="Arial"/>
          <w:sz w:val="20"/>
          <w:szCs w:val="20"/>
          <w:color w:val="231F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8"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w:t>
      </w:r>
    </w:p>
    <w:p>
      <w:pPr>
        <w:sectPr>
          <w:pgSz w:w="11880" w:h="15480" w:orient="portrait"/>
          <w:cols w:equalWidth="0" w:num="1">
            <w:col w:w="9100"/>
          </w:cols>
          <w:pgMar w:left="1380" w:top="1300" w:right="1400" w:bottom="653"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86</w:t>
      </w:r>
    </w:p>
    <w:p>
      <w:pPr>
        <w:sectPr>
          <w:pgSz w:w="11880" w:h="15480" w:orient="portrait"/>
          <w:cols w:equalWidth="0" w:num="1">
            <w:col w:w="9100"/>
          </w:cols>
          <w:pgMar w:left="1380" w:top="1300" w:right="1400" w:bottom="653" w:gutter="0" w:footer="0" w:header="0"/>
          <w:type w:val="continuous"/>
        </w:sectPr>
      </w:pPr>
    </w:p>
    <w:bookmarkStart w:id="90" w:name="page91"/>
    <w:bookmarkEnd w:id="90"/>
    <w:p>
      <w:pPr>
        <w:ind w:right="220"/>
        <w:spacing w:after="0" w:line="249" w:lineRule="auto"/>
        <w:rPr>
          <w:sz w:val="20"/>
          <w:szCs w:val="20"/>
          <w:color w:val="auto"/>
        </w:rPr>
      </w:pPr>
      <w:r>
        <w:rPr>
          <w:rFonts w:ascii="Arial" w:cs="Arial" w:eastAsia="Arial" w:hAnsi="Arial"/>
          <w:sz w:val="20"/>
          <w:szCs w:val="20"/>
          <w:color w:val="231F20"/>
        </w:rPr>
        <w:t>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Definition and Limitations of Internal Control Over Financial Reporting</w:t>
      </w:r>
    </w:p>
    <w:p>
      <w:pPr>
        <w:spacing w:after="0" w:line="213"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1"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Critical Audit Matters</w:t>
      </w:r>
    </w:p>
    <w:p>
      <w:pPr>
        <w:spacing w:after="0" w:line="211"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231F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231F20"/>
        </w:rPr>
        <w:t>Impact of estimated oil and gas reserves on depletion expense for proved oil and gas properties</w:t>
      </w:r>
    </w:p>
    <w:p>
      <w:pPr>
        <w:spacing w:after="0" w:line="203" w:lineRule="exact"/>
        <w:rPr>
          <w:sz w:val="20"/>
          <w:szCs w:val="20"/>
          <w:color w:val="auto"/>
        </w:rPr>
      </w:pPr>
    </w:p>
    <w:p>
      <w:pPr>
        <w:ind w:left="300" w:right="120"/>
        <w:spacing w:after="0" w:line="239" w:lineRule="auto"/>
        <w:rPr>
          <w:sz w:val="20"/>
          <w:szCs w:val="20"/>
          <w:color w:val="auto"/>
        </w:rPr>
      </w:pPr>
      <w:r>
        <w:rPr>
          <w:rFonts w:ascii="Arial" w:cs="Arial" w:eastAsia="Arial" w:hAnsi="Arial"/>
          <w:sz w:val="20"/>
          <w:szCs w:val="20"/>
          <w:color w:val="231F20"/>
        </w:rPr>
        <w:t>As discussed in Note 1 to the consolidated financial statements, the Company determines depletion of oil and gas producing properties by the unit-of-production method. Under this method, acquisition costs are amortized based on total proved oil and gas reserves and capitalized development and successful exploration costs are amortized based on proved developed oil and gas reserves. The Company recorded depreciation, depletion, and amortization expense of $511 million for the year ended December 31, 2025.</w:t>
      </w:r>
    </w:p>
    <w:p>
      <w:pPr>
        <w:spacing w:after="0" w:line="202" w:lineRule="exact"/>
        <w:rPr>
          <w:sz w:val="20"/>
          <w:szCs w:val="20"/>
          <w:color w:val="auto"/>
        </w:rPr>
      </w:pPr>
    </w:p>
    <w:p>
      <w:pPr>
        <w:ind w:left="300"/>
        <w:spacing w:after="0" w:line="253" w:lineRule="auto"/>
        <w:rPr>
          <w:sz w:val="20"/>
          <w:szCs w:val="20"/>
          <w:color w:val="auto"/>
        </w:rPr>
      </w:pPr>
      <w:r>
        <w:rPr>
          <w:rFonts w:ascii="Arial" w:cs="Arial" w:eastAsia="Arial" w:hAnsi="Arial"/>
          <w:sz w:val="19"/>
          <w:szCs w:val="19"/>
          <w:color w:val="231F20"/>
        </w:rPr>
        <w:t>Estimating proved oil and gas reserves requires the expertise of professional petroleum reservoir engineers, who take into consideration estimates of future production, operating and development costs and commodity prices. The Company employs personnel who possess technical expertise, such as reservoir engineers and geoscientists, who estimate proved oil and gas reserves. The Company also engages independent reservoir engineering specialists to perform an independent evaluation of the Company’s proved oil and gas reserves estimates. We identified the assessment of estimated proved oil and gas reserves on the determination of depreciation, depletion and amortization expense for proved</w:t>
      </w:r>
    </w:p>
    <w:p>
      <w:pPr>
        <w:sectPr>
          <w:pgSz w:w="11880" w:h="15480" w:orient="portrait"/>
          <w:cols w:equalWidth="0" w:num="1">
            <w:col w:w="9120"/>
          </w:cols>
          <w:pgMar w:left="1380" w:top="1316" w:right="1380" w:bottom="653"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87</w:t>
      </w:r>
    </w:p>
    <w:p>
      <w:pPr>
        <w:sectPr>
          <w:pgSz w:w="11880" w:h="15480" w:orient="portrait"/>
          <w:cols w:equalWidth="0" w:num="1">
            <w:col w:w="9120"/>
          </w:cols>
          <w:pgMar w:left="1380" w:top="1316" w:right="1380" w:bottom="653" w:gutter="0" w:footer="0" w:header="0"/>
          <w:type w:val="continuous"/>
        </w:sectPr>
      </w:pPr>
    </w:p>
    <w:bookmarkStart w:id="91" w:name="page92"/>
    <w:bookmarkEnd w:id="91"/>
    <w:p>
      <w:pPr>
        <w:ind w:left="240"/>
        <w:spacing w:after="0" w:line="238" w:lineRule="auto"/>
        <w:rPr>
          <w:sz w:val="20"/>
          <w:szCs w:val="20"/>
          <w:color w:val="auto"/>
        </w:rPr>
      </w:pPr>
      <w:r>
        <w:rPr>
          <w:rFonts w:ascii="Arial" w:cs="Arial" w:eastAsia="Arial" w:hAnsi="Arial"/>
          <w:sz w:val="20"/>
          <w:szCs w:val="20"/>
          <w:color w:val="231F20"/>
        </w:rPr>
        <w:t>oil and gas properties as a critical audit matter. Subjective auditor judgment was required to evaluate the Company’s estimate of proved oil and gas reserves, which is an input to the determination of depreciation, depletion, and amortization expense. Specifically, auditor judgment was required to evaluate the assumptions used by the Company related to estimated future oil and gas production and future operating and development costs.</w:t>
      </w:r>
    </w:p>
    <w:p>
      <w:pPr>
        <w:spacing w:after="0" w:line="192" w:lineRule="exact"/>
        <w:rPr>
          <w:sz w:val="20"/>
          <w:szCs w:val="20"/>
          <w:color w:val="auto"/>
        </w:rPr>
      </w:pPr>
    </w:p>
    <w:p>
      <w:pPr>
        <w:ind w:left="240" w:right="20"/>
        <w:spacing w:after="0" w:line="253" w:lineRule="auto"/>
        <w:rPr>
          <w:sz w:val="20"/>
          <w:szCs w:val="20"/>
          <w:color w:val="auto"/>
        </w:rPr>
      </w:pPr>
      <w:r>
        <w:rPr>
          <w:rFonts w:ascii="Arial" w:cs="Arial" w:eastAsia="Arial" w:hAnsi="Arial"/>
          <w:sz w:val="19"/>
          <w:szCs w:val="19"/>
          <w:color w:val="231F20"/>
        </w:rPr>
        <w:t>The following are the primary procedures we performed to address this critical audit matter. We evaluated the design and tested the operating effectiveness of certain internal controls related to the Company’s depletion process, including controls related to the estimation of proved oil and gas reserves. We evaluated (1) the professional qualifications of the Company’s internal reserve engineers, as well as the external reserve engineers and external engineering firm, (2) the knowledge, skills, and ability of the Company’s internal and external reserve engineers, and (3) the relationship of the external reserve engineers and external engineering firm to the Company. We evaluated the process and assessed the methodology used by the Company’s internal reservoir engineers and the independent reservoir engineering specialist to estimate the reserves used in the determination of depreciation, depletion and amortization expense for compliance with industry and regulatory standards. We compared estimated future oil and gas production and estimated future operating and development costs estimated by the technical personnel employed by the Company to historical results. We read and considered the reports of the independent reservoir engineering specialist in connection with our evaluation of the Company’s proved oil and gas reserves estimates.</w:t>
      </w:r>
    </w:p>
    <w:p>
      <w:pPr>
        <w:spacing w:after="0" w:line="183" w:lineRule="exact"/>
        <w:rPr>
          <w:sz w:val="20"/>
          <w:szCs w:val="20"/>
          <w:color w:val="auto"/>
        </w:rPr>
      </w:pPr>
    </w:p>
    <w:p>
      <w:pPr>
        <w:ind w:left="340" w:right="980"/>
        <w:spacing w:after="0" w:line="249" w:lineRule="auto"/>
        <w:rPr>
          <w:sz w:val="20"/>
          <w:szCs w:val="20"/>
          <w:color w:val="auto"/>
        </w:rPr>
      </w:pPr>
      <w:r>
        <w:rPr>
          <w:rFonts w:ascii="Arial" w:cs="Arial" w:eastAsia="Arial" w:hAnsi="Arial"/>
          <w:sz w:val="20"/>
          <w:szCs w:val="20"/>
          <w:i w:val="1"/>
          <w:iCs w:val="1"/>
          <w:color w:val="231F20"/>
        </w:rPr>
        <w:t>Evaluation of the fair value measurement of oil and gas properties acquired in the Berry Corporation business combination</w:t>
      </w:r>
    </w:p>
    <w:p>
      <w:pPr>
        <w:spacing w:after="0" w:line="189" w:lineRule="exact"/>
        <w:rPr>
          <w:sz w:val="20"/>
          <w:szCs w:val="20"/>
          <w:color w:val="auto"/>
        </w:rPr>
      </w:pPr>
    </w:p>
    <w:p>
      <w:pPr>
        <w:ind w:left="340" w:right="20"/>
        <w:spacing w:after="0" w:line="249" w:lineRule="auto"/>
        <w:rPr>
          <w:sz w:val="20"/>
          <w:szCs w:val="20"/>
          <w:color w:val="auto"/>
        </w:rPr>
      </w:pPr>
      <w:r>
        <w:rPr>
          <w:rFonts w:ascii="Arial" w:cs="Arial" w:eastAsia="Arial" w:hAnsi="Arial"/>
          <w:sz w:val="20"/>
          <w:szCs w:val="20"/>
          <w:color w:val="231F20"/>
        </w:rPr>
        <w:t>As discussed in Note 2 to the consolidated financial statements, on December 18, 2025, the Company completed a merger with Berry Corporation for cash and equity consideration of approximately $709 million. The transaction was accounted for as a business combination using the acquisition method, with the Company being identified as the accounting acquirer. Under the acquisition method of accounting the assets acquired and liabilities assumed are recorded at their respective fair values as of the acquisition date. As a result of the transaction, the Company acquired proved oil and gas properties which were recognized at their acquisition date fair value of $709 million.</w:t>
      </w:r>
    </w:p>
    <w:p>
      <w:pPr>
        <w:spacing w:after="0" w:line="193" w:lineRule="exact"/>
        <w:rPr>
          <w:sz w:val="20"/>
          <w:szCs w:val="20"/>
          <w:color w:val="auto"/>
        </w:rPr>
      </w:pPr>
    </w:p>
    <w:p>
      <w:pPr>
        <w:ind w:left="340" w:right="180"/>
        <w:spacing w:after="0" w:line="249" w:lineRule="auto"/>
        <w:rPr>
          <w:sz w:val="20"/>
          <w:szCs w:val="20"/>
          <w:color w:val="auto"/>
        </w:rPr>
      </w:pPr>
      <w:r>
        <w:rPr>
          <w:rFonts w:ascii="Arial" w:cs="Arial" w:eastAsia="Arial" w:hAnsi="Arial"/>
          <w:sz w:val="20"/>
          <w:szCs w:val="20"/>
          <w:color w:val="231F20"/>
        </w:rPr>
        <w:t>We identified the evaluation of the initial fair value measurement of the oil and gas properties acquired in the Berry transaction as a critical audit matter. Subjective auditor judgment was required in evaluating the key assumptions used to estimate the fair value of the proved oil and gas properties as changes to those assumptions could have had a significant effect on the fair value. The key assumptions used by the Company to determine fair value included forecasted commodity prices, reserve category risk adjustment factors, estimated future oil and gas production, estimated future operating and capital costs and discount rate. Additionally, the audit effort associated with evaluating the forecasted commodity prices, reserve category risk adjustment factors, and discount rate required specialized skills and knowledge.</w:t>
      </w:r>
    </w:p>
    <w:p>
      <w:pPr>
        <w:spacing w:after="0" w:line="195" w:lineRule="exact"/>
        <w:rPr>
          <w:sz w:val="20"/>
          <w:szCs w:val="20"/>
          <w:color w:val="auto"/>
        </w:rPr>
      </w:pPr>
    </w:p>
    <w:p>
      <w:pPr>
        <w:ind w:left="340" w:right="20"/>
        <w:spacing w:after="0" w:line="264" w:lineRule="auto"/>
        <w:rPr>
          <w:sz w:val="20"/>
          <w:szCs w:val="20"/>
          <w:color w:val="auto"/>
        </w:rPr>
      </w:pPr>
      <w:r>
        <w:rPr>
          <w:rFonts w:ascii="Arial" w:cs="Arial" w:eastAsia="Arial" w:hAnsi="Arial"/>
          <w:sz w:val="19"/>
          <w:szCs w:val="19"/>
          <w:color w:val="231F20"/>
        </w:rPr>
        <w:t>The following are the primary procedures we performed to address this critical audit matter. We evaluated the design and tested the operating effectiveness of certain internal controls related to the Company’s acquisition-date valuation process, including controls related to the determination of the key assumptions, as noted above, used to measure the initial fair value of the acquired proved oil and gas properties. We evaluated the professional qualifications of the Company’s internal reservoir engineers and their knowledge, skills, and ability relative to the valuation process. We evaluated the process and assessed the methodology used by the Company’s internal reservoir engineers to estimate the proved future production volumes for compliance with industry and regulatory standards. We compared the estimated future proved oil and gas production and estimated future operating and capital costs determined by the technical personnel employed by the Company to historical Berry production volumes and historical costs. In addition,</w:t>
      </w:r>
    </w:p>
    <w:p>
      <w:pPr>
        <w:sectPr>
          <w:pgSz w:w="11880" w:h="15480" w:orient="portrait"/>
          <w:cols w:equalWidth="0" w:num="1">
            <w:col w:w="9040"/>
          </w:cols>
          <w:pgMar w:left="1440" w:top="1306" w:right="1400" w:bottom="653" w:gutter="0" w:footer="0" w:header="0"/>
        </w:sect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231F20"/>
        </w:rPr>
        <w:t>88</w:t>
      </w:r>
    </w:p>
    <w:p>
      <w:pPr>
        <w:sectPr>
          <w:pgSz w:w="11880" w:h="15480" w:orient="portrait"/>
          <w:cols w:equalWidth="0" w:num="1">
            <w:col w:w="9040"/>
          </w:cols>
          <w:pgMar w:left="1440" w:top="1306" w:right="1400" w:bottom="653" w:gutter="0" w:footer="0" w:header="0"/>
          <w:type w:val="continuous"/>
        </w:sectPr>
      </w:pPr>
    </w:p>
    <w:bookmarkStart w:id="92" w:name="page93"/>
    <w:bookmarkEnd w:id="92"/>
    <w:p>
      <w:pPr>
        <w:ind w:left="400" w:right="40"/>
        <w:spacing w:after="0" w:line="249" w:lineRule="auto"/>
        <w:rPr>
          <w:sz w:val="20"/>
          <w:szCs w:val="20"/>
          <w:color w:val="auto"/>
        </w:rPr>
      </w:pPr>
      <w:r>
        <w:rPr>
          <w:rFonts w:ascii="Arial" w:cs="Arial" w:eastAsia="Arial" w:hAnsi="Arial"/>
          <w:sz w:val="20"/>
          <w:szCs w:val="20"/>
          <w:color w:val="231F20"/>
        </w:rPr>
        <w:t>we involved valuation professionals with specialized skills and knowledge, who assisted in: 1) evaluating the Company’s discount rate by comparing it to a discount rate range that was independently developed using publicly available market data for comparable entities, 2) evaluating the reserve category risk adjustment factors used by the Company by comparing them to third party publications of risk adjustment factors utilized by market participants, 3) evaluating the forecasted commodity price assumption by comparing it to an independently developed range of forward price estimates using data from analysts and other industry sources.</w:t>
      </w:r>
    </w:p>
    <w:p>
      <w:pPr>
        <w:spacing w:after="0" w:line="283"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/s/ KPMG LLP</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231F20"/>
        </w:rPr>
        <w:t>We have served as the Company’s auditor since 2014.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231F20"/>
        </w:rPr>
        <w:t>Los Angeles, California</w:t>
      </w:r>
    </w:p>
    <w:p>
      <w:pPr>
        <w:spacing w:after="0"/>
        <w:rPr>
          <w:sz w:val="20"/>
          <w:szCs w:val="20"/>
          <w:color w:val="auto"/>
        </w:rPr>
      </w:pPr>
      <w:r>
        <w:rPr>
          <w:rFonts w:ascii="Arial" w:cs="Arial" w:eastAsia="Arial" w:hAnsi="Arial"/>
          <w:sz w:val="20"/>
          <w:szCs w:val="20"/>
          <w:color w:val="231F20"/>
        </w:rPr>
        <w:t>March 2, 2026</w:t>
      </w:r>
    </w:p>
    <w:p>
      <w:pPr>
        <w:sectPr>
          <w:pgSz w:w="11880" w:h="15480" w:orient="portrait"/>
          <w:cols w:equalWidth="0" w:num="1">
            <w:col w:w="9060"/>
          </w:cols>
          <w:pgMar w:left="1380" w:top="1316" w:right="1440" w:bottom="6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89</w:t>
      </w:r>
    </w:p>
    <w:p>
      <w:pPr>
        <w:sectPr>
          <w:pgSz w:w="11880" w:h="15480" w:orient="portrait"/>
          <w:cols w:equalWidth="0" w:num="1">
            <w:col w:w="9060"/>
          </w:cols>
          <w:pgMar w:left="1380" w:top="1316" w:right="1440" w:bottom="653"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20"/>
          <w:szCs w:val="20"/>
          <w:b w:val="1"/>
          <w:bCs w:val="1"/>
          <w:color w:val="231F20"/>
        </w:rPr>
        <w:t>CALIFORNIA RESOURCES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As of December 31, 2025 and 2024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(in millions, except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340"/>
              <w:spacing w:after="0"/>
              <w:rPr>
                <w:sz w:val="20"/>
                <w:szCs w:val="20"/>
                <w:color w:val="auto"/>
              </w:rPr>
            </w:pPr>
            <w:r>
              <w:rPr>
                <w:rFonts w:ascii="Arial" w:cs="Arial" w:eastAsia="Arial" w:hAnsi="Arial"/>
                <w:sz w:val="20"/>
                <w:szCs w:val="20"/>
                <w:b w:val="1"/>
                <w:bCs w:val="1"/>
                <w:color w:val="231F20"/>
              </w:rPr>
              <w:t>2025</w:t>
            </w:r>
          </w:p>
        </w:tc>
        <w:tc>
          <w:tcPr>
            <w:tcW w:w="20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ind w:right="340"/>
              <w:spacing w:after="0"/>
              <w:rPr>
                <w:sz w:val="20"/>
                <w:szCs w:val="20"/>
                <w:color w:val="auto"/>
              </w:rPr>
            </w:pPr>
            <w:r>
              <w:rPr>
                <w:rFonts w:ascii="Arial" w:cs="Arial" w:eastAsia="Arial" w:hAnsi="Arial"/>
                <w:sz w:val="20"/>
                <w:szCs w:val="20"/>
                <w:b w:val="1"/>
                <w:bCs w:val="1"/>
                <w:color w:val="231F20"/>
              </w:rPr>
              <w:t>2024</w:t>
            </w:r>
          </w:p>
        </w:tc>
        <w:tc>
          <w:tcPr>
            <w:tcW w:w="0" w:type="dxa"/>
            <w:vAlign w:val="bottom"/>
          </w:tcPr>
          <w:p>
            <w:pPr>
              <w:spacing w:after="0"/>
              <w:rPr>
                <w:sz w:val="1"/>
                <w:szCs w:val="1"/>
                <w:color w:val="auto"/>
              </w:rPr>
            </w:pPr>
          </w:p>
        </w:tc>
      </w:tr>
      <w:tr>
        <w:trPr>
          <w:trHeight w:val="280"/>
        </w:trPr>
        <w:tc>
          <w:tcPr>
            <w:tcW w:w="6260" w:type="dxa"/>
            <w:vAlign w:val="bottom"/>
          </w:tcPr>
          <w:p>
            <w:pPr>
              <w:spacing w:after="0"/>
              <w:rPr>
                <w:sz w:val="20"/>
                <w:szCs w:val="20"/>
                <w:color w:val="auto"/>
              </w:rPr>
            </w:pPr>
            <w:r>
              <w:rPr>
                <w:rFonts w:ascii="Arial" w:cs="Arial" w:eastAsia="Arial" w:hAnsi="Arial"/>
                <w:sz w:val="20"/>
                <w:szCs w:val="20"/>
                <w:b w:val="1"/>
                <w:bCs w:val="1"/>
                <w:color w:val="231F20"/>
              </w:rPr>
              <w:t>CURRENT ASSETS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Cash and cash equivalents  . . . . . . . . . . . . . . . . . . . . . . . . . . . . . . .</w:t>
            </w:r>
          </w:p>
        </w:tc>
        <w:tc>
          <w:tcPr>
            <w:tcW w:w="30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040" w:type="dxa"/>
            <w:vAlign w:val="bottom"/>
          </w:tcPr>
          <w:p>
            <w:pPr>
              <w:jc w:val="right"/>
              <w:spacing w:after="0"/>
              <w:rPr>
                <w:sz w:val="20"/>
                <w:szCs w:val="20"/>
                <w:color w:val="auto"/>
              </w:rPr>
            </w:pPr>
            <w:r>
              <w:rPr>
                <w:rFonts w:ascii="Arial" w:cs="Arial" w:eastAsia="Arial" w:hAnsi="Arial"/>
                <w:sz w:val="20"/>
                <w:szCs w:val="20"/>
                <w:color w:val="231F20"/>
              </w:rPr>
              <w:t>132</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372</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Trade receivables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333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330</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Inventory  . . . . . . .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106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90</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Assets held for sale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10</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Receivables from affiliate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46</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Other current assets, net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353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176</w:t>
            </w:r>
          </w:p>
        </w:tc>
        <w:tc>
          <w:tcPr>
            <w:tcW w:w="0" w:type="dxa"/>
            <w:vAlign w:val="bottom"/>
          </w:tcPr>
          <w:p>
            <w:pPr>
              <w:spacing w:after="0"/>
              <w:rPr>
                <w:sz w:val="1"/>
                <w:szCs w:val="1"/>
                <w:color w:val="auto"/>
              </w:rPr>
            </w:pPr>
          </w:p>
        </w:tc>
      </w:tr>
      <w:tr>
        <w:trPr>
          <w:trHeight w:val="30"/>
        </w:trPr>
        <w:tc>
          <w:tcPr>
            <w:tcW w:w="62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Total current assets  . . . . . . . . . . . . . . . .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938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1,024</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b w:val="1"/>
                <w:bCs w:val="1"/>
                <w:color w:val="231F20"/>
                <w:w w:val="97"/>
              </w:rPr>
              <w:t xml:space="preserve">PROPERTY, PLANT AND EQUIPMENT </w:t>
            </w:r>
            <w:r>
              <w:rPr>
                <w:rFonts w:ascii="Arial" w:cs="Arial" w:eastAsia="Arial" w:hAnsi="Arial"/>
                <w:sz w:val="20"/>
                <w:szCs w:val="20"/>
                <w:color w:val="231F20"/>
                <w:w w:val="97"/>
              </w:rPr>
              <w:t>.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7,523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6,738</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Accumulated depreciation, depletion and amortization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(1,618)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(1,058)</w:t>
            </w: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Total property, plant and equipment, net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5,905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5,680</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b w:val="1"/>
                <w:bCs w:val="1"/>
                <w:color w:val="231F20"/>
                <w:w w:val="99"/>
              </w:rPr>
              <w:t xml:space="preserve">INVESTMENT IN UNCONSOLIDATED SUBSIDIARIES </w:t>
            </w:r>
            <w:r>
              <w:rPr>
                <w:rFonts w:ascii="Arial" w:cs="Arial" w:eastAsia="Arial" w:hAnsi="Arial"/>
                <w:sz w:val="20"/>
                <w:szCs w:val="20"/>
                <w:color w:val="231F20"/>
                <w:w w:val="99"/>
              </w:rPr>
              <w:t>.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111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86</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b w:val="1"/>
                <w:bCs w:val="1"/>
                <w:color w:val="231F20"/>
                <w:w w:val="97"/>
              </w:rPr>
              <w:t xml:space="preserve">DEFERRED INCOME TAXES  </w:t>
            </w:r>
            <w:r>
              <w:rPr>
                <w:rFonts w:ascii="Arial" w:cs="Arial" w:eastAsia="Arial" w:hAnsi="Arial"/>
                <w:sz w:val="20"/>
                <w:szCs w:val="20"/>
                <w:color w:val="231F20"/>
                <w:w w:val="97"/>
              </w:rPr>
              <w:t>.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76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73</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b w:val="1"/>
                <w:bCs w:val="1"/>
                <w:color w:val="231F20"/>
                <w:w w:val="98"/>
              </w:rPr>
              <w:t xml:space="preserve">OTHER NONCURRENT ASSETS </w:t>
            </w:r>
            <w:r>
              <w:rPr>
                <w:rFonts w:ascii="Arial" w:cs="Arial" w:eastAsia="Arial" w:hAnsi="Arial"/>
                <w:sz w:val="20"/>
                <w:szCs w:val="20"/>
                <w:color w:val="231F20"/>
                <w:w w:val="98"/>
              </w:rPr>
              <w:t>.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373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272</w:t>
            </w:r>
          </w:p>
        </w:tc>
        <w:tc>
          <w:tcPr>
            <w:tcW w:w="0" w:type="dxa"/>
            <w:vAlign w:val="bottom"/>
          </w:tcPr>
          <w:p>
            <w:pPr>
              <w:spacing w:after="0"/>
              <w:rPr>
                <w:sz w:val="1"/>
                <w:szCs w:val="1"/>
                <w:color w:val="auto"/>
              </w:rPr>
            </w:pPr>
          </w:p>
        </w:tc>
      </w:tr>
      <w:tr>
        <w:trPr>
          <w:trHeight w:val="28"/>
        </w:trPr>
        <w:tc>
          <w:tcPr>
            <w:tcW w:w="626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231F20"/>
                <w:w w:val="96"/>
              </w:rPr>
              <w:t xml:space="preserve">TOTAL ASSETS  </w:t>
            </w:r>
            <w:r>
              <w:rPr>
                <w:rFonts w:ascii="Arial" w:cs="Arial" w:eastAsia="Arial" w:hAnsi="Arial"/>
                <w:sz w:val="20"/>
                <w:szCs w:val="20"/>
                <w:color w:val="231F20"/>
                <w:w w:val="96"/>
              </w:rPr>
              <w:t>. . . . . . . . . . . . . . . . . . . . . . . . . . . . . . . . . . . . . . . . . .</w:t>
            </w: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60" w:type="dxa"/>
            <w:vAlign w:val="bottom"/>
            <w:vMerge w:val="continue"/>
          </w:tcPr>
          <w:p>
            <w:pPr>
              <w:spacing w:after="0"/>
              <w:rPr>
                <w:sz w:val="23"/>
                <w:szCs w:val="23"/>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040" w:type="dxa"/>
            <w:vAlign w:val="bottom"/>
          </w:tcPr>
          <w:p>
            <w:pPr>
              <w:jc w:val="right"/>
              <w:spacing w:after="0"/>
              <w:rPr>
                <w:sz w:val="20"/>
                <w:szCs w:val="20"/>
                <w:color w:val="auto"/>
              </w:rPr>
            </w:pPr>
            <w:r>
              <w:rPr>
                <w:rFonts w:ascii="Arial" w:cs="Arial" w:eastAsia="Arial" w:hAnsi="Arial"/>
                <w:sz w:val="20"/>
                <w:szCs w:val="20"/>
                <w:color w:val="231F20"/>
              </w:rPr>
              <w:t>7,403</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7,135</w:t>
            </w:r>
          </w:p>
        </w:tc>
        <w:tc>
          <w:tcPr>
            <w:tcW w:w="0" w:type="dxa"/>
            <w:vAlign w:val="bottom"/>
          </w:tcPr>
          <w:p>
            <w:pPr>
              <w:spacing w:after="0"/>
              <w:rPr>
                <w:sz w:val="1"/>
                <w:szCs w:val="1"/>
                <w:color w:val="auto"/>
              </w:rPr>
            </w:pPr>
          </w:p>
        </w:tc>
      </w:tr>
      <w:tr>
        <w:trPr>
          <w:trHeight w:val="30"/>
        </w:trPr>
        <w:tc>
          <w:tcPr>
            <w:tcW w:w="6260" w:type="dxa"/>
            <w:vAlign w:val="bottom"/>
            <w:vMerge w:val="restart"/>
          </w:tcPr>
          <w:p>
            <w:pPr>
              <w:spacing w:after="0"/>
              <w:rPr>
                <w:sz w:val="20"/>
                <w:szCs w:val="20"/>
                <w:color w:val="auto"/>
              </w:rPr>
            </w:pPr>
            <w:r>
              <w:rPr>
                <w:rFonts w:ascii="Arial" w:cs="Arial" w:eastAsia="Arial" w:hAnsi="Arial"/>
                <w:sz w:val="20"/>
                <w:szCs w:val="20"/>
                <w:b w:val="1"/>
                <w:bCs w:val="1"/>
                <w:color w:val="231F20"/>
              </w:rPr>
              <w:t>CURRENT LIABILITIES</w:t>
            </w: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6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Accounts payable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452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369</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Accrued liabilities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598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611</w:t>
            </w: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Total current liabilities . . . . . . . . . . . . .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1,050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980</w:t>
            </w:r>
          </w:p>
        </w:tc>
        <w:tc>
          <w:tcPr>
            <w:tcW w:w="0" w:type="dxa"/>
            <w:vAlign w:val="bottom"/>
          </w:tcPr>
          <w:p>
            <w:pPr>
              <w:spacing w:after="0"/>
              <w:rPr>
                <w:sz w:val="1"/>
                <w:szCs w:val="1"/>
                <w:color w:val="auto"/>
              </w:rPr>
            </w:pPr>
          </w:p>
        </w:tc>
      </w:tr>
      <w:tr>
        <w:trPr>
          <w:trHeight w:val="240"/>
        </w:trPr>
        <w:tc>
          <w:tcPr>
            <w:tcW w:w="6260" w:type="dxa"/>
            <w:vAlign w:val="bottom"/>
          </w:tcPr>
          <w:p>
            <w:pPr>
              <w:spacing w:after="0"/>
              <w:rPr>
                <w:sz w:val="20"/>
                <w:szCs w:val="20"/>
                <w:color w:val="auto"/>
              </w:rPr>
            </w:pPr>
            <w:r>
              <w:rPr>
                <w:rFonts w:ascii="Arial" w:cs="Arial" w:eastAsia="Arial" w:hAnsi="Arial"/>
                <w:sz w:val="20"/>
                <w:szCs w:val="20"/>
                <w:b w:val="1"/>
                <w:bCs w:val="1"/>
                <w:color w:val="231F20"/>
              </w:rPr>
              <w:t>NONCURRENT LIABILITIES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Long-term debt, net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1,283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1,132</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Asset retirement obligations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913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995</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Deferred tax liabilities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154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113</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Other long-term liabilities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329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377</w:t>
            </w:r>
          </w:p>
        </w:tc>
        <w:tc>
          <w:tcPr>
            <w:tcW w:w="0" w:type="dxa"/>
            <w:vAlign w:val="bottom"/>
          </w:tcPr>
          <w:p>
            <w:pPr>
              <w:spacing w:after="0"/>
              <w:rPr>
                <w:sz w:val="1"/>
                <w:szCs w:val="1"/>
                <w:color w:val="auto"/>
              </w:rPr>
            </w:pPr>
          </w:p>
        </w:tc>
      </w:tr>
      <w:tr>
        <w:trPr>
          <w:trHeight w:val="240"/>
        </w:trPr>
        <w:tc>
          <w:tcPr>
            <w:tcW w:w="6260" w:type="dxa"/>
            <w:vAlign w:val="bottom"/>
          </w:tcPr>
          <w:p>
            <w:pPr>
              <w:spacing w:after="0"/>
              <w:rPr>
                <w:sz w:val="20"/>
                <w:szCs w:val="20"/>
                <w:color w:val="auto"/>
              </w:rPr>
            </w:pPr>
            <w:r>
              <w:rPr>
                <w:rFonts w:ascii="Arial" w:cs="Arial" w:eastAsia="Arial" w:hAnsi="Arial"/>
                <w:sz w:val="20"/>
                <w:szCs w:val="20"/>
                <w:b w:val="1"/>
                <w:bCs w:val="1"/>
                <w:color w:val="231F20"/>
              </w:rPr>
              <w:t>STOCKHOLDERS’ EQUITY</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ind w:left="400"/>
              <w:spacing w:after="0"/>
              <w:rPr>
                <w:sz w:val="20"/>
                <w:szCs w:val="20"/>
                <w:color w:val="auto"/>
              </w:rPr>
            </w:pPr>
            <w:r>
              <w:rPr>
                <w:rFonts w:ascii="Arial" w:cs="Arial" w:eastAsia="Arial" w:hAnsi="Arial"/>
                <w:sz w:val="20"/>
                <w:szCs w:val="20"/>
                <w:color w:val="231F20"/>
              </w:rPr>
              <w:t>Preferred stock (20,000,000 shares authorized at $0.01 par</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ind w:left="400"/>
              <w:spacing w:after="0"/>
              <w:rPr>
                <w:sz w:val="20"/>
                <w:szCs w:val="20"/>
                <w:color w:val="auto"/>
              </w:rPr>
            </w:pPr>
            <w:r>
              <w:rPr>
                <w:rFonts w:ascii="Arial" w:cs="Arial" w:eastAsia="Arial" w:hAnsi="Arial"/>
                <w:sz w:val="20"/>
                <w:szCs w:val="20"/>
                <w:color w:val="231F20"/>
              </w:rPr>
              <w:t>value); no shares outstanding at December 31, 2025 and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2024 . . . . . . . . . . . . . . . . . . . . . . . . . . . . . . . . . . . . . . . . . . . . . . . . .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6260" w:type="dxa"/>
            <w:vAlign w:val="bottom"/>
          </w:tcPr>
          <w:p>
            <w:pPr>
              <w:ind w:left="400"/>
              <w:spacing w:after="0"/>
              <w:rPr>
                <w:sz w:val="20"/>
                <w:szCs w:val="20"/>
                <w:color w:val="auto"/>
              </w:rPr>
            </w:pPr>
            <w:r>
              <w:rPr>
                <w:rFonts w:ascii="Arial" w:cs="Arial" w:eastAsia="Arial" w:hAnsi="Arial"/>
                <w:sz w:val="20"/>
                <w:szCs w:val="20"/>
                <w:color w:val="231F20"/>
              </w:rPr>
              <w:t>Common stock (200,000,000 shares authorized at $0.01 par</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ind w:left="400"/>
              <w:spacing w:after="0"/>
              <w:rPr>
                <w:sz w:val="20"/>
                <w:szCs w:val="20"/>
                <w:color w:val="auto"/>
              </w:rPr>
            </w:pPr>
            <w:r>
              <w:rPr>
                <w:rFonts w:ascii="Arial" w:cs="Arial" w:eastAsia="Arial" w:hAnsi="Arial"/>
                <w:sz w:val="20"/>
                <w:szCs w:val="20"/>
                <w:color w:val="231F20"/>
              </w:rPr>
              <w:t>value); (110,645,691 and 109,613,585 shares issued;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ind w:left="400"/>
              <w:spacing w:after="0"/>
              <w:rPr>
                <w:sz w:val="20"/>
                <w:szCs w:val="20"/>
                <w:color w:val="auto"/>
              </w:rPr>
            </w:pPr>
            <w:r>
              <w:rPr>
                <w:rFonts w:ascii="Arial" w:cs="Arial" w:eastAsia="Arial" w:hAnsi="Arial"/>
                <w:sz w:val="20"/>
                <w:szCs w:val="20"/>
                <w:color w:val="231F20"/>
              </w:rPr>
              <w:t>88,754,165 and 91,100,322 shares outstanding at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December 31, 2025 and 2024, respectively)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40"/>
        </w:trPr>
        <w:tc>
          <w:tcPr>
            <w:tcW w:w="6260" w:type="dxa"/>
            <w:vAlign w:val="bottom"/>
          </w:tcPr>
          <w:p>
            <w:pPr>
              <w:ind w:left="400"/>
              <w:spacing w:after="0"/>
              <w:rPr>
                <w:sz w:val="20"/>
                <w:szCs w:val="20"/>
                <w:color w:val="auto"/>
              </w:rPr>
            </w:pPr>
            <w:r>
              <w:rPr>
                <w:rFonts w:ascii="Arial" w:cs="Arial" w:eastAsia="Arial" w:hAnsi="Arial"/>
                <w:sz w:val="20"/>
                <w:szCs w:val="20"/>
                <w:color w:val="231F20"/>
              </w:rPr>
              <w:t>Treasury stock (21,891,526 shares held at cost at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ind w:left="400"/>
              <w:spacing w:after="0"/>
              <w:rPr>
                <w:sz w:val="20"/>
                <w:szCs w:val="20"/>
                <w:color w:val="auto"/>
              </w:rPr>
            </w:pPr>
            <w:r>
              <w:rPr>
                <w:rFonts w:ascii="Arial" w:cs="Arial" w:eastAsia="Arial" w:hAnsi="Arial"/>
                <w:sz w:val="20"/>
                <w:szCs w:val="20"/>
                <w:color w:val="231F20"/>
              </w:rPr>
              <w:t>December 31, 2025 and 18,513,263 shares held at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December 31, 2024)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(944)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(796)</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Additional paid-in capital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2,625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2,578</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Retained earnings . . . . . . . . . . . . . . . . . . . . .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1,905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1,680</w:t>
            </w:r>
          </w:p>
        </w:tc>
        <w:tc>
          <w:tcPr>
            <w:tcW w:w="0" w:type="dxa"/>
            <w:vAlign w:val="bottom"/>
          </w:tcPr>
          <w:p>
            <w:pPr>
              <w:spacing w:after="0"/>
              <w:rPr>
                <w:sz w:val="1"/>
                <w:szCs w:val="1"/>
                <w:color w:val="auto"/>
              </w:rPr>
            </w:pPr>
          </w:p>
        </w:tc>
      </w:tr>
      <w:tr>
        <w:trPr>
          <w:trHeight w:val="240"/>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Accumulated other comprehensive income  . . . . . . . . . . . . . . . .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87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75</w:t>
            </w: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tcPr>
          <w:p>
            <w:pPr>
              <w:jc w:val="right"/>
              <w:ind w:right="100"/>
              <w:spacing w:after="0"/>
              <w:rPr>
                <w:sz w:val="20"/>
                <w:szCs w:val="20"/>
                <w:color w:val="auto"/>
              </w:rPr>
            </w:pPr>
            <w:r>
              <w:rPr>
                <w:rFonts w:ascii="Arial" w:cs="Arial" w:eastAsia="Arial" w:hAnsi="Arial"/>
                <w:sz w:val="20"/>
                <w:szCs w:val="20"/>
                <w:color w:val="231F20"/>
              </w:rPr>
              <w:t>Total stockholders’ equity . . . . . . . . . . . . . . . . . . . . . . . . . . . .</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3,674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3,538</w:t>
            </w:r>
          </w:p>
        </w:tc>
        <w:tc>
          <w:tcPr>
            <w:tcW w:w="0" w:type="dxa"/>
            <w:vAlign w:val="bottom"/>
          </w:tcPr>
          <w:p>
            <w:pPr>
              <w:spacing w:after="0"/>
              <w:rPr>
                <w:sz w:val="1"/>
                <w:szCs w:val="1"/>
                <w:color w:val="auto"/>
              </w:rPr>
            </w:pPr>
          </w:p>
        </w:tc>
      </w:tr>
      <w:tr>
        <w:trPr>
          <w:trHeight w:val="28"/>
        </w:trPr>
        <w:tc>
          <w:tcPr>
            <w:tcW w:w="626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231F20"/>
                <w:w w:val="99"/>
              </w:rPr>
              <w:t xml:space="preserve">TOTAL LIABILITIES AND STOCKHOLDERS’ EQUITY </w:t>
            </w:r>
            <w:r>
              <w:rPr>
                <w:rFonts w:ascii="Arial" w:cs="Arial" w:eastAsia="Arial" w:hAnsi="Arial"/>
                <w:sz w:val="20"/>
                <w:szCs w:val="20"/>
                <w:color w:val="231F20"/>
                <w:w w:val="99"/>
              </w:rPr>
              <w:t>. . . . . . . . . .</w:t>
            </w: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260" w:type="dxa"/>
            <w:vAlign w:val="bottom"/>
            <w:vMerge w:val="continue"/>
          </w:tcPr>
          <w:p>
            <w:pPr>
              <w:spacing w:after="0"/>
              <w:rPr>
                <w:sz w:val="23"/>
                <w:szCs w:val="23"/>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040" w:type="dxa"/>
            <w:vAlign w:val="bottom"/>
          </w:tcPr>
          <w:p>
            <w:pPr>
              <w:jc w:val="right"/>
              <w:spacing w:after="0"/>
              <w:rPr>
                <w:sz w:val="20"/>
                <w:szCs w:val="20"/>
                <w:color w:val="auto"/>
              </w:rPr>
            </w:pPr>
            <w:r>
              <w:rPr>
                <w:rFonts w:ascii="Arial" w:cs="Arial" w:eastAsia="Arial" w:hAnsi="Arial"/>
                <w:sz w:val="20"/>
                <w:szCs w:val="20"/>
                <w:color w:val="231F20"/>
              </w:rPr>
              <w:t>7,403</w:t>
            </w:r>
          </w:p>
        </w:tc>
        <w:tc>
          <w:tcPr>
            <w:tcW w:w="50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7,135</w:t>
            </w: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231F20"/>
        </w:rPr>
        <w:t>The accompanying notes are an integral part of these consolidated financial statements.</w:t>
      </w:r>
    </w:p>
    <w:p>
      <w:pPr>
        <w:sectPr>
          <w:pgSz w:w="11880" w:h="15480" w:orient="portrait"/>
          <w:cols w:equalWidth="0" w:num="1">
            <w:col w:w="9120"/>
          </w:cols>
          <w:pgMar w:left="1380" w:top="1310"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90</w:t>
      </w:r>
    </w:p>
    <w:p>
      <w:pPr>
        <w:sectPr>
          <w:pgSz w:w="11880" w:h="15480" w:orient="portrait"/>
          <w:cols w:equalWidth="0" w:num="1">
            <w:col w:w="9120"/>
          </w:cols>
          <w:pgMar w:left="1380" w:top="1310" w:right="1380" w:bottom="695" w:gutter="0" w:footer="0" w:header="0"/>
          <w:type w:val="continuous"/>
        </w:sectPr>
      </w:pPr>
    </w:p>
    <w:bookmarkStart w:id="94" w:name="page95"/>
    <w:bookmarkEnd w:id="94"/>
    <w:p>
      <w:pPr>
        <w:jc w:val="center"/>
        <w:spacing w:after="0" w:line="249" w:lineRule="auto"/>
        <w:rPr>
          <w:sz w:val="20"/>
          <w:szCs w:val="20"/>
          <w:color w:val="auto"/>
        </w:rPr>
      </w:pPr>
      <w:r>
        <w:rPr>
          <w:rFonts w:ascii="Arial" w:cs="Arial" w:eastAsia="Arial" w:hAnsi="Arial"/>
          <w:sz w:val="20"/>
          <w:szCs w:val="20"/>
          <w:b w:val="1"/>
          <w:bCs w:val="1"/>
          <w:color w:val="231F20"/>
        </w:rPr>
        <w:t xml:space="preserve">CALIFORNIA RESOURCES CORPORATION AND SUBSIDIARIES Consolidated Statements of Operations For the years ended December 31, 2025, 2024 and 2023 </w:t>
      </w:r>
      <w:r>
        <w:rPr>
          <w:rFonts w:ascii="Arial" w:cs="Arial" w:eastAsia="Arial" w:hAnsi="Arial"/>
          <w:sz w:val="20"/>
          <w:szCs w:val="20"/>
          <w:color w:val="231F20"/>
        </w:rPr>
        <w:t>(in millions, except per share data)</w:t>
      </w:r>
    </w:p>
    <w:p>
      <w:pPr>
        <w:spacing w:after="0" w:line="202"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3348990</wp:posOffset>
                </wp:positionH>
                <wp:positionV relativeFrom="paragraph">
                  <wp:posOffset>20955</wp:posOffset>
                </wp:positionV>
                <wp:extent cx="244221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4221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7pt,1.65pt" to="456pt,1.65pt" o:allowincell="f" strokecolor="#231F20" strokeweight="1pt"/>
            </w:pict>
          </mc:Fallback>
        </mc:AlternateConten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231F20"/>
              </w:rPr>
              <w:t>2025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231F20"/>
              </w:rPr>
              <w:t>2024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Arial" w:cs="Arial" w:eastAsia="Arial" w:hAnsi="Arial"/>
                <w:sz w:val="16"/>
                <w:szCs w:val="16"/>
                <w:b w:val="1"/>
                <w:bCs w:val="1"/>
                <w:color w:val="231F20"/>
              </w:rPr>
              <w:t>2023</w:t>
            </w:r>
          </w:p>
        </w:tc>
        <w:tc>
          <w:tcPr>
            <w:tcW w:w="0" w:type="dxa"/>
            <w:vAlign w:val="bottom"/>
          </w:tcPr>
          <w:p>
            <w:pPr>
              <w:spacing w:after="0"/>
              <w:rPr>
                <w:sz w:val="1"/>
                <w:szCs w:val="1"/>
                <w:color w:val="auto"/>
              </w:rPr>
            </w:pPr>
          </w:p>
        </w:tc>
      </w:tr>
      <w:tr>
        <w:trPr>
          <w:trHeight w:val="28"/>
        </w:trPr>
        <w:tc>
          <w:tcPr>
            <w:tcW w:w="5280" w:type="dxa"/>
            <w:vAlign w:val="bottom"/>
            <w:vMerge w:val="restart"/>
          </w:tcPr>
          <w:p>
            <w:pPr>
              <w:spacing w:after="0"/>
              <w:rPr>
                <w:sz w:val="20"/>
                <w:szCs w:val="20"/>
                <w:color w:val="auto"/>
              </w:rPr>
            </w:pPr>
            <w:r>
              <w:rPr>
                <w:rFonts w:ascii="Arial" w:cs="Arial" w:eastAsia="Arial" w:hAnsi="Arial"/>
                <w:sz w:val="17"/>
                <w:szCs w:val="17"/>
                <w:b w:val="1"/>
                <w:bCs w:val="1"/>
                <w:color w:val="231F20"/>
              </w:rPr>
              <w:t>REVENUES</w:t>
            </w:r>
          </w:p>
        </w:tc>
        <w:tc>
          <w:tcPr>
            <w:tcW w:w="2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Oil, natural gas and natural gas liquids sales . . . . . . . . . . . . . . . . .</w:t>
            </w:r>
          </w:p>
        </w:tc>
        <w:tc>
          <w:tcPr>
            <w:tcW w:w="260" w:type="dxa"/>
            <w:vAlign w:val="bottom"/>
          </w:tcPr>
          <w:p>
            <w:pPr>
              <w:jc w:val="right"/>
              <w:ind w:right="35"/>
              <w:spacing w:after="0" w:line="190" w:lineRule="exact"/>
              <w:rPr>
                <w:sz w:val="20"/>
                <w:szCs w:val="20"/>
                <w:color w:val="auto"/>
              </w:rPr>
            </w:pPr>
            <w:r>
              <w:rPr>
                <w:rFonts w:ascii="Arial" w:cs="Arial" w:eastAsia="Arial" w:hAnsi="Arial"/>
                <w:sz w:val="17"/>
                <w:szCs w:val="17"/>
                <w:color w:val="231F20"/>
              </w:rPr>
              <w:t>$</w:t>
            </w: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2,910</w:t>
            </w:r>
          </w:p>
        </w:tc>
        <w:tc>
          <w:tcPr>
            <w:tcW w:w="500" w:type="dxa"/>
            <w:vAlign w:val="bottom"/>
            <w:gridSpan w:val="2"/>
          </w:tcPr>
          <w:p>
            <w:pPr>
              <w:jc w:val="right"/>
              <w:ind w:right="160"/>
              <w:spacing w:after="0" w:line="190" w:lineRule="exact"/>
              <w:rPr>
                <w:sz w:val="20"/>
                <w:szCs w:val="20"/>
                <w:color w:val="auto"/>
              </w:rPr>
            </w:pPr>
            <w:r>
              <w:rPr>
                <w:rFonts w:ascii="Arial" w:cs="Arial" w:eastAsia="Arial" w:hAnsi="Arial"/>
                <w:sz w:val="17"/>
                <w:szCs w:val="17"/>
                <w:color w:val="231F20"/>
              </w:rPr>
              <w:t>$</w:t>
            </w: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2,537</w:t>
            </w:r>
          </w:p>
        </w:tc>
        <w:tc>
          <w:tcPr>
            <w:tcW w:w="480" w:type="dxa"/>
            <w:vAlign w:val="bottom"/>
            <w:gridSpan w:val="2"/>
          </w:tcPr>
          <w:p>
            <w:pPr>
              <w:jc w:val="right"/>
              <w:ind w:right="140"/>
              <w:spacing w:after="0" w:line="190" w:lineRule="exact"/>
              <w:rPr>
                <w:sz w:val="20"/>
                <w:szCs w:val="20"/>
                <w:color w:val="auto"/>
              </w:rPr>
            </w:pPr>
            <w:r>
              <w:rPr>
                <w:rFonts w:ascii="Arial" w:cs="Arial" w:eastAsia="Arial" w:hAnsi="Arial"/>
                <w:sz w:val="17"/>
                <w:szCs w:val="17"/>
                <w:color w:val="231F20"/>
              </w:rPr>
              <w:t>$</w:t>
            </w: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2,155</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Net gain (loss) from commodity derivatives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266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241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(12)</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Revenue from marketing of purchased commodities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238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235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407</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w w:val="99"/>
              </w:rPr>
              <w:t>Electricity revenue . . . . . . . .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233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159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211</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w w:val="99"/>
              </w:rPr>
              <w:t>Other revenue  . . . . . . . . . . .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26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40</w:t>
            </w: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280" w:type="dxa"/>
            <w:vAlign w:val="bottom"/>
          </w:tcPr>
          <w:p>
            <w:pPr>
              <w:jc w:val="right"/>
              <w:ind w:right="115"/>
              <w:spacing w:after="0"/>
              <w:rPr>
                <w:sz w:val="20"/>
                <w:szCs w:val="20"/>
                <w:color w:val="auto"/>
              </w:rPr>
            </w:pPr>
            <w:r>
              <w:rPr>
                <w:rFonts w:ascii="Arial" w:cs="Arial" w:eastAsia="Arial" w:hAnsi="Arial"/>
                <w:sz w:val="17"/>
                <w:szCs w:val="17"/>
                <w:color w:val="231F20"/>
              </w:rPr>
              <w:t>Total operating revenues  . . . . . . . . . . . . . . . . . . . . . . . . . . . . . .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3,669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231F20"/>
              </w:rPr>
              <w:t>3,198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2,801</w:t>
            </w:r>
          </w:p>
        </w:tc>
        <w:tc>
          <w:tcPr>
            <w:tcW w:w="0" w:type="dxa"/>
            <w:vAlign w:val="bottom"/>
          </w:tcPr>
          <w:p>
            <w:pPr>
              <w:spacing w:after="0"/>
              <w:rPr>
                <w:sz w:val="1"/>
                <w:szCs w:val="1"/>
                <w:color w:val="auto"/>
              </w:rPr>
            </w:pPr>
          </w:p>
        </w:tc>
      </w:tr>
      <w:tr>
        <w:trPr>
          <w:trHeight w:val="36"/>
        </w:trPr>
        <w:tc>
          <w:tcPr>
            <w:tcW w:w="5280" w:type="dxa"/>
            <w:vAlign w:val="bottom"/>
            <w:vMerge w:val="restart"/>
          </w:tcPr>
          <w:p>
            <w:pPr>
              <w:spacing w:after="0"/>
              <w:rPr>
                <w:sz w:val="20"/>
                <w:szCs w:val="20"/>
                <w:color w:val="auto"/>
              </w:rPr>
            </w:pPr>
            <w:r>
              <w:rPr>
                <w:rFonts w:ascii="Arial" w:cs="Arial" w:eastAsia="Arial" w:hAnsi="Arial"/>
                <w:sz w:val="17"/>
                <w:szCs w:val="17"/>
                <w:b w:val="1"/>
                <w:bCs w:val="1"/>
                <w:color w:val="231F20"/>
              </w:rPr>
              <w:t>OPERATING EXPENSES</w:t>
            </w:r>
          </w:p>
        </w:tc>
        <w:tc>
          <w:tcPr>
            <w:tcW w:w="2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28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w w:val="98"/>
              </w:rPr>
              <w:t>Operating costs  . . . . . . . . . .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1,252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966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822</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General and administrative expenses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333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321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267</w:t>
            </w:r>
          </w:p>
        </w:tc>
        <w:tc>
          <w:tcPr>
            <w:tcW w:w="0" w:type="dxa"/>
            <w:vAlign w:val="bottom"/>
          </w:tcPr>
          <w:p>
            <w:pPr>
              <w:spacing w:after="0"/>
              <w:rPr>
                <w:sz w:val="1"/>
                <w:szCs w:val="1"/>
                <w:color w:val="auto"/>
              </w:rPr>
            </w:pPr>
          </w:p>
        </w:tc>
      </w:tr>
      <w:tr>
        <w:trPr>
          <w:trHeight w:val="22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Depreciation, depletion and amortization  . . . . . . . . . . . . . . . . . . .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231F20"/>
              </w:rPr>
              <w:t>511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31F20"/>
              </w:rPr>
              <w:t>388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231F20"/>
              </w:rPr>
              <w:t>225</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89" w:lineRule="exact"/>
              <w:rPr>
                <w:sz w:val="20"/>
                <w:szCs w:val="20"/>
                <w:color w:val="auto"/>
              </w:rPr>
            </w:pPr>
            <w:r>
              <w:rPr>
                <w:rFonts w:ascii="Arial" w:cs="Arial" w:eastAsia="Arial" w:hAnsi="Arial"/>
                <w:sz w:val="17"/>
                <w:szCs w:val="17"/>
                <w:color w:val="231F20"/>
                <w:w w:val="99"/>
              </w:rPr>
              <w:t>Asset impairment . . . . . . . . .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231F20"/>
              </w:rPr>
              <w:t>59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231F20"/>
              </w:rPr>
              <w:t>14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231F20"/>
              </w:rPr>
              <w:t>3</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Taxes other than on income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242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242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165</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Costs related to marketing of purchased commodities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182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193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224</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Electricity generation expenses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38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40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103</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w w:val="99"/>
              </w:rPr>
              <w:t>Transportation costs  . . . . . .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79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81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67</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w w:val="99"/>
              </w:rPr>
              <w:t>Accretion expense . . . . . . . .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114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87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46</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Net loss on natural gas purchase derivatives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50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30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8</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Measurement period adjustments, net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(12)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Other operating expenses, net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209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239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95</w:t>
            </w: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280" w:type="dxa"/>
            <w:vAlign w:val="bottom"/>
          </w:tcPr>
          <w:p>
            <w:pPr>
              <w:jc w:val="right"/>
              <w:ind w:right="115"/>
              <w:spacing w:after="0"/>
              <w:rPr>
                <w:sz w:val="20"/>
                <w:szCs w:val="20"/>
                <w:color w:val="auto"/>
              </w:rPr>
            </w:pPr>
            <w:r>
              <w:rPr>
                <w:rFonts w:ascii="Arial" w:cs="Arial" w:eastAsia="Arial" w:hAnsi="Arial"/>
                <w:sz w:val="17"/>
                <w:szCs w:val="17"/>
                <w:color w:val="231F20"/>
              </w:rPr>
              <w:t>Total operating expenses  . . . . . . . . . . . . . . . . . . . . . . . . . . . . . .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3,070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231F20"/>
              </w:rPr>
              <w:t>2,589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2,025</w:t>
            </w: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280" w:type="dxa"/>
            <w:vAlign w:val="bottom"/>
          </w:tcPr>
          <w:p>
            <w:pPr>
              <w:jc w:val="right"/>
              <w:ind w:right="115"/>
              <w:spacing w:after="0"/>
              <w:rPr>
                <w:sz w:val="20"/>
                <w:szCs w:val="20"/>
                <w:color w:val="auto"/>
              </w:rPr>
            </w:pPr>
            <w:r>
              <w:rPr>
                <w:rFonts w:ascii="Arial" w:cs="Arial" w:eastAsia="Arial" w:hAnsi="Arial"/>
                <w:sz w:val="17"/>
                <w:szCs w:val="17"/>
                <w:color w:val="231F20"/>
              </w:rPr>
              <w:t>(Loss) gain on asset divestitures  . . . . . . . . . . . . . . . . . . . . . . . . . .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231F20"/>
              </w:rPr>
              <w:t>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32</w:t>
            </w:r>
          </w:p>
        </w:tc>
        <w:tc>
          <w:tcPr>
            <w:tcW w:w="0" w:type="dxa"/>
            <w:vAlign w:val="bottom"/>
          </w:tcPr>
          <w:p>
            <w:pPr>
              <w:spacing w:after="0"/>
              <w:rPr>
                <w:sz w:val="1"/>
                <w:szCs w:val="1"/>
                <w:color w:val="auto"/>
              </w:rPr>
            </w:pPr>
          </w:p>
        </w:tc>
      </w:tr>
      <w:tr>
        <w:trPr>
          <w:trHeight w:val="36"/>
        </w:trPr>
        <w:tc>
          <w:tcPr>
            <w:tcW w:w="52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231F20"/>
                <w:w w:val="96"/>
              </w:rPr>
              <w:t xml:space="preserve">OPERATING INCOME </w:t>
            </w:r>
            <w:r>
              <w:rPr>
                <w:rFonts w:ascii="Arial" w:cs="Arial" w:eastAsia="Arial" w:hAnsi="Arial"/>
                <w:sz w:val="17"/>
                <w:szCs w:val="17"/>
                <w:color w:val="231F20"/>
                <w:w w:val="96"/>
              </w:rPr>
              <w:t>. . . . . . . . . . . . . . . . . . . . . . . . . . . . . . . . . . . . .</w:t>
            </w:r>
          </w:p>
        </w:tc>
        <w:tc>
          <w:tcPr>
            <w:tcW w:w="2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598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231F20"/>
              </w:rPr>
              <w:t>620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808</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7"/>
                <w:szCs w:val="17"/>
                <w:b w:val="1"/>
                <w:bCs w:val="1"/>
                <w:color w:val="231F20"/>
              </w:rPr>
              <w:t>NON-OPERATING (EXPENSES) INCOME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Interest and debt expense, net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(106)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(87)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(56)</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Loss on early extinguishment of debt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Equity loss from unconsolidated subsidiaries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(10)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(9)</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rPr>
              <w:t>Other non-operating income (expense), net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6</w:t>
            </w:r>
          </w:p>
        </w:tc>
        <w:tc>
          <w:tcPr>
            <w:tcW w:w="0" w:type="dxa"/>
            <w:vAlign w:val="bottom"/>
          </w:tcPr>
          <w:p>
            <w:pPr>
              <w:spacing w:after="0"/>
              <w:rPr>
                <w:sz w:val="1"/>
                <w:szCs w:val="1"/>
                <w:color w:val="auto"/>
              </w:rPr>
            </w:pPr>
          </w:p>
        </w:tc>
      </w:tr>
      <w:tr>
        <w:trPr>
          <w:trHeight w:val="36"/>
        </w:trPr>
        <w:tc>
          <w:tcPr>
            <w:tcW w:w="52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231F20"/>
                <w:w w:val="97"/>
              </w:rPr>
              <w:t xml:space="preserve">INCOME BEFORE INCOME TAXES  </w:t>
            </w:r>
            <w:r>
              <w:rPr>
                <w:rFonts w:ascii="Arial" w:cs="Arial" w:eastAsia="Arial" w:hAnsi="Arial"/>
                <w:sz w:val="17"/>
                <w:szCs w:val="17"/>
                <w:color w:val="231F20"/>
                <w:w w:val="97"/>
              </w:rPr>
              <w:t>. . . . . . . . . . . . . . . . . . . . . . . . .</w:t>
            </w:r>
          </w:p>
        </w:tc>
        <w:tc>
          <w:tcPr>
            <w:tcW w:w="2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502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231F20"/>
              </w:rPr>
              <w:t>516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231F20"/>
              </w:rPr>
              <w:t>748</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w w:val="96"/>
              </w:rPr>
              <w:t>Income tax provision . . . . . . . .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(139)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(140)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(184)</w:t>
            </w:r>
          </w:p>
        </w:tc>
        <w:tc>
          <w:tcPr>
            <w:tcW w:w="0" w:type="dxa"/>
            <w:vAlign w:val="bottom"/>
          </w:tcPr>
          <w:p>
            <w:pPr>
              <w:spacing w:after="0"/>
              <w:rPr>
                <w:sz w:val="1"/>
                <w:szCs w:val="1"/>
                <w:color w:val="auto"/>
              </w:rPr>
            </w:pPr>
          </w:p>
        </w:tc>
      </w:tr>
      <w:tr>
        <w:trPr>
          <w:trHeight w:val="36"/>
        </w:trPr>
        <w:tc>
          <w:tcPr>
            <w:tcW w:w="52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231F20"/>
                <w:w w:val="95"/>
              </w:rPr>
              <w:t xml:space="preserve">NET INCOME </w:t>
            </w:r>
            <w:r>
              <w:rPr>
                <w:rFonts w:ascii="Arial" w:cs="Arial" w:eastAsia="Arial" w:hAnsi="Arial"/>
                <w:sz w:val="17"/>
                <w:szCs w:val="17"/>
                <w:color w:val="231F20"/>
                <w:w w:val="95"/>
              </w:rPr>
              <w:t>. . . . . . . . . . . . . . . . . . . . . . . . . . . . . . . . . . . . . . . . . . . . .</w:t>
            </w:r>
          </w:p>
        </w:tc>
        <w:tc>
          <w:tcPr>
            <w:tcW w:w="2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280" w:type="dxa"/>
            <w:vAlign w:val="bottom"/>
            <w:vMerge w:val="continue"/>
          </w:tcPr>
          <w:p>
            <w:pPr>
              <w:spacing w:after="0"/>
              <w:rPr>
                <w:sz w:val="18"/>
                <w:szCs w:val="18"/>
                <w:color w:val="auto"/>
              </w:rPr>
            </w:pPr>
          </w:p>
        </w:tc>
        <w:tc>
          <w:tcPr>
            <w:tcW w:w="260" w:type="dxa"/>
            <w:vAlign w:val="bottom"/>
          </w:tcPr>
          <w:p>
            <w:pPr>
              <w:jc w:val="right"/>
              <w:ind w:right="35"/>
              <w:spacing w:after="0"/>
              <w:rPr>
                <w:sz w:val="20"/>
                <w:szCs w:val="20"/>
                <w:color w:val="auto"/>
              </w:rPr>
            </w:pPr>
            <w:r>
              <w:rPr>
                <w:rFonts w:ascii="Arial" w:cs="Arial" w:eastAsia="Arial" w:hAnsi="Arial"/>
                <w:sz w:val="17"/>
                <w:szCs w:val="17"/>
                <w:color w:val="231F20"/>
              </w:rPr>
              <w:t>$</w:t>
            </w:r>
          </w:p>
        </w:tc>
        <w:tc>
          <w:tcPr>
            <w:tcW w:w="860" w:type="dxa"/>
            <w:vAlign w:val="bottom"/>
          </w:tcPr>
          <w:p>
            <w:pPr>
              <w:jc w:val="right"/>
              <w:spacing w:after="0"/>
              <w:rPr>
                <w:sz w:val="20"/>
                <w:szCs w:val="20"/>
                <w:color w:val="auto"/>
              </w:rPr>
            </w:pPr>
            <w:r>
              <w:rPr>
                <w:rFonts w:ascii="Arial" w:cs="Arial" w:eastAsia="Arial" w:hAnsi="Arial"/>
                <w:sz w:val="17"/>
                <w:szCs w:val="17"/>
                <w:color w:val="231F20"/>
              </w:rPr>
              <w:t>363</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231F20"/>
              </w:rPr>
              <w:t>$</w:t>
            </w:r>
          </w:p>
        </w:tc>
        <w:tc>
          <w:tcPr>
            <w:tcW w:w="880" w:type="dxa"/>
            <w:vAlign w:val="bottom"/>
          </w:tcPr>
          <w:p>
            <w:pPr>
              <w:jc w:val="right"/>
              <w:spacing w:after="0"/>
              <w:rPr>
                <w:sz w:val="20"/>
                <w:szCs w:val="20"/>
                <w:color w:val="auto"/>
              </w:rPr>
            </w:pPr>
            <w:r>
              <w:rPr>
                <w:rFonts w:ascii="Arial" w:cs="Arial" w:eastAsia="Arial" w:hAnsi="Arial"/>
                <w:sz w:val="17"/>
                <w:szCs w:val="17"/>
                <w:color w:val="231F20"/>
              </w:rPr>
              <w:t>376</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231F20"/>
              </w:rPr>
              <w:t>$</w:t>
            </w:r>
          </w:p>
        </w:tc>
        <w:tc>
          <w:tcPr>
            <w:tcW w:w="860" w:type="dxa"/>
            <w:vAlign w:val="bottom"/>
          </w:tcPr>
          <w:p>
            <w:pPr>
              <w:jc w:val="right"/>
              <w:spacing w:after="0"/>
              <w:rPr>
                <w:sz w:val="20"/>
                <w:szCs w:val="20"/>
                <w:color w:val="auto"/>
              </w:rPr>
            </w:pPr>
            <w:r>
              <w:rPr>
                <w:rFonts w:ascii="Arial" w:cs="Arial" w:eastAsia="Arial" w:hAnsi="Arial"/>
                <w:sz w:val="17"/>
                <w:szCs w:val="17"/>
                <w:color w:val="231F20"/>
              </w:rPr>
              <w:t>564</w:t>
            </w:r>
          </w:p>
        </w:tc>
        <w:tc>
          <w:tcPr>
            <w:tcW w:w="0" w:type="dxa"/>
            <w:vAlign w:val="bottom"/>
          </w:tcPr>
          <w:p>
            <w:pPr>
              <w:spacing w:after="0"/>
              <w:rPr>
                <w:sz w:val="1"/>
                <w:szCs w:val="1"/>
                <w:color w:val="auto"/>
              </w:rPr>
            </w:pPr>
          </w:p>
        </w:tc>
      </w:tr>
      <w:tr>
        <w:trPr>
          <w:trHeight w:val="36"/>
        </w:trPr>
        <w:tc>
          <w:tcPr>
            <w:tcW w:w="5280" w:type="dxa"/>
            <w:vAlign w:val="bottom"/>
            <w:vMerge w:val="restart"/>
          </w:tcPr>
          <w:p>
            <w:pPr>
              <w:spacing w:after="0"/>
              <w:rPr>
                <w:sz w:val="20"/>
                <w:szCs w:val="20"/>
                <w:color w:val="auto"/>
              </w:rPr>
            </w:pPr>
            <w:r>
              <w:rPr>
                <w:rFonts w:ascii="Arial" w:cs="Arial" w:eastAsia="Arial" w:hAnsi="Arial"/>
                <w:sz w:val="17"/>
                <w:szCs w:val="17"/>
                <w:b w:val="1"/>
                <w:bCs w:val="1"/>
                <w:color w:val="231F20"/>
              </w:rPr>
              <w:t>Net income per share</w:t>
            </w:r>
          </w:p>
        </w:tc>
        <w:tc>
          <w:tcPr>
            <w:tcW w:w="2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280" w:type="dxa"/>
            <w:vAlign w:val="bottom"/>
            <w:vMerge w:val="continue"/>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w w:val="94"/>
              </w:rPr>
              <w:t>Basic . . . . . . . . . . . . . . . . . . . . . . . . . . . . . . . . . . . . . . . . . . . . . . . . . . . .</w:t>
            </w:r>
          </w:p>
        </w:tc>
        <w:tc>
          <w:tcPr>
            <w:tcW w:w="260" w:type="dxa"/>
            <w:vAlign w:val="bottom"/>
          </w:tcPr>
          <w:p>
            <w:pPr>
              <w:jc w:val="right"/>
              <w:ind w:right="35"/>
              <w:spacing w:after="0" w:line="190" w:lineRule="exact"/>
              <w:rPr>
                <w:sz w:val="20"/>
                <w:szCs w:val="20"/>
                <w:color w:val="auto"/>
              </w:rPr>
            </w:pPr>
            <w:r>
              <w:rPr>
                <w:rFonts w:ascii="Arial" w:cs="Arial" w:eastAsia="Arial" w:hAnsi="Arial"/>
                <w:sz w:val="17"/>
                <w:szCs w:val="17"/>
                <w:color w:val="231F20"/>
              </w:rPr>
              <w:t>$</w:t>
            </w: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4.17</w:t>
            </w:r>
          </w:p>
        </w:tc>
        <w:tc>
          <w:tcPr>
            <w:tcW w:w="500" w:type="dxa"/>
            <w:vAlign w:val="bottom"/>
            <w:gridSpan w:val="2"/>
          </w:tcPr>
          <w:p>
            <w:pPr>
              <w:jc w:val="right"/>
              <w:ind w:right="160"/>
              <w:spacing w:after="0" w:line="190" w:lineRule="exact"/>
              <w:rPr>
                <w:sz w:val="20"/>
                <w:szCs w:val="20"/>
                <w:color w:val="auto"/>
              </w:rPr>
            </w:pPr>
            <w:r>
              <w:rPr>
                <w:rFonts w:ascii="Arial" w:cs="Arial" w:eastAsia="Arial" w:hAnsi="Arial"/>
                <w:sz w:val="17"/>
                <w:szCs w:val="17"/>
                <w:color w:val="231F20"/>
              </w:rPr>
              <w:t>$</w:t>
            </w: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4.74</w:t>
            </w:r>
          </w:p>
        </w:tc>
        <w:tc>
          <w:tcPr>
            <w:tcW w:w="480" w:type="dxa"/>
            <w:vAlign w:val="bottom"/>
            <w:gridSpan w:val="2"/>
          </w:tcPr>
          <w:p>
            <w:pPr>
              <w:jc w:val="right"/>
              <w:ind w:right="140"/>
              <w:spacing w:after="0" w:line="190" w:lineRule="exact"/>
              <w:rPr>
                <w:sz w:val="20"/>
                <w:szCs w:val="20"/>
                <w:color w:val="auto"/>
              </w:rPr>
            </w:pPr>
            <w:r>
              <w:rPr>
                <w:rFonts w:ascii="Arial" w:cs="Arial" w:eastAsia="Arial" w:hAnsi="Arial"/>
                <w:sz w:val="17"/>
                <w:szCs w:val="17"/>
                <w:color w:val="231F20"/>
              </w:rPr>
              <w:t>$</w:t>
            </w: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8.10</w:t>
            </w:r>
          </w:p>
        </w:tc>
        <w:tc>
          <w:tcPr>
            <w:tcW w:w="0" w:type="dxa"/>
            <w:vAlign w:val="bottom"/>
          </w:tcPr>
          <w:p>
            <w:pPr>
              <w:spacing w:after="0"/>
              <w:rPr>
                <w:sz w:val="1"/>
                <w:szCs w:val="1"/>
                <w:color w:val="auto"/>
              </w:rPr>
            </w:pPr>
          </w:p>
        </w:tc>
      </w:tr>
      <w:tr>
        <w:trPr>
          <w:trHeight w:val="188"/>
        </w:trPr>
        <w:tc>
          <w:tcPr>
            <w:tcW w:w="5280" w:type="dxa"/>
            <w:vAlign w:val="bottom"/>
          </w:tcPr>
          <w:p>
            <w:pPr>
              <w:jc w:val="right"/>
              <w:ind w:right="115"/>
              <w:spacing w:after="0" w:line="188" w:lineRule="exact"/>
              <w:rPr>
                <w:sz w:val="20"/>
                <w:szCs w:val="20"/>
                <w:color w:val="auto"/>
              </w:rPr>
            </w:pPr>
            <w:r>
              <w:rPr>
                <w:rFonts w:ascii="Arial" w:cs="Arial" w:eastAsia="Arial" w:hAnsi="Arial"/>
                <w:sz w:val="17"/>
                <w:szCs w:val="17"/>
                <w:color w:val="231F20"/>
                <w:w w:val="94"/>
              </w:rPr>
              <w:t>Diluted . . . . . . . . . . . . . . . . . . . . . . . . . . . . . . . . . . . . . . . . . . . . . . . . . . .</w:t>
            </w:r>
          </w:p>
        </w:tc>
        <w:tc>
          <w:tcPr>
            <w:tcW w:w="260" w:type="dxa"/>
            <w:vAlign w:val="bottom"/>
          </w:tcPr>
          <w:p>
            <w:pPr>
              <w:jc w:val="right"/>
              <w:ind w:right="35"/>
              <w:spacing w:after="0" w:line="188" w:lineRule="exact"/>
              <w:rPr>
                <w:sz w:val="20"/>
                <w:szCs w:val="20"/>
                <w:color w:val="auto"/>
              </w:rPr>
            </w:pPr>
            <w:r>
              <w:rPr>
                <w:rFonts w:ascii="Arial" w:cs="Arial" w:eastAsia="Arial" w:hAnsi="Arial"/>
                <w:sz w:val="17"/>
                <w:szCs w:val="17"/>
                <w:color w:val="231F20"/>
              </w:rPr>
              <w:t>$</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231F20"/>
              </w:rPr>
              <w:t>4.15</w:t>
            </w:r>
          </w:p>
        </w:tc>
        <w:tc>
          <w:tcPr>
            <w:tcW w:w="50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231F20"/>
              </w:rPr>
              <w:t>$</w:t>
            </w:r>
          </w:p>
        </w:tc>
        <w:tc>
          <w:tcPr>
            <w:tcW w:w="880" w:type="dxa"/>
            <w:vAlign w:val="bottom"/>
          </w:tcPr>
          <w:p>
            <w:pPr>
              <w:jc w:val="right"/>
              <w:spacing w:after="0" w:line="188" w:lineRule="exact"/>
              <w:rPr>
                <w:sz w:val="20"/>
                <w:szCs w:val="20"/>
                <w:color w:val="auto"/>
              </w:rPr>
            </w:pPr>
            <w:r>
              <w:rPr>
                <w:rFonts w:ascii="Arial" w:cs="Arial" w:eastAsia="Arial" w:hAnsi="Arial"/>
                <w:sz w:val="17"/>
                <w:szCs w:val="17"/>
                <w:color w:val="231F20"/>
              </w:rPr>
              <w:t>4.62</w:t>
            </w:r>
          </w:p>
        </w:tc>
        <w:tc>
          <w:tcPr>
            <w:tcW w:w="48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231F20"/>
              </w:rPr>
              <w:t>$</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231F20"/>
              </w:rPr>
              <w:t>7.78</w:t>
            </w:r>
          </w:p>
        </w:tc>
        <w:tc>
          <w:tcPr>
            <w:tcW w:w="0" w:type="dxa"/>
            <w:vAlign w:val="bottom"/>
          </w:tcPr>
          <w:p>
            <w:pPr>
              <w:spacing w:after="0"/>
              <w:rPr>
                <w:sz w:val="1"/>
                <w:szCs w:val="1"/>
                <w:color w:val="auto"/>
              </w:rPr>
            </w:pPr>
          </w:p>
        </w:tc>
      </w:tr>
      <w:tr>
        <w:trPr>
          <w:trHeight w:val="192"/>
        </w:trPr>
        <w:tc>
          <w:tcPr>
            <w:tcW w:w="5280" w:type="dxa"/>
            <w:vAlign w:val="bottom"/>
          </w:tcPr>
          <w:p>
            <w:pPr>
              <w:spacing w:after="0" w:line="193" w:lineRule="exact"/>
              <w:rPr>
                <w:sz w:val="20"/>
                <w:szCs w:val="20"/>
                <w:color w:val="auto"/>
              </w:rPr>
            </w:pPr>
            <w:r>
              <w:rPr>
                <w:rFonts w:ascii="Arial" w:cs="Arial" w:eastAsia="Arial" w:hAnsi="Arial"/>
                <w:sz w:val="17"/>
                <w:szCs w:val="17"/>
                <w:b w:val="1"/>
                <w:bCs w:val="1"/>
                <w:color w:val="231F20"/>
              </w:rPr>
              <w:t>Weighted-average common shares outstanding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w w:val="94"/>
              </w:rPr>
              <w:t>Basic . . . . . . . . . . . . . . . . . . . . .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87.0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79.3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69.6</w:t>
            </w:r>
          </w:p>
        </w:tc>
        <w:tc>
          <w:tcPr>
            <w:tcW w:w="0" w:type="dxa"/>
            <w:vAlign w:val="bottom"/>
          </w:tcPr>
          <w:p>
            <w:pPr>
              <w:spacing w:after="0"/>
              <w:rPr>
                <w:sz w:val="1"/>
                <w:szCs w:val="1"/>
                <w:color w:val="auto"/>
              </w:rPr>
            </w:pPr>
          </w:p>
        </w:tc>
      </w:tr>
      <w:tr>
        <w:trPr>
          <w:trHeight w:val="190"/>
        </w:trPr>
        <w:tc>
          <w:tcPr>
            <w:tcW w:w="5280" w:type="dxa"/>
            <w:vAlign w:val="bottom"/>
          </w:tcPr>
          <w:p>
            <w:pPr>
              <w:jc w:val="right"/>
              <w:ind w:right="115"/>
              <w:spacing w:after="0" w:line="190" w:lineRule="exact"/>
              <w:rPr>
                <w:sz w:val="20"/>
                <w:szCs w:val="20"/>
                <w:color w:val="auto"/>
              </w:rPr>
            </w:pPr>
            <w:r>
              <w:rPr>
                <w:rFonts w:ascii="Arial" w:cs="Arial" w:eastAsia="Arial" w:hAnsi="Arial"/>
                <w:sz w:val="17"/>
                <w:szCs w:val="17"/>
                <w:color w:val="231F20"/>
                <w:w w:val="94"/>
              </w:rPr>
              <w:t>Diluted . . . . . . . . . . . . . . . . . . . . . . . . . . . . . . . . . . . . . . . . . . . . . . . . . . .</w:t>
            </w:r>
          </w:p>
        </w:tc>
        <w:tc>
          <w:tcPr>
            <w:tcW w:w="26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87.4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Arial" w:cs="Arial" w:eastAsia="Arial" w:hAnsi="Arial"/>
                <w:sz w:val="17"/>
                <w:szCs w:val="17"/>
                <w:color w:val="231F20"/>
              </w:rPr>
              <w:t>81.4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0" w:lineRule="exact"/>
              <w:rPr>
                <w:sz w:val="20"/>
                <w:szCs w:val="20"/>
                <w:color w:val="auto"/>
              </w:rPr>
            </w:pPr>
            <w:r>
              <w:rPr>
                <w:rFonts w:ascii="Arial" w:cs="Arial" w:eastAsia="Arial" w:hAnsi="Arial"/>
                <w:sz w:val="17"/>
                <w:szCs w:val="17"/>
                <w:color w:val="231F20"/>
              </w:rPr>
              <w:t>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231F20"/>
        </w:rPr>
        <w:t>The accompanying notes are an integral part of these consolidated financial statements.</w:t>
      </w:r>
    </w:p>
    <w:p>
      <w:pPr>
        <w:sectPr>
          <w:pgSz w:w="11880" w:h="15480" w:orient="portrait"/>
          <w:cols w:equalWidth="0" w:num="1">
            <w:col w:w="9120"/>
          </w:cols>
          <w:pgMar w:left="1380" w:top="1312"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91</w:t>
      </w:r>
    </w:p>
    <w:p>
      <w:pPr>
        <w:sectPr>
          <w:pgSz w:w="11880" w:h="15480" w:orient="portrait"/>
          <w:cols w:equalWidth="0" w:num="1">
            <w:col w:w="9120"/>
          </w:cols>
          <w:pgMar w:left="1380" w:top="1312" w:right="1380" w:bottom="695" w:gutter="0" w:footer="0" w:header="0"/>
          <w:type w:val="continuous"/>
        </w:sectPr>
      </w:pPr>
    </w:p>
    <w:bookmarkStart w:id="95" w:name="page96"/>
    <w:bookmarkEnd w:id="95"/>
    <w:p>
      <w:pPr>
        <w:jc w:val="center"/>
        <w:ind w:left="1420" w:right="1480"/>
        <w:spacing w:after="0" w:line="250" w:lineRule="auto"/>
        <w:rPr>
          <w:sz w:val="20"/>
          <w:szCs w:val="20"/>
          <w:color w:val="auto"/>
        </w:rPr>
      </w:pPr>
      <w:r>
        <w:rPr>
          <w:rFonts w:ascii="Arial" w:cs="Arial" w:eastAsia="Arial" w:hAnsi="Arial"/>
          <w:sz w:val="20"/>
          <w:szCs w:val="20"/>
          <w:b w:val="1"/>
          <w:bCs w:val="1"/>
          <w:color w:val="231F20"/>
        </w:rPr>
        <w:t xml:space="preserve">CALIFORNIA RESOURCES CORPORATION AND SUBSIDIARIES Consolidated Statements of Comprehensive Income (Loss) For the years ended December 31, 2025, 2024 and 2023 </w:t>
      </w:r>
      <w:r>
        <w:rPr>
          <w:rFonts w:ascii="Arial" w:cs="Arial" w:eastAsia="Arial" w:hAnsi="Arial"/>
          <w:sz w:val="20"/>
          <w:szCs w:val="20"/>
          <w:color w:val="231F20"/>
        </w:rPr>
        <w:t>(in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00" w:type="dxa"/>
            <w:vAlign w:val="bottom"/>
            <w:gridSpan w:val="6"/>
          </w:tcPr>
          <w:p>
            <w:pPr>
              <w:jc w:val="right"/>
              <w:ind w:right="60"/>
              <w:spacing w:after="0"/>
              <w:rPr>
                <w:sz w:val="20"/>
                <w:szCs w:val="20"/>
                <w:color w:val="auto"/>
              </w:rPr>
            </w:pPr>
            <w:r>
              <w:rPr>
                <w:rFonts w:ascii="Arial" w:cs="Arial" w:eastAsia="Arial" w:hAnsi="Arial"/>
                <w:sz w:val="18"/>
                <w:szCs w:val="18"/>
                <w:b w:val="1"/>
                <w:bCs w:val="1"/>
                <w:color w:val="231F20"/>
              </w:rPr>
              <w:t>Year ended December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94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231F20"/>
              </w:rPr>
              <w:t>2025</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231F20"/>
              </w:rPr>
              <w:t>2024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231F20"/>
              </w:rPr>
              <w:t>2023</w:t>
            </w:r>
          </w:p>
        </w:tc>
        <w:tc>
          <w:tcPr>
            <w:tcW w:w="0" w:type="dxa"/>
            <w:vAlign w:val="bottom"/>
          </w:tcPr>
          <w:p>
            <w:pPr>
              <w:spacing w:after="0"/>
              <w:rPr>
                <w:sz w:val="1"/>
                <w:szCs w:val="1"/>
                <w:color w:val="auto"/>
              </w:rPr>
            </w:pPr>
          </w:p>
        </w:tc>
      </w:tr>
      <w:tr>
        <w:trPr>
          <w:trHeight w:val="24"/>
        </w:trPr>
        <w:tc>
          <w:tcPr>
            <w:tcW w:w="49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231F20"/>
                <w:w w:val="96"/>
              </w:rPr>
              <w:t xml:space="preserve">Net income </w:t>
            </w:r>
            <w:r>
              <w:rPr>
                <w:rFonts w:ascii="Arial" w:cs="Arial" w:eastAsia="Arial" w:hAnsi="Arial"/>
                <w:sz w:val="18"/>
                <w:szCs w:val="18"/>
                <w:color w:val="231F20"/>
                <w:w w:val="96"/>
              </w:rPr>
              <w:t>. . . . . . . . . . . . . . . . . . . . . . . . . . . . . . . . . . . . . . . .</w:t>
            </w:r>
          </w:p>
        </w:tc>
        <w:tc>
          <w:tcPr>
            <w:tcW w:w="92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940" w:type="dxa"/>
            <w:vAlign w:val="bottom"/>
            <w:vMerge w:val="continue"/>
          </w:tcPr>
          <w:p>
            <w:pPr>
              <w:spacing w:after="0"/>
              <w:rPr>
                <w:sz w:val="22"/>
                <w:szCs w:val="22"/>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231F20"/>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231F20"/>
              </w:rPr>
              <w:t>363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376</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231F20"/>
              </w:rPr>
              <w:t>$</w:t>
            </w:r>
          </w:p>
        </w:tc>
        <w:tc>
          <w:tcPr>
            <w:tcW w:w="920" w:type="dxa"/>
            <w:vAlign w:val="bottom"/>
          </w:tcPr>
          <w:p>
            <w:pPr>
              <w:jc w:val="right"/>
              <w:spacing w:after="0"/>
              <w:rPr>
                <w:sz w:val="20"/>
                <w:szCs w:val="20"/>
                <w:color w:val="auto"/>
              </w:rPr>
            </w:pPr>
            <w:r>
              <w:rPr>
                <w:rFonts w:ascii="Arial" w:cs="Arial" w:eastAsia="Arial" w:hAnsi="Arial"/>
                <w:sz w:val="18"/>
                <w:szCs w:val="18"/>
                <w:color w:val="231F20"/>
              </w:rPr>
              <w:t>564</w:t>
            </w:r>
          </w:p>
        </w:tc>
        <w:tc>
          <w:tcPr>
            <w:tcW w:w="0" w:type="dxa"/>
            <w:vAlign w:val="bottom"/>
          </w:tcPr>
          <w:p>
            <w:pPr>
              <w:spacing w:after="0"/>
              <w:rPr>
                <w:sz w:val="1"/>
                <w:szCs w:val="1"/>
                <w:color w:val="auto"/>
              </w:rPr>
            </w:pPr>
          </w:p>
        </w:tc>
      </w:tr>
      <w:tr>
        <w:trPr>
          <w:trHeight w:val="239"/>
        </w:trPr>
        <w:tc>
          <w:tcPr>
            <w:tcW w:w="4940" w:type="dxa"/>
            <w:vAlign w:val="bottom"/>
          </w:tcPr>
          <w:p>
            <w:pPr>
              <w:jc w:val="right"/>
              <w:ind w:right="2310"/>
              <w:spacing w:after="0" w:line="239" w:lineRule="exact"/>
              <w:rPr>
                <w:sz w:val="20"/>
                <w:szCs w:val="20"/>
                <w:color w:val="auto"/>
              </w:rPr>
            </w:pPr>
            <w:r>
              <w:rPr>
                <w:rFonts w:ascii="Arial" w:cs="Arial" w:eastAsia="Arial" w:hAnsi="Arial"/>
                <w:sz w:val="18"/>
                <w:szCs w:val="18"/>
                <w:color w:val="231F20"/>
                <w:w w:val="97"/>
              </w:rPr>
              <w:t>Other comprehensive income</w:t>
            </w:r>
            <w:r>
              <w:rPr>
                <w:rFonts w:ascii="Arial" w:cs="Arial" w:eastAsia="Arial" w:hAnsi="Arial"/>
                <w:sz w:val="23"/>
                <w:szCs w:val="23"/>
                <w:color w:val="231F20"/>
                <w:w w:val="97"/>
                <w:vertAlign w:val="superscript"/>
              </w:rPr>
              <w:t>(a)</w:t>
            </w:r>
            <w:r>
              <w:rPr>
                <w:rFonts w:ascii="Arial" w:cs="Arial" w:eastAsia="Arial" w:hAnsi="Arial"/>
                <w:sz w:val="18"/>
                <w:szCs w:val="18"/>
                <w:color w:val="231F20"/>
                <w:w w:val="97"/>
              </w:rPr>
              <w:t>:</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940" w:type="dxa"/>
            <w:vAlign w:val="bottom"/>
          </w:tcPr>
          <w:p>
            <w:pPr>
              <w:ind w:left="360"/>
              <w:spacing w:after="0" w:line="201" w:lineRule="exact"/>
              <w:rPr>
                <w:sz w:val="20"/>
                <w:szCs w:val="20"/>
                <w:color w:val="auto"/>
              </w:rPr>
            </w:pPr>
            <w:r>
              <w:rPr>
                <w:rFonts w:ascii="Arial" w:cs="Arial" w:eastAsia="Arial" w:hAnsi="Arial"/>
                <w:sz w:val="18"/>
                <w:szCs w:val="18"/>
                <w:color w:val="231F20"/>
              </w:rPr>
              <w:t>Actuarial gain (loss) associated with pension and</w:t>
            </w: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40" w:type="dxa"/>
            <w:vAlign w:val="bottom"/>
          </w:tcPr>
          <w:p>
            <w:pPr>
              <w:jc w:val="right"/>
              <w:ind w:right="50"/>
              <w:spacing w:after="0"/>
              <w:rPr>
                <w:sz w:val="20"/>
                <w:szCs w:val="20"/>
                <w:color w:val="auto"/>
              </w:rPr>
            </w:pPr>
            <w:r>
              <w:rPr>
                <w:rFonts w:ascii="Arial" w:cs="Arial" w:eastAsia="Arial" w:hAnsi="Arial"/>
                <w:sz w:val="18"/>
                <w:szCs w:val="18"/>
                <w:color w:val="231F20"/>
              </w:rPr>
              <w:t>postretirement plans . . . . . . . . . . . . . . . . . . . . . . . . . . . . .</w:t>
            </w:r>
          </w:p>
        </w:tc>
        <w:tc>
          <w:tcPr>
            <w:tcW w:w="9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231F20"/>
              </w:rPr>
              <w:t>19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(1)</w:t>
            </w:r>
          </w:p>
        </w:tc>
        <w:tc>
          <w:tcPr>
            <w:tcW w:w="0" w:type="dxa"/>
            <w:vAlign w:val="bottom"/>
          </w:tcPr>
          <w:p>
            <w:pPr>
              <w:spacing w:after="0"/>
              <w:rPr>
                <w:sz w:val="1"/>
                <w:szCs w:val="1"/>
                <w:color w:val="auto"/>
              </w:rPr>
            </w:pPr>
          </w:p>
        </w:tc>
      </w:tr>
      <w:tr>
        <w:trPr>
          <w:trHeight w:val="220"/>
        </w:trPr>
        <w:tc>
          <w:tcPr>
            <w:tcW w:w="4940" w:type="dxa"/>
            <w:vAlign w:val="bottom"/>
          </w:tcPr>
          <w:p>
            <w:pPr>
              <w:jc w:val="right"/>
              <w:ind w:right="50"/>
              <w:spacing w:after="0"/>
              <w:rPr>
                <w:sz w:val="20"/>
                <w:szCs w:val="20"/>
                <w:color w:val="auto"/>
              </w:rPr>
            </w:pPr>
            <w:r>
              <w:rPr>
                <w:rFonts w:ascii="Arial" w:cs="Arial" w:eastAsia="Arial" w:hAnsi="Arial"/>
                <w:sz w:val="18"/>
                <w:szCs w:val="18"/>
                <w:color w:val="231F20"/>
              </w:rPr>
              <w:t>Prior service credit . . . . . . . . . . . . . . . . . . . . . . . . . . . . . . .</w:t>
            </w:r>
          </w:p>
        </w:tc>
        <w:tc>
          <w:tcPr>
            <w:tcW w:w="9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231F20"/>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0"/>
        </w:trPr>
        <w:tc>
          <w:tcPr>
            <w:tcW w:w="4940" w:type="dxa"/>
            <w:vAlign w:val="bottom"/>
          </w:tcPr>
          <w:p>
            <w:pPr>
              <w:jc w:val="right"/>
              <w:ind w:right="50"/>
              <w:spacing w:after="0"/>
              <w:rPr>
                <w:sz w:val="20"/>
                <w:szCs w:val="20"/>
                <w:color w:val="auto"/>
              </w:rPr>
            </w:pPr>
            <w:r>
              <w:rPr>
                <w:rFonts w:ascii="Arial" w:cs="Arial" w:eastAsia="Arial" w:hAnsi="Arial"/>
                <w:sz w:val="18"/>
                <w:szCs w:val="18"/>
                <w:color w:val="231F20"/>
              </w:rPr>
              <w:t>Recognition of net actuarial gain due to settlement . . . .</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31F20"/>
              </w:rPr>
              <w:t>(2)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0"/>
        </w:trPr>
        <w:tc>
          <w:tcPr>
            <w:tcW w:w="4940" w:type="dxa"/>
            <w:vAlign w:val="bottom"/>
          </w:tcPr>
          <w:p>
            <w:pPr>
              <w:jc w:val="right"/>
              <w:ind w:right="50"/>
              <w:spacing w:after="0"/>
              <w:rPr>
                <w:sz w:val="20"/>
                <w:szCs w:val="20"/>
                <w:color w:val="auto"/>
              </w:rPr>
            </w:pPr>
            <w:r>
              <w:rPr>
                <w:rFonts w:ascii="Arial" w:cs="Arial" w:eastAsia="Arial" w:hAnsi="Arial"/>
                <w:sz w:val="18"/>
                <w:szCs w:val="18"/>
                <w:color w:val="231F20"/>
              </w:rPr>
              <w:t>Recognition of prior service credit due to curtailment . . .</w:t>
            </w:r>
          </w:p>
        </w:tc>
        <w:tc>
          <w:tcPr>
            <w:tcW w:w="9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231F20"/>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(2)</w:t>
            </w:r>
          </w:p>
        </w:tc>
        <w:tc>
          <w:tcPr>
            <w:tcW w:w="0" w:type="dxa"/>
            <w:vAlign w:val="bottom"/>
          </w:tcPr>
          <w:p>
            <w:pPr>
              <w:spacing w:after="0"/>
              <w:rPr>
                <w:sz w:val="1"/>
                <w:szCs w:val="1"/>
                <w:color w:val="auto"/>
              </w:rPr>
            </w:pPr>
          </w:p>
        </w:tc>
      </w:tr>
      <w:tr>
        <w:trPr>
          <w:trHeight w:val="220"/>
        </w:trPr>
        <w:tc>
          <w:tcPr>
            <w:tcW w:w="4940" w:type="dxa"/>
            <w:vAlign w:val="bottom"/>
          </w:tcPr>
          <w:p>
            <w:pPr>
              <w:jc w:val="right"/>
              <w:ind w:right="50"/>
              <w:spacing w:after="0"/>
              <w:rPr>
                <w:sz w:val="20"/>
                <w:szCs w:val="20"/>
                <w:color w:val="auto"/>
              </w:rPr>
            </w:pPr>
            <w:r>
              <w:rPr>
                <w:rFonts w:ascii="Arial" w:cs="Arial" w:eastAsia="Arial" w:hAnsi="Arial"/>
                <w:sz w:val="18"/>
                <w:szCs w:val="18"/>
                <w:color w:val="231F20"/>
              </w:rPr>
              <w:t>Recognition of net actuarial loss due to curtailment . . . .</w:t>
            </w:r>
          </w:p>
        </w:tc>
        <w:tc>
          <w:tcPr>
            <w:tcW w:w="9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231F20"/>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0"/>
        </w:trPr>
        <w:tc>
          <w:tcPr>
            <w:tcW w:w="4940" w:type="dxa"/>
            <w:vAlign w:val="bottom"/>
          </w:tcPr>
          <w:p>
            <w:pPr>
              <w:ind w:left="360"/>
              <w:spacing w:after="0"/>
              <w:rPr>
                <w:sz w:val="20"/>
                <w:szCs w:val="20"/>
                <w:color w:val="auto"/>
              </w:rPr>
            </w:pPr>
            <w:r>
              <w:rPr>
                <w:rFonts w:ascii="Arial" w:cs="Arial" w:eastAsia="Arial" w:hAnsi="Arial"/>
                <w:sz w:val="18"/>
                <w:szCs w:val="18"/>
                <w:color w:val="231F20"/>
              </w:rPr>
              <w:t>Recognition of net actuarial gain due to special</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40" w:type="dxa"/>
            <w:vAlign w:val="bottom"/>
          </w:tcPr>
          <w:p>
            <w:pPr>
              <w:jc w:val="right"/>
              <w:ind w:right="50"/>
              <w:spacing w:after="0"/>
              <w:rPr>
                <w:sz w:val="20"/>
                <w:szCs w:val="20"/>
                <w:color w:val="auto"/>
              </w:rPr>
            </w:pPr>
            <w:r>
              <w:rPr>
                <w:rFonts w:ascii="Arial" w:cs="Arial" w:eastAsia="Arial" w:hAnsi="Arial"/>
                <w:sz w:val="18"/>
                <w:szCs w:val="18"/>
                <w:color w:val="231F20"/>
              </w:rPr>
              <w:t>termination benefits . . . . . . . . . . . . . . . . . . . . . . . . . . . . . .</w:t>
            </w:r>
          </w:p>
        </w:tc>
        <w:tc>
          <w:tcPr>
            <w:tcW w:w="9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231F20"/>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0"/>
        </w:trPr>
        <w:tc>
          <w:tcPr>
            <w:tcW w:w="4940" w:type="dxa"/>
            <w:vAlign w:val="bottom"/>
          </w:tcPr>
          <w:p>
            <w:pPr>
              <w:ind w:left="360"/>
              <w:spacing w:after="0"/>
              <w:rPr>
                <w:sz w:val="20"/>
                <w:szCs w:val="20"/>
                <w:color w:val="auto"/>
              </w:rPr>
            </w:pPr>
            <w:r>
              <w:rPr>
                <w:rFonts w:ascii="Arial" w:cs="Arial" w:eastAsia="Arial" w:hAnsi="Arial"/>
                <w:sz w:val="18"/>
                <w:szCs w:val="18"/>
                <w:color w:val="231F20"/>
              </w:rPr>
              <w:t>Amortization of prior service cost credit included in net</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40" w:type="dxa"/>
            <w:vAlign w:val="bottom"/>
          </w:tcPr>
          <w:p>
            <w:pPr>
              <w:jc w:val="right"/>
              <w:ind w:right="50"/>
              <w:spacing w:after="0"/>
              <w:rPr>
                <w:sz w:val="20"/>
                <w:szCs w:val="20"/>
                <w:color w:val="auto"/>
              </w:rPr>
            </w:pPr>
            <w:r>
              <w:rPr>
                <w:rFonts w:ascii="Arial" w:cs="Arial" w:eastAsia="Arial" w:hAnsi="Arial"/>
                <w:sz w:val="18"/>
                <w:szCs w:val="18"/>
                <w:color w:val="231F20"/>
              </w:rPr>
              <w:t>periodic benefit cost  . . . . . . . . . . . . . . . . . . . . . . . . . . . . .</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31F20"/>
              </w:rPr>
              <w:t>(4)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(4)</w:t>
            </w:r>
          </w:p>
        </w:tc>
        <w:tc>
          <w:tcPr>
            <w:tcW w:w="0" w:type="dxa"/>
            <w:vAlign w:val="bottom"/>
          </w:tcPr>
          <w:p>
            <w:pPr>
              <w:spacing w:after="0"/>
              <w:rPr>
                <w:sz w:val="1"/>
                <w:szCs w:val="1"/>
                <w:color w:val="auto"/>
              </w:rPr>
            </w:pPr>
          </w:p>
        </w:tc>
      </w:tr>
      <w:tr>
        <w:trPr>
          <w:trHeight w:val="220"/>
        </w:trPr>
        <w:tc>
          <w:tcPr>
            <w:tcW w:w="4940" w:type="dxa"/>
            <w:vAlign w:val="bottom"/>
          </w:tcPr>
          <w:p>
            <w:pPr>
              <w:jc w:val="right"/>
              <w:ind w:right="50"/>
              <w:spacing w:after="0"/>
              <w:rPr>
                <w:sz w:val="20"/>
                <w:szCs w:val="20"/>
                <w:color w:val="auto"/>
              </w:rPr>
            </w:pPr>
            <w:r>
              <w:rPr>
                <w:rFonts w:ascii="Arial" w:cs="Arial" w:eastAsia="Arial" w:hAnsi="Arial"/>
                <w:sz w:val="18"/>
                <w:szCs w:val="18"/>
                <w:color w:val="231F20"/>
              </w:rPr>
              <w:t>Amortization of net actuarial gain . . . . . . . . . . . . . . . . . . .</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31F20"/>
              </w:rPr>
              <w:t>(1)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34"/>
        </w:trPr>
        <w:tc>
          <w:tcPr>
            <w:tcW w:w="494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940" w:type="dxa"/>
            <w:vAlign w:val="bottom"/>
          </w:tcPr>
          <w:p>
            <w:pPr>
              <w:jc w:val="right"/>
              <w:ind w:right="50"/>
              <w:spacing w:after="0"/>
              <w:rPr>
                <w:sz w:val="20"/>
                <w:szCs w:val="20"/>
                <w:color w:val="auto"/>
              </w:rPr>
            </w:pPr>
            <w:r>
              <w:rPr>
                <w:rFonts w:ascii="Arial" w:cs="Arial" w:eastAsia="Arial" w:hAnsi="Arial"/>
                <w:sz w:val="18"/>
                <w:szCs w:val="18"/>
                <w:color w:val="231F20"/>
                <w:w w:val="98"/>
              </w:rPr>
              <w:t>Total other comprehensive income (loss) . . . . . . . . . . . . . . . .</w:t>
            </w:r>
          </w:p>
        </w:tc>
        <w:tc>
          <w:tcPr>
            <w:tcW w:w="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231F20"/>
              </w:rPr>
              <w:t>12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(7)</w:t>
            </w:r>
          </w:p>
        </w:tc>
        <w:tc>
          <w:tcPr>
            <w:tcW w:w="0" w:type="dxa"/>
            <w:vAlign w:val="bottom"/>
          </w:tcPr>
          <w:p>
            <w:pPr>
              <w:spacing w:after="0"/>
              <w:rPr>
                <w:sz w:val="1"/>
                <w:szCs w:val="1"/>
                <w:color w:val="auto"/>
              </w:rPr>
            </w:pPr>
          </w:p>
        </w:tc>
      </w:tr>
      <w:tr>
        <w:trPr>
          <w:trHeight w:val="34"/>
        </w:trPr>
        <w:tc>
          <w:tcPr>
            <w:tcW w:w="49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231F20"/>
                <w:w w:val="96"/>
              </w:rPr>
              <w:t xml:space="preserve">Comprehensive income </w:t>
            </w:r>
            <w:r>
              <w:rPr>
                <w:rFonts w:ascii="Arial" w:cs="Arial" w:eastAsia="Arial" w:hAnsi="Arial"/>
                <w:sz w:val="18"/>
                <w:szCs w:val="18"/>
                <w:color w:val="231F20"/>
                <w:w w:val="96"/>
              </w:rPr>
              <w:t>. . . . . . . . . . . . . . . . . . . . . . . . . . . . .</w:t>
            </w:r>
          </w:p>
        </w:tc>
        <w:tc>
          <w:tcPr>
            <w:tcW w:w="92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940" w:type="dxa"/>
            <w:vAlign w:val="bottom"/>
            <w:vMerge w:val="continue"/>
          </w:tcPr>
          <w:p>
            <w:pPr>
              <w:spacing w:after="0"/>
              <w:rPr>
                <w:sz w:val="21"/>
                <w:szCs w:val="21"/>
                <w:color w:val="auto"/>
              </w:rPr>
            </w:pPr>
          </w:p>
        </w:tc>
        <w:tc>
          <w:tcPr>
            <w:tcW w:w="920" w:type="dxa"/>
            <w:vAlign w:val="bottom"/>
          </w:tcPr>
          <w:p>
            <w:pPr>
              <w:jc w:val="right"/>
              <w:ind w:right="690"/>
              <w:spacing w:after="0"/>
              <w:rPr>
                <w:sz w:val="20"/>
                <w:szCs w:val="20"/>
                <w:color w:val="auto"/>
              </w:rPr>
            </w:pPr>
            <w:r>
              <w:rPr>
                <w:rFonts w:ascii="Arial" w:cs="Arial" w:eastAsia="Arial" w:hAnsi="Arial"/>
                <w:sz w:val="18"/>
                <w:szCs w:val="18"/>
                <w:color w:val="231F20"/>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231F20"/>
              </w:rPr>
              <w:t>375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377</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231F20"/>
              </w:rPr>
              <w:t>$</w:t>
            </w:r>
          </w:p>
        </w:tc>
        <w:tc>
          <w:tcPr>
            <w:tcW w:w="920" w:type="dxa"/>
            <w:vAlign w:val="bottom"/>
          </w:tcPr>
          <w:p>
            <w:pPr>
              <w:jc w:val="right"/>
              <w:spacing w:after="0"/>
              <w:rPr>
                <w:sz w:val="20"/>
                <w:szCs w:val="20"/>
                <w:color w:val="auto"/>
              </w:rPr>
            </w:pPr>
            <w:r>
              <w:rPr>
                <w:rFonts w:ascii="Arial" w:cs="Arial" w:eastAsia="Arial" w:hAnsi="Arial"/>
                <w:sz w:val="18"/>
                <w:szCs w:val="18"/>
                <w:color w:val="231F20"/>
              </w:rPr>
              <w:t>557</w:t>
            </w:r>
          </w:p>
        </w:tc>
        <w:tc>
          <w:tcPr>
            <w:tcW w:w="0" w:type="dxa"/>
            <w:vAlign w:val="bottom"/>
          </w:tcPr>
          <w:p>
            <w:pPr>
              <w:spacing w:after="0"/>
              <w:rPr>
                <w:sz w:val="1"/>
                <w:szCs w:val="1"/>
                <w:color w:val="auto"/>
              </w:rPr>
            </w:pPr>
          </w:p>
        </w:tc>
      </w:tr>
      <w:tr>
        <w:trPr>
          <w:trHeight w:val="34"/>
        </w:trPr>
        <w:tc>
          <w:tcPr>
            <w:tcW w:w="494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20" w:right="160" w:hanging="320"/>
        <w:spacing w:after="0" w:line="253" w:lineRule="auto"/>
        <w:tabs>
          <w:tab w:leader="none" w:pos="320" w:val="left"/>
        </w:tabs>
        <w:numPr>
          <w:ilvl w:val="0"/>
          <w:numId w:val="54"/>
        </w:numPr>
        <w:rPr>
          <w:rFonts w:ascii="Arial" w:cs="Arial" w:eastAsia="Arial" w:hAnsi="Arial"/>
          <w:sz w:val="16"/>
          <w:szCs w:val="16"/>
          <w:color w:val="231F20"/>
        </w:rPr>
      </w:pPr>
      <w:r>
        <w:rPr>
          <w:rFonts w:ascii="Arial" w:cs="Arial" w:eastAsia="Arial" w:hAnsi="Arial"/>
          <w:sz w:val="16"/>
          <w:szCs w:val="16"/>
          <w:color w:val="231F20"/>
        </w:rPr>
        <w:t>Amounts are net of a tax provision of $5 million, tax provision of $1 million, and tax benefit of $3 million in tax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231F20"/>
        </w:rPr>
        <w:t>The accompanying notes are an integral part of these consolidated financial statements.</w:t>
      </w:r>
    </w:p>
    <w:p>
      <w:pPr>
        <w:sectPr>
          <w:pgSz w:w="11880" w:h="15480" w:orient="portrait"/>
          <w:cols w:equalWidth="0" w:num="1">
            <w:col w:w="9080"/>
          </w:cols>
          <w:pgMar w:left="1380" w:top="1312" w:right="1420" w:bottom="695"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92</w:t>
      </w:r>
    </w:p>
    <w:p>
      <w:pPr>
        <w:sectPr>
          <w:pgSz w:w="11880" w:h="15480" w:orient="portrait"/>
          <w:cols w:equalWidth="0" w:num="1">
            <w:col w:w="9080"/>
          </w:cols>
          <w:pgMar w:left="1380" w:top="1312" w:right="1420" w:bottom="695" w:gutter="0" w:footer="0" w:header="0"/>
          <w:type w:val="continuous"/>
        </w:sectPr>
      </w:pPr>
    </w:p>
    <w:bookmarkStart w:id="96" w:name="page97"/>
    <w:bookmarkEnd w:id="96"/>
    <w:p>
      <w:pPr>
        <w:jc w:val="center"/>
        <w:spacing w:after="0" w:line="250" w:lineRule="auto"/>
        <w:rPr>
          <w:sz w:val="20"/>
          <w:szCs w:val="20"/>
          <w:color w:val="auto"/>
        </w:rPr>
      </w:pPr>
      <w:r>
        <w:rPr>
          <w:rFonts w:ascii="Arial" w:cs="Arial" w:eastAsia="Arial" w:hAnsi="Arial"/>
          <w:sz w:val="20"/>
          <w:szCs w:val="20"/>
          <w:b w:val="1"/>
          <w:bCs w:val="1"/>
          <w:color w:val="231F20"/>
        </w:rPr>
        <w:t xml:space="preserve">CALIFORNIA RESOURCES CORPORATION AND SUBSIDIARIES Consolidated Statements of Changes in Stockholders’ Equity (Deficit) For the years ended December 31, 2025, 2024 and 2023 </w:t>
      </w:r>
      <w:r>
        <w:rPr>
          <w:rFonts w:ascii="Arial" w:cs="Arial" w:eastAsia="Arial" w:hAnsi="Arial"/>
          <w:sz w:val="20"/>
          <w:szCs w:val="20"/>
          <w:color w:val="231F20"/>
        </w:rPr>
        <w:t>(in millions)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231F20"/>
                <w:w w:val="99"/>
              </w:rPr>
              <w:t>Accumulated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right"/>
              <w:ind w:right="280"/>
              <w:spacing w:after="0" w:line="160" w:lineRule="exact"/>
              <w:rPr>
                <w:sz w:val="20"/>
                <w:szCs w:val="20"/>
                <w:color w:val="auto"/>
              </w:rPr>
            </w:pPr>
            <w:r>
              <w:rPr>
                <w:rFonts w:ascii="Arial" w:cs="Arial" w:eastAsia="Arial" w:hAnsi="Arial"/>
                <w:sz w:val="16"/>
                <w:szCs w:val="16"/>
                <w:b w:val="1"/>
                <w:bCs w:val="1"/>
                <w:color w:val="231F20"/>
              </w:rPr>
              <w:t>Additional</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60" w:lineRule="exact"/>
              <w:rPr>
                <w:sz w:val="20"/>
                <w:szCs w:val="20"/>
                <w:color w:val="auto"/>
              </w:rPr>
            </w:pPr>
            <w:r>
              <w:rPr>
                <w:rFonts w:ascii="Arial" w:cs="Arial" w:eastAsia="Arial" w:hAnsi="Arial"/>
                <w:sz w:val="16"/>
                <w:szCs w:val="16"/>
                <w:b w:val="1"/>
                <w:bCs w:val="1"/>
                <w:color w:val="231F20"/>
              </w:rPr>
              <w:t>Other</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780" w:type="dxa"/>
            <w:vAlign w:val="bottom"/>
            <w:gridSpan w:val="4"/>
          </w:tcPr>
          <w:p>
            <w:pPr>
              <w:jc w:val="center"/>
              <w:spacing w:after="0" w:line="160" w:lineRule="exact"/>
              <w:rPr>
                <w:sz w:val="20"/>
                <w:szCs w:val="20"/>
                <w:color w:val="auto"/>
              </w:rPr>
            </w:pPr>
            <w:r>
              <w:rPr>
                <w:rFonts w:ascii="Arial" w:cs="Arial" w:eastAsia="Arial" w:hAnsi="Arial"/>
                <w:sz w:val="16"/>
                <w:szCs w:val="16"/>
                <w:b w:val="1"/>
                <w:bCs w:val="1"/>
                <w:color w:val="231F20"/>
              </w:rPr>
              <w:t>Common</w:t>
            </w:r>
          </w:p>
        </w:tc>
        <w:tc>
          <w:tcPr>
            <w:tcW w:w="200" w:type="dxa"/>
            <w:vAlign w:val="bottom"/>
          </w:tcPr>
          <w:p>
            <w:pPr>
              <w:spacing w:after="0"/>
              <w:rPr>
                <w:sz w:val="13"/>
                <w:szCs w:val="13"/>
                <w:color w:val="auto"/>
              </w:rPr>
            </w:pPr>
          </w:p>
        </w:tc>
        <w:tc>
          <w:tcPr>
            <w:tcW w:w="760" w:type="dxa"/>
            <w:vAlign w:val="bottom"/>
            <w:gridSpan w:val="3"/>
          </w:tcPr>
          <w:p>
            <w:pPr>
              <w:jc w:val="right"/>
              <w:ind w:right="40"/>
              <w:spacing w:after="0" w:line="160" w:lineRule="exact"/>
              <w:rPr>
                <w:sz w:val="20"/>
                <w:szCs w:val="20"/>
                <w:color w:val="auto"/>
              </w:rPr>
            </w:pPr>
            <w:r>
              <w:rPr>
                <w:rFonts w:ascii="Arial" w:cs="Arial" w:eastAsia="Arial" w:hAnsi="Arial"/>
                <w:sz w:val="16"/>
                <w:szCs w:val="16"/>
                <w:b w:val="1"/>
                <w:bCs w:val="1"/>
                <w:color w:val="231F20"/>
              </w:rPr>
              <w:t>Treasury</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400"/>
              <w:spacing w:after="0" w:line="160" w:lineRule="exact"/>
              <w:rPr>
                <w:sz w:val="20"/>
                <w:szCs w:val="20"/>
                <w:color w:val="auto"/>
              </w:rPr>
            </w:pPr>
            <w:r>
              <w:rPr>
                <w:rFonts w:ascii="Arial" w:cs="Arial" w:eastAsia="Arial" w:hAnsi="Arial"/>
                <w:sz w:val="16"/>
                <w:szCs w:val="16"/>
                <w:b w:val="1"/>
                <w:bCs w:val="1"/>
                <w:color w:val="231F20"/>
              </w:rPr>
              <w:t>Paid-in</w:t>
            </w:r>
          </w:p>
        </w:tc>
        <w:tc>
          <w:tcPr>
            <w:tcW w:w="1000" w:type="dxa"/>
            <w:vAlign w:val="bottom"/>
            <w:gridSpan w:val="3"/>
          </w:tcPr>
          <w:p>
            <w:pPr>
              <w:ind w:left="60"/>
              <w:spacing w:after="0" w:line="160" w:lineRule="exact"/>
              <w:rPr>
                <w:sz w:val="20"/>
                <w:szCs w:val="20"/>
                <w:color w:val="auto"/>
              </w:rPr>
            </w:pPr>
            <w:r>
              <w:rPr>
                <w:rFonts w:ascii="Arial" w:cs="Arial" w:eastAsia="Arial" w:hAnsi="Arial"/>
                <w:sz w:val="16"/>
                <w:szCs w:val="16"/>
                <w:b w:val="1"/>
                <w:bCs w:val="1"/>
                <w:color w:val="231F20"/>
              </w:rPr>
              <w:t>Retained</w:t>
            </w:r>
          </w:p>
        </w:tc>
        <w:tc>
          <w:tcPr>
            <w:tcW w:w="1280" w:type="dxa"/>
            <w:vAlign w:val="bottom"/>
            <w:gridSpan w:val="4"/>
          </w:tcPr>
          <w:p>
            <w:pPr>
              <w:jc w:val="center"/>
              <w:spacing w:after="0" w:line="160" w:lineRule="exact"/>
              <w:rPr>
                <w:sz w:val="20"/>
                <w:szCs w:val="20"/>
                <w:color w:val="auto"/>
              </w:rPr>
            </w:pPr>
            <w:r>
              <w:rPr>
                <w:rFonts w:ascii="Arial" w:cs="Arial" w:eastAsia="Arial" w:hAnsi="Arial"/>
                <w:sz w:val="16"/>
                <w:szCs w:val="16"/>
                <w:b w:val="1"/>
                <w:bCs w:val="1"/>
                <w:color w:val="231F20"/>
                <w:w w:val="99"/>
              </w:rPr>
              <w:t>Comprehensive</w:t>
            </w:r>
          </w:p>
        </w:tc>
        <w:tc>
          <w:tcPr>
            <w:tcW w:w="200" w:type="dxa"/>
            <w:vAlign w:val="bottom"/>
          </w:tcPr>
          <w:p>
            <w:pPr>
              <w:spacing w:after="0"/>
              <w:rPr>
                <w:sz w:val="13"/>
                <w:szCs w:val="13"/>
                <w:color w:val="auto"/>
              </w:rPr>
            </w:pPr>
          </w:p>
        </w:tc>
        <w:tc>
          <w:tcPr>
            <w:tcW w:w="700" w:type="dxa"/>
            <w:vAlign w:val="bottom"/>
          </w:tcPr>
          <w:p>
            <w:pPr>
              <w:jc w:val="right"/>
              <w:ind w:right="77"/>
              <w:spacing w:after="0" w:line="160" w:lineRule="exact"/>
              <w:rPr>
                <w:sz w:val="20"/>
                <w:szCs w:val="20"/>
                <w:color w:val="auto"/>
              </w:rPr>
            </w:pPr>
            <w:r>
              <w:rPr>
                <w:rFonts w:ascii="Arial" w:cs="Arial" w:eastAsia="Arial" w:hAnsi="Arial"/>
                <w:sz w:val="16"/>
                <w:szCs w:val="16"/>
                <w:b w:val="1"/>
                <w:bCs w:val="1"/>
                <w:color w:val="231F20"/>
              </w:rPr>
              <w:t>Total</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center"/>
              <w:ind w:right="80"/>
              <w:spacing w:after="0" w:line="181" w:lineRule="exact"/>
              <w:rPr>
                <w:sz w:val="20"/>
                <w:szCs w:val="20"/>
                <w:color w:val="auto"/>
              </w:rPr>
            </w:pPr>
            <w:r>
              <w:rPr>
                <w:rFonts w:ascii="Arial" w:cs="Arial" w:eastAsia="Arial" w:hAnsi="Arial"/>
                <w:sz w:val="16"/>
                <w:szCs w:val="16"/>
                <w:b w:val="1"/>
                <w:bCs w:val="1"/>
                <w:color w:val="231F20"/>
              </w:rPr>
              <w:t>Stock</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60"/>
              <w:spacing w:after="0" w:line="181" w:lineRule="exact"/>
              <w:rPr>
                <w:sz w:val="20"/>
                <w:szCs w:val="20"/>
                <w:color w:val="auto"/>
              </w:rPr>
            </w:pPr>
            <w:r>
              <w:rPr>
                <w:rFonts w:ascii="Arial" w:cs="Arial" w:eastAsia="Arial" w:hAnsi="Arial"/>
                <w:sz w:val="16"/>
                <w:szCs w:val="16"/>
                <w:b w:val="1"/>
                <w:bCs w:val="1"/>
                <w:color w:val="231F20"/>
              </w:rPr>
              <w:t>Stock</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00"/>
              <w:spacing w:after="0" w:line="181" w:lineRule="exact"/>
              <w:rPr>
                <w:sz w:val="20"/>
                <w:szCs w:val="20"/>
                <w:color w:val="auto"/>
              </w:rPr>
            </w:pPr>
            <w:r>
              <w:rPr>
                <w:rFonts w:ascii="Arial" w:cs="Arial" w:eastAsia="Arial" w:hAnsi="Arial"/>
                <w:sz w:val="16"/>
                <w:szCs w:val="16"/>
                <w:b w:val="1"/>
                <w:bCs w:val="1"/>
                <w:color w:val="231F20"/>
              </w:rPr>
              <w:t>Capital</w:t>
            </w:r>
          </w:p>
        </w:tc>
        <w:tc>
          <w:tcPr>
            <w:tcW w:w="1000" w:type="dxa"/>
            <w:vAlign w:val="bottom"/>
            <w:gridSpan w:val="3"/>
          </w:tcPr>
          <w:p>
            <w:pPr>
              <w:ind w:left="60"/>
              <w:spacing w:after="0" w:line="181" w:lineRule="exact"/>
              <w:rPr>
                <w:sz w:val="20"/>
                <w:szCs w:val="20"/>
                <w:color w:val="auto"/>
              </w:rPr>
            </w:pPr>
            <w:r>
              <w:rPr>
                <w:rFonts w:ascii="Arial" w:cs="Arial" w:eastAsia="Arial" w:hAnsi="Arial"/>
                <w:sz w:val="16"/>
                <w:szCs w:val="16"/>
                <w:b w:val="1"/>
                <w:bCs w:val="1"/>
                <w:color w:val="231F20"/>
              </w:rPr>
              <w:t>Earnings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80"/>
              <w:spacing w:after="0" w:line="181" w:lineRule="exact"/>
              <w:rPr>
                <w:sz w:val="20"/>
                <w:szCs w:val="20"/>
                <w:color w:val="auto"/>
              </w:rPr>
            </w:pPr>
            <w:r>
              <w:rPr>
                <w:rFonts w:ascii="Arial" w:cs="Arial" w:eastAsia="Arial" w:hAnsi="Arial"/>
                <w:sz w:val="16"/>
                <w:szCs w:val="16"/>
                <w:b w:val="1"/>
                <w:bCs w:val="1"/>
                <w:color w:val="231F20"/>
                <w:w w:val="99"/>
              </w:rPr>
              <w:t>Income</w:t>
            </w:r>
          </w:p>
        </w:tc>
        <w:tc>
          <w:tcPr>
            <w:tcW w:w="200" w:type="dxa"/>
            <w:vAlign w:val="bottom"/>
          </w:tcPr>
          <w:p>
            <w:pPr>
              <w:spacing w:after="0"/>
              <w:rPr>
                <w:sz w:val="15"/>
                <w:szCs w:val="15"/>
                <w:color w:val="auto"/>
              </w:rPr>
            </w:pPr>
          </w:p>
        </w:tc>
        <w:tc>
          <w:tcPr>
            <w:tcW w:w="700" w:type="dxa"/>
            <w:vAlign w:val="bottom"/>
          </w:tcPr>
          <w:p>
            <w:pPr>
              <w:jc w:val="right"/>
              <w:ind w:right="17"/>
              <w:spacing w:after="0" w:line="181" w:lineRule="exact"/>
              <w:rPr>
                <w:sz w:val="20"/>
                <w:szCs w:val="20"/>
                <w:color w:val="auto"/>
              </w:rPr>
            </w:pPr>
            <w:r>
              <w:rPr>
                <w:rFonts w:ascii="Arial" w:cs="Arial" w:eastAsia="Arial" w:hAnsi="Arial"/>
                <w:sz w:val="16"/>
                <w:szCs w:val="16"/>
                <w:b w:val="1"/>
                <w:bCs w:val="1"/>
                <w:color w:val="231F20"/>
              </w:rPr>
              <w:t>Equity</w:t>
            </w:r>
          </w:p>
        </w:tc>
        <w:tc>
          <w:tcPr>
            <w:tcW w:w="0" w:type="dxa"/>
            <w:vAlign w:val="bottom"/>
          </w:tcPr>
          <w:p>
            <w:pPr>
              <w:spacing w:after="0"/>
              <w:rPr>
                <w:sz w:val="1"/>
                <w:szCs w:val="1"/>
                <w:color w:val="auto"/>
              </w:rPr>
            </w:pPr>
          </w:p>
        </w:tc>
      </w:tr>
      <w:tr>
        <w:trPr>
          <w:trHeight w:val="28"/>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231F20"/>
              </w:rPr>
              <w:t>Balance, December 31,</w:t>
            </w:r>
          </w:p>
        </w:tc>
        <w:tc>
          <w:tcPr>
            <w:tcW w:w="10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8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b w:val="1"/>
                <w:bCs w:val="1"/>
                <w:color w:val="231F20"/>
              </w:rPr>
              <w:t xml:space="preserve">2022  </w:t>
            </w:r>
            <w:r>
              <w:rPr>
                <w:rFonts w:ascii="Arial" w:cs="Arial" w:eastAsia="Arial" w:hAnsi="Arial"/>
                <w:sz w:val="18"/>
                <w:szCs w:val="18"/>
                <w:color w:val="231F20"/>
              </w:rPr>
              <w:t>. . . . . . . . . . . . . . . . . . . . .</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380" w:type="dxa"/>
            <w:vAlign w:val="bottom"/>
          </w:tcPr>
          <w:p>
            <w:pPr>
              <w:jc w:val="right"/>
              <w:spacing w:after="0"/>
              <w:rPr>
                <w:sz w:val="20"/>
                <w:szCs w:val="20"/>
                <w:color w:val="auto"/>
              </w:rPr>
            </w:pPr>
            <w:r>
              <w:rPr>
                <w:rFonts w:ascii="Arial" w:cs="Arial" w:eastAsia="Arial" w:hAnsi="Arial"/>
                <w:sz w:val="18"/>
                <w:szCs w:val="18"/>
                <w:color w:val="231F20"/>
              </w:rPr>
              <w:t>1</w:t>
            </w:r>
          </w:p>
        </w:tc>
        <w:tc>
          <w:tcPr>
            <w:tcW w:w="8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231F20"/>
              </w:rPr>
              <w:t>$ (461)</w:t>
            </w:r>
          </w:p>
        </w:tc>
        <w:tc>
          <w:tcPr>
            <w:tcW w:w="3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800" w:type="dxa"/>
            <w:vAlign w:val="bottom"/>
          </w:tcPr>
          <w:p>
            <w:pPr>
              <w:jc w:val="right"/>
              <w:spacing w:after="0"/>
              <w:rPr>
                <w:sz w:val="20"/>
                <w:szCs w:val="20"/>
                <w:color w:val="auto"/>
              </w:rPr>
            </w:pPr>
            <w:r>
              <w:rPr>
                <w:rFonts w:ascii="Arial" w:cs="Arial" w:eastAsia="Arial" w:hAnsi="Arial"/>
                <w:sz w:val="18"/>
                <w:szCs w:val="18"/>
                <w:color w:val="231F20"/>
              </w:rPr>
              <w:t>1,305</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231F20"/>
                <w:w w:val="79"/>
              </w:rPr>
              <w:t>$</w:t>
            </w:r>
          </w:p>
        </w:tc>
        <w:tc>
          <w:tcPr>
            <w:tcW w:w="600" w:type="dxa"/>
            <w:vAlign w:val="bottom"/>
          </w:tcPr>
          <w:p>
            <w:pPr>
              <w:jc w:val="right"/>
              <w:spacing w:after="0"/>
              <w:rPr>
                <w:sz w:val="20"/>
                <w:szCs w:val="20"/>
                <w:color w:val="auto"/>
              </w:rPr>
            </w:pPr>
            <w:r>
              <w:rPr>
                <w:rFonts w:ascii="Arial" w:cs="Arial" w:eastAsia="Arial" w:hAnsi="Arial"/>
                <w:sz w:val="18"/>
                <w:szCs w:val="18"/>
                <w:color w:val="231F20"/>
              </w:rPr>
              <w:t>938</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900" w:type="dxa"/>
            <w:vAlign w:val="bottom"/>
          </w:tcPr>
          <w:p>
            <w:pPr>
              <w:jc w:val="right"/>
              <w:spacing w:after="0"/>
              <w:rPr>
                <w:sz w:val="20"/>
                <w:szCs w:val="20"/>
                <w:color w:val="auto"/>
              </w:rPr>
            </w:pPr>
            <w:r>
              <w:rPr>
                <w:rFonts w:ascii="Arial" w:cs="Arial" w:eastAsia="Arial" w:hAnsi="Arial"/>
                <w:sz w:val="18"/>
                <w:szCs w:val="18"/>
                <w:color w:val="231F20"/>
              </w:rPr>
              <w:t>81</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$ 1,864</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Net income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231F20"/>
              </w:rPr>
              <w:t>564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564</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Share-based compensation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28</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Repurchases of common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stock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231F20"/>
              </w:rPr>
              <w:t>(143)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(143)</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Cash dividends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231F20"/>
              </w:rPr>
              <w:t>(83)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(83)</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Shares cancelled for taxes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(3)</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Issuance of common stock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Other comprehensive income,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net of tax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31F20"/>
              </w:rPr>
              <w:t>(7)</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(7)</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Other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0" w:type="dxa"/>
            <w:vAlign w:val="bottom"/>
          </w:tcPr>
          <w:p>
            <w:pPr>
              <w:spacing w:after="0"/>
              <w:rPr>
                <w:sz w:val="1"/>
                <w:szCs w:val="1"/>
                <w:color w:val="auto"/>
              </w:rPr>
            </w:pPr>
          </w:p>
        </w:tc>
      </w:tr>
      <w:tr>
        <w:trPr>
          <w:trHeight w:val="34"/>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231F20"/>
              </w:rPr>
              <w:t>Balance, December 31,</w:t>
            </w: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b w:val="1"/>
                <w:bCs w:val="1"/>
                <w:color w:val="231F20"/>
              </w:rPr>
              <w:t xml:space="preserve">2023  </w:t>
            </w:r>
            <w:r>
              <w:rPr>
                <w:rFonts w:ascii="Arial" w:cs="Arial" w:eastAsia="Arial" w:hAnsi="Arial"/>
                <w:sz w:val="18"/>
                <w:szCs w:val="18"/>
                <w:color w:val="231F20"/>
              </w:rPr>
              <w:t>. . . . . . . . . . . . . . . . . . . . .</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380" w:type="dxa"/>
            <w:vAlign w:val="bottom"/>
          </w:tcPr>
          <w:p>
            <w:pPr>
              <w:jc w:val="right"/>
              <w:spacing w:after="0"/>
              <w:rPr>
                <w:sz w:val="20"/>
                <w:szCs w:val="20"/>
                <w:color w:val="auto"/>
              </w:rPr>
            </w:pPr>
            <w:r>
              <w:rPr>
                <w:rFonts w:ascii="Arial" w:cs="Arial" w:eastAsia="Arial" w:hAnsi="Arial"/>
                <w:sz w:val="18"/>
                <w:szCs w:val="18"/>
                <w:color w:val="231F20"/>
              </w:rPr>
              <w:t>1</w:t>
            </w:r>
          </w:p>
        </w:tc>
        <w:tc>
          <w:tcPr>
            <w:tcW w:w="8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231F20"/>
              </w:rPr>
              <w:t>$ (604)</w:t>
            </w:r>
          </w:p>
        </w:tc>
        <w:tc>
          <w:tcPr>
            <w:tcW w:w="3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800" w:type="dxa"/>
            <w:vAlign w:val="bottom"/>
          </w:tcPr>
          <w:p>
            <w:pPr>
              <w:jc w:val="right"/>
              <w:spacing w:after="0"/>
              <w:rPr>
                <w:sz w:val="20"/>
                <w:szCs w:val="20"/>
                <w:color w:val="auto"/>
              </w:rPr>
            </w:pPr>
            <w:r>
              <w:rPr>
                <w:rFonts w:ascii="Arial" w:cs="Arial" w:eastAsia="Arial" w:hAnsi="Arial"/>
                <w:sz w:val="18"/>
                <w:szCs w:val="18"/>
                <w:color w:val="231F20"/>
              </w:rPr>
              <w:t>1,329</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231F20"/>
                <w:w w:val="79"/>
              </w:rPr>
              <w:t>$</w:t>
            </w:r>
          </w:p>
        </w:tc>
        <w:tc>
          <w:tcPr>
            <w:tcW w:w="600" w:type="dxa"/>
            <w:vAlign w:val="bottom"/>
          </w:tcPr>
          <w:p>
            <w:pPr>
              <w:jc w:val="right"/>
              <w:spacing w:after="0"/>
              <w:rPr>
                <w:sz w:val="20"/>
                <w:szCs w:val="20"/>
                <w:color w:val="auto"/>
              </w:rPr>
            </w:pPr>
            <w:r>
              <w:rPr>
                <w:rFonts w:ascii="Arial" w:cs="Arial" w:eastAsia="Arial" w:hAnsi="Arial"/>
                <w:sz w:val="18"/>
                <w:szCs w:val="18"/>
                <w:color w:val="231F20"/>
              </w:rPr>
              <w:t>1,419</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900" w:type="dxa"/>
            <w:vAlign w:val="bottom"/>
          </w:tcPr>
          <w:p>
            <w:pPr>
              <w:jc w:val="right"/>
              <w:spacing w:after="0"/>
              <w:rPr>
                <w:sz w:val="20"/>
                <w:szCs w:val="20"/>
                <w:color w:val="auto"/>
              </w:rPr>
            </w:pPr>
            <w:r>
              <w:rPr>
                <w:rFonts w:ascii="Arial" w:cs="Arial" w:eastAsia="Arial" w:hAnsi="Arial"/>
                <w:sz w:val="18"/>
                <w:szCs w:val="18"/>
                <w:color w:val="231F20"/>
              </w:rPr>
              <w:t>74</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$ 2,219</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Net income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231F20"/>
              </w:rPr>
              <w:t>376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376</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Share-based compensation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25</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Repurchases of common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stock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231F20"/>
              </w:rPr>
              <w:t>(192)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(192)</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Shares issued for warrants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130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130</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Shares issued for Aera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Merger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1,136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1,136</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Cash dividends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231F20"/>
              </w:rPr>
              <w:t>(115)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(115)</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Shares cancelled for taxes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231F20"/>
              </w:rPr>
              <w:t>(42)</w:t>
            </w: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(42)</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Other comprehensive income,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net of tax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31F20"/>
              </w:rPr>
              <w:t>1</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0" w:type="dxa"/>
            <w:vAlign w:val="bottom"/>
          </w:tcPr>
          <w:p>
            <w:pPr>
              <w:spacing w:after="0"/>
              <w:rPr>
                <w:sz w:val="1"/>
                <w:szCs w:val="1"/>
                <w:color w:val="auto"/>
              </w:rPr>
            </w:pPr>
          </w:p>
        </w:tc>
      </w:tr>
      <w:tr>
        <w:trPr>
          <w:trHeight w:val="34"/>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231F20"/>
              </w:rPr>
              <w:t>Balance, December 31,</w:t>
            </w: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b w:val="1"/>
                <w:bCs w:val="1"/>
                <w:color w:val="231F20"/>
              </w:rPr>
              <w:t xml:space="preserve">2024  </w:t>
            </w:r>
            <w:r>
              <w:rPr>
                <w:rFonts w:ascii="Arial" w:cs="Arial" w:eastAsia="Arial" w:hAnsi="Arial"/>
                <w:sz w:val="18"/>
                <w:szCs w:val="18"/>
                <w:color w:val="231F20"/>
              </w:rPr>
              <w:t>. . . . . . . . . . . . . . . . . . . . .</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380" w:type="dxa"/>
            <w:vAlign w:val="bottom"/>
          </w:tcPr>
          <w:p>
            <w:pPr>
              <w:jc w:val="right"/>
              <w:spacing w:after="0"/>
              <w:rPr>
                <w:sz w:val="20"/>
                <w:szCs w:val="20"/>
                <w:color w:val="auto"/>
              </w:rPr>
            </w:pPr>
            <w:r>
              <w:rPr>
                <w:rFonts w:ascii="Arial" w:cs="Arial" w:eastAsia="Arial" w:hAnsi="Arial"/>
                <w:sz w:val="18"/>
                <w:szCs w:val="18"/>
                <w:color w:val="231F20"/>
              </w:rPr>
              <w:t>1</w:t>
            </w:r>
          </w:p>
        </w:tc>
        <w:tc>
          <w:tcPr>
            <w:tcW w:w="8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231F20"/>
              </w:rPr>
              <w:t>$ (796)</w:t>
            </w:r>
          </w:p>
        </w:tc>
        <w:tc>
          <w:tcPr>
            <w:tcW w:w="3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800" w:type="dxa"/>
            <w:vAlign w:val="bottom"/>
          </w:tcPr>
          <w:p>
            <w:pPr>
              <w:jc w:val="right"/>
              <w:spacing w:after="0"/>
              <w:rPr>
                <w:sz w:val="20"/>
                <w:szCs w:val="20"/>
                <w:color w:val="auto"/>
              </w:rPr>
            </w:pPr>
            <w:r>
              <w:rPr>
                <w:rFonts w:ascii="Arial" w:cs="Arial" w:eastAsia="Arial" w:hAnsi="Arial"/>
                <w:sz w:val="18"/>
                <w:szCs w:val="18"/>
                <w:color w:val="231F20"/>
              </w:rPr>
              <w:t>2,578</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231F20"/>
                <w:w w:val="79"/>
              </w:rPr>
              <w:t>$</w:t>
            </w:r>
          </w:p>
        </w:tc>
        <w:tc>
          <w:tcPr>
            <w:tcW w:w="600" w:type="dxa"/>
            <w:vAlign w:val="bottom"/>
          </w:tcPr>
          <w:p>
            <w:pPr>
              <w:jc w:val="right"/>
              <w:spacing w:after="0"/>
              <w:rPr>
                <w:sz w:val="20"/>
                <w:szCs w:val="20"/>
                <w:color w:val="auto"/>
              </w:rPr>
            </w:pPr>
            <w:r>
              <w:rPr>
                <w:rFonts w:ascii="Arial" w:cs="Arial" w:eastAsia="Arial" w:hAnsi="Arial"/>
                <w:sz w:val="18"/>
                <w:szCs w:val="18"/>
                <w:color w:val="231F20"/>
              </w:rPr>
              <w:t>1,680</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900" w:type="dxa"/>
            <w:vAlign w:val="bottom"/>
          </w:tcPr>
          <w:p>
            <w:pPr>
              <w:jc w:val="right"/>
              <w:spacing w:after="0"/>
              <w:rPr>
                <w:sz w:val="20"/>
                <w:szCs w:val="20"/>
                <w:color w:val="auto"/>
              </w:rPr>
            </w:pPr>
            <w:r>
              <w:rPr>
                <w:rFonts w:ascii="Arial" w:cs="Arial" w:eastAsia="Arial" w:hAnsi="Arial"/>
                <w:sz w:val="18"/>
                <w:szCs w:val="18"/>
                <w:color w:val="231F20"/>
              </w:rPr>
              <w:t>75</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$ 3,538</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Net income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231F20"/>
              </w:rPr>
              <w:t>363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363</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Share-based compensation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27</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Repurchases of common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stock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231F20"/>
              </w:rPr>
              <w:t>(148)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231F20"/>
              </w:rPr>
              <w:t>(228)</w:t>
            </w: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(376)</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Shares issued for Berry</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Merger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253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253</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Shares issued for Aera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Merger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6</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Cash dividends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231F20"/>
              </w:rPr>
              <w:t>(138)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(138)</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Shares cancelled for taxes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231F20"/>
              </w:rPr>
              <w:t>(12)</w:t>
            </w: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(12)</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Other comprehensive income,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net of tax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31F20"/>
              </w:rPr>
              <w:t>12</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12</w:t>
            </w: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color w:val="231F20"/>
              </w:rPr>
              <w:t>Other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0" w:type="dxa"/>
            <w:vAlign w:val="bottom"/>
          </w:tcPr>
          <w:p>
            <w:pPr>
              <w:spacing w:after="0"/>
              <w:rPr>
                <w:sz w:val="1"/>
                <w:szCs w:val="1"/>
                <w:color w:val="auto"/>
              </w:rPr>
            </w:pPr>
          </w:p>
        </w:tc>
      </w:tr>
      <w:tr>
        <w:trPr>
          <w:trHeight w:val="34"/>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231F20"/>
              </w:rPr>
              <w:t>Balance, December 31,</w:t>
            </w: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80"/>
              <w:spacing w:after="0"/>
              <w:rPr>
                <w:sz w:val="20"/>
                <w:szCs w:val="20"/>
                <w:color w:val="auto"/>
              </w:rPr>
            </w:pPr>
            <w:r>
              <w:rPr>
                <w:rFonts w:ascii="Arial" w:cs="Arial" w:eastAsia="Arial" w:hAnsi="Arial"/>
                <w:sz w:val="18"/>
                <w:szCs w:val="18"/>
                <w:b w:val="1"/>
                <w:bCs w:val="1"/>
                <w:color w:val="231F20"/>
              </w:rPr>
              <w:t xml:space="preserve">2025  </w:t>
            </w:r>
            <w:r>
              <w:rPr>
                <w:rFonts w:ascii="Arial" w:cs="Arial" w:eastAsia="Arial" w:hAnsi="Arial"/>
                <w:sz w:val="18"/>
                <w:szCs w:val="18"/>
                <w:color w:val="231F20"/>
              </w:rPr>
              <w:t>. . . . . . . . . . . . . . . . . . . . .</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380" w:type="dxa"/>
            <w:vAlign w:val="bottom"/>
          </w:tcPr>
          <w:p>
            <w:pPr>
              <w:jc w:val="right"/>
              <w:spacing w:after="0"/>
              <w:rPr>
                <w:sz w:val="20"/>
                <w:szCs w:val="20"/>
                <w:color w:val="auto"/>
              </w:rPr>
            </w:pPr>
            <w:r>
              <w:rPr>
                <w:rFonts w:ascii="Arial" w:cs="Arial" w:eastAsia="Arial" w:hAnsi="Arial"/>
                <w:sz w:val="18"/>
                <w:szCs w:val="18"/>
                <w:color w:val="231F20"/>
              </w:rPr>
              <w:t>1</w:t>
            </w:r>
          </w:p>
        </w:tc>
        <w:tc>
          <w:tcPr>
            <w:tcW w:w="8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231F20"/>
              </w:rPr>
              <w:t>$ (944)</w:t>
            </w:r>
          </w:p>
        </w:tc>
        <w:tc>
          <w:tcPr>
            <w:tcW w:w="36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800" w:type="dxa"/>
            <w:vAlign w:val="bottom"/>
          </w:tcPr>
          <w:p>
            <w:pPr>
              <w:jc w:val="right"/>
              <w:spacing w:after="0"/>
              <w:rPr>
                <w:sz w:val="20"/>
                <w:szCs w:val="20"/>
                <w:color w:val="auto"/>
              </w:rPr>
            </w:pPr>
            <w:r>
              <w:rPr>
                <w:rFonts w:ascii="Arial" w:cs="Arial" w:eastAsia="Arial" w:hAnsi="Arial"/>
                <w:sz w:val="18"/>
                <w:szCs w:val="18"/>
                <w:color w:val="231F20"/>
              </w:rPr>
              <w:t>2,625</w:t>
            </w:r>
          </w:p>
        </w:tc>
        <w:tc>
          <w:tcPr>
            <w:tcW w:w="2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231F20"/>
                <w:w w:val="79"/>
              </w:rPr>
              <w:t>$</w:t>
            </w:r>
          </w:p>
        </w:tc>
        <w:tc>
          <w:tcPr>
            <w:tcW w:w="600" w:type="dxa"/>
            <w:vAlign w:val="bottom"/>
          </w:tcPr>
          <w:p>
            <w:pPr>
              <w:jc w:val="right"/>
              <w:spacing w:after="0"/>
              <w:rPr>
                <w:sz w:val="20"/>
                <w:szCs w:val="20"/>
                <w:color w:val="auto"/>
              </w:rPr>
            </w:pPr>
            <w:r>
              <w:rPr>
                <w:rFonts w:ascii="Arial" w:cs="Arial" w:eastAsia="Arial" w:hAnsi="Arial"/>
                <w:sz w:val="18"/>
                <w:szCs w:val="18"/>
                <w:color w:val="231F20"/>
              </w:rPr>
              <w:t>1,905</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231F20"/>
              </w:rPr>
              <w:t>$</w:t>
            </w:r>
          </w:p>
        </w:tc>
        <w:tc>
          <w:tcPr>
            <w:tcW w:w="900" w:type="dxa"/>
            <w:vAlign w:val="bottom"/>
          </w:tcPr>
          <w:p>
            <w:pPr>
              <w:jc w:val="right"/>
              <w:spacing w:after="0"/>
              <w:rPr>
                <w:sz w:val="20"/>
                <w:szCs w:val="20"/>
                <w:color w:val="auto"/>
              </w:rPr>
            </w:pPr>
            <w:r>
              <w:rPr>
                <w:rFonts w:ascii="Arial" w:cs="Arial" w:eastAsia="Arial" w:hAnsi="Arial"/>
                <w:sz w:val="18"/>
                <w:szCs w:val="18"/>
                <w:color w:val="231F20"/>
              </w:rPr>
              <w:t>87</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231F20"/>
              </w:rPr>
              <w:t>$ 3,674</w:t>
            </w:r>
          </w:p>
        </w:tc>
        <w:tc>
          <w:tcPr>
            <w:tcW w:w="0" w:type="dxa"/>
            <w:vAlign w:val="bottom"/>
          </w:tcPr>
          <w:p>
            <w:pPr>
              <w:spacing w:after="0"/>
              <w:rPr>
                <w:sz w:val="1"/>
                <w:szCs w:val="1"/>
                <w:color w:val="auto"/>
              </w:rPr>
            </w:pPr>
          </w:p>
        </w:tc>
      </w:tr>
      <w:tr>
        <w:trPr>
          <w:trHeight w:val="34"/>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The accompanying notes are an integral part of these consolidated financial statements.</w:t>
      </w:r>
    </w:p>
    <w:p>
      <w:pPr>
        <w:sectPr>
          <w:pgSz w:w="11880" w:h="15480" w:orient="portrait"/>
          <w:cols w:equalWidth="0" w:num="1">
            <w:col w:w="9120"/>
          </w:cols>
          <w:pgMar w:left="1380" w:top="1312"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93</w:t>
      </w:r>
    </w:p>
    <w:p>
      <w:pPr>
        <w:sectPr>
          <w:pgSz w:w="11880" w:h="15480" w:orient="portrait"/>
          <w:cols w:equalWidth="0" w:num="1">
            <w:col w:w="9120"/>
          </w:cols>
          <w:pgMar w:left="1380" w:top="1312" w:right="1380" w:bottom="695" w:gutter="0" w:footer="0" w:header="0"/>
          <w:type w:val="continuous"/>
        </w:sectPr>
      </w:pPr>
    </w:p>
    <w:bookmarkStart w:id="97" w:name="page98"/>
    <w:bookmarkEnd w:id="97"/>
    <w:p>
      <w:pPr>
        <w:jc w:val="center"/>
        <w:spacing w:after="0" w:line="250" w:lineRule="auto"/>
        <w:rPr>
          <w:sz w:val="20"/>
          <w:szCs w:val="20"/>
          <w:color w:val="auto"/>
        </w:rPr>
      </w:pPr>
      <w:r>
        <w:rPr>
          <w:rFonts w:ascii="Arial" w:cs="Arial" w:eastAsia="Arial" w:hAnsi="Arial"/>
          <w:sz w:val="20"/>
          <w:szCs w:val="20"/>
          <w:b w:val="1"/>
          <w:bCs w:val="1"/>
          <w:color w:val="231F20"/>
        </w:rPr>
        <w:t xml:space="preserve">CALIFORNIA RESOURCES CORPORATION AND SUBSIDIARIES Consolidated Statements of Cash Flows For the years ended December 31, 2025, 2024 and 2023 </w:t>
      </w:r>
      <w:r>
        <w:rPr>
          <w:rFonts w:ascii="Arial" w:cs="Arial" w:eastAsia="Arial" w:hAnsi="Arial"/>
          <w:sz w:val="20"/>
          <w:szCs w:val="20"/>
          <w:color w:val="231F20"/>
        </w:rPr>
        <w:t>(in millions)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gridSpan w:val="6"/>
          </w:tcPr>
          <w:p>
            <w:pPr>
              <w:jc w:val="right"/>
              <w:ind w:right="20"/>
              <w:spacing w:after="0"/>
              <w:rPr>
                <w:sz w:val="20"/>
                <w:szCs w:val="20"/>
                <w:color w:val="auto"/>
              </w:rPr>
            </w:pPr>
            <w:r>
              <w:rPr>
                <w:rFonts w:ascii="Arial" w:cs="Arial" w:eastAsia="Arial" w:hAnsi="Arial"/>
                <w:sz w:val="15"/>
                <w:szCs w:val="15"/>
                <w:b w:val="1"/>
                <w:bCs w:val="1"/>
                <w:color w:val="231F20"/>
              </w:rPr>
              <w:t>Year ended December 31,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546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231F20"/>
              </w:rPr>
              <w:t>2025</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00"/>
              <w:spacing w:after="0"/>
              <w:rPr>
                <w:sz w:val="20"/>
                <w:szCs w:val="20"/>
                <w:color w:val="auto"/>
              </w:rPr>
            </w:pPr>
            <w:r>
              <w:rPr>
                <w:rFonts w:ascii="Arial" w:cs="Arial" w:eastAsia="Arial" w:hAnsi="Arial"/>
                <w:sz w:val="15"/>
                <w:szCs w:val="15"/>
                <w:b w:val="1"/>
                <w:bCs w:val="1"/>
                <w:color w:val="231F20"/>
              </w:rPr>
              <w:t>2024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00"/>
              <w:spacing w:after="0"/>
              <w:rPr>
                <w:sz w:val="20"/>
                <w:szCs w:val="20"/>
                <w:color w:val="auto"/>
              </w:rPr>
            </w:pPr>
            <w:r>
              <w:rPr>
                <w:rFonts w:ascii="Arial" w:cs="Arial" w:eastAsia="Arial" w:hAnsi="Arial"/>
                <w:sz w:val="15"/>
                <w:szCs w:val="15"/>
                <w:b w:val="1"/>
                <w:bCs w:val="1"/>
                <w:color w:val="231F20"/>
              </w:rPr>
              <w:t>2023</w:t>
            </w:r>
          </w:p>
        </w:tc>
        <w:tc>
          <w:tcPr>
            <w:tcW w:w="0" w:type="dxa"/>
            <w:vAlign w:val="bottom"/>
          </w:tcPr>
          <w:p>
            <w:pPr>
              <w:spacing w:after="0"/>
              <w:rPr>
                <w:sz w:val="1"/>
                <w:szCs w:val="1"/>
                <w:color w:val="auto"/>
              </w:rPr>
            </w:pPr>
          </w:p>
        </w:tc>
      </w:tr>
      <w:tr>
        <w:trPr>
          <w:trHeight w:val="30"/>
        </w:trPr>
        <w:tc>
          <w:tcPr>
            <w:tcW w:w="5460" w:type="dxa"/>
            <w:vAlign w:val="bottom"/>
            <w:vMerge w:val="restart"/>
          </w:tcPr>
          <w:p>
            <w:pPr>
              <w:spacing w:after="0"/>
              <w:rPr>
                <w:sz w:val="20"/>
                <w:szCs w:val="20"/>
                <w:color w:val="auto"/>
              </w:rPr>
            </w:pPr>
            <w:r>
              <w:rPr>
                <w:rFonts w:ascii="Arial" w:cs="Arial" w:eastAsia="Arial" w:hAnsi="Arial"/>
                <w:sz w:val="16"/>
                <w:szCs w:val="16"/>
                <w:b w:val="1"/>
                <w:bCs w:val="1"/>
                <w:color w:val="231F20"/>
              </w:rPr>
              <w:t>CASH FLOW FROM OPERATING ACTIVITIES</w:t>
            </w:r>
          </w:p>
        </w:tc>
        <w:tc>
          <w:tcPr>
            <w:tcW w:w="70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4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460" w:type="dxa"/>
            <w:vAlign w:val="bottom"/>
          </w:tcPr>
          <w:p>
            <w:pPr>
              <w:ind w:left="160"/>
              <w:spacing w:after="0" w:line="180" w:lineRule="exact"/>
              <w:rPr>
                <w:sz w:val="20"/>
                <w:szCs w:val="20"/>
                <w:color w:val="auto"/>
              </w:rPr>
            </w:pPr>
            <w:r>
              <w:rPr>
                <w:rFonts w:ascii="Arial" w:cs="Arial" w:eastAsia="Arial" w:hAnsi="Arial"/>
                <w:sz w:val="16"/>
                <w:szCs w:val="16"/>
                <w:color w:val="231F20"/>
                <w:w w:val="98"/>
              </w:rPr>
              <w:t>Net income . . . . . . . . . . . . . . . . . . . . . . . . . . . . . . . . . . . . . . . . . . . . . . . . . . .</w:t>
            </w:r>
          </w:p>
        </w:tc>
        <w:tc>
          <w:tcPr>
            <w:tcW w:w="700" w:type="dxa"/>
            <w:vAlign w:val="bottom"/>
          </w:tcPr>
          <w:p>
            <w:pPr>
              <w:jc w:val="right"/>
              <w:ind w:right="502"/>
              <w:spacing w:after="0" w:line="180" w:lineRule="exact"/>
              <w:rPr>
                <w:sz w:val="20"/>
                <w:szCs w:val="20"/>
                <w:color w:val="auto"/>
              </w:rPr>
            </w:pPr>
            <w:r>
              <w:rPr>
                <w:rFonts w:ascii="Arial" w:cs="Arial" w:eastAsia="Arial" w:hAnsi="Arial"/>
                <w:sz w:val="16"/>
                <w:szCs w:val="16"/>
                <w:color w:val="231F20"/>
              </w:rPr>
              <w:t>$</w:t>
            </w: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363</w:t>
            </w:r>
          </w:p>
        </w:tc>
        <w:tc>
          <w:tcPr>
            <w:tcW w:w="200" w:type="dxa"/>
            <w:vAlign w:val="bottom"/>
          </w:tcPr>
          <w:p>
            <w:pPr>
              <w:spacing w:after="0"/>
              <w:rPr>
                <w:sz w:val="15"/>
                <w:szCs w:val="15"/>
                <w:color w:val="auto"/>
              </w:rPr>
            </w:pPr>
          </w:p>
        </w:tc>
        <w:tc>
          <w:tcPr>
            <w:tcW w:w="260" w:type="dxa"/>
            <w:vAlign w:val="bottom"/>
          </w:tcPr>
          <w:p>
            <w:pPr>
              <w:jc w:val="right"/>
              <w:ind w:right="40"/>
              <w:spacing w:after="0" w:line="180" w:lineRule="exact"/>
              <w:rPr>
                <w:sz w:val="20"/>
                <w:szCs w:val="20"/>
                <w:color w:val="auto"/>
              </w:rPr>
            </w:pPr>
            <w:r>
              <w:rPr>
                <w:rFonts w:ascii="Arial" w:cs="Arial" w:eastAsia="Arial" w:hAnsi="Arial"/>
                <w:sz w:val="16"/>
                <w:szCs w:val="16"/>
                <w:color w:val="231F20"/>
              </w:rPr>
              <w:t>$</w:t>
            </w: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376</w:t>
            </w:r>
          </w:p>
        </w:tc>
        <w:tc>
          <w:tcPr>
            <w:tcW w:w="200" w:type="dxa"/>
            <w:vAlign w:val="bottom"/>
          </w:tcPr>
          <w:p>
            <w:pPr>
              <w:spacing w:after="0"/>
              <w:rPr>
                <w:sz w:val="15"/>
                <w:szCs w:val="15"/>
                <w:color w:val="auto"/>
              </w:rPr>
            </w:pPr>
          </w:p>
        </w:tc>
        <w:tc>
          <w:tcPr>
            <w:tcW w:w="260" w:type="dxa"/>
            <w:vAlign w:val="bottom"/>
          </w:tcPr>
          <w:p>
            <w:pPr>
              <w:jc w:val="right"/>
              <w:ind w:right="60"/>
              <w:spacing w:after="0" w:line="180" w:lineRule="exact"/>
              <w:rPr>
                <w:sz w:val="20"/>
                <w:szCs w:val="20"/>
                <w:color w:val="auto"/>
              </w:rPr>
            </w:pPr>
            <w:r>
              <w:rPr>
                <w:rFonts w:ascii="Arial" w:cs="Arial" w:eastAsia="Arial" w:hAnsi="Arial"/>
                <w:sz w:val="16"/>
                <w:szCs w:val="16"/>
                <w:color w:val="231F20"/>
              </w:rPr>
              <w:t>$</w:t>
            </w: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564</w:t>
            </w:r>
          </w:p>
        </w:tc>
        <w:tc>
          <w:tcPr>
            <w:tcW w:w="0" w:type="dxa"/>
            <w:vAlign w:val="bottom"/>
          </w:tcPr>
          <w:p>
            <w:pPr>
              <w:spacing w:after="0"/>
              <w:rPr>
                <w:sz w:val="1"/>
                <w:szCs w:val="1"/>
                <w:color w:val="auto"/>
              </w:rPr>
            </w:pPr>
          </w:p>
        </w:tc>
      </w:tr>
      <w:tr>
        <w:trPr>
          <w:trHeight w:val="180"/>
        </w:trPr>
        <w:tc>
          <w:tcPr>
            <w:tcW w:w="5460" w:type="dxa"/>
            <w:vAlign w:val="bottom"/>
          </w:tcPr>
          <w:p>
            <w:pPr>
              <w:ind w:left="160"/>
              <w:spacing w:after="0" w:line="180" w:lineRule="exact"/>
              <w:rPr>
                <w:sz w:val="20"/>
                <w:szCs w:val="20"/>
                <w:color w:val="auto"/>
              </w:rPr>
            </w:pPr>
            <w:r>
              <w:rPr>
                <w:rFonts w:ascii="Arial" w:cs="Arial" w:eastAsia="Arial" w:hAnsi="Arial"/>
                <w:sz w:val="16"/>
                <w:szCs w:val="16"/>
                <w:i w:val="1"/>
                <w:iCs w:val="1"/>
                <w:color w:val="231F20"/>
              </w:rPr>
              <w:t>Adjustments to reconcile net income to net cash provided by operating</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60" w:type="dxa"/>
            <w:vAlign w:val="bottom"/>
          </w:tcPr>
          <w:p>
            <w:pPr>
              <w:ind w:left="160"/>
              <w:spacing w:after="0" w:line="181" w:lineRule="exact"/>
              <w:rPr>
                <w:sz w:val="20"/>
                <w:szCs w:val="20"/>
                <w:color w:val="auto"/>
              </w:rPr>
            </w:pPr>
            <w:r>
              <w:rPr>
                <w:rFonts w:ascii="Arial" w:cs="Arial" w:eastAsia="Arial" w:hAnsi="Arial"/>
                <w:sz w:val="16"/>
                <w:szCs w:val="16"/>
                <w:i w:val="1"/>
                <w:iCs w:val="1"/>
                <w:color w:val="231F20"/>
              </w:rPr>
              <w:t>activities:</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Depreciation, depletion and amortization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511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388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225</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Asset impairments  . . . . . . . . .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59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14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Deferred income tax provision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85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71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35</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Net (gain) loss from commodity derivatives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w w:val="96"/>
              </w:rPr>
              <w:t>(216)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(211)</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20</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Net proceeds (payments) on settled commodity derivatives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15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(64)</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(272)</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Net loss on early extinguishment of debt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1</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Loss (gain) on asset divestitures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(11)</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(32)</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Other non-cash charges to income, net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187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139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103</w:t>
            </w:r>
          </w:p>
        </w:tc>
        <w:tc>
          <w:tcPr>
            <w:tcW w:w="0" w:type="dxa"/>
            <w:vAlign w:val="bottom"/>
          </w:tcPr>
          <w:p>
            <w:pPr>
              <w:spacing w:after="0"/>
              <w:rPr>
                <w:sz w:val="1"/>
                <w:szCs w:val="1"/>
                <w:color w:val="auto"/>
              </w:rPr>
            </w:pPr>
          </w:p>
        </w:tc>
      </w:tr>
      <w:tr>
        <w:trPr>
          <w:trHeight w:val="180"/>
        </w:trPr>
        <w:tc>
          <w:tcPr>
            <w:tcW w:w="5460" w:type="dxa"/>
            <w:vAlign w:val="bottom"/>
          </w:tcPr>
          <w:p>
            <w:pPr>
              <w:ind w:left="160"/>
              <w:spacing w:after="0" w:line="180" w:lineRule="exact"/>
              <w:rPr>
                <w:sz w:val="20"/>
                <w:szCs w:val="20"/>
                <w:color w:val="auto"/>
              </w:rPr>
            </w:pPr>
            <w:r>
              <w:rPr>
                <w:rFonts w:ascii="Arial" w:cs="Arial" w:eastAsia="Arial" w:hAnsi="Arial"/>
                <w:sz w:val="16"/>
                <w:szCs w:val="16"/>
                <w:color w:val="231F20"/>
              </w:rPr>
              <w:t>Changes in operating assets and liabilities, net:</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Decrease in trade receivables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83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58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110</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Increase in inventories . . . . . .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(1)</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(12)</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Decrease in other current assets, net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28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rPr>
              <w:t>Decrease in accounts payable and accrued liabilities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w w:val="96"/>
              </w:rPr>
              <w:t>(220)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(182)</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(92)</w:t>
            </w:r>
          </w:p>
        </w:tc>
        <w:tc>
          <w:tcPr>
            <w:tcW w:w="0" w:type="dxa"/>
            <w:vAlign w:val="bottom"/>
          </w:tcPr>
          <w:p>
            <w:pPr>
              <w:spacing w:after="0"/>
              <w:rPr>
                <w:sz w:val="1"/>
                <w:szCs w:val="1"/>
                <w:color w:val="auto"/>
              </w:rPr>
            </w:pPr>
          </w:p>
        </w:tc>
      </w:tr>
      <w:tr>
        <w:trPr>
          <w:trHeight w:val="38"/>
        </w:trPr>
        <w:tc>
          <w:tcPr>
            <w:tcW w:w="546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231F20"/>
              </w:rPr>
              <w:t xml:space="preserve">Net cash provided by operating activities </w:t>
            </w:r>
            <w:r>
              <w:rPr>
                <w:rFonts w:ascii="Arial" w:cs="Arial" w:eastAsia="Arial" w:hAnsi="Arial"/>
                <w:sz w:val="16"/>
                <w:szCs w:val="16"/>
                <w:color w:val="231F20"/>
              </w:rPr>
              <w:t>. . . . . . . . . . . . . . . . .</w:t>
            </w:r>
          </w:p>
        </w:tc>
        <w:tc>
          <w:tcPr>
            <w:tcW w:w="70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4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231F20"/>
              </w:rPr>
              <w:t>865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31F20"/>
              </w:rPr>
              <w:t>610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31F20"/>
              </w:rPr>
              <w:t>653</w:t>
            </w:r>
          </w:p>
        </w:tc>
        <w:tc>
          <w:tcPr>
            <w:tcW w:w="0" w:type="dxa"/>
            <w:vAlign w:val="bottom"/>
          </w:tcPr>
          <w:p>
            <w:pPr>
              <w:spacing w:after="0"/>
              <w:rPr>
                <w:sz w:val="1"/>
                <w:szCs w:val="1"/>
                <w:color w:val="auto"/>
              </w:rPr>
            </w:pPr>
          </w:p>
        </w:tc>
      </w:tr>
      <w:tr>
        <w:trPr>
          <w:trHeight w:val="38"/>
        </w:trPr>
        <w:tc>
          <w:tcPr>
            <w:tcW w:w="5460" w:type="dxa"/>
            <w:vAlign w:val="bottom"/>
            <w:vMerge w:val="restart"/>
          </w:tcPr>
          <w:p>
            <w:pPr>
              <w:spacing w:after="0"/>
              <w:rPr>
                <w:sz w:val="20"/>
                <w:szCs w:val="20"/>
                <w:color w:val="auto"/>
              </w:rPr>
            </w:pPr>
            <w:r>
              <w:rPr>
                <w:rFonts w:ascii="Arial" w:cs="Arial" w:eastAsia="Arial" w:hAnsi="Arial"/>
                <w:sz w:val="16"/>
                <w:szCs w:val="16"/>
                <w:b w:val="1"/>
                <w:bCs w:val="1"/>
                <w:color w:val="231F20"/>
              </w:rPr>
              <w:t>CASH FLOW FROM INVESTING ACTIVITIES</w:t>
            </w:r>
          </w:p>
        </w:tc>
        <w:tc>
          <w:tcPr>
            <w:tcW w:w="70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54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7"/>
              </w:rPr>
              <w:t>Capital investments  . . . . . . . . . . . .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w w:val="96"/>
              </w:rPr>
              <w:t>(322)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(255)</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(185)</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Changes in accrued capital investments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35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29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(13)</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Proceeds from asset divestitures . .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15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32</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Purchase of a business, net of cash acquired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w w:val="96"/>
              </w:rPr>
              <w:t>(440)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(853)</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Asset acquisitions  . . . . . . . . . . . . . . . . . . . . . . . . . . . . . . . . . . . . . . . . . . . . .</w:t>
            </w:r>
          </w:p>
        </w:tc>
        <w:tc>
          <w:tcPr>
            <w:tcW w:w="700" w:type="dxa"/>
            <w:vAlign w:val="bottom"/>
          </w:tcPr>
          <w:p>
            <w:pPr>
              <w:spacing w:after="0"/>
              <w:rPr>
                <w:sz w:val="15"/>
                <w:szCs w:val="15"/>
                <w:color w:val="auto"/>
              </w:rPr>
            </w:pPr>
          </w:p>
        </w:tc>
        <w:tc>
          <w:tcPr>
            <w:tcW w:w="58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231F20"/>
              </w:rPr>
              <w:t>—</w:t>
            </w: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(6)</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(5)</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Other, net . . . . . . . . . . . . . . . . . . . .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(7)</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(4)</w:t>
            </w:r>
          </w:p>
        </w:tc>
        <w:tc>
          <w:tcPr>
            <w:tcW w:w="0" w:type="dxa"/>
            <w:vAlign w:val="bottom"/>
          </w:tcPr>
          <w:p>
            <w:pPr>
              <w:spacing w:after="0"/>
              <w:rPr>
                <w:sz w:val="1"/>
                <w:szCs w:val="1"/>
                <w:color w:val="auto"/>
              </w:rPr>
            </w:pPr>
          </w:p>
        </w:tc>
      </w:tr>
      <w:tr>
        <w:trPr>
          <w:trHeight w:val="38"/>
        </w:trPr>
        <w:tc>
          <w:tcPr>
            <w:tcW w:w="546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231F20"/>
              </w:rPr>
              <w:t xml:space="preserve">Net cash used in investing activities </w:t>
            </w:r>
            <w:r>
              <w:rPr>
                <w:rFonts w:ascii="Arial" w:cs="Arial" w:eastAsia="Arial" w:hAnsi="Arial"/>
                <w:sz w:val="16"/>
                <w:szCs w:val="16"/>
                <w:color w:val="231F20"/>
              </w:rPr>
              <w:t>. . . . . . . . . . . . . . . . . . . . .</w:t>
            </w:r>
          </w:p>
        </w:tc>
        <w:tc>
          <w:tcPr>
            <w:tcW w:w="70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4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231F20"/>
                <w:w w:val="96"/>
              </w:rPr>
              <w:t>(725)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231F20"/>
              </w:rPr>
              <w:t>(1,077)</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31F20"/>
              </w:rPr>
              <w:t>(175)</w:t>
            </w:r>
          </w:p>
        </w:tc>
        <w:tc>
          <w:tcPr>
            <w:tcW w:w="0" w:type="dxa"/>
            <w:vAlign w:val="bottom"/>
          </w:tcPr>
          <w:p>
            <w:pPr>
              <w:spacing w:after="0"/>
              <w:rPr>
                <w:sz w:val="1"/>
                <w:szCs w:val="1"/>
                <w:color w:val="auto"/>
              </w:rPr>
            </w:pPr>
          </w:p>
        </w:tc>
      </w:tr>
      <w:tr>
        <w:trPr>
          <w:trHeight w:val="38"/>
        </w:trPr>
        <w:tc>
          <w:tcPr>
            <w:tcW w:w="5460" w:type="dxa"/>
            <w:vAlign w:val="bottom"/>
            <w:vMerge w:val="restart"/>
          </w:tcPr>
          <w:p>
            <w:pPr>
              <w:spacing w:after="0"/>
              <w:rPr>
                <w:sz w:val="20"/>
                <w:szCs w:val="20"/>
                <w:color w:val="auto"/>
              </w:rPr>
            </w:pPr>
            <w:r>
              <w:rPr>
                <w:rFonts w:ascii="Arial" w:cs="Arial" w:eastAsia="Arial" w:hAnsi="Arial"/>
                <w:sz w:val="16"/>
                <w:szCs w:val="16"/>
                <w:b w:val="1"/>
                <w:bCs w:val="1"/>
                <w:color w:val="231F20"/>
              </w:rPr>
              <w:t>CASH FLOW FROM FINANCING ACTIVITIES</w:t>
            </w:r>
          </w:p>
        </w:tc>
        <w:tc>
          <w:tcPr>
            <w:tcW w:w="70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54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Proceeds from Revolving Credit Facility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220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30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Repayments of Revolving Credit Facility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w w:val="96"/>
              </w:rPr>
              <w:t>(220)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(30)</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Proceeds from 2029 Senior Notes, net . . . . . . . . . . . . . . . . . . . . . . . . . . . . .</w:t>
            </w:r>
          </w:p>
        </w:tc>
        <w:tc>
          <w:tcPr>
            <w:tcW w:w="700" w:type="dxa"/>
            <w:vAlign w:val="bottom"/>
          </w:tcPr>
          <w:p>
            <w:pPr>
              <w:spacing w:after="0"/>
              <w:rPr>
                <w:sz w:val="15"/>
                <w:szCs w:val="15"/>
                <w:color w:val="auto"/>
              </w:rPr>
            </w:pPr>
          </w:p>
        </w:tc>
        <w:tc>
          <w:tcPr>
            <w:tcW w:w="58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231F20"/>
              </w:rPr>
              <w:t>—</w:t>
            </w: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888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Proceeds from 2034 Senior Notes, net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393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231F20"/>
              </w:rPr>
              <w:t>—</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Repurchases of common stock . . .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w w:val="96"/>
              </w:rPr>
              <w:t>(377)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(192)</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(143)</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Common stock dividends . . . . . . . .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w w:val="96"/>
              </w:rPr>
              <w:t>(136)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(113)</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(81)</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Dividend equivalents on equity-settled awards . . . . . . . . . . . . . . . . . . . . . . .</w:t>
            </w:r>
          </w:p>
        </w:tc>
        <w:tc>
          <w:tcPr>
            <w:tcW w:w="700" w:type="dxa"/>
            <w:vAlign w:val="bottom"/>
          </w:tcPr>
          <w:p>
            <w:pPr>
              <w:spacing w:after="0"/>
              <w:rPr>
                <w:sz w:val="15"/>
                <w:szCs w:val="15"/>
                <w:color w:val="auto"/>
              </w:rPr>
            </w:pPr>
          </w:p>
        </w:tc>
        <w:tc>
          <w:tcPr>
            <w:tcW w:w="58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(3)</w:t>
            </w: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(4)</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Issuance of common stock  . . . . . .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rPr>
              <w:t>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2</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Bridge loan commitments  . . . . . . . . . . . . . . . . . . . . . . . . . . . . . . . . . . . . . . .</w:t>
            </w:r>
          </w:p>
        </w:tc>
        <w:tc>
          <w:tcPr>
            <w:tcW w:w="700" w:type="dxa"/>
            <w:vAlign w:val="bottom"/>
          </w:tcPr>
          <w:p>
            <w:pPr>
              <w:spacing w:after="0"/>
              <w:rPr>
                <w:sz w:val="15"/>
                <w:szCs w:val="15"/>
                <w:color w:val="auto"/>
              </w:rPr>
            </w:pPr>
          </w:p>
        </w:tc>
        <w:tc>
          <w:tcPr>
            <w:tcW w:w="58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231F20"/>
              </w:rPr>
              <w:t>—</w:t>
            </w: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(5)</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Stock warrants exercised . . . . . . . . . . . . . . . . . . . . . . . . . . . . . . . . . . . . . . . .</w:t>
            </w:r>
          </w:p>
        </w:tc>
        <w:tc>
          <w:tcPr>
            <w:tcW w:w="700" w:type="dxa"/>
            <w:vAlign w:val="bottom"/>
          </w:tcPr>
          <w:p>
            <w:pPr>
              <w:spacing w:after="0"/>
              <w:rPr>
                <w:sz w:val="15"/>
                <w:szCs w:val="15"/>
                <w:color w:val="auto"/>
              </w:rPr>
            </w:pPr>
          </w:p>
        </w:tc>
        <w:tc>
          <w:tcPr>
            <w:tcW w:w="58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231F20"/>
              </w:rPr>
              <w:t>—</w:t>
            </w: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231F20"/>
              </w:rPr>
              <w:t>130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8"/>
              </w:rPr>
              <w:t>Debt amendment costs  . . . . . . . . . . . . . . . . . . . . . . . . . . . . . . . . . . . . . . . . .</w:t>
            </w:r>
          </w:p>
        </w:tc>
        <w:tc>
          <w:tcPr>
            <w:tcW w:w="700" w:type="dxa"/>
            <w:vAlign w:val="bottom"/>
          </w:tcPr>
          <w:p>
            <w:pPr>
              <w:spacing w:after="0"/>
              <w:rPr>
                <w:sz w:val="15"/>
                <w:szCs w:val="15"/>
                <w:color w:val="auto"/>
              </w:rPr>
            </w:pPr>
          </w:p>
        </w:tc>
        <w:tc>
          <w:tcPr>
            <w:tcW w:w="58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(3)</w:t>
            </w: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(18)</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(8)</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7"/>
              </w:rPr>
              <w:t>Shares cancelled for taxes . . . . . . . . . . . . . . . . . . . . . . . . . . . . . . . . . . . . . . .</w:t>
            </w:r>
          </w:p>
        </w:tc>
        <w:tc>
          <w:tcPr>
            <w:tcW w:w="700" w:type="dxa"/>
            <w:vAlign w:val="bottom"/>
          </w:tcPr>
          <w:p>
            <w:pPr>
              <w:spacing w:after="0"/>
              <w:rPr>
                <w:sz w:val="15"/>
                <w:szCs w:val="15"/>
                <w:color w:val="auto"/>
              </w:rPr>
            </w:pPr>
          </w:p>
        </w:tc>
        <w:tc>
          <w:tcPr>
            <w:tcW w:w="58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(12)</w:t>
            </w: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(42)</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(3)</w:t>
            </w:r>
          </w:p>
        </w:tc>
        <w:tc>
          <w:tcPr>
            <w:tcW w:w="0" w:type="dxa"/>
            <w:vAlign w:val="bottom"/>
          </w:tcPr>
          <w:p>
            <w:pPr>
              <w:spacing w:after="0"/>
              <w:rPr>
                <w:sz w:val="1"/>
                <w:szCs w:val="1"/>
                <w:color w:val="auto"/>
              </w:rPr>
            </w:pPr>
          </w:p>
        </w:tc>
      </w:tr>
      <w:tr>
        <w:trPr>
          <w:trHeight w:val="180"/>
        </w:trPr>
        <w:tc>
          <w:tcPr>
            <w:tcW w:w="5460" w:type="dxa"/>
            <w:vAlign w:val="bottom"/>
          </w:tcPr>
          <w:p>
            <w:pPr>
              <w:jc w:val="right"/>
              <w:ind w:right="120"/>
              <w:spacing w:after="0" w:line="180" w:lineRule="exact"/>
              <w:rPr>
                <w:sz w:val="20"/>
                <w:szCs w:val="20"/>
                <w:color w:val="auto"/>
              </w:rPr>
            </w:pPr>
            <w:r>
              <w:rPr>
                <w:rFonts w:ascii="Arial" w:cs="Arial" w:eastAsia="Arial" w:hAnsi="Arial"/>
                <w:sz w:val="16"/>
                <w:szCs w:val="16"/>
                <w:color w:val="231F20"/>
                <w:w w:val="97"/>
              </w:rPr>
              <w:t>Debt redemption . . . . . . . . . . . . . . . . . . . . . . . . . . . . . . . . . . . . . . . . . . . . . . .</w:t>
            </w:r>
          </w:p>
        </w:tc>
        <w:tc>
          <w:tcPr>
            <w:tcW w:w="70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31F20"/>
                <w:w w:val="96"/>
              </w:rPr>
              <w:t>(245)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231F20"/>
              </w:rPr>
              <w:t>(303)</w:t>
            </w:r>
          </w:p>
        </w:tc>
        <w:tc>
          <w:tcPr>
            <w:tcW w:w="26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231F20"/>
              </w:rPr>
              <w:t>(56)</w:t>
            </w:r>
          </w:p>
        </w:tc>
        <w:tc>
          <w:tcPr>
            <w:tcW w:w="0" w:type="dxa"/>
            <w:vAlign w:val="bottom"/>
          </w:tcPr>
          <w:p>
            <w:pPr>
              <w:spacing w:after="0"/>
              <w:rPr>
                <w:sz w:val="1"/>
                <w:szCs w:val="1"/>
                <w:color w:val="auto"/>
              </w:rPr>
            </w:pPr>
          </w:p>
        </w:tc>
      </w:tr>
      <w:tr>
        <w:trPr>
          <w:trHeight w:val="38"/>
        </w:trPr>
        <w:tc>
          <w:tcPr>
            <w:tcW w:w="546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231F20"/>
              </w:rPr>
              <w:t xml:space="preserve">Net cash (used in) provided by financing activities </w:t>
            </w:r>
            <w:r>
              <w:rPr>
                <w:rFonts w:ascii="Arial" w:cs="Arial" w:eastAsia="Arial" w:hAnsi="Arial"/>
                <w:sz w:val="16"/>
                <w:szCs w:val="16"/>
                <w:color w:val="231F20"/>
              </w:rPr>
              <w:t>. . . . . . . . .</w:t>
            </w:r>
          </w:p>
        </w:tc>
        <w:tc>
          <w:tcPr>
            <w:tcW w:w="70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4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231F20"/>
                <w:w w:val="96"/>
              </w:rPr>
              <w:t>(380)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231F20"/>
              </w:rPr>
              <w:t>343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31F20"/>
              </w:rPr>
              <w:t>(289)</w:t>
            </w:r>
          </w:p>
        </w:tc>
        <w:tc>
          <w:tcPr>
            <w:tcW w:w="0" w:type="dxa"/>
            <w:vAlign w:val="bottom"/>
          </w:tcPr>
          <w:p>
            <w:pPr>
              <w:spacing w:after="0"/>
              <w:rPr>
                <w:sz w:val="1"/>
                <w:szCs w:val="1"/>
                <w:color w:val="auto"/>
              </w:rPr>
            </w:pPr>
          </w:p>
        </w:tc>
      </w:tr>
      <w:tr>
        <w:trPr>
          <w:trHeight w:val="38"/>
        </w:trPr>
        <w:tc>
          <w:tcPr>
            <w:tcW w:w="546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231F20"/>
                <w:w w:val="98"/>
              </w:rPr>
              <w:t xml:space="preserve">(Decrease) increase in cash and cash equivalents  </w:t>
            </w:r>
            <w:r>
              <w:rPr>
                <w:rFonts w:ascii="Arial" w:cs="Arial" w:eastAsia="Arial" w:hAnsi="Arial"/>
                <w:sz w:val="16"/>
                <w:szCs w:val="16"/>
                <w:color w:val="231F20"/>
                <w:w w:val="98"/>
              </w:rPr>
              <w:t>. . . . . . . . . . . . . . . . .</w:t>
            </w:r>
          </w:p>
        </w:tc>
        <w:tc>
          <w:tcPr>
            <w:tcW w:w="70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4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231F20"/>
                <w:w w:val="96"/>
              </w:rPr>
              <w:t>(240)</w:t>
            </w:r>
          </w:p>
        </w:tc>
        <w:tc>
          <w:tcPr>
            <w:tcW w:w="2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231F20"/>
              </w:rPr>
              <w:t>(124)</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31F20"/>
              </w:rPr>
              <w:t>189</w:t>
            </w:r>
          </w:p>
        </w:tc>
        <w:tc>
          <w:tcPr>
            <w:tcW w:w="0" w:type="dxa"/>
            <w:vAlign w:val="bottom"/>
          </w:tcPr>
          <w:p>
            <w:pPr>
              <w:spacing w:after="0"/>
              <w:rPr>
                <w:sz w:val="1"/>
                <w:szCs w:val="1"/>
                <w:color w:val="auto"/>
              </w:rPr>
            </w:pPr>
          </w:p>
        </w:tc>
      </w:tr>
      <w:tr>
        <w:trPr>
          <w:trHeight w:val="181"/>
        </w:trPr>
        <w:tc>
          <w:tcPr>
            <w:tcW w:w="5460" w:type="dxa"/>
            <w:vAlign w:val="bottom"/>
          </w:tcPr>
          <w:p>
            <w:pPr>
              <w:jc w:val="right"/>
              <w:ind w:right="120"/>
              <w:spacing w:after="0" w:line="181" w:lineRule="exact"/>
              <w:rPr>
                <w:sz w:val="20"/>
                <w:szCs w:val="20"/>
                <w:color w:val="auto"/>
              </w:rPr>
            </w:pPr>
            <w:r>
              <w:rPr>
                <w:rFonts w:ascii="Arial" w:cs="Arial" w:eastAsia="Arial" w:hAnsi="Arial"/>
                <w:sz w:val="16"/>
                <w:szCs w:val="16"/>
                <w:b w:val="1"/>
                <w:bCs w:val="1"/>
                <w:color w:val="231F20"/>
                <w:w w:val="98"/>
              </w:rPr>
              <w:t xml:space="preserve">Cash and cash equivalents—beginning of period </w:t>
            </w:r>
            <w:r>
              <w:rPr>
                <w:rFonts w:ascii="Arial" w:cs="Arial" w:eastAsia="Arial" w:hAnsi="Arial"/>
                <w:sz w:val="16"/>
                <w:szCs w:val="16"/>
                <w:color w:val="231F20"/>
                <w:w w:val="98"/>
              </w:rPr>
              <w:t>. . . . . . . . . . . . . . . . . .</w:t>
            </w:r>
          </w:p>
        </w:tc>
        <w:tc>
          <w:tcPr>
            <w:tcW w:w="70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6"/>
                <w:szCs w:val="16"/>
                <w:color w:val="231F20"/>
              </w:rPr>
              <w:t>372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231F20"/>
              </w:rPr>
              <w:t>496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6"/>
                <w:szCs w:val="16"/>
                <w:color w:val="231F20"/>
              </w:rPr>
              <w:t>307</w:t>
            </w:r>
          </w:p>
        </w:tc>
        <w:tc>
          <w:tcPr>
            <w:tcW w:w="0" w:type="dxa"/>
            <w:vAlign w:val="bottom"/>
          </w:tcPr>
          <w:p>
            <w:pPr>
              <w:spacing w:after="0"/>
              <w:rPr>
                <w:sz w:val="1"/>
                <w:szCs w:val="1"/>
                <w:color w:val="auto"/>
              </w:rPr>
            </w:pPr>
          </w:p>
        </w:tc>
      </w:tr>
      <w:tr>
        <w:trPr>
          <w:trHeight w:val="38"/>
        </w:trPr>
        <w:tc>
          <w:tcPr>
            <w:tcW w:w="546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231F20"/>
                <w:w w:val="97"/>
              </w:rPr>
              <w:t xml:space="preserve">Cash and cash equivalents—end of period </w:t>
            </w:r>
            <w:r>
              <w:rPr>
                <w:rFonts w:ascii="Arial" w:cs="Arial" w:eastAsia="Arial" w:hAnsi="Arial"/>
                <w:sz w:val="16"/>
                <w:szCs w:val="16"/>
                <w:color w:val="231F20"/>
                <w:w w:val="97"/>
              </w:rPr>
              <w:t>. . . . . . . . . . . . . . . . . . . . . . . .</w:t>
            </w:r>
          </w:p>
        </w:tc>
        <w:tc>
          <w:tcPr>
            <w:tcW w:w="70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460" w:type="dxa"/>
            <w:vAlign w:val="bottom"/>
            <w:vMerge w:val="continue"/>
          </w:tcPr>
          <w:p>
            <w:pPr>
              <w:spacing w:after="0"/>
              <w:rPr>
                <w:sz w:val="17"/>
                <w:szCs w:val="17"/>
                <w:color w:val="auto"/>
              </w:rPr>
            </w:pPr>
          </w:p>
        </w:tc>
        <w:tc>
          <w:tcPr>
            <w:tcW w:w="700" w:type="dxa"/>
            <w:vAlign w:val="bottom"/>
          </w:tcPr>
          <w:p>
            <w:pPr>
              <w:jc w:val="right"/>
              <w:ind w:right="502"/>
              <w:spacing w:after="0"/>
              <w:rPr>
                <w:sz w:val="20"/>
                <w:szCs w:val="20"/>
                <w:color w:val="auto"/>
              </w:rPr>
            </w:pPr>
            <w:r>
              <w:rPr>
                <w:rFonts w:ascii="Arial" w:cs="Arial" w:eastAsia="Arial" w:hAnsi="Arial"/>
                <w:sz w:val="16"/>
                <w:szCs w:val="16"/>
                <w:color w:val="231F20"/>
              </w:rPr>
              <w:t>$</w:t>
            </w:r>
          </w:p>
        </w:tc>
        <w:tc>
          <w:tcPr>
            <w:tcW w:w="380" w:type="dxa"/>
            <w:vAlign w:val="bottom"/>
          </w:tcPr>
          <w:p>
            <w:pPr>
              <w:jc w:val="right"/>
              <w:spacing w:after="0"/>
              <w:rPr>
                <w:sz w:val="20"/>
                <w:szCs w:val="20"/>
                <w:color w:val="auto"/>
              </w:rPr>
            </w:pPr>
            <w:r>
              <w:rPr>
                <w:rFonts w:ascii="Arial" w:cs="Arial" w:eastAsia="Arial" w:hAnsi="Arial"/>
                <w:sz w:val="16"/>
                <w:szCs w:val="16"/>
                <w:color w:val="231F20"/>
              </w:rPr>
              <w:t>132</w:t>
            </w:r>
          </w:p>
        </w:tc>
        <w:tc>
          <w:tcPr>
            <w:tcW w:w="200" w:type="dxa"/>
            <w:vAlign w:val="bottom"/>
          </w:tcPr>
          <w:p>
            <w:pPr>
              <w:spacing w:after="0"/>
              <w:rPr>
                <w:sz w:val="17"/>
                <w:szCs w:val="17"/>
                <w:color w:val="auto"/>
              </w:rPr>
            </w:pPr>
          </w:p>
        </w:tc>
        <w:tc>
          <w:tcPr>
            <w:tcW w:w="260" w:type="dxa"/>
            <w:vAlign w:val="bottom"/>
          </w:tcPr>
          <w:p>
            <w:pPr>
              <w:jc w:val="right"/>
              <w:ind w:right="40"/>
              <w:spacing w:after="0"/>
              <w:rPr>
                <w:sz w:val="20"/>
                <w:szCs w:val="20"/>
                <w:color w:val="auto"/>
              </w:rPr>
            </w:pPr>
            <w:r>
              <w:rPr>
                <w:rFonts w:ascii="Arial" w:cs="Arial" w:eastAsia="Arial" w:hAnsi="Arial"/>
                <w:sz w:val="16"/>
                <w:szCs w:val="16"/>
                <w:color w:val="231F20"/>
              </w:rPr>
              <w:t>$</w:t>
            </w:r>
          </w:p>
        </w:tc>
        <w:tc>
          <w:tcPr>
            <w:tcW w:w="840" w:type="dxa"/>
            <w:vAlign w:val="bottom"/>
          </w:tcPr>
          <w:p>
            <w:pPr>
              <w:jc w:val="right"/>
              <w:spacing w:after="0"/>
              <w:rPr>
                <w:sz w:val="20"/>
                <w:szCs w:val="20"/>
                <w:color w:val="auto"/>
              </w:rPr>
            </w:pPr>
            <w:r>
              <w:rPr>
                <w:rFonts w:ascii="Arial" w:cs="Arial" w:eastAsia="Arial" w:hAnsi="Arial"/>
                <w:sz w:val="16"/>
                <w:szCs w:val="16"/>
                <w:color w:val="231F20"/>
              </w:rPr>
              <w:t>372</w:t>
            </w:r>
          </w:p>
        </w:tc>
        <w:tc>
          <w:tcPr>
            <w:tcW w:w="20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231F20"/>
              </w:rPr>
              <w:t>$</w:t>
            </w:r>
          </w:p>
        </w:tc>
        <w:tc>
          <w:tcPr>
            <w:tcW w:w="820" w:type="dxa"/>
            <w:vAlign w:val="bottom"/>
          </w:tcPr>
          <w:p>
            <w:pPr>
              <w:jc w:val="right"/>
              <w:spacing w:after="0"/>
              <w:rPr>
                <w:sz w:val="20"/>
                <w:szCs w:val="20"/>
                <w:color w:val="auto"/>
              </w:rPr>
            </w:pPr>
            <w:r>
              <w:rPr>
                <w:rFonts w:ascii="Arial" w:cs="Arial" w:eastAsia="Arial" w:hAnsi="Arial"/>
                <w:sz w:val="16"/>
                <w:szCs w:val="16"/>
                <w:color w:val="231F20"/>
              </w:rPr>
              <w:t>496</w:t>
            </w:r>
          </w:p>
        </w:tc>
        <w:tc>
          <w:tcPr>
            <w:tcW w:w="0" w:type="dxa"/>
            <w:vAlign w:val="bottom"/>
          </w:tcPr>
          <w:p>
            <w:pPr>
              <w:spacing w:after="0"/>
              <w:rPr>
                <w:sz w:val="1"/>
                <w:szCs w:val="1"/>
                <w:color w:val="auto"/>
              </w:rPr>
            </w:pPr>
          </w:p>
        </w:tc>
      </w:tr>
      <w:tr>
        <w:trPr>
          <w:trHeight w:val="38"/>
        </w:trPr>
        <w:tc>
          <w:tcPr>
            <w:tcW w:w="5460" w:type="dxa"/>
            <w:vAlign w:val="bottom"/>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231F20"/>
        </w:rPr>
        <w:t>The accompanying notes are an integral part of these consolidated financial statements.</w:t>
      </w:r>
    </w:p>
    <w:p>
      <w:pPr>
        <w:sectPr>
          <w:pgSz w:w="11880" w:h="15480" w:orient="portrait"/>
          <w:cols w:equalWidth="0" w:num="1">
            <w:col w:w="9120"/>
          </w:cols>
          <w:pgMar w:left="1380" w:top="1312" w:right="1380" w:bottom="695"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94</w:t>
      </w:r>
    </w:p>
    <w:p>
      <w:pPr>
        <w:sectPr>
          <w:pgSz w:w="11880" w:h="15480" w:orient="portrait"/>
          <w:cols w:equalWidth="0" w:num="1">
            <w:col w:w="9120"/>
          </w:cols>
          <w:pgMar w:left="1380" w:top="1312" w:right="1380" w:bottom="695" w:gutter="0" w:footer="0" w:header="0"/>
          <w:type w:val="continuous"/>
        </w:sectPr>
      </w:pPr>
    </w:p>
    <w:bookmarkStart w:id="98" w:name="page99"/>
    <w:bookmarkEnd w:id="98"/>
    <w:p>
      <w:pPr>
        <w:jc w:val="center"/>
        <w:ind w:right="-39"/>
        <w:spacing w:after="0"/>
        <w:rPr>
          <w:sz w:val="20"/>
          <w:szCs w:val="20"/>
          <w:color w:val="auto"/>
        </w:rPr>
      </w:pPr>
      <w:r>
        <w:rPr>
          <w:rFonts w:ascii="Arial" w:cs="Arial" w:eastAsia="Arial" w:hAnsi="Arial"/>
          <w:sz w:val="20"/>
          <w:szCs w:val="20"/>
          <w:b w:val="1"/>
          <w:bCs w:val="1"/>
          <w:color w:val="231F20"/>
        </w:rPr>
        <w:t>CALIFORNIA RESOURCES CORPORATION AND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1F20"/>
        </w:rPr>
        <w:t>Notes to Consolidated Financial Statements</w:t>
      </w:r>
    </w:p>
    <w:p>
      <w:pPr>
        <w:spacing w:after="0" w:line="184"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b w:val="1"/>
          <w:bCs w:val="1"/>
          <w:color w:val="231F20"/>
        </w:rPr>
        <w:t>NOTE 1 NATURE OF BUSINESS, SUMMARY OF SIGNIFICANT ACCOUNTING POLICIES AND OTHER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Nature of Business</w:t>
      </w:r>
    </w:p>
    <w:p>
      <w:pPr>
        <w:spacing w:after="0" w:line="189"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231F20"/>
        </w:rPr>
        <w:t>We are an independent energy and carbon management company committed to energy transition. We focus on environmental stewardship while safely providing local, responsibly sourced energy. We also seek to maximize the value of our land, mineral ownership, and energy expertise for decarbonization by developing carbon capture and storage (CCS) and other emissions-reducing projects.</w:t>
      </w:r>
    </w:p>
    <w:p>
      <w:pPr>
        <w:spacing w:after="0" w:line="186" w:lineRule="exact"/>
        <w:rPr>
          <w:sz w:val="20"/>
          <w:szCs w:val="20"/>
          <w:color w:val="auto"/>
        </w:rPr>
      </w:pPr>
    </w:p>
    <w:p>
      <w:pPr>
        <w:ind w:right="40" w:firstLine="300"/>
        <w:spacing w:after="0" w:line="238" w:lineRule="auto"/>
        <w:rPr>
          <w:sz w:val="20"/>
          <w:szCs w:val="20"/>
          <w:color w:val="auto"/>
        </w:rPr>
      </w:pPr>
      <w:r>
        <w:rPr>
          <w:rFonts w:ascii="Arial" w:cs="Arial" w:eastAsia="Arial" w:hAnsi="Arial"/>
          <w:sz w:val="20"/>
          <w:szCs w:val="20"/>
          <w:color w:val="231F20"/>
        </w:rPr>
        <w:t>Our business is organized into two reporting segments: oil and natural gas and carbon management. Our oil and natural gas segment explores for, develops, and produces oil and condensate, natural gas liquids and natural gas. Our carbon management segment, which we refer to as Carbon TerraVault, is focused on building, installing, operating and maintaining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capture equipment, transportation assets and underground storage facilities. Our carbon management segment also owns an investment in the Carbon TerraVault joint venture. See </w:t>
      </w:r>
      <w:r>
        <w:rPr>
          <w:rFonts w:ascii="Arial" w:cs="Arial" w:eastAsia="Arial" w:hAnsi="Arial"/>
          <w:sz w:val="20"/>
          <w:szCs w:val="20"/>
          <w:i w:val="1"/>
          <w:iCs w:val="1"/>
          <w:color w:val="231F20"/>
        </w:rPr>
        <w:t>Note 4 Investments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Related Party Transactions </w:t>
      </w:r>
      <w:r>
        <w:rPr>
          <w:rFonts w:ascii="Arial" w:cs="Arial" w:eastAsia="Arial" w:hAnsi="Arial"/>
          <w:sz w:val="20"/>
          <w:szCs w:val="20"/>
          <w:color w:val="231F20"/>
        </w:rPr>
        <w:t>and</w:t>
      </w:r>
      <w:r>
        <w:rPr>
          <w:rFonts w:ascii="Arial" w:cs="Arial" w:eastAsia="Arial" w:hAnsi="Arial"/>
          <w:sz w:val="20"/>
          <w:szCs w:val="20"/>
          <w:i w:val="1"/>
          <w:iCs w:val="1"/>
          <w:color w:val="231F20"/>
        </w:rPr>
        <w:t xml:space="preserve"> Note 16 Segment Information </w:t>
      </w:r>
      <w:r>
        <w:rPr>
          <w:rFonts w:ascii="Arial" w:cs="Arial" w:eastAsia="Arial" w:hAnsi="Arial"/>
          <w:sz w:val="20"/>
          <w:szCs w:val="20"/>
          <w:color w:val="231F20"/>
        </w:rPr>
        <w:t>for additional information.</w:t>
      </w:r>
    </w:p>
    <w:p>
      <w:pPr>
        <w:spacing w:after="0" w:line="18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 xml:space="preserve">On December 18, 2025, pursuant to the Agreement and Plan of Merger, dated as of September 14, 2025 (the Berry Merger Agreement), we obtained all of the ownership interests in Berry Corporation (bry) (Berry) in an all-stock transaction (Berry Merger). Our consolidated results of operations include the results of Berry beginning December 18, 2025, the closing date of the Berry Merger. The Berry Merger did not significantly impact the comparability of our financial results for the year ended December 31, 2025 as compared to the year ended December 31, 2024. See </w:t>
      </w:r>
      <w:r>
        <w:rPr>
          <w:rFonts w:ascii="Arial" w:cs="Arial" w:eastAsia="Arial" w:hAnsi="Arial"/>
          <w:sz w:val="20"/>
          <w:szCs w:val="20"/>
          <w:i w:val="1"/>
          <w:iCs w:val="1"/>
          <w:color w:val="231F20"/>
        </w:rPr>
        <w:t>Note 2 Business</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Combinations </w:t>
      </w:r>
      <w:r>
        <w:rPr>
          <w:rFonts w:ascii="Arial" w:cs="Arial" w:eastAsia="Arial" w:hAnsi="Arial"/>
          <w:sz w:val="20"/>
          <w:szCs w:val="20"/>
          <w:color w:val="231F20"/>
        </w:rPr>
        <w:t>for transaction details.</w:t>
      </w:r>
    </w:p>
    <w:p>
      <w:pPr>
        <w:spacing w:after="0" w:line="184" w:lineRule="exact"/>
        <w:rPr>
          <w:sz w:val="20"/>
          <w:szCs w:val="20"/>
          <w:color w:val="auto"/>
        </w:rPr>
      </w:pPr>
    </w:p>
    <w:p>
      <w:pPr>
        <w:ind w:right="20" w:firstLine="300"/>
        <w:spacing w:after="0" w:line="264" w:lineRule="auto"/>
        <w:rPr>
          <w:sz w:val="20"/>
          <w:szCs w:val="20"/>
          <w:color w:val="auto"/>
        </w:rPr>
      </w:pPr>
      <w:r>
        <w:rPr>
          <w:rFonts w:ascii="Arial" w:cs="Arial" w:eastAsia="Arial" w:hAnsi="Arial"/>
          <w:sz w:val="19"/>
          <w:szCs w:val="19"/>
          <w:color w:val="231F20"/>
        </w:rPr>
        <w:t xml:space="preserve">On July 1, 2024, pursuant to the Agreement and Plan of Merger, dated as of February 7, 2024 (the Aera Merger Agreement), we obtained all of the ownership interests in Aera Energy LLC (Aera) in an all-stock transaction (Aera Merger). Our consolidated results of operations include the results of Aera beginning July 1, 2024, the closing date of the Aera Merger. The Aera Merger significantly impacted the comparability of our financial results for the year ended December 31, 2025 as compared to the years ended December 31, 2024 and 2023. See </w:t>
      </w:r>
      <w:r>
        <w:rPr>
          <w:rFonts w:ascii="Arial" w:cs="Arial" w:eastAsia="Arial" w:hAnsi="Arial"/>
          <w:sz w:val="19"/>
          <w:szCs w:val="19"/>
          <w:i w:val="1"/>
          <w:iCs w:val="1"/>
          <w:color w:val="231F20"/>
        </w:rPr>
        <w:t>Note 2 Business Combinations</w:t>
      </w:r>
      <w:r>
        <w:rPr>
          <w:rFonts w:ascii="Arial" w:cs="Arial" w:eastAsia="Arial" w:hAnsi="Arial"/>
          <w:sz w:val="19"/>
          <w:szCs w:val="19"/>
          <w:color w:val="231F20"/>
        </w:rPr>
        <w:t xml:space="preserve"> for transaction details.</w:t>
      </w:r>
    </w:p>
    <w:p>
      <w:pPr>
        <w:spacing w:after="0" w:line="172" w:lineRule="exact"/>
        <w:rPr>
          <w:sz w:val="20"/>
          <w:szCs w:val="20"/>
          <w:color w:val="auto"/>
        </w:rPr>
      </w:pPr>
    </w:p>
    <w:p>
      <w:pPr>
        <w:ind w:right="60" w:firstLine="300"/>
        <w:spacing w:after="0" w:line="247" w:lineRule="auto"/>
        <w:rPr>
          <w:sz w:val="20"/>
          <w:szCs w:val="20"/>
          <w:color w:val="auto"/>
        </w:rPr>
      </w:pPr>
      <w:r>
        <w:rPr>
          <w:rFonts w:ascii="Arial" w:cs="Arial" w:eastAsia="Arial" w:hAnsi="Arial"/>
          <w:sz w:val="20"/>
          <w:szCs w:val="20"/>
          <w:color w:val="231F20"/>
        </w:rPr>
        <w:t>Except when the context otherwise requires or where otherwise indicated, all references to ‘‘CRC,’’ the ‘‘Company,’’ ‘‘we,’’ ‘‘us’’ and ‘‘our’’ refer to California Resources Corporation and its consolidated subsidiaries as of the date presented.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Basis of Presentation</w:t>
      </w:r>
    </w:p>
    <w:p>
      <w:pPr>
        <w:spacing w:after="0" w:line="189" w:lineRule="exact"/>
        <w:rPr>
          <w:sz w:val="20"/>
          <w:szCs w:val="20"/>
          <w:color w:val="auto"/>
        </w:rPr>
      </w:pPr>
    </w:p>
    <w:p>
      <w:pPr>
        <w:ind w:right="120" w:firstLine="300"/>
        <w:spacing w:after="0" w:line="246" w:lineRule="auto"/>
        <w:rPr>
          <w:sz w:val="20"/>
          <w:szCs w:val="20"/>
          <w:color w:val="auto"/>
        </w:rPr>
      </w:pPr>
      <w:r>
        <w:rPr>
          <w:rFonts w:ascii="Arial" w:cs="Arial" w:eastAsia="Arial" w:hAnsi="Arial"/>
          <w:sz w:val="20"/>
          <w:szCs w:val="20"/>
          <w:color w:val="231F20"/>
        </w:rPr>
        <w:t>We have prepared this report in accordance with United States (U.S.) generally accepted accounting principles (U.S. GAAP) and the rules and regulations of the U.S. Securities and Exchange Commission applicable to annual financial information.</w:t>
      </w:r>
    </w:p>
    <w:p>
      <w:pPr>
        <w:spacing w:after="0" w:line="187"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All financial information presented consists of our consolidated results of operations, financial position and cash flows. We have eliminated intercompany transactions and balances. We account for our share of oil and natural gas producing activities, in which we have a direct working interest, by reporting our proportionate share of assets, liabilities, revenues, costs and cash flows within the relevant lines on our consolidated financial statements. We have conformed Berry’s and Aera’s accounting policies to our legacy methods for all significant balances included in our consolidated financial statements.</w:t>
      </w:r>
    </w:p>
    <w:p>
      <w:pPr>
        <w:sectPr>
          <w:pgSz w:w="11880" w:h="15480" w:orient="portrait"/>
          <w:cols w:equalWidth="0" w:num="1">
            <w:col w:w="9080"/>
          </w:cols>
          <w:pgMar w:left="1380" w:top="1310" w:right="1420" w:bottom="655" w:gutter="0" w:footer="0" w:header="0"/>
        </w:sect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95</w:t>
      </w:r>
    </w:p>
    <w:p>
      <w:pPr>
        <w:sectPr>
          <w:pgSz w:w="11880" w:h="15480" w:orient="portrait"/>
          <w:cols w:equalWidth="0" w:num="1">
            <w:col w:w="9080"/>
          </w:cols>
          <w:pgMar w:left="1380" w:top="1310" w:right="1420" w:bottom="655" w:gutter="0" w:footer="0" w:header="0"/>
          <w:type w:val="continuous"/>
        </w:sectPr>
      </w:pPr>
    </w:p>
    <w:bookmarkStart w:id="99" w:name="page100"/>
    <w:bookmarkEnd w:id="99"/>
    <w:p>
      <w:pPr>
        <w:ind w:right="20" w:firstLine="300"/>
        <w:spacing w:after="0" w:line="248" w:lineRule="auto"/>
        <w:rPr>
          <w:sz w:val="20"/>
          <w:szCs w:val="20"/>
          <w:color w:val="auto"/>
        </w:rPr>
      </w:pPr>
      <w:r>
        <w:rPr>
          <w:rFonts w:ascii="Arial" w:cs="Arial" w:eastAsia="Arial" w:hAnsi="Arial"/>
          <w:sz w:val="20"/>
          <w:szCs w:val="20"/>
          <w:color w:val="231F20"/>
        </w:rPr>
        <w:t>In applying the equity method of accounting, our investments in our unconsolidated subsidiaries are recognized either at cost, as is the case with Carbon TerraVault JV HoldCo, LLC, or at fair value if acquired in a business combination, as is the case for Midway Sunset Cogeneration Company. These investments are then adjusted for our proportionate share of income or loss in addition to contributions and distributions.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Certain 2023 balances related to natural gas liquid (NGL) marketing activities were reclassified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conform to our 2025 and 2024 presentation. For the year ended December 31, 2023, we reclassified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$6 million related to NGL storage activities from other revenue to revenue from marketing of purchased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commodities on our consolidated statements of operations. For the year ended December 31, 2023,</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we reclassified $3 million related to NGL processing fees from other operating expenses, net to costs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related to marketing of purchased commodities on our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Use of Estimates</w:t>
      </w:r>
    </w:p>
    <w:p>
      <w:pPr>
        <w:spacing w:after="0" w:line="167"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Further, actual results may differ from estimates upon settlement. Management believes that these estimates and judgments provide a reasonable basis for the fair presentation of our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Risks and Uncertainties</w:t>
      </w:r>
    </w:p>
    <w:p>
      <w:pPr>
        <w:spacing w:after="0" w:line="16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The revenue, profitability and future growth of our oil and natural gas segment are substantially dependent upon prevailing and future prices for the commodities we produce and sell, which can be volatile and fluctuate significantly due to factors beyond our control. Additionally, our oil and natural gas operations and development activities are subject to evolving state and local regulations, which may be subject to change or re-interpretation, which could result in increased compliance costs, delays or restrictions.</w:t>
      </w:r>
    </w:p>
    <w:p>
      <w:pPr>
        <w:spacing w:after="0" w:line="160" w:lineRule="exact"/>
        <w:rPr>
          <w:sz w:val="20"/>
          <w:szCs w:val="20"/>
          <w:color w:val="auto"/>
        </w:rPr>
      </w:pPr>
    </w:p>
    <w:p>
      <w:pPr>
        <w:ind w:right="100" w:firstLine="300"/>
        <w:spacing w:after="0" w:line="247" w:lineRule="auto"/>
        <w:rPr>
          <w:sz w:val="20"/>
          <w:szCs w:val="20"/>
          <w:color w:val="auto"/>
        </w:rPr>
      </w:pPr>
      <w:r>
        <w:rPr>
          <w:rFonts w:ascii="Arial" w:cs="Arial" w:eastAsia="Arial" w:hAnsi="Arial"/>
          <w:sz w:val="20"/>
          <w:szCs w:val="20"/>
          <w:color w:val="231F20"/>
        </w:rPr>
        <w:t>We are developing a carbon capture and sequestration business which is subject to risks as an emerging industry and availability of tax incentives. We operate primarily in California which is a highly regulated environment.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Concentration of Customers</w:t>
      </w:r>
    </w:p>
    <w:p>
      <w:pPr>
        <w:spacing w:after="0" w:line="167"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We sell crude oil, natural gas and NGLs to marketers, California refineries and other customers that have access to transportation and storage facilities. We do not believe that the loss of any single customer would have a material adverse effect on our consolidated financial statements taken as a whole.</w:t>
      </w:r>
    </w:p>
    <w:p>
      <w:pPr>
        <w:spacing w:after="0" w:line="161"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For the year ended December 31, 2025, two customers of our oil and gas segment each accounted for at least 10%, and collectively 51%, of our sales (before the effects of hedging). For the year ended December 31, 2024, four customers of our oil and gas segment each accounted for at least 10%, and collectively 67%, of our sales (before the effects of hedging). For the year ended December 31, 2023, three customers of our oil and gas segment each accounted for at least 10%, and collectively accounted for 44%, of our sales (before the effects of hedging).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Recently Issued but not Adopted Accounting and Disclosure Changes</w:t>
      </w:r>
    </w:p>
    <w:p>
      <w:pPr>
        <w:spacing w:after="0" w:line="167" w:lineRule="exact"/>
        <w:rPr>
          <w:sz w:val="20"/>
          <w:szCs w:val="20"/>
          <w:color w:val="auto"/>
        </w:rPr>
      </w:pPr>
    </w:p>
    <w:p>
      <w:pPr>
        <w:jc w:val="center"/>
        <w:ind w:right="300"/>
        <w:spacing w:after="0" w:line="271" w:lineRule="auto"/>
        <w:rPr>
          <w:sz w:val="20"/>
          <w:szCs w:val="20"/>
          <w:color w:val="auto"/>
        </w:rPr>
      </w:pPr>
      <w:r>
        <w:rPr>
          <w:rFonts w:ascii="Arial" w:cs="Arial" w:eastAsia="Arial" w:hAnsi="Arial"/>
          <w:sz w:val="19"/>
          <w:szCs w:val="19"/>
          <w:color w:val="231F20"/>
        </w:rPr>
        <w:t>In November 2024, the Financial Accounting Standards Board (FASB) issued new disclosure requirements to enhance disclosure of certain costs and expenses. These new expense disclosures</w:t>
      </w:r>
    </w:p>
    <w:p>
      <w:pPr>
        <w:sectPr>
          <w:pgSz w:w="11880" w:h="15480" w:orient="portrait"/>
          <w:cols w:equalWidth="0" w:num="1">
            <w:col w:w="9120"/>
          </w:cols>
          <w:pgMar w:left="1380" w:top="1316" w:right="1380" w:bottom="653"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96</w:t>
      </w:r>
    </w:p>
    <w:p>
      <w:pPr>
        <w:sectPr>
          <w:pgSz w:w="11880" w:h="15480" w:orient="portrait"/>
          <w:cols w:equalWidth="0" w:num="1">
            <w:col w:w="9120"/>
          </w:cols>
          <w:pgMar w:left="1380" w:top="1316" w:right="1380" w:bottom="653" w:gutter="0" w:footer="0" w:header="0"/>
          <w:type w:val="continuous"/>
        </w:sectPr>
      </w:pPr>
    </w:p>
    <w:bookmarkStart w:id="100" w:name="page101"/>
    <w:bookmarkEnd w:id="100"/>
    <w:p>
      <w:pPr>
        <w:ind w:right="140"/>
        <w:spacing w:after="0" w:line="248" w:lineRule="auto"/>
        <w:rPr>
          <w:sz w:val="20"/>
          <w:szCs w:val="20"/>
          <w:color w:val="auto"/>
        </w:rPr>
      </w:pPr>
      <w:r>
        <w:rPr>
          <w:rFonts w:ascii="Arial" w:cs="Arial" w:eastAsia="Arial" w:hAnsi="Arial"/>
          <w:sz w:val="20"/>
          <w:szCs w:val="20"/>
          <w:color w:val="231F20"/>
        </w:rPr>
        <w:t>will apply to us. The rules are effective for fiscal years beginning after December 15, 2026 and interim periods beginning after December 15, 2027, early adoption is permitted. The adoption of these rules will only impact our disclosures and have no impact to our results of operations, cash flows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Accounting Policies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Fair Value Measurements</w:t>
      </w:r>
    </w:p>
    <w:p>
      <w:pPr>
        <w:spacing w:after="0" w:line="156" w:lineRule="exact"/>
        <w:rPr>
          <w:sz w:val="20"/>
          <w:szCs w:val="20"/>
          <w:color w:val="auto"/>
        </w:rPr>
      </w:pPr>
    </w:p>
    <w:p>
      <w:pPr>
        <w:ind w:firstLine="300"/>
        <w:spacing w:after="0" w:line="243" w:lineRule="auto"/>
        <w:rPr>
          <w:sz w:val="20"/>
          <w:szCs w:val="20"/>
          <w:color w:val="auto"/>
        </w:rPr>
      </w:pPr>
      <w:r>
        <w:rPr>
          <w:rFonts w:ascii="Arial" w:cs="Arial" w:eastAsia="Arial" w:hAnsi="Arial"/>
          <w:sz w:val="20"/>
          <w:szCs w:val="20"/>
          <w:color w:val="231F20"/>
        </w:rPr>
        <w:t>Our assets and liabilities measured at fair value are categorized in a three-level fair-value hierarchy, based on the inputs to the valuation techniques: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Level 1—using quoted prices in active markets for the assets or liabilities;</w:t>
      </w:r>
    </w:p>
    <w:p>
      <w:pPr>
        <w:spacing w:after="0" w:line="15" w:lineRule="exact"/>
        <w:rPr>
          <w:sz w:val="20"/>
          <w:szCs w:val="20"/>
          <w:color w:val="auto"/>
        </w:rPr>
      </w:pPr>
    </w:p>
    <w:p>
      <w:pPr>
        <w:ind w:left="300" w:right="920"/>
        <w:spacing w:after="0" w:line="245" w:lineRule="auto"/>
        <w:rPr>
          <w:sz w:val="20"/>
          <w:szCs w:val="20"/>
          <w:color w:val="auto"/>
        </w:rPr>
      </w:pPr>
      <w:r>
        <w:rPr>
          <w:rFonts w:ascii="Arial" w:cs="Arial" w:eastAsia="Arial" w:hAnsi="Arial"/>
          <w:sz w:val="20"/>
          <w:szCs w:val="20"/>
          <w:color w:val="231F20"/>
        </w:rPr>
        <w:t>Level 2—using observable inputs other than quoted prices for the assets or liabilities; and Level 3—using unobservable inputs.</w:t>
      </w:r>
    </w:p>
    <w:p>
      <w:pPr>
        <w:spacing w:after="0" w:line="151"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and discount rates.</w:t>
      </w:r>
    </w:p>
    <w:p>
      <w:pPr>
        <w:spacing w:after="0" w:line="148"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Commodity derivatives are carried at fair value. We utilize the mid-point between bid and ask prices for valuing these instruments. Our commodity derivatives comprise of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w:t>
      </w:r>
    </w:p>
    <w:p>
      <w:pPr>
        <w:spacing w:after="0" w:line="152"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 xml:space="preserve">Our PP&amp;E may be written down to fair value if we determine that there has been an impairment. The fair value is determined as of the date of the assessment generally using discounted cash flow models based on management’s expectations for the future. Inputs include estimates of future production, prices based on commodity forward price curves, inclusive of market differentials, as of the date of the estimate, estimated future operating and development costs and a risk-adjusted discount rate. Refer to </w:t>
      </w:r>
      <w:r>
        <w:rPr>
          <w:rFonts w:ascii="Arial" w:cs="Arial" w:eastAsia="Arial" w:hAnsi="Arial"/>
          <w:sz w:val="20"/>
          <w:szCs w:val="20"/>
          <w:i w:val="1"/>
          <w:iCs w:val="1"/>
          <w:color w:val="231F20"/>
        </w:rPr>
        <w:t>Note 3 Property, Plant and Equipment</w:t>
      </w:r>
      <w:r>
        <w:rPr>
          <w:rFonts w:ascii="Arial" w:cs="Arial" w:eastAsia="Arial" w:hAnsi="Arial"/>
          <w:sz w:val="20"/>
          <w:szCs w:val="20"/>
          <w:color w:val="231F20"/>
        </w:rPr>
        <w:t xml:space="preserve"> for more information on our asset impairments.</w:t>
      </w:r>
    </w:p>
    <w:p>
      <w:pPr>
        <w:spacing w:after="0" w:line="149" w:lineRule="exact"/>
        <w:rPr>
          <w:sz w:val="20"/>
          <w:szCs w:val="20"/>
          <w:color w:val="auto"/>
        </w:rPr>
      </w:pPr>
    </w:p>
    <w:p>
      <w:pPr>
        <w:ind w:right="260" w:firstLine="300"/>
        <w:spacing w:after="0" w:line="245" w:lineRule="auto"/>
        <w:rPr>
          <w:sz w:val="20"/>
          <w:szCs w:val="20"/>
          <w:color w:val="auto"/>
        </w:rPr>
      </w:pPr>
      <w:r>
        <w:rPr>
          <w:rFonts w:ascii="Arial" w:cs="Arial" w:eastAsia="Arial" w:hAnsi="Arial"/>
          <w:sz w:val="20"/>
          <w:szCs w:val="20"/>
          <w:color w:val="231F20"/>
        </w:rPr>
        <w:t xml:space="preserve">The carrying amounts of cash and other on-balance sheet financial instruments, other than fixed-rate debt, approximate fair value. See </w:t>
      </w:r>
      <w:r>
        <w:rPr>
          <w:rFonts w:ascii="Arial" w:cs="Arial" w:eastAsia="Arial" w:hAnsi="Arial"/>
          <w:sz w:val="20"/>
          <w:szCs w:val="20"/>
          <w:i w:val="1"/>
          <w:iCs w:val="1"/>
          <w:color w:val="231F20"/>
        </w:rPr>
        <w:t>Note 5 Debt</w:t>
      </w:r>
      <w:r>
        <w:rPr>
          <w:rFonts w:ascii="Arial" w:cs="Arial" w:eastAsia="Arial" w:hAnsi="Arial"/>
          <w:sz w:val="20"/>
          <w:szCs w:val="20"/>
          <w:color w:val="231F20"/>
        </w:rPr>
        <w:t xml:space="preserve"> for the fair value of our fixed-rate debt.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Consolidations</w:t>
      </w:r>
    </w:p>
    <w:p>
      <w:pPr>
        <w:spacing w:after="0" w:line="156"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 xml:space="preserve">We may enter into joint ventures that are considered to be a variable interest entity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We consolidate a VIE if we determine that we have (i) the power to direct the activities of the VIE that most significantly impact its economic performance and (ii) the obligation to absorb losses or the right to receive benefits from the VIE that are more than insignificant to the VIE. If an entity is determined to be a VIE but we do not have a controlling interest, the entity is accounted for under either the cost or equity method depending on whether we exercise significant influence. See </w:t>
      </w:r>
      <w:r>
        <w:rPr>
          <w:rFonts w:ascii="Arial" w:cs="Arial" w:eastAsia="Arial" w:hAnsi="Arial"/>
          <w:sz w:val="20"/>
          <w:szCs w:val="20"/>
          <w:i w:val="1"/>
          <w:iCs w:val="1"/>
          <w:color w:val="231F20"/>
        </w:rPr>
        <w:t>Note 4 Investments and Related Party Transactions</w:t>
      </w:r>
      <w:r>
        <w:rPr>
          <w:rFonts w:ascii="Arial" w:cs="Arial" w:eastAsia="Arial" w:hAnsi="Arial"/>
          <w:sz w:val="20"/>
          <w:szCs w:val="20"/>
          <w:color w:val="231F20"/>
        </w:rPr>
        <w:t xml:space="preserve"> for more information on the Carbon TerraVault JV.</w:t>
      </w:r>
    </w:p>
    <w:p>
      <w:pPr>
        <w:sectPr>
          <w:pgSz w:w="11880" w:h="15480" w:orient="portrait"/>
          <w:cols w:equalWidth="0" w:num="1">
            <w:col w:w="9120"/>
          </w:cols>
          <w:pgMar w:left="1380" w:top="1316" w:right="1380" w:bottom="653"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97</w:t>
      </w:r>
    </w:p>
    <w:p>
      <w:pPr>
        <w:sectPr>
          <w:pgSz w:w="11880" w:h="15480" w:orient="portrait"/>
          <w:cols w:equalWidth="0" w:num="1">
            <w:col w:w="9120"/>
          </w:cols>
          <w:pgMar w:left="1380" w:top="1316" w:right="1380" w:bottom="653" w:gutter="0" w:footer="0" w:header="0"/>
          <w:type w:val="continuous"/>
        </w:sectPr>
      </w:pPr>
    </w:p>
    <w:bookmarkStart w:id="101" w:name="page102"/>
    <w:bookmarkEnd w:id="101"/>
    <w:p>
      <w:pPr>
        <w:ind w:firstLine="300"/>
        <w:spacing w:after="0" w:line="249" w:lineRule="auto"/>
        <w:rPr>
          <w:sz w:val="20"/>
          <w:szCs w:val="20"/>
          <w:color w:val="auto"/>
        </w:rPr>
      </w:pPr>
      <w:r>
        <w:rPr>
          <w:rFonts w:ascii="Arial" w:cs="Arial" w:eastAsia="Arial" w:hAnsi="Arial"/>
          <w:sz w:val="20"/>
          <w:szCs w:val="20"/>
          <w:color w:val="231F20"/>
        </w:rPr>
        <w:t xml:space="preserve">We also may enter into investments in entities that are considered to be voting interest entities (VOEs). A VOE is a legal entity that does not meet the conditions of a VIE as outlined above. We consolidate a VOE if we determine that we have a controlling financial interest in the VOE. If an entity is determined to be a VOE but we do not have a controlling financial interest, the entity is accounted for under either the cost or equity method, depending on the structure of the entity. See </w:t>
      </w:r>
      <w:r>
        <w:rPr>
          <w:rFonts w:ascii="Arial" w:cs="Arial" w:eastAsia="Arial" w:hAnsi="Arial"/>
          <w:sz w:val="20"/>
          <w:szCs w:val="20"/>
          <w:i w:val="1"/>
          <w:iCs w:val="1"/>
          <w:color w:val="231F20"/>
        </w:rPr>
        <w:t>Note 4</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Investments and Related Party Transactions </w:t>
      </w:r>
      <w:r>
        <w:rPr>
          <w:rFonts w:ascii="Arial" w:cs="Arial" w:eastAsia="Arial" w:hAnsi="Arial"/>
          <w:sz w:val="20"/>
          <w:szCs w:val="20"/>
          <w:color w:val="231F20"/>
        </w:rPr>
        <w:t>for more information on our investment in the Midway</w:t>
      </w:r>
      <w:r>
        <w:rPr>
          <w:rFonts w:ascii="Arial" w:cs="Arial" w:eastAsia="Arial" w:hAnsi="Arial"/>
          <w:sz w:val="20"/>
          <w:szCs w:val="20"/>
          <w:i w:val="1"/>
          <w:iCs w:val="1"/>
          <w:color w:val="231F20"/>
        </w:rPr>
        <w:t xml:space="preserve"> </w:t>
      </w:r>
      <w:r>
        <w:rPr>
          <w:rFonts w:ascii="Arial" w:cs="Arial" w:eastAsia="Arial" w:hAnsi="Arial"/>
          <w:sz w:val="20"/>
          <w:szCs w:val="20"/>
          <w:color w:val="231F20"/>
        </w:rPr>
        <w:t>Sunset Cogeneration Company.</w:t>
      </w:r>
    </w:p>
    <w:p>
      <w:pPr>
        <w:spacing w:after="0" w:line="178"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These evaluations are highly complex and involve management judgment and may involve the use of estimates and assumptions based on available information. The evaluation requires continual assessment. Investments in unconsolidated entities are assessed for impairment whenever changes in the facts and circumstances indicate a loss in value may have occurred, which is other than temporary.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Business Combinations</w:t>
      </w:r>
    </w:p>
    <w:p>
      <w:pPr>
        <w:spacing w:after="0" w:line="18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 xml:space="preserve">We account for business combination in accordance with Accounting Standards Codification Topic 805, </w:t>
      </w:r>
      <w:r>
        <w:rPr>
          <w:rFonts w:ascii="Arial" w:cs="Arial" w:eastAsia="Arial" w:hAnsi="Arial"/>
          <w:sz w:val="20"/>
          <w:szCs w:val="20"/>
          <w:i w:val="1"/>
          <w:iCs w:val="1"/>
          <w:color w:val="231F20"/>
        </w:rPr>
        <w:t>Business Combinations</w:t>
      </w:r>
      <w:r>
        <w:rPr>
          <w:rFonts w:ascii="Arial" w:cs="Arial" w:eastAsia="Arial" w:hAnsi="Arial"/>
          <w:sz w:val="20"/>
          <w:szCs w:val="20"/>
          <w:color w:val="231F20"/>
        </w:rPr>
        <w:t xml:space="preserve"> (ASC 805). Under the acquisition method of accounting in ASC 805, the assets acquired and liabilities assumed are measured as of their acquisition date fair value. Fair value is the price that we estimate would be received to sell an asset or paid to transfer a liability in an orderly transaction between market participants at the measurement date.</w:t>
      </w:r>
    </w:p>
    <w:p>
      <w:pPr>
        <w:spacing w:after="0" w:line="175" w:lineRule="exact"/>
        <w:rPr>
          <w:sz w:val="20"/>
          <w:szCs w:val="20"/>
          <w:color w:val="auto"/>
        </w:rPr>
      </w:pPr>
    </w:p>
    <w:p>
      <w:pPr>
        <w:ind w:right="80" w:firstLine="300"/>
        <w:spacing w:after="0" w:line="264" w:lineRule="auto"/>
        <w:rPr>
          <w:sz w:val="20"/>
          <w:szCs w:val="20"/>
          <w:color w:val="auto"/>
        </w:rPr>
      </w:pPr>
      <w:r>
        <w:rPr>
          <w:rFonts w:ascii="Arial" w:cs="Arial" w:eastAsia="Arial" w:hAnsi="Arial"/>
          <w:sz w:val="19"/>
          <w:szCs w:val="19"/>
          <w:color w:val="231F20"/>
        </w:rPr>
        <w:t xml:space="preserve">Accounting for business combinations requires the allocation of the purchase price to the various assets and liabilities of the acquired business and recording deferred taxes for any differences between the allocated values and tax basis of assets and liabilities. Any excess of the purchase price over the amounts assigned to assets and liabilities is recorded as goodwill. If the fair value of the assets acquired and the liabilities assumed are greater than the purchase price, then a bargain purchase gain is recognized. Transaction and integration costs associated with business combinations are expensed as incurred. Refer to </w:t>
      </w:r>
      <w:r>
        <w:rPr>
          <w:rFonts w:ascii="Arial" w:cs="Arial" w:eastAsia="Arial" w:hAnsi="Arial"/>
          <w:sz w:val="19"/>
          <w:szCs w:val="19"/>
          <w:i w:val="1"/>
          <w:iCs w:val="1"/>
          <w:color w:val="231F20"/>
        </w:rPr>
        <w:t>Note 2 Business Combinations</w:t>
      </w:r>
      <w:r>
        <w:rPr>
          <w:rFonts w:ascii="Arial" w:cs="Arial" w:eastAsia="Arial" w:hAnsi="Arial"/>
          <w:sz w:val="19"/>
          <w:szCs w:val="19"/>
          <w:color w:val="231F20"/>
        </w:rPr>
        <w:t xml:space="preserve">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Revenue Recognition</w:t>
      </w:r>
    </w:p>
    <w:p>
      <w:pPr>
        <w:spacing w:after="0" w:line="183"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231F20"/>
        </w:rPr>
        <w:t xml:space="preserve">We derive substantially all of our revenue from sales of oil, natural gas and NGLs, with the remaining revenue generated from sales of electricity and marketing activities (related to storage and managing excess pipeline capacity). Revenues are recognized when control of promised goods is transferred to our customers, in an amount that reflects the consideration we expect to receive in exchange for those goods. See </w:t>
      </w:r>
      <w:r>
        <w:rPr>
          <w:rFonts w:ascii="Arial" w:cs="Arial" w:eastAsia="Arial" w:hAnsi="Arial"/>
          <w:sz w:val="20"/>
          <w:szCs w:val="20"/>
          <w:i w:val="1"/>
          <w:iCs w:val="1"/>
          <w:color w:val="231F20"/>
        </w:rPr>
        <w:t>Note 15 Revenue</w:t>
      </w:r>
      <w:r>
        <w:rPr>
          <w:rFonts w:ascii="Arial" w:cs="Arial" w:eastAsia="Arial" w:hAnsi="Arial"/>
          <w:sz w:val="20"/>
          <w:szCs w:val="20"/>
          <w:color w:val="231F20"/>
        </w:rPr>
        <w:t xml:space="preserve"> for more information on our revenue from contracts with customers.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Restricted Cash</w:t>
      </w:r>
    </w:p>
    <w:p>
      <w:pPr>
        <w:spacing w:after="0" w:line="183"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231F20"/>
        </w:rPr>
        <w:t>Restricted cash of $15 million and $18 million, included in cash and cash equivalents on our consolidated balance sheet, at December 31, 2025 and December 31, 2024, respectively, primarily includes funds held in an escrow account established to secure well and infrastructure abandonment and habitat restoration at an oil and gas field previously owned by Aera. Funds will be released from the escrow account as work is completed. The Aera Merger Agreement provides that 50% of the amount of released funds exceeds the cumulative abandonment and habitat restoration expenditures from January 1, 2024 onward is payable to the prior owners of Aera (Sellers). We do not expect this return of excess cash to be significant.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Inventory</w:t>
      </w:r>
    </w:p>
    <w:p>
      <w:pPr>
        <w:spacing w:after="0" w:line="183"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231F20"/>
        </w:rPr>
        <w:t>Materials and supplies, which primarily consist of well equipment and tubular goods used in oil and natural gas operations, are valued at weighted-average cost and are reviewed periodically for obsolescence. Finished goods are predominantly comprised of oil and natural gas liquids (NGLs), which are valued at the lower of cost or net realizable value. Inventory, by category, are as follows:</w:t>
      </w:r>
    </w:p>
    <w:p>
      <w:pPr>
        <w:sectPr>
          <w:pgSz w:w="11880" w:h="15480" w:orient="portrait"/>
          <w:cols w:equalWidth="0" w:num="1">
            <w:col w:w="9120"/>
          </w:cols>
          <w:pgMar w:left="1380" w:top="1316" w:right="1380" w:bottom="655"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98</w:t>
      </w:r>
    </w:p>
    <w:p>
      <w:pPr>
        <w:sectPr>
          <w:pgSz w:w="11880" w:h="15480" w:orient="portrait"/>
          <w:cols w:equalWidth="0" w:num="1">
            <w:col w:w="9120"/>
          </w:cols>
          <w:pgMar w:left="1380" w:top="1316" w:right="1380" w:bottom="655"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50"/>
        </w:trPr>
        <w:tc>
          <w:tcPr>
            <w:tcW w:w="670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64"/>
              <w:spacing w:after="0"/>
              <w:rPr>
                <w:sz w:val="20"/>
                <w:szCs w:val="20"/>
                <w:color w:val="auto"/>
              </w:rPr>
            </w:pPr>
            <w:r>
              <w:rPr>
                <w:rFonts w:ascii="Arial" w:cs="Arial" w:eastAsia="Arial" w:hAnsi="Arial"/>
                <w:sz w:val="20"/>
                <w:szCs w:val="20"/>
                <w:b w:val="1"/>
                <w:bCs w:val="1"/>
                <w:color w:val="231F20"/>
              </w:rPr>
              <w:t>2025</w:t>
            </w:r>
          </w:p>
        </w:tc>
        <w:tc>
          <w:tcPr>
            <w:tcW w:w="20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ind w:right="200"/>
              <w:spacing w:after="0"/>
              <w:rPr>
                <w:sz w:val="20"/>
                <w:szCs w:val="20"/>
                <w:color w:val="auto"/>
              </w:rPr>
            </w:pPr>
            <w:r>
              <w:rPr>
                <w:rFonts w:ascii="Arial" w:cs="Arial" w:eastAsia="Arial" w:hAnsi="Arial"/>
                <w:sz w:val="20"/>
                <w:szCs w:val="20"/>
                <w:b w:val="1"/>
                <w:bCs w:val="1"/>
                <w:color w:val="231F20"/>
              </w:rPr>
              <w:t>2024</w:t>
            </w:r>
          </w:p>
        </w:tc>
      </w:tr>
      <w:tr>
        <w:trPr>
          <w:trHeight w:val="192"/>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6"/>
                <w:szCs w:val="16"/>
                <w:color w:val="231F20"/>
              </w:rPr>
              <w:t>(in millions)</w:t>
            </w:r>
          </w:p>
        </w:tc>
        <w:tc>
          <w:tcPr>
            <w:tcW w:w="780" w:type="dxa"/>
            <w:vAlign w:val="bottom"/>
          </w:tcPr>
          <w:p>
            <w:pPr>
              <w:spacing w:after="0"/>
              <w:rPr>
                <w:sz w:val="16"/>
                <w:szCs w:val="16"/>
                <w:color w:val="auto"/>
              </w:rPr>
            </w:pPr>
          </w:p>
        </w:tc>
      </w:tr>
      <w:tr>
        <w:trPr>
          <w:trHeight w:val="250"/>
        </w:trPr>
        <w:tc>
          <w:tcPr>
            <w:tcW w:w="6700" w:type="dxa"/>
            <w:vAlign w:val="bottom"/>
          </w:tcPr>
          <w:p>
            <w:pPr>
              <w:jc w:val="right"/>
              <w:ind w:right="100"/>
              <w:spacing w:after="0"/>
              <w:rPr>
                <w:sz w:val="20"/>
                <w:szCs w:val="20"/>
                <w:color w:val="auto"/>
              </w:rPr>
            </w:pPr>
            <w:r>
              <w:rPr>
                <w:rFonts w:ascii="Arial" w:cs="Arial" w:eastAsia="Arial" w:hAnsi="Arial"/>
                <w:sz w:val="20"/>
                <w:szCs w:val="20"/>
                <w:color w:val="231F20"/>
                <w:w w:val="96"/>
              </w:rPr>
              <w:t>Materials and supplies  . . . . . . . . . . . . . . . . . . . . . . . . . . . . . . . . . . . . . . . . . .</w:t>
            </w:r>
          </w:p>
        </w:tc>
        <w:tc>
          <w:tcPr>
            <w:tcW w:w="260" w:type="dxa"/>
            <w:vAlign w:val="bottom"/>
          </w:tcPr>
          <w:p>
            <w:pPr>
              <w:jc w:val="right"/>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98</w:t>
            </w:r>
          </w:p>
        </w:tc>
        <w:tc>
          <w:tcPr>
            <w:tcW w:w="46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86</w:t>
            </w:r>
          </w:p>
        </w:tc>
      </w:tr>
      <w:tr>
        <w:trPr>
          <w:trHeight w:val="240"/>
        </w:trPr>
        <w:tc>
          <w:tcPr>
            <w:tcW w:w="6700" w:type="dxa"/>
            <w:vAlign w:val="bottom"/>
          </w:tcPr>
          <w:p>
            <w:pPr>
              <w:jc w:val="right"/>
              <w:ind w:right="100"/>
              <w:spacing w:after="0"/>
              <w:rPr>
                <w:sz w:val="20"/>
                <w:szCs w:val="20"/>
                <w:color w:val="auto"/>
              </w:rPr>
            </w:pPr>
            <w:r>
              <w:rPr>
                <w:rFonts w:ascii="Arial" w:cs="Arial" w:eastAsia="Arial" w:hAnsi="Arial"/>
                <w:sz w:val="20"/>
                <w:szCs w:val="20"/>
                <w:color w:val="231F20"/>
                <w:w w:val="95"/>
              </w:rPr>
              <w:t>Finished goods  . . . . . . . . . . . . . . . . . . . . . . . . . . . . . . . . . . . . . . . . . . . . . . . .</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4</w:t>
            </w:r>
          </w:p>
        </w:tc>
      </w:tr>
      <w:tr>
        <w:trPr>
          <w:trHeight w:val="28"/>
        </w:trPr>
        <w:tc>
          <w:tcPr>
            <w:tcW w:w="67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72"/>
        </w:trPr>
        <w:tc>
          <w:tcPr>
            <w:tcW w:w="6700" w:type="dxa"/>
            <w:vAlign w:val="bottom"/>
          </w:tcPr>
          <w:p>
            <w:pPr>
              <w:jc w:val="right"/>
              <w:ind w:right="100"/>
              <w:spacing w:after="0"/>
              <w:rPr>
                <w:sz w:val="20"/>
                <w:szCs w:val="20"/>
                <w:color w:val="auto"/>
              </w:rPr>
            </w:pPr>
            <w:r>
              <w:rPr>
                <w:rFonts w:ascii="Arial" w:cs="Arial" w:eastAsia="Arial" w:hAnsi="Arial"/>
                <w:sz w:val="20"/>
                <w:szCs w:val="20"/>
                <w:color w:val="231F20"/>
              </w:rPr>
              <w:t>Total . . . . . . . . . . . . . . . . . . . . . . . . . . . . . . . . . . . . . . . . . . . . . . . . . . . . .</w:t>
            </w:r>
          </w:p>
        </w:tc>
        <w:tc>
          <w:tcPr>
            <w:tcW w:w="260" w:type="dxa"/>
            <w:vAlign w:val="bottom"/>
          </w:tcPr>
          <w:p>
            <w:pPr>
              <w:jc w:val="right"/>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106</w:t>
            </w:r>
          </w:p>
        </w:tc>
        <w:tc>
          <w:tcPr>
            <w:tcW w:w="46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90</w:t>
            </w:r>
          </w:p>
        </w:tc>
      </w:tr>
      <w:tr>
        <w:trPr>
          <w:trHeight w:val="28"/>
        </w:trPr>
        <w:tc>
          <w:tcPr>
            <w:tcW w:w="67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r>
    </w:tbl>
    <w:p>
      <w:pPr>
        <w:spacing w:after="0" w:line="217" w:lineRule="exact"/>
        <w:rPr>
          <w:sz w:val="20"/>
          <w:szCs w:val="20"/>
          <w:color w:val="auto"/>
        </w:rPr>
      </w:pPr>
    </w:p>
    <w:p>
      <w:pPr>
        <w:ind w:right="260" w:firstLine="300"/>
        <w:spacing w:after="0" w:line="246" w:lineRule="auto"/>
        <w:rPr>
          <w:sz w:val="20"/>
          <w:szCs w:val="20"/>
          <w:color w:val="auto"/>
        </w:rPr>
      </w:pPr>
      <w:r>
        <w:rPr>
          <w:rFonts w:ascii="Arial" w:cs="Arial" w:eastAsia="Arial" w:hAnsi="Arial"/>
          <w:sz w:val="20"/>
          <w:szCs w:val="20"/>
          <w:color w:val="231F20"/>
        </w:rPr>
        <w:t>In the year ended December 31, 2024, we recorded an impairment of excess and obsolete materials and supplies of $13 million. The impairment related to the write-down of obsolete materials and supplies to fair value using Level 3 inputs in the fair value hierarchy.</w:t>
      </w:r>
    </w:p>
    <w:p>
      <w:pPr>
        <w:spacing w:after="0" w:line="173" w:lineRule="exact"/>
        <w:rPr>
          <w:sz w:val="20"/>
          <w:szCs w:val="20"/>
          <w:color w:val="auto"/>
        </w:rPr>
      </w:pPr>
    </w:p>
    <w:p>
      <w:pPr>
        <w:ind w:right="80" w:firstLine="300"/>
        <w:spacing w:after="0" w:line="246" w:lineRule="auto"/>
        <w:rPr>
          <w:sz w:val="20"/>
          <w:szCs w:val="20"/>
          <w:color w:val="auto"/>
        </w:rPr>
      </w:pPr>
      <w:r>
        <w:rPr>
          <w:rFonts w:ascii="Arial" w:cs="Arial" w:eastAsia="Arial" w:hAnsi="Arial"/>
          <w:sz w:val="20"/>
          <w:szCs w:val="20"/>
          <w:color w:val="231F20"/>
        </w:rPr>
        <w:t xml:space="preserve">In 2025, we acquired materials and supplies inventory with an estimated value of $6 million in connection with the Berry Merger. See </w:t>
      </w:r>
      <w:r>
        <w:rPr>
          <w:rFonts w:ascii="Arial" w:cs="Arial" w:eastAsia="Arial" w:hAnsi="Arial"/>
          <w:sz w:val="20"/>
          <w:szCs w:val="20"/>
          <w:i w:val="1"/>
          <w:iCs w:val="1"/>
          <w:color w:val="231F20"/>
        </w:rPr>
        <w:t>Note 2 Business Combinations</w:t>
      </w:r>
      <w:r>
        <w:rPr>
          <w:rFonts w:ascii="Arial" w:cs="Arial" w:eastAsia="Arial" w:hAnsi="Arial"/>
          <w:sz w:val="20"/>
          <w:szCs w:val="20"/>
          <w:color w:val="231F20"/>
        </w:rPr>
        <w:t xml:space="preserve"> for additional information on the Berry Merger.</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Derivative Instruments</w:t>
      </w:r>
    </w:p>
    <w:p>
      <w:pPr>
        <w:spacing w:after="0" w:line="175"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The fair value of our derivative contracts are netted when a legal right of offset exists with the same counterparty with an intent to offset. Since we did not apply hedge accounting to our commodity derivatives for any of the periods presented, we recognized fair value adjustments, on a net basis, in our consolidated statements of operations. Unless otherwise indicated, we use the term “hedge” to describe derivative instruments that are designed to achieve our hedging program goals, even though they are not accounted for as cash-flow or fair-value hedges.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Property, Plant and Equipment (PP&amp;E)</w:t>
      </w:r>
    </w:p>
    <w:p>
      <w:pPr>
        <w:spacing w:after="0" w:line="175"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231F20"/>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spacing w:after="0" w:line="168" w:lineRule="exact"/>
        <w:rPr>
          <w:sz w:val="20"/>
          <w:szCs w:val="20"/>
          <w:color w:val="auto"/>
        </w:rPr>
      </w:pPr>
    </w:p>
    <w:p>
      <w:pPr>
        <w:ind w:right="10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Proved Reserves </w:t>
      </w:r>
      <w:r>
        <w:rPr>
          <w:rFonts w:ascii="Arial" w:cs="Arial" w:eastAsia="Arial" w:hAnsi="Arial"/>
          <w:sz w:val="20"/>
          <w:szCs w:val="20"/>
          <w:color w:val="231F20"/>
        </w:rPr>
        <w:t>– Proved reserves are those quantities of oil and natural gas that, by analysis of</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geoscience and engineering data, can be estimated with reasonable certainty to be economically producible—from a specific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capital investments.</w:t>
      </w:r>
    </w:p>
    <w:p>
      <w:pPr>
        <w:spacing w:after="0" w:line="16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Several factors could change our proved oil and natural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ectPr>
          <w:pgSz w:w="11880" w:h="15480" w:orient="portrait"/>
          <w:cols w:equalWidth="0" w:num="1">
            <w:col w:w="9120"/>
          </w:cols>
          <w:pgMar w:left="1380" w:top="1270" w:right="1380" w:bottom="655"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99</w:t>
      </w:r>
    </w:p>
    <w:p>
      <w:pPr>
        <w:sectPr>
          <w:pgSz w:w="11880" w:h="15480" w:orient="portrait"/>
          <w:cols w:equalWidth="0" w:num="1">
            <w:col w:w="9120"/>
          </w:cols>
          <w:pgMar w:left="1380" w:top="1270" w:right="1380" w:bottom="655" w:gutter="0" w:footer="0" w:header="0"/>
          <w:type w:val="continuous"/>
        </w:sectPr>
      </w:pPr>
    </w:p>
    <w:bookmarkStart w:id="103" w:name="page104"/>
    <w:bookmarkEnd w:id="103"/>
    <w:p>
      <w:pPr>
        <w:ind w:right="20" w:firstLine="300"/>
        <w:spacing w:after="0" w:line="249" w:lineRule="auto"/>
        <w:rPr>
          <w:sz w:val="20"/>
          <w:szCs w:val="20"/>
          <w:color w:val="auto"/>
        </w:rPr>
      </w:pPr>
      <w:r>
        <w:rPr>
          <w:rFonts w:ascii="Arial" w:cs="Arial" w:eastAsia="Arial" w:hAnsi="Arial"/>
          <w:sz w:val="20"/>
          <w:szCs w:val="20"/>
          <w:color w:val="231F20"/>
        </w:rPr>
        <w:t>We perform impairment tests with respect to proved properties when product prices decline other than temporarily, reserve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Any impairment loss would be calculated as the excess of the asset’s net book value over its estimated fair value. We recognize any impairment loss on proved properties by adjusting the carrying amount of the asset.</w:t>
      </w:r>
    </w:p>
    <w:p>
      <w:pPr>
        <w:spacing w:after="0" w:line="247"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b w:val="1"/>
          <w:bCs w:val="1"/>
          <w:i w:val="1"/>
          <w:iCs w:val="1"/>
          <w:color w:val="231F20"/>
        </w:rPr>
        <w:t xml:space="preserve">Unproved Properties </w:t>
      </w:r>
      <w:r>
        <w:rPr>
          <w:rFonts w:ascii="Arial" w:cs="Arial" w:eastAsia="Arial" w:hAnsi="Arial"/>
          <w:sz w:val="20"/>
          <w:szCs w:val="20"/>
          <w:i w:val="1"/>
          <w:i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When we make acquisitions that include unproved properties, we assign</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values based on estimated reserves that we believe will ultimately be proved. As exploration and development work progresses and if reserves are proved, we transfer the book value from unproved to proved based on the initially determined acquisition cost per BOE. If the exploration and development work were to be unsuccessful, or management decided not to pursue development of these properties as a result of lower commodity prices, higher development and operating costs, regulatory changes, contractual conditions or other factors, the capitalized costs of the related properties would be expensed.</w:t>
      </w:r>
    </w:p>
    <w:p>
      <w:pPr>
        <w:spacing w:after="0" w:line="24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242" w:lineRule="exact"/>
        <w:rPr>
          <w:sz w:val="20"/>
          <w:szCs w:val="20"/>
          <w:color w:val="auto"/>
        </w:rPr>
      </w:pPr>
    </w:p>
    <w:p>
      <w:pPr>
        <w:ind w:right="80" w:firstLine="300"/>
        <w:spacing w:after="0" w:line="265" w:lineRule="auto"/>
        <w:rPr>
          <w:sz w:val="20"/>
          <w:szCs w:val="20"/>
          <w:color w:val="auto"/>
        </w:rPr>
      </w:pPr>
      <w:r>
        <w:rPr>
          <w:rFonts w:ascii="Arial" w:cs="Arial" w:eastAsia="Arial" w:hAnsi="Arial"/>
          <w:sz w:val="19"/>
          <w:szCs w:val="19"/>
          <w:b w:val="1"/>
          <w:bCs w:val="1"/>
          <w:i w:val="1"/>
          <w:iCs w:val="1"/>
          <w:color w:val="231F20"/>
        </w:rPr>
        <w:t xml:space="preserve">Depreciation, Depletion and Amortization </w:t>
      </w:r>
      <w:r>
        <w:rPr>
          <w:rFonts w:ascii="Arial" w:cs="Arial" w:eastAsia="Arial" w:hAnsi="Arial"/>
          <w:sz w:val="19"/>
          <w:szCs w:val="19"/>
          <w:color w:val="231F20"/>
        </w:rPr>
        <w:t>– We determine depreciation, depletion and</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amortization (DD&amp;A) of oil and natural gas 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We depreciate other property and equipment using the straight-line method based on expected useful lives of the individual assets or group of assets. The useful lives typically include ranges of 5-10 for well servicing equipment, 4-10 years for leasehold improvements, 1-4 years for software and telecommunications equipment and up to 5 years for computer hardware.</w:t>
      </w:r>
    </w:p>
    <w:p>
      <w:pPr>
        <w:spacing w:after="0" w:line="232"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231F20"/>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Stock-Based Incentive Plans</w:t>
      </w:r>
    </w:p>
    <w:p>
      <w:pPr>
        <w:spacing w:after="0" w:line="255" w:lineRule="exact"/>
        <w:rPr>
          <w:sz w:val="20"/>
          <w:szCs w:val="20"/>
          <w:color w:val="auto"/>
        </w:rPr>
      </w:pPr>
    </w:p>
    <w:p>
      <w:pPr>
        <w:ind w:right="40" w:firstLine="300"/>
        <w:spacing w:after="0" w:line="248" w:lineRule="auto"/>
        <w:rPr>
          <w:sz w:val="20"/>
          <w:szCs w:val="20"/>
          <w:color w:val="auto"/>
        </w:rPr>
      </w:pPr>
      <w:r>
        <w:rPr>
          <w:rFonts w:ascii="Arial" w:cs="Arial" w:eastAsia="Arial" w:hAnsi="Arial"/>
          <w:sz w:val="20"/>
          <w:szCs w:val="20"/>
          <w:color w:val="231F20"/>
        </w:rPr>
        <w:t xml:space="preserve">The terms of our long-term incentive plan were approved by our board of directors in January 2021. In accordance with this long-term incentive plan, we reserved 9,257,740 shares of common stock (subject to adjustment) for future issuances to certain executives, employees and non-employee directors that are more fully described in </w:t>
      </w:r>
      <w:r>
        <w:rPr>
          <w:rFonts w:ascii="Arial" w:cs="Arial" w:eastAsia="Arial" w:hAnsi="Arial"/>
          <w:sz w:val="20"/>
          <w:szCs w:val="20"/>
          <w:i w:val="1"/>
          <w:iCs w:val="1"/>
          <w:color w:val="231F20"/>
        </w:rPr>
        <w:t>Note 10 Stock-Based Compensation</w:t>
      </w:r>
      <w:r>
        <w:rPr>
          <w:rFonts w:ascii="Arial" w:cs="Arial" w:eastAsia="Arial" w:hAnsi="Arial"/>
          <w:sz w:val="20"/>
          <w:szCs w:val="20"/>
          <w:color w:val="231F20"/>
        </w:rPr>
        <w: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Earnings Per Share</w:t>
      </w:r>
    </w:p>
    <w:p>
      <w:pPr>
        <w:spacing w:after="0" w:line="255" w:lineRule="exact"/>
        <w:rPr>
          <w:sz w:val="20"/>
          <w:szCs w:val="20"/>
          <w:color w:val="auto"/>
        </w:rPr>
      </w:pPr>
    </w:p>
    <w:p>
      <w:pPr>
        <w:ind w:right="100" w:firstLine="300"/>
        <w:spacing w:after="0" w:line="267" w:lineRule="auto"/>
        <w:rPr>
          <w:sz w:val="20"/>
          <w:szCs w:val="20"/>
          <w:color w:val="auto"/>
        </w:rPr>
      </w:pPr>
      <w:r>
        <w:rPr>
          <w:rFonts w:ascii="Arial" w:cs="Arial" w:eastAsia="Arial" w:hAnsi="Arial"/>
          <w:sz w:val="19"/>
          <w:szCs w:val="19"/>
          <w:color w:val="231F20"/>
        </w:rPr>
        <w:t>Basic earnings per share is calculated as net income divided by the weighted average number of our common shares outstanding during the period. Diluted earnings per share is calculated by dividing net income by the weighted average number of our common shares outstanding including the effect of</w:t>
      </w:r>
    </w:p>
    <w:p>
      <w:pPr>
        <w:sectPr>
          <w:pgSz w:w="11880" w:h="15480" w:orient="portrait"/>
          <w:cols w:equalWidth="0" w:num="1">
            <w:col w:w="9120"/>
          </w:cols>
          <w:pgMar w:left="1380" w:top="1316" w:right="1380" w:bottom="66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100</w:t>
      </w:r>
    </w:p>
    <w:p>
      <w:pPr>
        <w:sectPr>
          <w:pgSz w:w="11880" w:h="15480" w:orient="portrait"/>
          <w:cols w:equalWidth="0" w:num="1">
            <w:col w:w="9120"/>
          </w:cols>
          <w:pgMar w:left="1380" w:top="1316" w:right="1380" w:bottom="660" w:gutter="0" w:footer="0" w:header="0"/>
          <w:type w:val="continuous"/>
        </w:sectPr>
      </w:pPr>
    </w:p>
    <w:bookmarkStart w:id="104" w:name="page105"/>
    <w:bookmarkEnd w:id="104"/>
    <w:p>
      <w:pPr>
        <w:ind w:right="100"/>
        <w:spacing w:after="0" w:line="248" w:lineRule="auto"/>
        <w:rPr>
          <w:sz w:val="20"/>
          <w:szCs w:val="20"/>
          <w:color w:val="auto"/>
        </w:rPr>
      </w:pPr>
      <w:r>
        <w:rPr>
          <w:rFonts w:ascii="Arial" w:cs="Arial" w:eastAsia="Arial" w:hAnsi="Arial"/>
          <w:sz w:val="20"/>
          <w:szCs w:val="20"/>
          <w:color w:val="231F20"/>
        </w:rPr>
        <w:t>dilutive potential common shares. We compute basic and diluted earnings per share (EPS) using the two-class method required for participating securities, when applicable, and the treasury stock method when participating securities are not in place. Certain restricted and performance stock awards are considered participating securities when such shares have non-forfeitable dividend rights, which participate at the same rate as common stock.</w:t>
      </w:r>
    </w:p>
    <w:p>
      <w:pPr>
        <w:spacing w:after="0" w:line="252"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Asset Retirement Obligations</w:t>
      </w:r>
    </w:p>
    <w:p>
      <w:pPr>
        <w:spacing w:after="0" w:line="217"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based on future retirement cost estimates and incorporates many assumptions such as time of abandonment, current regulatory requirements, technological changes, future inflation rates and a risk-adjusted discount rate. When the liability is initially recorded, we capitalize the cost by increasing the related PP&amp;E balances. If the estimated future cost or timing of cash flow changes, we adjust the fair value of the liability and PP&amp;E. Over time the liability is increased, and expense is recognized for accretion. The cost capitalized to PP&amp;E is recovered over either the useful life of our facilities or the unit-of-production method for our minerals.</w:t>
      </w:r>
    </w:p>
    <w:p>
      <w:pPr>
        <w:spacing w:after="0" w:line="214" w:lineRule="exact"/>
        <w:rPr>
          <w:sz w:val="20"/>
          <w:szCs w:val="20"/>
          <w:color w:val="auto"/>
        </w:rPr>
      </w:pPr>
    </w:p>
    <w:p>
      <w:pPr>
        <w:ind w:right="200" w:firstLine="300"/>
        <w:spacing w:after="0" w:line="249" w:lineRule="auto"/>
        <w:rPr>
          <w:sz w:val="20"/>
          <w:szCs w:val="20"/>
          <w:color w:val="auto"/>
        </w:rPr>
      </w:pPr>
      <w:r>
        <w:rPr>
          <w:rFonts w:ascii="Arial" w:cs="Arial" w:eastAsia="Arial" w:hAnsi="Arial"/>
          <w:sz w:val="20"/>
          <w:szCs w:val="20"/>
          <w:color w:val="231F20"/>
        </w:rPr>
        <w:t>We have asset retirement obligations for certain of our facilities, which includes plant and field decommissioning, and the plugging and abandonment of wells. In certain cases,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following table summarizes the activity related to our 2025 and 2024 ARO:</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640" w:type="dxa"/>
            <w:vAlign w:val="bottom"/>
            <w:gridSpan w:val="4"/>
          </w:tcPr>
          <w:p>
            <w:pPr>
              <w:jc w:val="right"/>
              <w:ind w:right="60"/>
              <w:spacing w:after="0"/>
              <w:rPr>
                <w:sz w:val="20"/>
                <w:szCs w:val="20"/>
                <w:color w:val="auto"/>
              </w:rPr>
            </w:pPr>
            <w:r>
              <w:rPr>
                <w:rFonts w:ascii="Arial" w:cs="Arial" w:eastAsia="Arial" w:hAnsi="Arial"/>
                <w:sz w:val="16"/>
                <w:szCs w:val="16"/>
                <w:b w:val="1"/>
                <w:bCs w:val="1"/>
                <w:color w:val="231F20"/>
              </w:rPr>
              <w:t>Year ended December 31,</w:t>
            </w:r>
          </w:p>
        </w:tc>
        <w:tc>
          <w:tcPr>
            <w:tcW w:w="580" w:type="dxa"/>
            <w:vAlign w:val="bottom"/>
          </w:tcPr>
          <w:p>
            <w:pPr>
              <w:spacing w:after="0"/>
              <w:rPr>
                <w:sz w:val="16"/>
                <w:szCs w:val="16"/>
                <w:color w:val="auto"/>
              </w:rPr>
            </w:pPr>
          </w:p>
        </w:tc>
      </w:tr>
      <w:tr>
        <w:trPr>
          <w:trHeight w:val="28"/>
        </w:trPr>
        <w:tc>
          <w:tcPr>
            <w:tcW w:w="59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r>
      <w:tr>
        <w:trPr>
          <w:trHeight w:val="192"/>
        </w:trPr>
        <w:tc>
          <w:tcPr>
            <w:tcW w:w="59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231F20"/>
              </w:rPr>
              <w:t>2025</w:t>
            </w:r>
          </w:p>
        </w:tc>
        <w:tc>
          <w:tcPr>
            <w:tcW w:w="5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231F20"/>
              </w:rPr>
              <w:t>2024</w:t>
            </w:r>
          </w:p>
        </w:tc>
        <w:tc>
          <w:tcPr>
            <w:tcW w:w="580" w:type="dxa"/>
            <w:vAlign w:val="bottom"/>
          </w:tcPr>
          <w:p>
            <w:pPr>
              <w:spacing w:after="0"/>
              <w:rPr>
                <w:sz w:val="16"/>
                <w:szCs w:val="16"/>
                <w:color w:val="auto"/>
              </w:rPr>
            </w:pPr>
          </w:p>
        </w:tc>
      </w:tr>
      <w:tr>
        <w:trPr>
          <w:trHeight w:val="28"/>
        </w:trPr>
        <w:tc>
          <w:tcPr>
            <w:tcW w:w="59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r>
      <w:tr>
        <w:trPr>
          <w:trHeight w:val="192"/>
        </w:trPr>
        <w:tc>
          <w:tcPr>
            <w:tcW w:w="5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6"/>
                <w:szCs w:val="16"/>
                <w:color w:val="231F20"/>
              </w:rPr>
              <w:t>(in millions)</w:t>
            </w:r>
          </w:p>
        </w:tc>
        <w:tc>
          <w:tcPr>
            <w:tcW w:w="580" w:type="dxa"/>
            <w:vAlign w:val="bottom"/>
          </w:tcPr>
          <w:p>
            <w:pPr>
              <w:spacing w:after="0"/>
              <w:rPr>
                <w:sz w:val="16"/>
                <w:szCs w:val="16"/>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20"/>
                <w:szCs w:val="20"/>
                <w:color w:val="231F20"/>
              </w:rPr>
              <w:t>Beginning balance . . . . . . . . . . . . . . . . . . . . . . . . . . . . . . . . . . . . . .</w:t>
            </w:r>
          </w:p>
        </w:tc>
        <w:tc>
          <w:tcPr>
            <w:tcW w:w="940" w:type="dxa"/>
            <w:vAlign w:val="bottom"/>
          </w:tcPr>
          <w:p>
            <w:pPr>
              <w:jc w:val="right"/>
              <w:ind w:right="747"/>
              <w:spacing w:after="0"/>
              <w:rPr>
                <w:sz w:val="20"/>
                <w:szCs w:val="20"/>
                <w:color w:val="auto"/>
              </w:rPr>
            </w:pPr>
            <w:r>
              <w:rPr>
                <w:rFonts w:ascii="Arial" w:cs="Arial" w:eastAsia="Arial" w:hAnsi="Arial"/>
                <w:sz w:val="20"/>
                <w:szCs w:val="20"/>
                <w:color w:val="231F20"/>
                <w:w w:val="71"/>
              </w:rPr>
              <w:t>$</w:t>
            </w:r>
          </w:p>
        </w:tc>
        <w:tc>
          <w:tcPr>
            <w:tcW w:w="560" w:type="dxa"/>
            <w:vAlign w:val="bottom"/>
          </w:tcPr>
          <w:p>
            <w:pPr>
              <w:jc w:val="right"/>
              <w:spacing w:after="0"/>
              <w:rPr>
                <w:sz w:val="20"/>
                <w:szCs w:val="20"/>
                <w:color w:val="auto"/>
              </w:rPr>
            </w:pPr>
            <w:r>
              <w:rPr>
                <w:rFonts w:ascii="Arial" w:cs="Arial" w:eastAsia="Arial" w:hAnsi="Arial"/>
                <w:sz w:val="20"/>
                <w:szCs w:val="20"/>
                <w:color w:val="231F20"/>
                <w:w w:val="95"/>
              </w:rPr>
              <w:t>1,129</w:t>
            </w:r>
          </w:p>
        </w:tc>
        <w:tc>
          <w:tcPr>
            <w:tcW w:w="1140" w:type="dxa"/>
            <w:vAlign w:val="bottom"/>
            <w:gridSpan w:val="2"/>
          </w:tcPr>
          <w:p>
            <w:pPr>
              <w:jc w:val="right"/>
              <w:ind w:right="820"/>
              <w:spacing w:after="0"/>
              <w:rPr>
                <w:sz w:val="20"/>
                <w:szCs w:val="20"/>
                <w:color w:val="auto"/>
              </w:rPr>
            </w:pPr>
            <w:r>
              <w:rPr>
                <w:rFonts w:ascii="Arial" w:cs="Arial" w:eastAsia="Arial" w:hAnsi="Arial"/>
                <w:sz w:val="20"/>
                <w:szCs w:val="20"/>
                <w:color w:val="231F20"/>
              </w:rPr>
              <w:t>$</w:t>
            </w:r>
          </w:p>
        </w:tc>
        <w:tc>
          <w:tcPr>
            <w:tcW w:w="580" w:type="dxa"/>
            <w:vAlign w:val="bottom"/>
          </w:tcPr>
          <w:p>
            <w:pPr>
              <w:jc w:val="right"/>
              <w:spacing w:after="0"/>
              <w:rPr>
                <w:sz w:val="20"/>
                <w:szCs w:val="20"/>
                <w:color w:val="auto"/>
              </w:rPr>
            </w:pPr>
            <w:r>
              <w:rPr>
                <w:rFonts w:ascii="Arial" w:cs="Arial" w:eastAsia="Arial" w:hAnsi="Arial"/>
                <w:sz w:val="20"/>
                <w:szCs w:val="20"/>
                <w:color w:val="231F20"/>
              </w:rPr>
              <w:t>521</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231F20"/>
              </w:rPr>
              <w:t>Liabilities assumed  . . . . . . . . . . . . . . . . . . . . . . . . . . . . . . . . . . . . .</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231F20"/>
              </w:rPr>
              <w:t>151</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31F20"/>
              </w:rPr>
              <w:t>646</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231F20"/>
              </w:rPr>
              <w:t>Liabilities settled and divested  . . . . . . . . . . . . . . . . . . . . . . . . . . . .</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231F20"/>
              </w:rPr>
              <w:t>(122)</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31F20"/>
              </w:rPr>
              <w:t>(94)</w:t>
            </w:r>
          </w:p>
        </w:tc>
      </w:tr>
      <w:tr>
        <w:trPr>
          <w:trHeight w:val="255"/>
        </w:trPr>
        <w:tc>
          <w:tcPr>
            <w:tcW w:w="5900" w:type="dxa"/>
            <w:vAlign w:val="bottom"/>
          </w:tcPr>
          <w:p>
            <w:pPr>
              <w:spacing w:after="0" w:line="255" w:lineRule="exact"/>
              <w:rPr>
                <w:sz w:val="20"/>
                <w:szCs w:val="20"/>
                <w:color w:val="auto"/>
              </w:rPr>
            </w:pPr>
            <w:r>
              <w:rPr>
                <w:rFonts w:ascii="Arial" w:cs="Arial" w:eastAsia="Arial" w:hAnsi="Arial"/>
                <w:sz w:val="20"/>
                <w:szCs w:val="20"/>
                <w:color w:val="231F20"/>
                <w:w w:val="99"/>
              </w:rPr>
              <w:t>Accretion expense</w:t>
            </w:r>
            <w:r>
              <w:rPr>
                <w:rFonts w:ascii="Arial" w:cs="Arial" w:eastAsia="Arial" w:hAnsi="Arial"/>
                <w:sz w:val="26"/>
                <w:szCs w:val="26"/>
                <w:color w:val="231F20"/>
                <w:w w:val="99"/>
                <w:vertAlign w:val="superscript"/>
              </w:rPr>
              <w:t>(a)</w:t>
            </w:r>
            <w:r>
              <w:rPr>
                <w:rFonts w:ascii="Arial" w:cs="Arial" w:eastAsia="Arial" w:hAnsi="Arial"/>
                <w:sz w:val="20"/>
                <w:szCs w:val="20"/>
                <w:color w:val="231F20"/>
                <w:w w:val="99"/>
              </w:rPr>
              <w:t xml:space="preserve">  . . . . . . . . . . . . . . . . . . . . . . . . . . . . . . . . . . . .</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231F20"/>
              </w:rPr>
              <w:t>113</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31F20"/>
              </w:rPr>
              <w:t>84</w:t>
            </w:r>
          </w:p>
        </w:tc>
      </w:tr>
      <w:tr>
        <w:trPr>
          <w:trHeight w:val="223"/>
        </w:trPr>
        <w:tc>
          <w:tcPr>
            <w:tcW w:w="5900" w:type="dxa"/>
            <w:vAlign w:val="bottom"/>
          </w:tcPr>
          <w:p>
            <w:pPr>
              <w:spacing w:after="0" w:line="223" w:lineRule="exact"/>
              <w:rPr>
                <w:sz w:val="20"/>
                <w:szCs w:val="20"/>
                <w:color w:val="auto"/>
              </w:rPr>
            </w:pPr>
            <w:r>
              <w:rPr>
                <w:rFonts w:ascii="Arial" w:cs="Arial" w:eastAsia="Arial" w:hAnsi="Arial"/>
                <w:sz w:val="20"/>
                <w:szCs w:val="20"/>
                <w:color w:val="231F20"/>
              </w:rPr>
              <w:t>Revisions of estimated cash flows . . . . . . . . . . . . . . . . . . . . . . . . .</w:t>
            </w:r>
          </w:p>
        </w:tc>
        <w:tc>
          <w:tcPr>
            <w:tcW w:w="940" w:type="dxa"/>
            <w:vAlign w:val="bottom"/>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Arial" w:cs="Arial" w:eastAsia="Arial" w:hAnsi="Arial"/>
                <w:sz w:val="20"/>
                <w:szCs w:val="20"/>
                <w:color w:val="231F20"/>
              </w:rPr>
              <w:t>(242)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line="223" w:lineRule="exact"/>
              <w:rPr>
                <w:sz w:val="20"/>
                <w:szCs w:val="20"/>
                <w:color w:val="auto"/>
              </w:rPr>
            </w:pPr>
            <w:r>
              <w:rPr>
                <w:rFonts w:ascii="Arial" w:cs="Arial" w:eastAsia="Arial" w:hAnsi="Arial"/>
                <w:sz w:val="20"/>
                <w:szCs w:val="20"/>
                <w:color w:val="231F20"/>
              </w:rPr>
              <w:t>(32)</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231F20"/>
                <w:w w:val="99"/>
              </w:rPr>
              <w:t>Additions . . . . . . . . . . . . . . . . . . . . . . . . . . . . . . . . . . . . . . . . . . . . . .</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31F20"/>
              </w:rPr>
              <w:t>4</w:t>
            </w:r>
          </w:p>
        </w:tc>
      </w:tr>
      <w:tr>
        <w:trPr>
          <w:trHeight w:val="30"/>
        </w:trPr>
        <w:tc>
          <w:tcPr>
            <w:tcW w:w="59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r>
      <w:tr>
        <w:trPr>
          <w:trHeight w:val="272"/>
        </w:trPr>
        <w:tc>
          <w:tcPr>
            <w:tcW w:w="5900" w:type="dxa"/>
            <w:vAlign w:val="bottom"/>
          </w:tcPr>
          <w:p>
            <w:pPr>
              <w:spacing w:after="0"/>
              <w:rPr>
                <w:sz w:val="20"/>
                <w:szCs w:val="20"/>
                <w:color w:val="auto"/>
              </w:rPr>
            </w:pPr>
            <w:r>
              <w:rPr>
                <w:rFonts w:ascii="Arial" w:cs="Arial" w:eastAsia="Arial" w:hAnsi="Arial"/>
                <w:sz w:val="20"/>
                <w:szCs w:val="20"/>
                <w:color w:val="231F20"/>
                <w:w w:val="99"/>
              </w:rPr>
              <w:t>Ending balance  . . . . . . . . . . . . . . . . . . . . . . . . . . . . . . . . . . . . . . . .</w:t>
            </w:r>
          </w:p>
        </w:tc>
        <w:tc>
          <w:tcPr>
            <w:tcW w:w="940" w:type="dxa"/>
            <w:vAlign w:val="bottom"/>
          </w:tcPr>
          <w:p>
            <w:pPr>
              <w:jc w:val="right"/>
              <w:ind w:right="747"/>
              <w:spacing w:after="0"/>
              <w:rPr>
                <w:sz w:val="20"/>
                <w:szCs w:val="20"/>
                <w:color w:val="auto"/>
              </w:rPr>
            </w:pPr>
            <w:r>
              <w:rPr>
                <w:rFonts w:ascii="Arial" w:cs="Arial" w:eastAsia="Arial" w:hAnsi="Arial"/>
                <w:sz w:val="20"/>
                <w:szCs w:val="20"/>
                <w:color w:val="231F20"/>
                <w:w w:val="71"/>
              </w:rPr>
              <w:t>$</w:t>
            </w:r>
          </w:p>
        </w:tc>
        <w:tc>
          <w:tcPr>
            <w:tcW w:w="560" w:type="dxa"/>
            <w:vAlign w:val="bottom"/>
          </w:tcPr>
          <w:p>
            <w:pPr>
              <w:jc w:val="right"/>
              <w:spacing w:after="0"/>
              <w:rPr>
                <w:sz w:val="20"/>
                <w:szCs w:val="20"/>
                <w:color w:val="auto"/>
              </w:rPr>
            </w:pPr>
            <w:r>
              <w:rPr>
                <w:rFonts w:ascii="Arial" w:cs="Arial" w:eastAsia="Arial" w:hAnsi="Arial"/>
                <w:sz w:val="20"/>
                <w:szCs w:val="20"/>
                <w:color w:val="231F20"/>
                <w:w w:val="95"/>
              </w:rPr>
              <w:t>1,033</w:t>
            </w:r>
          </w:p>
        </w:tc>
        <w:tc>
          <w:tcPr>
            <w:tcW w:w="1140" w:type="dxa"/>
            <w:vAlign w:val="bottom"/>
            <w:gridSpan w:val="2"/>
          </w:tcPr>
          <w:p>
            <w:pPr>
              <w:jc w:val="right"/>
              <w:ind w:right="820"/>
              <w:spacing w:after="0"/>
              <w:rPr>
                <w:sz w:val="20"/>
                <w:szCs w:val="20"/>
                <w:color w:val="auto"/>
              </w:rPr>
            </w:pPr>
            <w:r>
              <w:rPr>
                <w:rFonts w:ascii="Arial" w:cs="Arial" w:eastAsia="Arial" w:hAnsi="Arial"/>
                <w:sz w:val="20"/>
                <w:szCs w:val="20"/>
                <w:color w:val="231F20"/>
              </w:rPr>
              <w:t>$</w:t>
            </w:r>
          </w:p>
        </w:tc>
        <w:tc>
          <w:tcPr>
            <w:tcW w:w="580" w:type="dxa"/>
            <w:vAlign w:val="bottom"/>
          </w:tcPr>
          <w:p>
            <w:pPr>
              <w:jc w:val="right"/>
              <w:spacing w:after="0"/>
              <w:rPr>
                <w:sz w:val="20"/>
                <w:szCs w:val="20"/>
                <w:color w:val="auto"/>
              </w:rPr>
            </w:pPr>
            <w:r>
              <w:rPr>
                <w:rFonts w:ascii="Arial" w:cs="Arial" w:eastAsia="Arial" w:hAnsi="Arial"/>
                <w:sz w:val="20"/>
                <w:szCs w:val="20"/>
                <w:color w:val="231F20"/>
                <w:w w:val="99"/>
              </w:rPr>
              <w:t>1,129</w:t>
            </w:r>
          </w:p>
        </w:tc>
      </w:tr>
      <w:tr>
        <w:trPr>
          <w:trHeight w:val="28"/>
        </w:trPr>
        <w:tc>
          <w:tcPr>
            <w:tcW w:w="59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r>
      <w:tr>
        <w:trPr>
          <w:trHeight w:val="272"/>
        </w:trPr>
        <w:tc>
          <w:tcPr>
            <w:tcW w:w="5900" w:type="dxa"/>
            <w:vAlign w:val="bottom"/>
          </w:tcPr>
          <w:p>
            <w:pPr>
              <w:spacing w:after="0"/>
              <w:rPr>
                <w:sz w:val="20"/>
                <w:szCs w:val="20"/>
                <w:color w:val="auto"/>
              </w:rPr>
            </w:pPr>
            <w:r>
              <w:rPr>
                <w:rFonts w:ascii="Arial" w:cs="Arial" w:eastAsia="Arial" w:hAnsi="Arial"/>
                <w:sz w:val="20"/>
                <w:szCs w:val="20"/>
                <w:color w:val="231F20"/>
              </w:rPr>
              <w:t>Current liability (included in accrued liabilities)  . . . . . . . . . . . . . . .</w:t>
            </w:r>
          </w:p>
        </w:tc>
        <w:tc>
          <w:tcPr>
            <w:tcW w:w="940" w:type="dxa"/>
            <w:vAlign w:val="bottom"/>
          </w:tcPr>
          <w:p>
            <w:pPr>
              <w:jc w:val="right"/>
              <w:ind w:right="747"/>
              <w:spacing w:after="0"/>
              <w:rPr>
                <w:sz w:val="20"/>
                <w:szCs w:val="20"/>
                <w:color w:val="auto"/>
              </w:rPr>
            </w:pPr>
            <w:r>
              <w:rPr>
                <w:rFonts w:ascii="Arial" w:cs="Arial" w:eastAsia="Arial" w:hAnsi="Arial"/>
                <w:sz w:val="20"/>
                <w:szCs w:val="20"/>
                <w:color w:val="231F20"/>
                <w:w w:val="71"/>
              </w:rPr>
              <w:t>$</w:t>
            </w:r>
          </w:p>
        </w:tc>
        <w:tc>
          <w:tcPr>
            <w:tcW w:w="560" w:type="dxa"/>
            <w:vAlign w:val="bottom"/>
          </w:tcPr>
          <w:p>
            <w:pPr>
              <w:jc w:val="right"/>
              <w:spacing w:after="0"/>
              <w:rPr>
                <w:sz w:val="20"/>
                <w:szCs w:val="20"/>
                <w:color w:val="auto"/>
              </w:rPr>
            </w:pPr>
            <w:r>
              <w:rPr>
                <w:rFonts w:ascii="Arial" w:cs="Arial" w:eastAsia="Arial" w:hAnsi="Arial"/>
                <w:sz w:val="20"/>
                <w:szCs w:val="20"/>
                <w:color w:val="231F20"/>
              </w:rPr>
              <w:t>120</w:t>
            </w:r>
          </w:p>
        </w:tc>
        <w:tc>
          <w:tcPr>
            <w:tcW w:w="1140" w:type="dxa"/>
            <w:vAlign w:val="bottom"/>
            <w:gridSpan w:val="2"/>
          </w:tcPr>
          <w:p>
            <w:pPr>
              <w:jc w:val="right"/>
              <w:ind w:right="820"/>
              <w:spacing w:after="0"/>
              <w:rPr>
                <w:sz w:val="20"/>
                <w:szCs w:val="20"/>
                <w:color w:val="auto"/>
              </w:rPr>
            </w:pPr>
            <w:r>
              <w:rPr>
                <w:rFonts w:ascii="Arial" w:cs="Arial" w:eastAsia="Arial" w:hAnsi="Arial"/>
                <w:sz w:val="20"/>
                <w:szCs w:val="20"/>
                <w:color w:val="231F20"/>
              </w:rPr>
              <w:t>$</w:t>
            </w:r>
          </w:p>
        </w:tc>
        <w:tc>
          <w:tcPr>
            <w:tcW w:w="580" w:type="dxa"/>
            <w:vAlign w:val="bottom"/>
          </w:tcPr>
          <w:p>
            <w:pPr>
              <w:jc w:val="right"/>
              <w:spacing w:after="0"/>
              <w:rPr>
                <w:sz w:val="20"/>
                <w:szCs w:val="20"/>
                <w:color w:val="auto"/>
              </w:rPr>
            </w:pPr>
            <w:r>
              <w:rPr>
                <w:rFonts w:ascii="Arial" w:cs="Arial" w:eastAsia="Arial" w:hAnsi="Arial"/>
                <w:sz w:val="20"/>
                <w:szCs w:val="20"/>
                <w:color w:val="231F20"/>
              </w:rPr>
              <w:t>134</w:t>
            </w:r>
          </w:p>
        </w:tc>
      </w:tr>
      <w:tr>
        <w:trPr>
          <w:trHeight w:val="240"/>
        </w:trPr>
        <w:tc>
          <w:tcPr>
            <w:tcW w:w="5900" w:type="dxa"/>
            <w:vAlign w:val="bottom"/>
          </w:tcPr>
          <w:p>
            <w:pPr>
              <w:spacing w:after="0"/>
              <w:rPr>
                <w:sz w:val="20"/>
                <w:szCs w:val="20"/>
                <w:color w:val="auto"/>
              </w:rPr>
            </w:pPr>
            <w:r>
              <w:rPr>
                <w:rFonts w:ascii="Arial" w:cs="Arial" w:eastAsia="Arial" w:hAnsi="Arial"/>
                <w:sz w:val="20"/>
                <w:szCs w:val="20"/>
                <w:color w:val="231F20"/>
                <w:w w:val="99"/>
              </w:rPr>
              <w:t>Non-current liability  . . . . . . . . . . . . . . . . . . . . . . . . . . . . . . . . . . . . .</w:t>
            </w:r>
          </w:p>
        </w:tc>
        <w:tc>
          <w:tcPr>
            <w:tcW w:w="940" w:type="dxa"/>
            <w:vAlign w:val="bottom"/>
          </w:tcPr>
          <w:p>
            <w:pPr>
              <w:jc w:val="right"/>
              <w:ind w:right="747"/>
              <w:spacing w:after="0"/>
              <w:rPr>
                <w:sz w:val="20"/>
                <w:szCs w:val="20"/>
                <w:color w:val="auto"/>
              </w:rPr>
            </w:pPr>
            <w:r>
              <w:rPr>
                <w:rFonts w:ascii="Arial" w:cs="Arial" w:eastAsia="Arial" w:hAnsi="Arial"/>
                <w:sz w:val="20"/>
                <w:szCs w:val="20"/>
                <w:color w:val="231F20"/>
                <w:w w:val="71"/>
              </w:rPr>
              <w:t>$</w:t>
            </w:r>
          </w:p>
        </w:tc>
        <w:tc>
          <w:tcPr>
            <w:tcW w:w="560" w:type="dxa"/>
            <w:vAlign w:val="bottom"/>
          </w:tcPr>
          <w:p>
            <w:pPr>
              <w:jc w:val="right"/>
              <w:spacing w:after="0"/>
              <w:rPr>
                <w:sz w:val="20"/>
                <w:szCs w:val="20"/>
                <w:color w:val="auto"/>
              </w:rPr>
            </w:pPr>
            <w:r>
              <w:rPr>
                <w:rFonts w:ascii="Arial" w:cs="Arial" w:eastAsia="Arial" w:hAnsi="Arial"/>
                <w:sz w:val="20"/>
                <w:szCs w:val="20"/>
                <w:color w:val="231F20"/>
              </w:rPr>
              <w:t>913</w:t>
            </w:r>
          </w:p>
        </w:tc>
        <w:tc>
          <w:tcPr>
            <w:tcW w:w="1140" w:type="dxa"/>
            <w:vAlign w:val="bottom"/>
            <w:gridSpan w:val="2"/>
          </w:tcPr>
          <w:p>
            <w:pPr>
              <w:jc w:val="right"/>
              <w:ind w:right="820"/>
              <w:spacing w:after="0"/>
              <w:rPr>
                <w:sz w:val="20"/>
                <w:szCs w:val="20"/>
                <w:color w:val="auto"/>
              </w:rPr>
            </w:pPr>
            <w:r>
              <w:rPr>
                <w:rFonts w:ascii="Arial" w:cs="Arial" w:eastAsia="Arial" w:hAnsi="Arial"/>
                <w:sz w:val="20"/>
                <w:szCs w:val="20"/>
                <w:color w:val="231F20"/>
              </w:rPr>
              <w:t>$</w:t>
            </w:r>
          </w:p>
        </w:tc>
        <w:tc>
          <w:tcPr>
            <w:tcW w:w="580" w:type="dxa"/>
            <w:vAlign w:val="bottom"/>
          </w:tcPr>
          <w:p>
            <w:pPr>
              <w:jc w:val="right"/>
              <w:spacing w:after="0"/>
              <w:rPr>
                <w:sz w:val="20"/>
                <w:szCs w:val="20"/>
                <w:color w:val="auto"/>
              </w:rPr>
            </w:pPr>
            <w:r>
              <w:rPr>
                <w:rFonts w:ascii="Arial" w:cs="Arial" w:eastAsia="Arial" w:hAnsi="Arial"/>
                <w:sz w:val="20"/>
                <w:szCs w:val="20"/>
                <w:color w:val="231F20"/>
              </w:rPr>
              <w:t>995</w:t>
            </w:r>
          </w:p>
        </w:tc>
      </w:tr>
    </w:tbl>
    <w:p>
      <w:pPr>
        <w:spacing w:after="0" w:line="211" w:lineRule="exact"/>
        <w:rPr>
          <w:sz w:val="20"/>
          <w:szCs w:val="20"/>
          <w:color w:val="auto"/>
        </w:rPr>
      </w:pPr>
    </w:p>
    <w:p>
      <w:pPr>
        <w:ind w:left="320" w:right="540" w:hanging="320"/>
        <w:spacing w:after="0" w:line="286" w:lineRule="auto"/>
        <w:tabs>
          <w:tab w:leader="none" w:pos="320" w:val="left"/>
        </w:tabs>
        <w:numPr>
          <w:ilvl w:val="0"/>
          <w:numId w:val="55"/>
        </w:numPr>
        <w:rPr>
          <w:rFonts w:ascii="Arial" w:cs="Arial" w:eastAsia="Arial" w:hAnsi="Arial"/>
          <w:sz w:val="15"/>
          <w:szCs w:val="15"/>
          <w:color w:val="231F20"/>
        </w:rPr>
      </w:pPr>
      <w:r>
        <w:rPr>
          <w:rFonts w:ascii="Arial" w:cs="Arial" w:eastAsia="Arial" w:hAnsi="Arial"/>
          <w:sz w:val="15"/>
          <w:szCs w:val="15"/>
          <w:color w:val="231F20"/>
        </w:rPr>
        <w:t>For the year ended December 31, 2024, we recognized a $3 million adjustment included in measurement period adjustments on our consolidated statement of operations related to accretion on the Aera asset retirement obligation.</w:t>
      </w:r>
    </w:p>
    <w:p>
      <w:pPr>
        <w:spacing w:after="0" w:line="192" w:lineRule="exact"/>
        <w:rPr>
          <w:sz w:val="20"/>
          <w:szCs w:val="20"/>
          <w:color w:val="auto"/>
        </w:rPr>
      </w:pPr>
    </w:p>
    <w:p>
      <w:pPr>
        <w:jc w:val="both"/>
        <w:ind w:right="440" w:firstLine="300"/>
        <w:spacing w:after="0" w:line="267" w:lineRule="auto"/>
        <w:rPr>
          <w:sz w:val="20"/>
          <w:szCs w:val="20"/>
          <w:color w:val="auto"/>
        </w:rPr>
      </w:pPr>
      <w:r>
        <w:rPr>
          <w:rFonts w:ascii="Arial" w:cs="Arial" w:eastAsia="Arial" w:hAnsi="Arial"/>
          <w:sz w:val="19"/>
          <w:szCs w:val="19"/>
          <w:color w:val="231F20"/>
        </w:rPr>
        <w:t xml:space="preserve">Liabilities assumed during 2025 and 2024 include $151 million related to the Berry Merger and $646 million related to the Aera Merger, respectively. See </w:t>
      </w:r>
      <w:r>
        <w:rPr>
          <w:rFonts w:ascii="Arial" w:cs="Arial" w:eastAsia="Arial" w:hAnsi="Arial"/>
          <w:sz w:val="19"/>
          <w:szCs w:val="19"/>
          <w:i w:val="1"/>
          <w:iCs w:val="1"/>
          <w:color w:val="231F20"/>
        </w:rPr>
        <w:t>Note 2 Business Combinations</w:t>
      </w:r>
      <w:r>
        <w:rPr>
          <w:rFonts w:ascii="Arial" w:cs="Arial" w:eastAsia="Arial" w:hAnsi="Arial"/>
          <w:sz w:val="19"/>
          <w:szCs w:val="19"/>
          <w:color w:val="231F20"/>
        </w:rPr>
        <w:t xml:space="preserve"> for more information on these transactions. Our liabilities settled and divested in 2025 related to settlement</w:t>
      </w:r>
    </w:p>
    <w:p>
      <w:pPr>
        <w:sectPr>
          <w:pgSz w:w="11880" w:h="15480" w:orient="portrait"/>
          <w:cols w:equalWidth="0" w:num="1">
            <w:col w:w="9120"/>
          </w:cols>
          <w:pgMar w:left="1380" w:top="1316"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101</w:t>
      </w:r>
    </w:p>
    <w:p>
      <w:pPr>
        <w:sectPr>
          <w:pgSz w:w="11880" w:h="15480" w:orient="portrait"/>
          <w:cols w:equalWidth="0" w:num="1">
            <w:col w:w="9120"/>
          </w:cols>
          <w:pgMar w:left="1380" w:top="1316" w:right="1380" w:bottom="660" w:gutter="0" w:footer="0" w:header="0"/>
          <w:type w:val="continuous"/>
        </w:sectPr>
      </w:pPr>
    </w:p>
    <w:bookmarkStart w:id="105" w:name="page106"/>
    <w:bookmarkEnd w:id="105"/>
    <w:p>
      <w:pPr>
        <w:spacing w:after="0" w:line="249" w:lineRule="auto"/>
        <w:rPr>
          <w:sz w:val="20"/>
          <w:szCs w:val="20"/>
          <w:color w:val="auto"/>
        </w:rPr>
      </w:pPr>
      <w:r>
        <w:rPr>
          <w:rFonts w:ascii="Arial" w:cs="Arial" w:eastAsia="Arial" w:hAnsi="Arial"/>
          <w:sz w:val="20"/>
          <w:szCs w:val="20"/>
          <w:color w:val="231F20"/>
        </w:rPr>
        <w:t>payments. Our liabilities settled and divested in 2025 for $122 million, included $35 million for Aera settlement payments. Our liabilities settled and divested in 2024 for $94 million, included $92 million for settlement payments and $2 million related to the divestiture of our Fort Apache real estate property in Huntington Beach, California. Revisions of our estimated cash flows decreased $210 million in 2025, which primarily relates to Aera fields and reflects efficiencies gained in how we perform our well abandonment and also extension of field economic limits due to operating cost savings, mostly related to steamfloods. Revisions of estimated cash flows for 2025 also included $19 million related to purchase price adjustments related to the Aera Merger.</w:t>
      </w:r>
    </w:p>
    <w:p>
      <w:pPr>
        <w:spacing w:after="0" w:line="197" w:lineRule="exact"/>
        <w:rPr>
          <w:sz w:val="20"/>
          <w:szCs w:val="20"/>
          <w:color w:val="auto"/>
        </w:rPr>
      </w:pPr>
    </w:p>
    <w:p>
      <w:pPr>
        <w:ind w:right="380" w:firstLine="300"/>
        <w:spacing w:after="0" w:line="243" w:lineRule="auto"/>
        <w:rPr>
          <w:sz w:val="20"/>
          <w:szCs w:val="20"/>
          <w:color w:val="auto"/>
        </w:rPr>
      </w:pPr>
      <w:r>
        <w:rPr>
          <w:rFonts w:ascii="Arial" w:cs="Arial" w:eastAsia="Arial" w:hAnsi="Arial"/>
          <w:sz w:val="20"/>
          <w:szCs w:val="20"/>
          <w:color w:val="231F20"/>
        </w:rPr>
        <w:t>Revisions of our estimated cash flows decreased $32 million in 2024, which reflects efficiencies gained in how we perform our well abandonment.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Loss Contingencies</w:t>
      </w:r>
    </w:p>
    <w:p>
      <w:pPr>
        <w:spacing w:after="0" w:line="203"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losses in excess of the amount recorded on the balance sheet for these matters if it is reasonably possible that an additional material loss may be incurred. We review our loss contingencies on an ongoing basis.</w:t>
      </w:r>
    </w:p>
    <w:p>
      <w:pPr>
        <w:spacing w:after="0" w:line="194" w:lineRule="exact"/>
        <w:rPr>
          <w:sz w:val="20"/>
          <w:szCs w:val="20"/>
          <w:color w:val="auto"/>
        </w:rPr>
      </w:pPr>
    </w:p>
    <w:p>
      <w:pPr>
        <w:ind w:right="320" w:firstLine="300"/>
        <w:spacing w:after="0" w:line="249" w:lineRule="auto"/>
        <w:rPr>
          <w:sz w:val="20"/>
          <w:szCs w:val="20"/>
          <w:color w:val="auto"/>
        </w:rPr>
      </w:pPr>
      <w:r>
        <w:rPr>
          <w:rFonts w:ascii="Arial" w:cs="Arial" w:eastAsia="Arial" w:hAnsi="Arial"/>
          <w:sz w:val="20"/>
          <w:szCs w:val="20"/>
          <w:color w:val="231F20"/>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Income Taxes</w:t>
      </w:r>
    </w:p>
    <w:p>
      <w:pPr>
        <w:spacing w:after="0" w:line="201"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Deferred tax assets and liabilities are recognized for the estimated future tax consequences attributable to differences between the financial statement carrying amounts of assets and liabilities and their tax basis.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w:t>
      </w:r>
    </w:p>
    <w:p>
      <w:pPr>
        <w:spacing w:after="0" w:line="194"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Production-Sharing Type Contracts</w:t>
      </w:r>
    </w:p>
    <w:p>
      <w:pPr>
        <w:spacing w:after="0" w:line="20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certain capital and operating costs that we incur, (ii) for our share of contractually defined base production where applicable,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w:t>
      </w:r>
    </w:p>
    <w:p>
      <w:pPr>
        <w:sectPr>
          <w:pgSz w:w="11880" w:h="15480" w:orient="portrait"/>
          <w:cols w:equalWidth="0" w:num="1">
            <w:col w:w="9100"/>
          </w:cols>
          <w:pgMar w:left="1380" w:top="1316" w:right="1400" w:bottom="66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102</w:t>
      </w:r>
    </w:p>
    <w:p>
      <w:pPr>
        <w:sectPr>
          <w:pgSz w:w="11880" w:h="15480" w:orient="portrait"/>
          <w:cols w:equalWidth="0" w:num="1">
            <w:col w:w="9100"/>
          </w:cols>
          <w:pgMar w:left="1380" w:top="1316" w:right="1400" w:bottom="660" w:gutter="0" w:footer="0" w:header="0"/>
          <w:type w:val="continuous"/>
        </w:sectPr>
      </w:pPr>
    </w:p>
    <w:bookmarkStart w:id="106" w:name="page107"/>
    <w:bookmarkEnd w:id="106"/>
    <w:p>
      <w:pPr>
        <w:ind w:right="520"/>
        <w:spacing w:after="0" w:line="248" w:lineRule="auto"/>
        <w:rPr>
          <w:sz w:val="20"/>
          <w:szCs w:val="20"/>
          <w:color w:val="auto"/>
        </w:rPr>
      </w:pPr>
      <w:r>
        <w:rPr>
          <w:rFonts w:ascii="Arial" w:cs="Arial" w:eastAsia="Arial" w:hAnsi="Arial"/>
          <w:sz w:val="20"/>
          <w:szCs w:val="20"/>
          <w:color w:val="231F20"/>
        </w:rPr>
        <w:t>contracts decreases when product prices rise and increases when prices decline, assuming comparable capital investment and operating costs. However, our net economic benefit is greater when product prices are higher. These PSCs represented approximately 3% and 12% of our production for the years ended December 31, 2025 and 2024, respectively.</w:t>
      </w:r>
    </w:p>
    <w:p>
      <w:pPr>
        <w:spacing w:after="0" w:line="222"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231F20"/>
        </w:rPr>
        <w:t>In line with industry practice for reporting PSCs,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Pension and Postretirement Benefit Plans</w:t>
      </w:r>
    </w:p>
    <w:p>
      <w:pPr>
        <w:spacing w:after="0" w:line="228"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All of our regular, full-time employees participate in postretirement benefit plans we sponsor. These plans are primarily funded as benefits are paid. In addition, some of our employees also participate in defined benefit pension plans sponsored by us. We recognize the net overfunded or underfunded amounts in the consolidated financial statements at each measurement date.</w:t>
      </w:r>
    </w:p>
    <w:p>
      <w:pPr>
        <w:spacing w:after="0" w:line="222" w:lineRule="exact"/>
        <w:rPr>
          <w:sz w:val="20"/>
          <w:szCs w:val="20"/>
          <w:color w:val="auto"/>
        </w:rPr>
      </w:pPr>
    </w:p>
    <w:p>
      <w:pPr>
        <w:ind w:right="160" w:firstLine="300"/>
        <w:spacing w:after="0" w:line="249" w:lineRule="auto"/>
        <w:rPr>
          <w:sz w:val="20"/>
          <w:szCs w:val="20"/>
          <w:color w:val="auto"/>
        </w:rPr>
      </w:pPr>
      <w:r>
        <w:rPr>
          <w:rFonts w:ascii="Arial" w:cs="Arial" w:eastAsia="Arial" w:hAnsi="Arial"/>
          <w:sz w:val="20"/>
          <w:szCs w:val="20"/>
          <w:color w:val="231F20"/>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220" w:lineRule="exact"/>
        <w:rPr>
          <w:sz w:val="20"/>
          <w:szCs w:val="20"/>
          <w:color w:val="auto"/>
        </w:rPr>
      </w:pPr>
    </w:p>
    <w:p>
      <w:pPr>
        <w:ind w:firstLine="300"/>
        <w:spacing w:after="0" w:line="247" w:lineRule="auto"/>
        <w:rPr>
          <w:sz w:val="20"/>
          <w:szCs w:val="20"/>
          <w:color w:val="auto"/>
        </w:rPr>
      </w:pPr>
      <w:r>
        <w:rPr>
          <w:rFonts w:ascii="Arial" w:cs="Arial" w:eastAsia="Arial" w:hAnsi="Arial"/>
          <w:sz w:val="20"/>
          <w:szCs w:val="20"/>
          <w:color w:val="231F20"/>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w:t>
      </w:r>
    </w:p>
    <w:p>
      <w:pPr>
        <w:spacing w:after="0" w:line="223" w:lineRule="exact"/>
        <w:rPr>
          <w:sz w:val="20"/>
          <w:szCs w:val="20"/>
          <w:color w:val="auto"/>
        </w:rPr>
      </w:pPr>
    </w:p>
    <w:p>
      <w:pPr>
        <w:ind w:right="440" w:firstLine="300"/>
        <w:spacing w:after="0" w:line="246" w:lineRule="auto"/>
        <w:rPr>
          <w:sz w:val="20"/>
          <w:szCs w:val="20"/>
          <w:color w:val="auto"/>
        </w:rPr>
      </w:pPr>
      <w:r>
        <w:rPr>
          <w:rFonts w:ascii="Arial" w:cs="Arial" w:eastAsia="Arial" w:hAnsi="Arial"/>
          <w:sz w:val="20"/>
          <w:szCs w:val="20"/>
          <w:color w:val="231F20"/>
        </w:rPr>
        <w:t>Actuarial gains and losses that have not yet been recognized through income, are recorded in accumulated other comprehensive income within equity, net of taxes, until they are amortized as a component of net periodic benefit cost.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Leases</w:t>
      </w:r>
    </w:p>
    <w:p>
      <w:pPr>
        <w:spacing w:after="0" w:line="228"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color w:val="231F20"/>
        </w:rPr>
        <w:t>We account for our leases in which we are the lessee, other than mineral leases including oil and natural gas leases, under an accounting standard which requires us to recognize most leases, including operating leases, on the balance sheet. We categorize leases as either operating or financing at lease commencement. We recognize a right-of-use (ROU) asset and associated lease liability for each operating and finance lease with contractual terms of greater than 12 months on the balance sheet. In considering whether a contract contains a lease, we first consider whether there is an identifiable asset and then consider how and for what purpose the asset would be used over the contract term. Our ROU assets are measured at the initial amount of the lease liability determined by measuring the present value of the fixed minimum lease payments, adjusted for any payments made before or at the lease commencement date, discounted using our incremental borrowing rate (IBR). In determining our IBR, we consider the average cost of borrowing for publicly traded corporate bond yields, which are adjusted to reflect our credit rating, the remaining lease term for each class of our leases and frequency of payments.</w:t>
      </w:r>
    </w:p>
    <w:p>
      <w:pPr>
        <w:spacing w:after="0" w:line="219" w:lineRule="exact"/>
        <w:rPr>
          <w:sz w:val="20"/>
          <w:szCs w:val="20"/>
          <w:color w:val="auto"/>
        </w:rPr>
      </w:pPr>
    </w:p>
    <w:p>
      <w:pPr>
        <w:ind w:right="100" w:firstLine="300"/>
        <w:spacing w:after="0" w:line="266" w:lineRule="auto"/>
        <w:rPr>
          <w:sz w:val="20"/>
          <w:szCs w:val="20"/>
          <w:color w:val="auto"/>
        </w:rPr>
      </w:pPr>
      <w:r>
        <w:rPr>
          <w:rFonts w:ascii="Arial" w:cs="Arial" w:eastAsia="Arial" w:hAnsi="Arial"/>
          <w:sz w:val="19"/>
          <w:szCs w:val="19"/>
          <w:color w:val="231F20"/>
        </w:rPr>
        <w:t>The ROU assets for operating leases are amortized over the term of the lease using the straight-line method. Lease expense also includes accretion of the lease liability recognized using the effective interest method. ROU assets are tested for impairment in the same manner as long-lived assets.</w:t>
      </w:r>
    </w:p>
    <w:p>
      <w:pPr>
        <w:sectPr>
          <w:pgSz w:w="11880" w:h="15480" w:orient="portrait"/>
          <w:cols w:equalWidth="0" w:num="1">
            <w:col w:w="9120"/>
          </w:cols>
          <w:pgMar w:left="1380" w:top="1316" w:right="1380" w:bottom="66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103</w:t>
      </w:r>
    </w:p>
    <w:p>
      <w:pPr>
        <w:sectPr>
          <w:pgSz w:w="11880" w:h="15480" w:orient="portrait"/>
          <w:cols w:equalWidth="0" w:num="1">
            <w:col w:w="9120"/>
          </w:cols>
          <w:pgMar w:left="1380" w:top="1316" w:right="1380" w:bottom="660"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i w:val="1"/>
          <w:iCs w:val="1"/>
          <w:u w:val="single" w:color="auto"/>
          <w:color w:val="231F20"/>
        </w:rPr>
        <w:t>Share Repurchase Program</w:t>
      </w:r>
    </w:p>
    <w:p>
      <w:pPr>
        <w:spacing w:after="0" w:line="221"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We repurchase shares of our common stock from time to time under a program authorized by our Board of Directors, including pursuant to a contract, instruction or written plan meeting requirements of Rule 10b5-1(c)(1) of the Exchange Act. Share repurchases which have not been retired are presented as treasury stock on our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Supplemental Cash Flow Information</w:t>
      </w:r>
    </w:p>
    <w:p>
      <w:pPr>
        <w:spacing w:after="0" w:line="219" w:lineRule="exact"/>
        <w:rPr>
          <w:sz w:val="20"/>
          <w:szCs w:val="20"/>
          <w:color w:val="auto"/>
        </w:rPr>
      </w:pPr>
    </w:p>
    <w:p>
      <w:pPr>
        <w:ind w:right="20" w:firstLine="300"/>
        <w:spacing w:after="0" w:line="243" w:lineRule="auto"/>
        <w:rPr>
          <w:sz w:val="20"/>
          <w:szCs w:val="20"/>
          <w:color w:val="auto"/>
        </w:rPr>
      </w:pPr>
      <w:r>
        <w:rPr>
          <w:rFonts w:ascii="Arial" w:cs="Arial" w:eastAsia="Arial" w:hAnsi="Arial"/>
          <w:sz w:val="20"/>
          <w:szCs w:val="20"/>
          <w:color w:val="231F20"/>
        </w:rPr>
        <w:t>Supplemental disclosures to our consolidated statements of cash flows, excluding leases and ARO, are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231F20"/>
              </w:rPr>
              <w:t>Year ended December 31,</w:t>
            </w:r>
          </w:p>
        </w:tc>
        <w:tc>
          <w:tcPr>
            <w:tcW w:w="860" w:type="dxa"/>
            <w:vAlign w:val="bottom"/>
          </w:tcPr>
          <w:p>
            <w:pPr>
              <w:spacing w:after="0"/>
              <w:rPr>
                <w:sz w:val="16"/>
                <w:szCs w:val="16"/>
                <w:color w:val="auto"/>
              </w:rPr>
            </w:pPr>
          </w:p>
        </w:tc>
      </w:tr>
      <w:tr>
        <w:trPr>
          <w:trHeight w:val="28"/>
        </w:trPr>
        <w:tc>
          <w:tcPr>
            <w:tcW w:w="524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r>
      <w:tr>
        <w:trPr>
          <w:trHeight w:val="192"/>
        </w:trPr>
        <w:tc>
          <w:tcPr>
            <w:tcW w:w="5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231F20"/>
              </w:rPr>
              <w:t>2025</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03"/>
              <w:spacing w:after="0"/>
              <w:rPr>
                <w:sz w:val="20"/>
                <w:szCs w:val="20"/>
                <w:color w:val="auto"/>
              </w:rPr>
            </w:pPr>
            <w:r>
              <w:rPr>
                <w:rFonts w:ascii="Arial" w:cs="Arial" w:eastAsia="Arial" w:hAnsi="Arial"/>
                <w:sz w:val="16"/>
                <w:szCs w:val="16"/>
                <w:b w:val="1"/>
                <w:bCs w:val="1"/>
                <w:color w:val="231F20"/>
              </w:rPr>
              <w:t>2024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03"/>
              <w:spacing w:after="0"/>
              <w:rPr>
                <w:sz w:val="20"/>
                <w:szCs w:val="20"/>
                <w:color w:val="auto"/>
              </w:rPr>
            </w:pPr>
            <w:r>
              <w:rPr>
                <w:rFonts w:ascii="Arial" w:cs="Arial" w:eastAsia="Arial" w:hAnsi="Arial"/>
                <w:sz w:val="16"/>
                <w:szCs w:val="16"/>
                <w:b w:val="1"/>
                <w:bCs w:val="1"/>
                <w:color w:val="231F20"/>
              </w:rPr>
              <w:t>2023</w:t>
            </w:r>
          </w:p>
        </w:tc>
      </w:tr>
      <w:tr>
        <w:trPr>
          <w:trHeight w:val="28"/>
        </w:trPr>
        <w:tc>
          <w:tcPr>
            <w:tcW w:w="5240" w:type="dxa"/>
            <w:vAlign w:val="bottom"/>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231F20"/>
            </w:tcBorders>
            <w:gridSpan w:val="2"/>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r>
      <w:tr>
        <w:trPr>
          <w:trHeight w:val="192"/>
        </w:trPr>
        <w:tc>
          <w:tcPr>
            <w:tcW w:w="5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103"/>
              <w:spacing w:after="0"/>
              <w:rPr>
                <w:sz w:val="20"/>
                <w:szCs w:val="20"/>
                <w:color w:val="auto"/>
              </w:rPr>
            </w:pPr>
            <w:r>
              <w:rPr>
                <w:rFonts w:ascii="Arial" w:cs="Arial" w:eastAsia="Arial" w:hAnsi="Arial"/>
                <w:sz w:val="16"/>
                <w:szCs w:val="16"/>
                <w:color w:val="231F20"/>
              </w:rPr>
              <w:t>(in millions)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0"/>
        </w:trPr>
        <w:tc>
          <w:tcPr>
            <w:tcW w:w="5240" w:type="dxa"/>
            <w:vAlign w:val="bottom"/>
          </w:tcPr>
          <w:p>
            <w:pPr>
              <w:spacing w:after="0"/>
              <w:rPr>
                <w:sz w:val="20"/>
                <w:szCs w:val="20"/>
                <w:color w:val="auto"/>
              </w:rPr>
            </w:pPr>
            <w:r>
              <w:rPr>
                <w:rFonts w:ascii="Arial" w:cs="Arial" w:eastAsia="Arial" w:hAnsi="Arial"/>
                <w:sz w:val="20"/>
                <w:szCs w:val="20"/>
                <w:b w:val="1"/>
                <w:bCs w:val="1"/>
                <w:color w:val="231F20"/>
              </w:rPr>
              <w:t>Supplemental cash flow information</w:t>
            </w: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0"/>
        </w:trPr>
        <w:tc>
          <w:tcPr>
            <w:tcW w:w="5240" w:type="dxa"/>
            <w:vAlign w:val="bottom"/>
          </w:tcPr>
          <w:p>
            <w:pPr>
              <w:ind w:left="400"/>
              <w:spacing w:after="0"/>
              <w:rPr>
                <w:sz w:val="20"/>
                <w:szCs w:val="20"/>
                <w:color w:val="auto"/>
              </w:rPr>
            </w:pPr>
            <w:r>
              <w:rPr>
                <w:rFonts w:ascii="Arial" w:cs="Arial" w:eastAsia="Arial" w:hAnsi="Arial"/>
                <w:sz w:val="20"/>
                <w:szCs w:val="20"/>
                <w:color w:val="231F20"/>
              </w:rPr>
              <w:t>Interest paid, net of amount capitalized . . . . . . . . . . .</w:t>
            </w:r>
          </w:p>
        </w:tc>
        <w:tc>
          <w:tcPr>
            <w:tcW w:w="820" w:type="dxa"/>
            <w:vAlign w:val="bottom"/>
          </w:tcPr>
          <w:p>
            <w:pPr>
              <w:jc w:val="right"/>
              <w:ind w:right="563"/>
              <w:spacing w:after="0"/>
              <w:rPr>
                <w:sz w:val="20"/>
                <w:szCs w:val="20"/>
                <w:color w:val="auto"/>
              </w:rPr>
            </w:pPr>
            <w:r>
              <w:rPr>
                <w:rFonts w:ascii="Arial" w:cs="Arial" w:eastAsia="Arial" w:hAnsi="Arial"/>
                <w:sz w:val="20"/>
                <w:szCs w:val="20"/>
                <w:color w:val="231F20"/>
              </w:rPr>
              <w:t>$</w:t>
            </w:r>
          </w:p>
        </w:tc>
        <w:tc>
          <w:tcPr>
            <w:tcW w:w="380" w:type="dxa"/>
            <w:vAlign w:val="bottom"/>
          </w:tcPr>
          <w:p>
            <w:pPr>
              <w:jc w:val="right"/>
              <w:spacing w:after="0"/>
              <w:rPr>
                <w:sz w:val="20"/>
                <w:szCs w:val="20"/>
                <w:color w:val="auto"/>
              </w:rPr>
            </w:pPr>
            <w:r>
              <w:rPr>
                <w:rFonts w:ascii="Arial" w:cs="Arial" w:eastAsia="Arial" w:hAnsi="Arial"/>
                <w:sz w:val="20"/>
                <w:szCs w:val="20"/>
                <w:color w:val="231F20"/>
              </w:rPr>
              <w:t>(85)</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(80)</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(44)</w:t>
            </w:r>
          </w:p>
        </w:tc>
      </w:tr>
      <w:tr>
        <w:trPr>
          <w:trHeight w:val="240"/>
        </w:trPr>
        <w:tc>
          <w:tcPr>
            <w:tcW w:w="5240" w:type="dxa"/>
            <w:vAlign w:val="bottom"/>
          </w:tcPr>
          <w:p>
            <w:pPr>
              <w:ind w:left="400"/>
              <w:spacing w:after="0"/>
              <w:rPr>
                <w:sz w:val="20"/>
                <w:szCs w:val="20"/>
                <w:color w:val="auto"/>
              </w:rPr>
            </w:pPr>
            <w:r>
              <w:rPr>
                <w:rFonts w:ascii="Arial" w:cs="Arial" w:eastAsia="Arial" w:hAnsi="Arial"/>
                <w:sz w:val="20"/>
                <w:szCs w:val="20"/>
                <w:color w:val="231F20"/>
              </w:rPr>
              <w:t>Interest income  . . . . . . . . . . . . . . . . . . . . . . . . . . . . . .</w:t>
            </w:r>
          </w:p>
        </w:tc>
        <w:tc>
          <w:tcPr>
            <w:tcW w:w="820" w:type="dxa"/>
            <w:vAlign w:val="bottom"/>
          </w:tcPr>
          <w:p>
            <w:pPr>
              <w:jc w:val="right"/>
              <w:ind w:right="563"/>
              <w:spacing w:after="0"/>
              <w:rPr>
                <w:sz w:val="20"/>
                <w:szCs w:val="20"/>
                <w:color w:val="auto"/>
              </w:rPr>
            </w:pPr>
            <w:r>
              <w:rPr>
                <w:rFonts w:ascii="Arial" w:cs="Arial" w:eastAsia="Arial" w:hAnsi="Arial"/>
                <w:sz w:val="20"/>
                <w:szCs w:val="20"/>
                <w:color w:val="231F20"/>
              </w:rPr>
              <w:t>$</w:t>
            </w:r>
          </w:p>
        </w:tc>
        <w:tc>
          <w:tcPr>
            <w:tcW w:w="380" w:type="dxa"/>
            <w:vAlign w:val="bottom"/>
          </w:tcPr>
          <w:p>
            <w:pPr>
              <w:jc w:val="right"/>
              <w:spacing w:after="0"/>
              <w:rPr>
                <w:sz w:val="20"/>
                <w:szCs w:val="20"/>
                <w:color w:val="auto"/>
              </w:rPr>
            </w:pPr>
            <w:r>
              <w:rPr>
                <w:rFonts w:ascii="Arial" w:cs="Arial" w:eastAsia="Arial" w:hAnsi="Arial"/>
                <w:sz w:val="20"/>
                <w:szCs w:val="20"/>
                <w:color w:val="231F20"/>
              </w:rPr>
              <w:t>11</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18</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21</w:t>
            </w:r>
          </w:p>
        </w:tc>
      </w:tr>
      <w:tr>
        <w:trPr>
          <w:trHeight w:val="240"/>
        </w:trPr>
        <w:tc>
          <w:tcPr>
            <w:tcW w:w="5240" w:type="dxa"/>
            <w:vAlign w:val="bottom"/>
          </w:tcPr>
          <w:p>
            <w:pPr>
              <w:spacing w:after="0"/>
              <w:rPr>
                <w:sz w:val="20"/>
                <w:szCs w:val="20"/>
                <w:color w:val="auto"/>
              </w:rPr>
            </w:pPr>
            <w:r>
              <w:rPr>
                <w:rFonts w:ascii="Arial" w:cs="Arial" w:eastAsia="Arial" w:hAnsi="Arial"/>
                <w:sz w:val="20"/>
                <w:szCs w:val="20"/>
                <w:b w:val="1"/>
                <w:bCs w:val="1"/>
                <w:color w:val="231F20"/>
              </w:rPr>
              <w:t>Supplemental disclosure of non-cash investing and</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5240" w:type="dxa"/>
            <w:vAlign w:val="bottom"/>
          </w:tcPr>
          <w:p>
            <w:pPr>
              <w:spacing w:after="0"/>
              <w:rPr>
                <w:sz w:val="20"/>
                <w:szCs w:val="20"/>
                <w:color w:val="auto"/>
              </w:rPr>
            </w:pPr>
            <w:r>
              <w:rPr>
                <w:rFonts w:ascii="Arial" w:cs="Arial" w:eastAsia="Arial" w:hAnsi="Arial"/>
                <w:sz w:val="20"/>
                <w:szCs w:val="20"/>
                <w:b w:val="1"/>
                <w:bCs w:val="1"/>
                <w:color w:val="231F20"/>
              </w:rPr>
              <w:t>financing activities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5240" w:type="dxa"/>
            <w:vAlign w:val="bottom"/>
          </w:tcPr>
          <w:p>
            <w:pPr>
              <w:ind w:left="400"/>
              <w:spacing w:after="0"/>
              <w:rPr>
                <w:sz w:val="20"/>
                <w:szCs w:val="20"/>
                <w:color w:val="auto"/>
              </w:rPr>
            </w:pPr>
            <w:r>
              <w:rPr>
                <w:rFonts w:ascii="Arial" w:cs="Arial" w:eastAsia="Arial" w:hAnsi="Arial"/>
                <w:sz w:val="20"/>
                <w:szCs w:val="20"/>
                <w:color w:val="231F20"/>
              </w:rPr>
              <w:t>Contributions to the Carbon TerraVault JV  . . . . . . . .</w:t>
            </w:r>
          </w:p>
        </w:tc>
        <w:tc>
          <w:tcPr>
            <w:tcW w:w="820" w:type="dxa"/>
            <w:vAlign w:val="bottom"/>
          </w:tcPr>
          <w:p>
            <w:pPr>
              <w:jc w:val="right"/>
              <w:ind w:right="563"/>
              <w:spacing w:after="0"/>
              <w:rPr>
                <w:sz w:val="20"/>
                <w:szCs w:val="20"/>
                <w:color w:val="auto"/>
              </w:rPr>
            </w:pPr>
            <w:r>
              <w:rPr>
                <w:rFonts w:ascii="Arial" w:cs="Arial" w:eastAsia="Arial" w:hAnsi="Arial"/>
                <w:sz w:val="20"/>
                <w:szCs w:val="20"/>
                <w:color w:val="231F20"/>
              </w:rPr>
              <w:t>$</w:t>
            </w:r>
          </w:p>
        </w:tc>
        <w:tc>
          <w:tcPr>
            <w:tcW w:w="380" w:type="dxa"/>
            <w:vAlign w:val="bottom"/>
          </w:tcPr>
          <w:p>
            <w:pPr>
              <w:jc w:val="right"/>
              <w:spacing w:after="0"/>
              <w:rPr>
                <w:sz w:val="20"/>
                <w:szCs w:val="20"/>
                <w:color w:val="auto"/>
              </w:rPr>
            </w:pPr>
            <w:r>
              <w:rPr>
                <w:rFonts w:ascii="Arial" w:cs="Arial" w:eastAsia="Arial" w:hAnsi="Arial"/>
                <w:sz w:val="20"/>
                <w:szCs w:val="20"/>
                <w:color w:val="231F20"/>
              </w:rPr>
              <w:t>36</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20</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15</w:t>
            </w:r>
          </w:p>
        </w:tc>
      </w:tr>
      <w:tr>
        <w:trPr>
          <w:trHeight w:val="240"/>
        </w:trPr>
        <w:tc>
          <w:tcPr>
            <w:tcW w:w="5240" w:type="dxa"/>
            <w:vAlign w:val="bottom"/>
          </w:tcPr>
          <w:p>
            <w:pPr>
              <w:ind w:left="400"/>
              <w:spacing w:after="0"/>
              <w:rPr>
                <w:sz w:val="20"/>
                <w:szCs w:val="20"/>
                <w:color w:val="auto"/>
              </w:rPr>
            </w:pPr>
            <w:r>
              <w:rPr>
                <w:rFonts w:ascii="Arial" w:cs="Arial" w:eastAsia="Arial" w:hAnsi="Arial"/>
                <w:sz w:val="20"/>
                <w:szCs w:val="20"/>
                <w:color w:val="231F20"/>
              </w:rPr>
              <w:t>Issuance of shares for stock-based compensation</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5240" w:type="dxa"/>
            <w:vAlign w:val="bottom"/>
          </w:tcPr>
          <w:p>
            <w:pPr>
              <w:ind w:left="400"/>
              <w:spacing w:after="0"/>
              <w:rPr>
                <w:sz w:val="20"/>
                <w:szCs w:val="20"/>
                <w:color w:val="auto"/>
              </w:rPr>
            </w:pPr>
            <w:r>
              <w:rPr>
                <w:rFonts w:ascii="Arial" w:cs="Arial" w:eastAsia="Arial" w:hAnsi="Arial"/>
                <w:sz w:val="20"/>
                <w:szCs w:val="20"/>
                <w:color w:val="231F20"/>
              </w:rPr>
              <w:t>awards  . . . . . . . . . . . . . . . . . . . . . . . . . . . . . . . . . . . . .</w:t>
            </w:r>
          </w:p>
        </w:tc>
        <w:tc>
          <w:tcPr>
            <w:tcW w:w="820" w:type="dxa"/>
            <w:vAlign w:val="bottom"/>
          </w:tcPr>
          <w:p>
            <w:pPr>
              <w:jc w:val="right"/>
              <w:ind w:right="563"/>
              <w:spacing w:after="0"/>
              <w:rPr>
                <w:sz w:val="20"/>
                <w:szCs w:val="20"/>
                <w:color w:val="auto"/>
              </w:rPr>
            </w:pPr>
            <w:r>
              <w:rPr>
                <w:rFonts w:ascii="Arial" w:cs="Arial" w:eastAsia="Arial" w:hAnsi="Arial"/>
                <w:sz w:val="20"/>
                <w:szCs w:val="20"/>
                <w:color w:val="231F20"/>
              </w:rPr>
              <w:t>$</w:t>
            </w:r>
          </w:p>
        </w:tc>
        <w:tc>
          <w:tcPr>
            <w:tcW w:w="380" w:type="dxa"/>
            <w:vAlign w:val="bottom"/>
          </w:tcPr>
          <w:p>
            <w:pPr>
              <w:jc w:val="right"/>
              <w:spacing w:after="0"/>
              <w:rPr>
                <w:sz w:val="20"/>
                <w:szCs w:val="20"/>
                <w:color w:val="auto"/>
              </w:rPr>
            </w:pPr>
            <w:r>
              <w:rPr>
                <w:rFonts w:ascii="Arial" w:cs="Arial" w:eastAsia="Arial" w:hAnsi="Arial"/>
                <w:sz w:val="20"/>
                <w:szCs w:val="20"/>
                <w:color w:val="231F20"/>
              </w:rPr>
              <w:t>23</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90</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5</w:t>
            </w:r>
          </w:p>
        </w:tc>
      </w:tr>
      <w:tr>
        <w:trPr>
          <w:trHeight w:val="240"/>
        </w:trPr>
        <w:tc>
          <w:tcPr>
            <w:tcW w:w="5240" w:type="dxa"/>
            <w:vAlign w:val="bottom"/>
          </w:tcPr>
          <w:p>
            <w:pPr>
              <w:ind w:left="400"/>
              <w:spacing w:after="0"/>
              <w:rPr>
                <w:sz w:val="20"/>
                <w:szCs w:val="20"/>
                <w:color w:val="auto"/>
              </w:rPr>
            </w:pPr>
            <w:r>
              <w:rPr>
                <w:rFonts w:ascii="Arial" w:cs="Arial" w:eastAsia="Arial" w:hAnsi="Arial"/>
                <w:sz w:val="20"/>
                <w:szCs w:val="20"/>
                <w:color w:val="231F20"/>
              </w:rPr>
              <w:t>Dividend equivalents for stock-based compensation</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5240" w:type="dxa"/>
            <w:vAlign w:val="bottom"/>
          </w:tcPr>
          <w:p>
            <w:pPr>
              <w:ind w:left="400"/>
              <w:spacing w:after="0"/>
              <w:rPr>
                <w:sz w:val="20"/>
                <w:szCs w:val="20"/>
                <w:color w:val="auto"/>
              </w:rPr>
            </w:pPr>
            <w:r>
              <w:rPr>
                <w:rFonts w:ascii="Arial" w:cs="Arial" w:eastAsia="Arial" w:hAnsi="Arial"/>
                <w:sz w:val="20"/>
                <w:szCs w:val="20"/>
                <w:color w:val="231F20"/>
              </w:rPr>
              <w:t>awards  . . . . . . . . . . . . . . . . . . . . . . . . . . . . . . . . . . . . .</w:t>
            </w:r>
          </w:p>
        </w:tc>
        <w:tc>
          <w:tcPr>
            <w:tcW w:w="820" w:type="dxa"/>
            <w:vAlign w:val="bottom"/>
          </w:tcPr>
          <w:p>
            <w:pPr>
              <w:jc w:val="right"/>
              <w:ind w:right="563"/>
              <w:spacing w:after="0"/>
              <w:rPr>
                <w:sz w:val="20"/>
                <w:szCs w:val="20"/>
                <w:color w:val="auto"/>
              </w:rPr>
            </w:pPr>
            <w:r>
              <w:rPr>
                <w:rFonts w:ascii="Arial" w:cs="Arial" w:eastAsia="Arial" w:hAnsi="Arial"/>
                <w:sz w:val="20"/>
                <w:szCs w:val="20"/>
                <w:color w:val="231F20"/>
              </w:rPr>
              <w:t>$</w:t>
            </w:r>
          </w:p>
        </w:tc>
        <w:tc>
          <w:tcPr>
            <w:tcW w:w="380" w:type="dxa"/>
            <w:vAlign w:val="bottom"/>
          </w:tcPr>
          <w:p>
            <w:pPr>
              <w:jc w:val="right"/>
              <w:spacing w:after="0"/>
              <w:rPr>
                <w:sz w:val="20"/>
                <w:szCs w:val="20"/>
                <w:color w:val="auto"/>
              </w:rPr>
            </w:pPr>
            <w:r>
              <w:rPr>
                <w:rFonts w:ascii="Arial" w:cs="Arial" w:eastAsia="Arial" w:hAnsi="Arial"/>
                <w:sz w:val="20"/>
                <w:szCs w:val="20"/>
                <w:color w:val="231F20"/>
              </w:rPr>
              <w:t>3</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2</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3</w:t>
            </w:r>
          </w:p>
        </w:tc>
      </w:tr>
      <w:tr>
        <w:trPr>
          <w:trHeight w:val="314"/>
        </w:trPr>
        <w:tc>
          <w:tcPr>
            <w:tcW w:w="5240" w:type="dxa"/>
            <w:vAlign w:val="bottom"/>
          </w:tcPr>
          <w:p>
            <w:pPr>
              <w:ind w:left="400"/>
              <w:spacing w:after="0"/>
              <w:rPr>
                <w:sz w:val="20"/>
                <w:szCs w:val="20"/>
                <w:color w:val="auto"/>
              </w:rPr>
            </w:pPr>
            <w:r>
              <w:rPr>
                <w:rFonts w:ascii="Arial" w:cs="Arial" w:eastAsia="Arial" w:hAnsi="Arial"/>
                <w:sz w:val="20"/>
                <w:szCs w:val="20"/>
                <w:color w:val="231F20"/>
              </w:rPr>
              <w:t>Excise tax on share repurchases</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 . . .</w:t>
            </w:r>
          </w:p>
        </w:tc>
        <w:tc>
          <w:tcPr>
            <w:tcW w:w="820" w:type="dxa"/>
            <w:vAlign w:val="bottom"/>
          </w:tcPr>
          <w:p>
            <w:pPr>
              <w:jc w:val="right"/>
              <w:ind w:right="563"/>
              <w:spacing w:after="0"/>
              <w:rPr>
                <w:sz w:val="20"/>
                <w:szCs w:val="20"/>
                <w:color w:val="auto"/>
              </w:rPr>
            </w:pPr>
            <w:r>
              <w:rPr>
                <w:rFonts w:ascii="Arial" w:cs="Arial" w:eastAsia="Arial" w:hAnsi="Arial"/>
                <w:sz w:val="20"/>
                <w:szCs w:val="20"/>
                <w:color w:val="231F20"/>
              </w:rPr>
              <w:t>$</w:t>
            </w:r>
          </w:p>
        </w:tc>
        <w:tc>
          <w:tcPr>
            <w:tcW w:w="380" w:type="dxa"/>
            <w:vAlign w:val="bottom"/>
          </w:tcPr>
          <w:p>
            <w:pPr>
              <w:jc w:val="right"/>
              <w:spacing w:after="0"/>
              <w:rPr>
                <w:sz w:val="20"/>
                <w:szCs w:val="20"/>
                <w:color w:val="auto"/>
              </w:rPr>
            </w:pPr>
            <w:r>
              <w:rPr>
                <w:rFonts w:ascii="Arial" w:cs="Arial" w:eastAsia="Arial" w:hAnsi="Arial"/>
                <w:sz w:val="20"/>
                <w:szCs w:val="20"/>
                <w:color w:val="231F20"/>
              </w:rPr>
              <w:t>(1)</w:t>
            </w:r>
          </w:p>
        </w:tc>
        <w:tc>
          <w:tcPr>
            <w:tcW w:w="4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2</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1</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231F20"/>
        </w:rPr>
        <w:t>(a) Excise tax on share repurchases for 2025 includes a reversal for 2024 excise taxes that were no longer due.</w:t>
      </w:r>
    </w:p>
    <w:p>
      <w:pPr>
        <w:spacing w:after="0" w:line="224"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231F20"/>
        </w:rPr>
        <w:t>NOTE 2</w:t>
      </w:r>
      <w:r>
        <w:rPr>
          <w:sz w:val="20"/>
          <w:szCs w:val="20"/>
          <w:color w:val="auto"/>
        </w:rPr>
        <w:tab/>
      </w:r>
      <w:r>
        <w:rPr>
          <w:rFonts w:ascii="Arial" w:cs="Arial" w:eastAsia="Arial" w:hAnsi="Arial"/>
          <w:sz w:val="19"/>
          <w:szCs w:val="19"/>
          <w:b w:val="1"/>
          <w:bCs w:val="1"/>
          <w:color w:val="231F20"/>
        </w:rPr>
        <w:t>BUSINESS COMBINATIONS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Berry Merger</w:t>
      </w:r>
    </w:p>
    <w:p>
      <w:pPr>
        <w:spacing w:after="0" w:line="219"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On September 14, 2025, we entered into an agreement to combine with Berry in the Berry Merger. Berry was an independent upstream energy company that explored for and produced oil and natural gas in California, primarily in the San Joaquin basin, and in the Uinta basin in Utah. Berry also provided well servicing and abandonment services, which is included in our oil and natural gas segment. The Berry Merger added high quality, oil-weighted, mostly conventional proved developed reserves and sustainable cash flows to our operations.</w:t>
      </w:r>
    </w:p>
    <w:p>
      <w:pPr>
        <w:spacing w:after="0" w:line="212"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 xml:space="preserve">Pursuant to the Berry Merger Agreement, on the effective date of the merger, December 18, 2025, we issued 5,572,115 shares of our common stock, which was calculated as 0.0718 shares of our common stock for each outstanding share of Berry stock as of December 17, 2025. As of December 18, 2025, and immediately following the closing of the Berry Merger, the former Berry stockholders owned 6% of CRC. We paid cash or issued replacement equity awards in settlement of certain Berry restricted and performance units. Refer to </w:t>
      </w:r>
      <w:r>
        <w:rPr>
          <w:rFonts w:ascii="Arial" w:cs="Arial" w:eastAsia="Arial" w:hAnsi="Arial"/>
          <w:sz w:val="20"/>
          <w:szCs w:val="20"/>
          <w:i w:val="1"/>
          <w:iCs w:val="1"/>
          <w:color w:val="231F20"/>
        </w:rPr>
        <w:t>Note 10 Stock-Based Compensation</w:t>
      </w:r>
      <w:r>
        <w:rPr>
          <w:rFonts w:ascii="Arial" w:cs="Arial" w:eastAsia="Arial" w:hAnsi="Arial"/>
          <w:sz w:val="20"/>
          <w:szCs w:val="20"/>
          <w:color w:val="231F20"/>
        </w:rPr>
        <w:t xml:space="preserve"> for more information on these awards. Upon closing of the Berry Merger, Berry’s outstanding debt was repaid and the underlying credit agreements were terminated. We repaid a significant portion of this indebtedness with proceeds from our 2034 Senior Notes, which closed in October 2025. For more information on the 2034 Senior Notes, refer to </w:t>
      </w:r>
      <w:r>
        <w:rPr>
          <w:rFonts w:ascii="Arial" w:cs="Arial" w:eastAsia="Arial" w:hAnsi="Arial"/>
          <w:sz w:val="20"/>
          <w:szCs w:val="20"/>
          <w:i w:val="1"/>
          <w:iCs w:val="1"/>
          <w:color w:val="231F20"/>
        </w:rPr>
        <w:t>Note 5 Debt</w:t>
      </w:r>
      <w:r>
        <w:rPr>
          <w:rFonts w:ascii="Arial" w:cs="Arial" w:eastAsia="Arial" w:hAnsi="Arial"/>
          <w:sz w:val="20"/>
          <w:szCs w:val="20"/>
          <w:color w:val="231F20"/>
        </w:rPr>
        <w:t>.</w:t>
      </w:r>
    </w:p>
    <w:p>
      <w:pPr>
        <w:spacing w:after="0" w:line="218" w:lineRule="exact"/>
        <w:rPr>
          <w:sz w:val="20"/>
          <w:szCs w:val="20"/>
          <w:color w:val="auto"/>
        </w:rPr>
      </w:pPr>
    </w:p>
    <w:p>
      <w:pPr>
        <w:ind w:right="100" w:firstLine="300"/>
        <w:spacing w:after="0" w:line="246" w:lineRule="auto"/>
        <w:rPr>
          <w:sz w:val="20"/>
          <w:szCs w:val="20"/>
          <w:color w:val="auto"/>
        </w:rPr>
      </w:pPr>
      <w:r>
        <w:rPr>
          <w:rFonts w:ascii="Arial" w:cs="Arial" w:eastAsia="Arial" w:hAnsi="Arial"/>
          <w:sz w:val="20"/>
          <w:szCs w:val="20"/>
          <w:color w:val="231F20"/>
        </w:rPr>
        <w:t>At the date of this filing, our assessment of the fair value of assets acquired and liabilities assumed remains preliminary. Certain data necessary to complete the purchase price allocation is not yet available, and includes, but is not limited to, final appraisals of Berry’s property, plant and equipment,</w:t>
      </w:r>
    </w:p>
    <w:p>
      <w:pPr>
        <w:sectPr>
          <w:pgSz w:w="11880" w:h="15480" w:orient="portrait"/>
          <w:cols w:equalWidth="0" w:num="1">
            <w:col w:w="9120"/>
          </w:cols>
          <w:pgMar w:left="1380" w:top="1310" w:right="1380" w:bottom="66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104</w:t>
      </w:r>
    </w:p>
    <w:p>
      <w:pPr>
        <w:sectPr>
          <w:pgSz w:w="11880" w:h="15480" w:orient="portrait"/>
          <w:cols w:equalWidth="0" w:num="1">
            <w:col w:w="9120"/>
          </w:cols>
          <w:pgMar w:left="1380" w:top="1310" w:right="1380" w:bottom="660" w:gutter="0" w:footer="0" w:header="0"/>
          <w:type w:val="continuous"/>
        </w:sectPr>
      </w:pPr>
    </w:p>
    <w:bookmarkStart w:id="108" w:name="page109"/>
    <w:bookmarkEnd w:id="108"/>
    <w:p>
      <w:pPr>
        <w:ind w:right="100"/>
        <w:spacing w:after="0" w:line="249" w:lineRule="auto"/>
        <w:rPr>
          <w:sz w:val="20"/>
          <w:szCs w:val="20"/>
          <w:color w:val="auto"/>
        </w:rPr>
      </w:pPr>
      <w:r>
        <w:rPr>
          <w:rFonts w:ascii="Arial" w:cs="Arial" w:eastAsia="Arial" w:hAnsi="Arial"/>
          <w:sz w:val="20"/>
          <w:szCs w:val="20"/>
          <w:color w:val="231F20"/>
        </w:rPr>
        <w:t>evaluation of Berry’s materials and supplies inventory, measurement of leases, valuation of certain assets and liabilities, determination of Berry’s asset retirement obligations and preparation of tax returns that will provide underlying tax basis of the assets acquired and liabilities assumed. We expect to complete the purchase price allocation during the 12-month period subsequent to the Berry Merger closing date and adjustments may be made to the provisional amounts recorded as of December 31, 2025.</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We measured assets and liabilities at acquisition date fair value on a nonrecurring basis.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following table summarizes the consideration transferred:</w:t>
      </w:r>
    </w:p>
    <w:p>
      <w:pPr>
        <w:spacing w:after="0" w:line="168"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231F20"/>
        </w:rPr>
        <w:t>Merger Consideration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4301490</wp:posOffset>
                </wp:positionH>
                <wp:positionV relativeFrom="paragraph">
                  <wp:posOffset>23495</wp:posOffset>
                </wp:positionV>
                <wp:extent cx="148971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971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7pt,1.85pt" to="456pt,1.85pt" o:allowincell="f" strokecolor="#231F20" strokeweight="1pt"/>
            </w:pict>
          </mc:Fallback>
        </mc:AlternateConten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color w:val="231F20"/>
        </w:rPr>
        <w:t>(in millions, except share and per</w:t>
      </w:r>
    </w:p>
    <w:p>
      <w:pPr>
        <w:ind w:left="7540"/>
        <w:spacing w:after="0" w:line="208" w:lineRule="auto"/>
        <w:rPr>
          <w:sz w:val="20"/>
          <w:szCs w:val="20"/>
          <w:color w:val="auto"/>
        </w:rPr>
      </w:pPr>
      <w:r>
        <w:rPr>
          <w:rFonts w:ascii="Arial" w:cs="Arial" w:eastAsia="Arial" w:hAnsi="Arial"/>
          <w:sz w:val="16"/>
          <w:szCs w:val="16"/>
          <w:color w:val="231F20"/>
        </w:rPr>
        <w:t>share data)</w:t>
      </w:r>
    </w:p>
    <w:p>
      <w:pPr>
        <w:sectPr>
          <w:pgSz w:w="11880" w:h="15480" w:orient="portrait"/>
          <w:cols w:equalWidth="0" w:num="1">
            <w:col w:w="9120"/>
          </w:cols>
          <w:pgMar w:left="1380" w:top="1316" w:right="1380" w:bottom="66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231F20"/>
        </w:rPr>
        <w:t>Shares of common stock . . . . . . . . . . . . . . . . . . . . . . . . . . . . . . . . . . . . . . . . .</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231F20"/>
        </w:rPr>
        <w:t>Common stock per share fair value on December 17, 2025 . . . . . . . . . . . . .</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Fair value of share consideration  . . . . . . . . . . . . . . . . . . . . . . . . . . . . . . . .</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231F20"/>
        </w:rPr>
        <w:t>Settlement of Berry debt  . . . . . . . . . . . . . . . . . . . . . . . . . . . . . . . . . . . . . . . . .</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231F20"/>
        </w:rPr>
        <w:t xml:space="preserve">Stock-based compensation (see </w:t>
      </w:r>
      <w:r>
        <w:rPr>
          <w:rFonts w:ascii="Arial" w:cs="Arial" w:eastAsia="Arial" w:hAnsi="Arial"/>
          <w:sz w:val="20"/>
          <w:szCs w:val="20"/>
          <w:i w:val="1"/>
          <w:iCs w:val="1"/>
          <w:color w:val="231F20"/>
        </w:rPr>
        <w:t>Note 10 Stock-Based Compensation</w:t>
      </w:r>
      <w:r>
        <w:rPr>
          <w:rFonts w:ascii="Arial" w:cs="Arial" w:eastAsia="Arial" w:hAnsi="Arial"/>
          <w:sz w:val="20"/>
          <w:szCs w:val="20"/>
          <w:color w:val="231F20"/>
        </w:rPr>
        <w:t>) . . .</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Total consideration . . . . . . . . . . . . . . . . . . . . . . . . . . . . . . . . . . . . .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460"/>
        <w:spacing w:after="0"/>
        <w:rPr>
          <w:sz w:val="20"/>
          <w:szCs w:val="20"/>
          <w:color w:val="auto"/>
        </w:rPr>
      </w:pPr>
      <w:r>
        <w:rPr>
          <w:rFonts w:ascii="Arial" w:cs="Arial" w:eastAsia="Arial" w:hAnsi="Arial"/>
          <w:sz w:val="20"/>
          <w:szCs w:val="20"/>
          <w:color w:val="231F20"/>
        </w:rPr>
        <w:t>5,572,115</w:t>
      </w:r>
    </w:p>
    <w:p>
      <w:pPr>
        <w:spacing w:after="0" w:line="15" w:lineRule="exact"/>
        <w:rPr>
          <w:sz w:val="20"/>
          <w:szCs w:val="20"/>
          <w:color w:val="auto"/>
        </w:rPr>
      </w:pPr>
    </w:p>
    <w:p>
      <w:pPr>
        <w:ind w:left="943" w:hanging="943"/>
        <w:spacing w:after="0"/>
        <w:tabs>
          <w:tab w:leader="none" w:pos="943" w:val="left"/>
        </w:tabs>
        <w:numPr>
          <w:ilvl w:val="0"/>
          <w:numId w:val="56"/>
        </w:numPr>
        <w:rPr>
          <w:rFonts w:ascii="Arial" w:cs="Arial" w:eastAsia="Arial" w:hAnsi="Arial"/>
          <w:sz w:val="19"/>
          <w:szCs w:val="19"/>
          <w:color w:val="231F20"/>
        </w:rPr>
      </w:pPr>
      <w:r>
        <w:rPr>
          <w:rFonts w:ascii="Arial" w:cs="Arial" w:eastAsia="Arial" w:hAnsi="Arial"/>
          <w:sz w:val="19"/>
          <w:szCs w:val="19"/>
          <w:color w:val="231F20"/>
        </w:rPr>
        <w:t>45.49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24765</wp:posOffset>
                </wp:positionV>
                <wp:extent cx="99123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1.95pt" to="75.55pt,1.95pt" o:allowincell="f" strokecolor="#231F20" strokeweight="0.5pt"/>
            </w:pict>
          </mc:Fallback>
        </mc:AlternateContent>
      </w:r>
    </w:p>
    <w:p>
      <w:pPr>
        <w:spacing w:after="0" w:line="77" w:lineRule="exact"/>
        <w:rPr>
          <w:sz w:val="20"/>
          <w:szCs w:val="20"/>
          <w:color w:val="auto"/>
        </w:rPr>
      </w:pPr>
    </w:p>
    <w:p>
      <w:pPr>
        <w:ind w:left="1103" w:hanging="1103"/>
        <w:spacing w:after="0"/>
        <w:tabs>
          <w:tab w:leader="none" w:pos="1103" w:val="left"/>
        </w:tabs>
        <w:numPr>
          <w:ilvl w:val="0"/>
          <w:numId w:val="57"/>
        </w:numPr>
        <w:rPr>
          <w:rFonts w:ascii="Arial" w:cs="Arial" w:eastAsia="Arial" w:hAnsi="Arial"/>
          <w:sz w:val="20"/>
          <w:szCs w:val="20"/>
          <w:color w:val="231F20"/>
        </w:rPr>
      </w:pPr>
      <w:r>
        <w:rPr>
          <w:rFonts w:ascii="Arial" w:cs="Arial" w:eastAsia="Arial" w:hAnsi="Arial"/>
          <w:sz w:val="20"/>
          <w:szCs w:val="20"/>
          <w:color w:val="231F20"/>
        </w:rPr>
        <w:t>253</w:t>
      </w:r>
    </w:p>
    <w:p>
      <w:pPr>
        <w:spacing w:after="0" w:line="10" w:lineRule="exact"/>
        <w:rPr>
          <w:rFonts w:ascii="Arial" w:cs="Arial" w:eastAsia="Arial" w:hAnsi="Arial"/>
          <w:sz w:val="20"/>
          <w:szCs w:val="20"/>
          <w:color w:val="231F20"/>
        </w:rPr>
      </w:pPr>
    </w:p>
    <w:p>
      <w:pPr>
        <w:ind w:left="1103"/>
        <w:spacing w:after="0"/>
        <w:rPr>
          <w:rFonts w:ascii="Arial" w:cs="Arial" w:eastAsia="Arial" w:hAnsi="Arial"/>
          <w:sz w:val="20"/>
          <w:szCs w:val="20"/>
          <w:color w:val="231F20"/>
        </w:rPr>
      </w:pPr>
      <w:r>
        <w:rPr>
          <w:rFonts w:ascii="Arial" w:cs="Arial" w:eastAsia="Arial" w:hAnsi="Arial"/>
          <w:sz w:val="20"/>
          <w:szCs w:val="20"/>
          <w:color w:val="231F20"/>
        </w:rPr>
        <w:t>449</w:t>
      </w:r>
    </w:p>
    <w:p>
      <w:pPr>
        <w:spacing w:after="0" w:line="14" w:lineRule="exact"/>
        <w:rPr>
          <w:rFonts w:ascii="Arial" w:cs="Arial" w:eastAsia="Arial" w:hAnsi="Arial"/>
          <w:sz w:val="20"/>
          <w:szCs w:val="20"/>
          <w:color w:val="231F20"/>
        </w:rPr>
      </w:pPr>
    </w:p>
    <w:p>
      <w:pPr>
        <w:ind w:left="1343"/>
        <w:spacing w:after="0"/>
        <w:rPr>
          <w:rFonts w:ascii="Arial" w:cs="Arial" w:eastAsia="Arial" w:hAnsi="Arial"/>
          <w:sz w:val="20"/>
          <w:szCs w:val="20"/>
          <w:color w:val="231F20"/>
        </w:rPr>
      </w:pPr>
      <w:r>
        <w:rPr>
          <w:rFonts w:ascii="Arial" w:cs="Arial" w:eastAsia="Arial" w:hAnsi="Arial"/>
          <w:sz w:val="17"/>
          <w:szCs w:val="17"/>
          <w:color w:val="231F20"/>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39370</wp:posOffset>
                </wp:positionV>
                <wp:extent cx="99123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3.1pt" to="75.55pt,3.1pt" o:allowincell="f" strokecolor="#231F20" strokeweight="0.5pt"/>
            </w:pict>
          </mc:Fallback>
        </mc:AlternateContent>
      </w:r>
    </w:p>
    <w:p>
      <w:pPr>
        <w:spacing w:after="0" w:line="98" w:lineRule="exact"/>
        <w:rPr>
          <w:sz w:val="20"/>
          <w:szCs w:val="20"/>
          <w:color w:val="auto"/>
        </w:rPr>
      </w:pPr>
    </w:p>
    <w:p>
      <w:pPr>
        <w:ind w:left="1103" w:hanging="1103"/>
        <w:spacing w:after="0"/>
        <w:tabs>
          <w:tab w:leader="none" w:pos="1103" w:val="left"/>
        </w:tabs>
        <w:numPr>
          <w:ilvl w:val="0"/>
          <w:numId w:val="58"/>
        </w:numPr>
        <w:rPr>
          <w:rFonts w:ascii="Arial" w:cs="Arial" w:eastAsia="Arial" w:hAnsi="Arial"/>
          <w:sz w:val="20"/>
          <w:szCs w:val="20"/>
          <w:color w:val="231F20"/>
        </w:rPr>
      </w:pPr>
      <w:r>
        <w:rPr>
          <w:rFonts w:ascii="Arial" w:cs="Arial" w:eastAsia="Arial" w:hAnsi="Arial"/>
          <w:sz w:val="20"/>
          <w:szCs w:val="20"/>
          <w:color w:val="231F20"/>
        </w:rPr>
        <w:t>709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22225</wp:posOffset>
                </wp:positionV>
                <wp:extent cx="99123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1.75pt" to="75.55pt,1.7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-31750</wp:posOffset>
                </wp:positionH>
                <wp:positionV relativeFrom="paragraph">
                  <wp:posOffset>47625</wp:posOffset>
                </wp:positionV>
                <wp:extent cx="99123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123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3.75pt" to="75.55pt,3.75pt" o:allowincell="f" strokecolor="#231F20" strokeweight="0.5pt"/>
            </w:pict>
          </mc:Fallback>
        </mc:AlternateContent>
      </w:r>
    </w:p>
    <w:p>
      <w:pPr>
        <w:spacing w:after="0" w:line="200" w:lineRule="exact"/>
        <w:rPr>
          <w:sz w:val="20"/>
          <w:szCs w:val="20"/>
          <w:color w:val="auto"/>
        </w:rPr>
      </w:pPr>
    </w:p>
    <w:p>
      <w:pPr>
        <w:sectPr>
          <w:pgSz w:w="11880" w:h="15480" w:orient="portrait"/>
          <w:cols w:equalWidth="0" w:num="2">
            <w:col w:w="6580" w:space="637"/>
            <w:col w:w="1903"/>
          </w:cols>
          <w:pgMar w:left="1380" w:top="1316" w:right="1380" w:bottom="660" w:gutter="0" w:footer="0" w:header="0"/>
          <w:type w:val="continuous"/>
        </w:sectPr>
      </w:pPr>
    </w:p>
    <w:p>
      <w:pPr>
        <w:spacing w:after="0" w:line="137" w:lineRule="exact"/>
        <w:rPr>
          <w:sz w:val="20"/>
          <w:szCs w:val="20"/>
          <w:color w:val="auto"/>
        </w:rPr>
      </w:pPr>
    </w:p>
    <w:p>
      <w:pPr>
        <w:ind w:right="240" w:firstLine="300"/>
        <w:spacing w:after="0" w:line="246" w:lineRule="auto"/>
        <w:rPr>
          <w:sz w:val="20"/>
          <w:szCs w:val="20"/>
          <w:color w:val="auto"/>
        </w:rPr>
      </w:pPr>
      <w:r>
        <w:rPr>
          <w:rFonts w:ascii="Arial" w:cs="Arial" w:eastAsia="Arial" w:hAnsi="Arial"/>
          <w:sz w:val="20"/>
          <w:szCs w:val="20"/>
          <w:color w:val="231F20"/>
        </w:rPr>
        <w:t>The following table presents the preliminary purchase price allocation to the identifiable assets acquired and the liabilities assumed based on their estimated fair values as of the closing date of the Berry Merger: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140" w:type="dxa"/>
            <w:vAlign w:val="bottom"/>
            <w:gridSpan w:val="5"/>
          </w:tcPr>
          <w:p>
            <w:pPr>
              <w:jc w:val="center"/>
              <w:spacing w:after="0"/>
              <w:rPr>
                <w:sz w:val="20"/>
                <w:szCs w:val="20"/>
                <w:color w:val="auto"/>
              </w:rPr>
            </w:pPr>
            <w:r>
              <w:rPr>
                <w:rFonts w:ascii="Arial" w:cs="Arial" w:eastAsia="Arial" w:hAnsi="Arial"/>
                <w:sz w:val="20"/>
                <w:szCs w:val="20"/>
                <w:b w:val="1"/>
                <w:bCs w:val="1"/>
                <w:color w:val="231F20"/>
                <w:w w:val="99"/>
              </w:rPr>
              <w:t>Preliminary Purchase</w:t>
            </w:r>
          </w:p>
        </w:tc>
        <w:tc>
          <w:tcPr>
            <w:tcW w:w="0" w:type="dxa"/>
            <w:vAlign w:val="bottom"/>
          </w:tcPr>
          <w:p>
            <w:pPr>
              <w:spacing w:after="0"/>
              <w:rPr>
                <w:sz w:val="1"/>
                <w:szCs w:val="1"/>
                <w:color w:val="auto"/>
              </w:rPr>
            </w:pPr>
          </w:p>
        </w:tc>
      </w:tr>
      <w:tr>
        <w:trPr>
          <w:trHeight w:val="228"/>
        </w:trPr>
        <w:tc>
          <w:tcPr>
            <w:tcW w:w="6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540"/>
              <w:spacing w:after="0" w:line="228" w:lineRule="exact"/>
              <w:rPr>
                <w:sz w:val="20"/>
                <w:szCs w:val="20"/>
                <w:color w:val="auto"/>
              </w:rPr>
            </w:pPr>
            <w:r>
              <w:rPr>
                <w:rFonts w:ascii="Arial" w:cs="Arial" w:eastAsia="Arial" w:hAnsi="Arial"/>
                <w:sz w:val="20"/>
                <w:szCs w:val="20"/>
                <w:b w:val="1"/>
                <w:bCs w:val="1"/>
                <w:color w:val="231F20"/>
                <w:w w:val="98"/>
              </w:rPr>
              <w:t>Price</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6"/>
                <w:szCs w:val="16"/>
                <w:color w:val="231F20"/>
                <w:w w:val="98"/>
              </w:rPr>
              <w:t>(in millions)</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0"/>
                <w:szCs w:val="20"/>
                <w:color w:val="auto"/>
              </w:rPr>
            </w:pPr>
            <w:r>
              <w:rPr>
                <w:rFonts w:ascii="Arial" w:cs="Arial" w:eastAsia="Arial" w:hAnsi="Arial"/>
                <w:sz w:val="20"/>
                <w:szCs w:val="20"/>
                <w:b w:val="1"/>
                <w:bCs w:val="1"/>
                <w:color w:val="231F20"/>
              </w:rPr>
              <w:t>Assets Acquired</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Cash . . . . . . . . . . . . . . . . . . . . . . . . . . . . . . . . . . . . . . . . . . . . . . . . . . . . . . . . . .</w:t>
            </w:r>
          </w:p>
        </w:tc>
        <w:tc>
          <w:tcPr>
            <w:tcW w:w="640" w:type="dxa"/>
            <w:vAlign w:val="bottom"/>
            <w:gridSpan w:val="3"/>
          </w:tcPr>
          <w:p>
            <w:pPr>
              <w:jc w:val="right"/>
              <w:ind w:right="80"/>
              <w:spacing w:after="0"/>
              <w:rPr>
                <w:sz w:val="20"/>
                <w:szCs w:val="20"/>
                <w:color w:val="auto"/>
              </w:rPr>
            </w:pPr>
            <w:r>
              <w:rPr>
                <w:rFonts w:ascii="Arial" w:cs="Arial" w:eastAsia="Arial" w:hAnsi="Arial"/>
                <w:sz w:val="20"/>
                <w:szCs w:val="20"/>
                <w:color w:val="231F20"/>
              </w:rPr>
              <w:t>$</w:t>
            </w:r>
          </w:p>
        </w:tc>
        <w:tc>
          <w:tcPr>
            <w:tcW w:w="1140" w:type="dxa"/>
            <w:vAlign w:val="bottom"/>
          </w:tcPr>
          <w:p>
            <w:pPr>
              <w:jc w:val="right"/>
              <w:spacing w:after="0"/>
              <w:rPr>
                <w:sz w:val="20"/>
                <w:szCs w:val="20"/>
                <w:color w:val="auto"/>
              </w:rPr>
            </w:pPr>
            <w:r>
              <w:rPr>
                <w:rFonts w:ascii="Arial" w:cs="Arial" w:eastAsia="Arial" w:hAnsi="Arial"/>
                <w:sz w:val="20"/>
                <w:szCs w:val="20"/>
                <w:color w:val="231F20"/>
              </w:rPr>
              <w:t>12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Accounts receivable . . . . . . . . . . .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87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Inventories  . . . . . . . . . . . . . . . . . .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Other current assets  . . . . . . . . . .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29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rPr>
              <w:t>Property, plant and equipment  . .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659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rPr>
              <w:t>Fair value of derivative contracts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109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Deferred tax asset . . . . . . . . . . . .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121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Other noncurrent assets  . . . . . . .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98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Total Assets Acquired  </w:t>
            </w:r>
            <w:r>
              <w:rPr>
                <w:rFonts w:ascii="Arial" w:cs="Arial" w:eastAsia="Arial" w:hAnsi="Arial"/>
                <w:sz w:val="20"/>
                <w:szCs w:val="20"/>
                <w:color w:val="231F20"/>
              </w:rPr>
              <w:t>. . . . . . . .</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80" w:type="dxa"/>
            <w:vAlign w:val="bottom"/>
            <w:vMerge w:val="continue"/>
          </w:tcPr>
          <w:p>
            <w:pPr>
              <w:jc w:val="right"/>
              <w:spacing w:after="0"/>
              <w:rPr>
                <w:sz w:val="20"/>
                <w:szCs w:val="20"/>
                <w:color w:val="auto"/>
              </w:rPr>
            </w:pPr>
            <w:r>
              <w:rPr>
                <w:rFonts w:ascii="Arial" w:cs="Arial" w:eastAsia="Arial" w:hAnsi="Arial"/>
                <w:sz w:val="20"/>
                <w:szCs w:val="20"/>
                <w:color w:val="231F20"/>
              </w:rPr>
              <w:t>. . . . . . . . . . . . . . . . . . . . . . . . . . . . . . . . . . .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1,027</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980" w:type="dxa"/>
            <w:vAlign w:val="bottom"/>
            <w:vMerge w:val="restart"/>
          </w:tcPr>
          <w:p>
            <w:pPr>
              <w:spacing w:after="0"/>
              <w:rPr>
                <w:sz w:val="20"/>
                <w:szCs w:val="20"/>
                <w:color w:val="auto"/>
              </w:rPr>
            </w:pPr>
            <w:r>
              <w:rPr>
                <w:rFonts w:ascii="Arial" w:cs="Arial" w:eastAsia="Arial" w:hAnsi="Arial"/>
                <w:sz w:val="20"/>
                <w:szCs w:val="20"/>
                <w:b w:val="1"/>
                <w:bCs w:val="1"/>
                <w:color w:val="231F20"/>
              </w:rPr>
              <w:t>Liabilities Assumed</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Accounts payable . . . . . . . . . . . . . . . . . . . . . . . . . . . . . . . . . . . . . . . . . . . . . . . .</w:t>
            </w:r>
          </w:p>
        </w:tc>
        <w:tc>
          <w:tcPr>
            <w:tcW w:w="640" w:type="dxa"/>
            <w:vAlign w:val="bottom"/>
            <w:gridSpan w:val="3"/>
          </w:tcPr>
          <w:p>
            <w:pPr>
              <w:jc w:val="right"/>
              <w:ind w:right="80"/>
              <w:spacing w:after="0"/>
              <w:rPr>
                <w:sz w:val="20"/>
                <w:szCs w:val="20"/>
                <w:color w:val="auto"/>
              </w:rPr>
            </w:pPr>
            <w:r>
              <w:rPr>
                <w:rFonts w:ascii="Arial" w:cs="Arial" w:eastAsia="Arial" w:hAnsi="Arial"/>
                <w:sz w:val="20"/>
                <w:szCs w:val="20"/>
                <w:color w:val="231F20"/>
              </w:rPr>
              <w:t>$</w:t>
            </w: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231F20"/>
              </w:rPr>
              <w:t>(62)</w:t>
            </w: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Accrued liabilities . . . . . . . . . . . . .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231F20"/>
              </w:rPr>
              <w:t>(50)</w:t>
            </w: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Asset retirement obligations  . . . .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231F20"/>
              </w:rPr>
              <w:t>(151)</w:t>
            </w: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rPr>
              <w:t>Fair value of derivative contracts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231F20"/>
              </w:rPr>
              <w:t>(21)</w:t>
            </w:r>
          </w:p>
        </w:tc>
        <w:tc>
          <w:tcPr>
            <w:tcW w:w="0" w:type="dxa"/>
            <w:vAlign w:val="bottom"/>
          </w:tcPr>
          <w:p>
            <w:pPr>
              <w:spacing w:after="0"/>
              <w:rPr>
                <w:sz w:val="1"/>
                <w:szCs w:val="1"/>
                <w:color w:val="auto"/>
              </w:rPr>
            </w:pPr>
          </w:p>
        </w:tc>
      </w:tr>
      <w:tr>
        <w:trPr>
          <w:trHeight w:val="240"/>
        </w:trPr>
        <w:tc>
          <w:tcPr>
            <w:tcW w:w="6980" w:type="dxa"/>
            <w:vAlign w:val="bottom"/>
          </w:tcPr>
          <w:p>
            <w:pPr>
              <w:jc w:val="right"/>
              <w:spacing w:after="0"/>
              <w:rPr>
                <w:sz w:val="20"/>
                <w:szCs w:val="20"/>
                <w:color w:val="auto"/>
              </w:rPr>
            </w:pPr>
            <w:r>
              <w:rPr>
                <w:rFonts w:ascii="Arial" w:cs="Arial" w:eastAsia="Arial" w:hAnsi="Arial"/>
                <w:sz w:val="20"/>
                <w:szCs w:val="20"/>
                <w:color w:val="231F20"/>
                <w:w w:val="99"/>
              </w:rPr>
              <w:t>Other long-term liabilities . . . . . . . . . . . . . . . . . . . . . . . . . . . . . . . . . . . . . . . . .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231F20"/>
              </w:rPr>
              <w:t>(34)</w:t>
            </w:r>
          </w:p>
        </w:tc>
        <w:tc>
          <w:tcPr>
            <w:tcW w:w="0" w:type="dxa"/>
            <w:vAlign w:val="bottom"/>
          </w:tcPr>
          <w:p>
            <w:pPr>
              <w:spacing w:after="0"/>
              <w:rPr>
                <w:sz w:val="1"/>
                <w:szCs w:val="1"/>
                <w:color w:val="auto"/>
              </w:rPr>
            </w:pPr>
          </w:p>
        </w:tc>
      </w:tr>
      <w:tr>
        <w:trPr>
          <w:trHeight w:val="30"/>
        </w:trPr>
        <w:tc>
          <w:tcPr>
            <w:tcW w:w="698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Total Liabilities Assumed </w:t>
            </w:r>
            <w:r>
              <w:rPr>
                <w:rFonts w:ascii="Arial" w:cs="Arial" w:eastAsia="Arial" w:hAnsi="Arial"/>
                <w:sz w:val="20"/>
                <w:szCs w:val="20"/>
                <w:color w:val="231F20"/>
              </w:rPr>
              <w:t>. . . . . .</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980" w:type="dxa"/>
            <w:vAlign w:val="bottom"/>
            <w:vMerge w:val="continue"/>
          </w:tcPr>
          <w:p>
            <w:pPr>
              <w:jc w:val="right"/>
              <w:spacing w:after="0"/>
              <w:rPr>
                <w:sz w:val="20"/>
                <w:szCs w:val="20"/>
                <w:color w:val="auto"/>
              </w:rPr>
            </w:pPr>
            <w:r>
              <w:rPr>
                <w:rFonts w:ascii="Arial" w:cs="Arial" w:eastAsia="Arial" w:hAnsi="Arial"/>
                <w:sz w:val="20"/>
                <w:szCs w:val="20"/>
                <w:color w:val="231F20"/>
              </w:rPr>
              <w:t>. . . . . . . . . . . . . . . . . . . . . . . . . . . . . . . . . . .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20"/>
                <w:szCs w:val="20"/>
                <w:color w:val="231F20"/>
              </w:rPr>
              <w:t>(318)</w:t>
            </w:r>
          </w:p>
        </w:tc>
        <w:tc>
          <w:tcPr>
            <w:tcW w:w="0" w:type="dxa"/>
            <w:vAlign w:val="bottom"/>
          </w:tcPr>
          <w:p>
            <w:pPr>
              <w:spacing w:after="0"/>
              <w:rPr>
                <w:sz w:val="1"/>
                <w:szCs w:val="1"/>
                <w:color w:val="auto"/>
              </w:rPr>
            </w:pPr>
          </w:p>
        </w:tc>
      </w:tr>
      <w:tr>
        <w:trPr>
          <w:trHeight w:val="30"/>
        </w:trPr>
        <w:tc>
          <w:tcPr>
            <w:tcW w:w="698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Net Assets Acquired </w:t>
            </w:r>
            <w:r>
              <w:rPr>
                <w:rFonts w:ascii="Arial" w:cs="Arial" w:eastAsia="Arial" w:hAnsi="Arial"/>
                <w:sz w:val="20"/>
                <w:szCs w:val="20"/>
                <w:color w:val="231F20"/>
              </w:rPr>
              <w:t>. . . . . . . . . .</w:t>
            </w:r>
          </w:p>
        </w:tc>
        <w:tc>
          <w:tcPr>
            <w:tcW w:w="460" w:type="dxa"/>
            <w:vAlign w:val="bottom"/>
            <w:gridSpan w:val="2"/>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980" w:type="dxa"/>
            <w:vAlign w:val="bottom"/>
            <w:vMerge w:val="continue"/>
          </w:tcPr>
          <w:p>
            <w:pPr>
              <w:jc w:val="right"/>
              <w:spacing w:after="0"/>
              <w:rPr>
                <w:sz w:val="20"/>
                <w:szCs w:val="20"/>
                <w:color w:val="auto"/>
              </w:rPr>
            </w:pPr>
            <w:r>
              <w:rPr>
                <w:rFonts w:ascii="Arial" w:cs="Arial" w:eastAsia="Arial" w:hAnsi="Arial"/>
                <w:sz w:val="20"/>
                <w:szCs w:val="20"/>
                <w:color w:val="231F20"/>
              </w:rPr>
              <w:t>. . . . . . . . . . . . . . . . . . . . . . . . . . . . . . . . . . . .</w:t>
            </w:r>
          </w:p>
        </w:tc>
        <w:tc>
          <w:tcPr>
            <w:tcW w:w="640" w:type="dxa"/>
            <w:vAlign w:val="bottom"/>
            <w:gridSpan w:val="3"/>
          </w:tcPr>
          <w:p>
            <w:pPr>
              <w:jc w:val="right"/>
              <w:ind w:right="80"/>
              <w:spacing w:after="0"/>
              <w:rPr>
                <w:sz w:val="20"/>
                <w:szCs w:val="20"/>
                <w:color w:val="auto"/>
              </w:rPr>
            </w:pPr>
            <w:r>
              <w:rPr>
                <w:rFonts w:ascii="Arial" w:cs="Arial" w:eastAsia="Arial" w:hAnsi="Arial"/>
                <w:sz w:val="20"/>
                <w:szCs w:val="20"/>
                <w:color w:val="231F20"/>
              </w:rPr>
              <w:t>$</w:t>
            </w:r>
          </w:p>
        </w:tc>
        <w:tc>
          <w:tcPr>
            <w:tcW w:w="1140" w:type="dxa"/>
            <w:vAlign w:val="bottom"/>
          </w:tcPr>
          <w:p>
            <w:pPr>
              <w:jc w:val="right"/>
              <w:spacing w:after="0"/>
              <w:rPr>
                <w:sz w:val="20"/>
                <w:szCs w:val="20"/>
                <w:color w:val="auto"/>
              </w:rPr>
            </w:pPr>
            <w:r>
              <w:rPr>
                <w:rFonts w:ascii="Arial" w:cs="Arial" w:eastAsia="Arial" w:hAnsi="Arial"/>
                <w:sz w:val="20"/>
                <w:szCs w:val="20"/>
                <w:color w:val="231F20"/>
              </w:rPr>
              <w:t>709</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right="260" w:firstLine="300"/>
        <w:spacing w:after="0" w:line="271" w:lineRule="auto"/>
        <w:rPr>
          <w:sz w:val="20"/>
          <w:szCs w:val="20"/>
          <w:color w:val="auto"/>
        </w:rPr>
      </w:pPr>
      <w:r>
        <w:rPr>
          <w:rFonts w:ascii="Arial" w:cs="Arial" w:eastAsia="Arial" w:hAnsi="Arial"/>
          <w:sz w:val="19"/>
          <w:szCs w:val="19"/>
          <w:color w:val="231F20"/>
        </w:rPr>
        <w:t>For the period of December 18, 2025 through December 31, 2025, total operating revenue associated with Berry totaled $18 million and loss before income taxes was $25 million, respectively.</w:t>
      </w:r>
    </w:p>
    <w:p>
      <w:pPr>
        <w:sectPr>
          <w:pgSz w:w="11880" w:h="15480" w:orient="portrait"/>
          <w:cols w:equalWidth="0" w:num="1">
            <w:col w:w="9120"/>
          </w:cols>
          <w:pgMar w:left="1380" w:top="1316" w:right="1380" w:bottom="6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105</w:t>
      </w:r>
    </w:p>
    <w:p>
      <w:pPr>
        <w:sectPr>
          <w:pgSz w:w="11880" w:h="15480" w:orient="portrait"/>
          <w:cols w:equalWidth="0" w:num="1">
            <w:col w:w="9120"/>
          </w:cols>
          <w:pgMar w:left="1380" w:top="1316" w:right="1380" w:bottom="660" w:gutter="0" w:footer="0" w:header="0"/>
          <w:type w:val="continuous"/>
        </w:sectPr>
      </w:pPr>
    </w:p>
    <w:bookmarkStart w:id="109" w:name="page110"/>
    <w:bookmarkEnd w:id="109"/>
    <w:p>
      <w:pPr>
        <w:ind w:right="280" w:firstLine="300"/>
        <w:spacing w:after="0" w:line="248" w:lineRule="auto"/>
        <w:rPr>
          <w:sz w:val="20"/>
          <w:szCs w:val="20"/>
          <w:color w:val="auto"/>
        </w:rPr>
      </w:pPr>
      <w:r>
        <w:rPr>
          <w:rFonts w:ascii="Arial" w:cs="Arial" w:eastAsia="Arial" w:hAnsi="Arial"/>
          <w:sz w:val="20"/>
          <w:szCs w:val="20"/>
          <w:color w:val="231F20"/>
        </w:rPr>
        <w:t>In connection with the Berry Merger, we incurred transaction and integration costs of $20 million, employee severance and related retention costs of $13 million, and $3 million related to the acceleration of certain replacement equity awards during the year ended December 31, 2025, which are included in other operating expenses, net on our consolidated statement of operations.</w:t>
      </w:r>
    </w:p>
    <w:p>
      <w:pPr>
        <w:spacing w:after="0" w:line="191"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231F20"/>
        </w:rPr>
        <w:t>We recorded cash based on Berry’s bank balances as of December 18, 2025. The measurements for predominately all of the other current and other noncurrent assets acquired and accounts payable, accrued liabilities and other long-term liabilities assumed are based on contracts in place at Berry on the acquisition date.</w:t>
      </w:r>
    </w:p>
    <w:p>
      <w:pPr>
        <w:spacing w:after="0" w:line="191" w:lineRule="exact"/>
        <w:rPr>
          <w:sz w:val="20"/>
          <w:szCs w:val="20"/>
          <w:color w:val="auto"/>
        </w:rPr>
      </w:pPr>
    </w:p>
    <w:p>
      <w:pPr>
        <w:ind w:right="20" w:firstLine="300"/>
        <w:spacing w:after="0" w:line="264" w:lineRule="auto"/>
        <w:rPr>
          <w:sz w:val="20"/>
          <w:szCs w:val="20"/>
          <w:color w:val="auto"/>
        </w:rPr>
      </w:pPr>
      <w:r>
        <w:rPr>
          <w:rFonts w:ascii="Arial" w:cs="Arial" w:eastAsia="Arial" w:hAnsi="Arial"/>
          <w:sz w:val="19"/>
          <w:szCs w:val="19"/>
          <w:color w:val="231F20"/>
        </w:rPr>
        <w:t>The fair value of certain acquired property, plant and equipment, primarily consisting of proved oil and natural gas properties, cogeneration power plants, a gas processing plant, well servicing and support equipment and other corporate assets, was based on preliminary reviews. These assets are still under review for measurement based on final appraisals. The fair value of proved oil and natural gas properties as of the acquisition date is based on estimated discounted future net cash flows incorporating market participant assumptions on an after-tax basis. Significant inputs to the valuation include estimates of future production volumes, future operating and development costs, future commodity prices, a weighted average cost of capital and reserve adjustment factors. When estimating the fair value of proved properties, additional risk adjustments were applied to proved reserves to reflect the relative uncertainty of the reserve class. These inputs are classified as Level 3 unobservable inputs, including the underlying commodity price assumptions which are based on the five-year NYMEX forward strip prices, escalated for inflation thereafter, and adjusted for price differentials.</w:t>
      </w:r>
    </w:p>
    <w:p>
      <w:pPr>
        <w:spacing w:after="0" w:line="178"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231F20"/>
        </w:rPr>
        <w:t>The liability for future asset retirement obligations was determined by calculating the present value of estimated future abandonment costs. We utilized several assumptions, including a credit-adjusted risk-free interest rate, estimated remediation costs, estimated timing of when the work will be performed and a projected inflation rate.</w:t>
      </w:r>
    </w:p>
    <w:p>
      <w:pPr>
        <w:spacing w:after="0" w:line="191" w:lineRule="exact"/>
        <w:rPr>
          <w:sz w:val="20"/>
          <w:szCs w:val="20"/>
          <w:color w:val="auto"/>
        </w:rPr>
      </w:pPr>
    </w:p>
    <w:p>
      <w:pPr>
        <w:ind w:right="60" w:firstLine="300"/>
        <w:spacing w:after="0" w:line="245" w:lineRule="auto"/>
        <w:rPr>
          <w:sz w:val="20"/>
          <w:szCs w:val="20"/>
          <w:color w:val="auto"/>
        </w:rPr>
      </w:pPr>
      <w:r>
        <w:rPr>
          <w:rFonts w:ascii="Arial" w:cs="Arial" w:eastAsia="Arial" w:hAnsi="Arial"/>
          <w:sz w:val="20"/>
          <w:szCs w:val="20"/>
          <w:color w:val="231F20"/>
        </w:rPr>
        <w:t>Deferred income taxes, included in other noncurrent assets, represent the tax effects of differences in the tax basis and merger-date fair values of assets acquired and liabilities assumed.</w:t>
      </w:r>
    </w:p>
    <w:p>
      <w:pPr>
        <w:spacing w:after="0" w:line="192" w:lineRule="exact"/>
        <w:rPr>
          <w:sz w:val="20"/>
          <w:szCs w:val="20"/>
          <w:color w:val="auto"/>
        </w:rPr>
      </w:pPr>
    </w:p>
    <w:p>
      <w:pPr>
        <w:ind w:right="400" w:firstLine="300"/>
        <w:spacing w:after="0" w:line="248" w:lineRule="auto"/>
        <w:rPr>
          <w:sz w:val="20"/>
          <w:szCs w:val="20"/>
          <w:color w:val="auto"/>
        </w:rPr>
      </w:pPr>
      <w:r>
        <w:rPr>
          <w:rFonts w:ascii="Arial" w:cs="Arial" w:eastAsia="Arial" w:hAnsi="Arial"/>
          <w:sz w:val="20"/>
          <w:szCs w:val="20"/>
          <w:color w:val="231F20"/>
        </w:rPr>
        <w:t>Lease-related assets and liabilities acquired are remeasured as if the leases were new at the merger date. These agreements are still under review for measurement at an updated incremental borrowing rate. Lease assets are included in other assets and the liabilities are included in accrued liabilities and other long-term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Supplemental Unaudited Pro Forma Financial Information</w:t>
      </w:r>
    </w:p>
    <w:p>
      <w:pPr>
        <w:spacing w:after="0" w:line="199" w:lineRule="exact"/>
        <w:rPr>
          <w:sz w:val="20"/>
          <w:szCs w:val="20"/>
          <w:color w:val="auto"/>
        </w:rPr>
      </w:pPr>
    </w:p>
    <w:p>
      <w:pPr>
        <w:jc w:val="both"/>
        <w:ind w:right="240" w:firstLine="300"/>
        <w:spacing w:after="0" w:line="246" w:lineRule="auto"/>
        <w:rPr>
          <w:sz w:val="20"/>
          <w:szCs w:val="20"/>
          <w:color w:val="auto"/>
        </w:rPr>
      </w:pPr>
      <w:r>
        <w:rPr>
          <w:rFonts w:ascii="Arial" w:cs="Arial" w:eastAsia="Arial" w:hAnsi="Arial"/>
          <w:sz w:val="20"/>
          <w:szCs w:val="20"/>
          <w:color w:val="231F20"/>
        </w:rPr>
        <w:t>The following supplemental unaudited pro forma financial information presents the total operating revenue, net income and earnings per share for the years ended December 31, 2025 and 2024 as if the Berry Merger had occurred on January 1,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Borders>
              <w:bottom w:val="single" w:sz="8" w:color="231F20"/>
            </w:tcBorders>
            <w:gridSpan w:val="6"/>
          </w:tcPr>
          <w:p>
            <w:pPr>
              <w:jc w:val="right"/>
              <w:spacing w:after="0"/>
              <w:rPr>
                <w:sz w:val="20"/>
                <w:szCs w:val="20"/>
                <w:color w:val="auto"/>
              </w:rPr>
            </w:pPr>
            <w:r>
              <w:rPr>
                <w:rFonts w:ascii="Arial" w:cs="Arial" w:eastAsia="Arial" w:hAnsi="Arial"/>
                <w:sz w:val="20"/>
                <w:szCs w:val="20"/>
                <w:b w:val="1"/>
                <w:bCs w:val="1"/>
                <w:color w:val="231F20"/>
              </w:rPr>
              <w:t>Year ended December 31,</w:t>
            </w:r>
          </w:p>
        </w:tc>
      </w:tr>
      <w:tr>
        <w:trPr>
          <w:trHeight w:val="260"/>
        </w:trPr>
        <w:tc>
          <w:tcPr>
            <w:tcW w:w="6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283"/>
              <w:spacing w:after="0"/>
              <w:rPr>
                <w:sz w:val="20"/>
                <w:szCs w:val="20"/>
                <w:color w:val="auto"/>
              </w:rPr>
            </w:pPr>
            <w:r>
              <w:rPr>
                <w:rFonts w:ascii="Arial" w:cs="Arial" w:eastAsia="Arial" w:hAnsi="Arial"/>
                <w:sz w:val="20"/>
                <w:szCs w:val="20"/>
                <w:b w:val="1"/>
                <w:bCs w:val="1"/>
                <w:color w:val="231F20"/>
              </w:rPr>
              <w:t>2025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80"/>
              <w:spacing w:after="0"/>
              <w:rPr>
                <w:sz w:val="20"/>
                <w:szCs w:val="20"/>
                <w:color w:val="auto"/>
              </w:rPr>
            </w:pPr>
            <w:r>
              <w:rPr>
                <w:rFonts w:ascii="Arial" w:cs="Arial" w:eastAsia="Arial" w:hAnsi="Arial"/>
                <w:sz w:val="20"/>
                <w:szCs w:val="20"/>
                <w:b w:val="1"/>
                <w:bCs w:val="1"/>
                <w:color w:val="231F20"/>
              </w:rPr>
              <w:t>2024</w:t>
            </w:r>
          </w:p>
        </w:tc>
      </w:tr>
      <w:tr>
        <w:trPr>
          <w:trHeight w:val="192"/>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6"/>
                <w:szCs w:val="16"/>
                <w:color w:val="231F20"/>
              </w:rPr>
              <w:t>(in millions)</w:t>
            </w:r>
          </w:p>
        </w:tc>
        <w:tc>
          <w:tcPr>
            <w:tcW w:w="860" w:type="dxa"/>
            <w:vAlign w:val="bottom"/>
          </w:tcPr>
          <w:p>
            <w:pPr>
              <w:spacing w:after="0"/>
              <w:rPr>
                <w:sz w:val="16"/>
                <w:szCs w:val="16"/>
                <w:color w:val="auto"/>
              </w:rPr>
            </w:pPr>
          </w:p>
        </w:tc>
      </w:tr>
      <w:tr>
        <w:trPr>
          <w:trHeight w:val="250"/>
        </w:trPr>
        <w:tc>
          <w:tcPr>
            <w:tcW w:w="6400" w:type="dxa"/>
            <w:vAlign w:val="bottom"/>
          </w:tcPr>
          <w:p>
            <w:pPr>
              <w:jc w:val="right"/>
              <w:spacing w:after="0"/>
              <w:rPr>
                <w:sz w:val="20"/>
                <w:szCs w:val="20"/>
                <w:color w:val="auto"/>
              </w:rPr>
            </w:pPr>
            <w:r>
              <w:rPr>
                <w:rFonts w:ascii="Arial" w:cs="Arial" w:eastAsia="Arial" w:hAnsi="Arial"/>
                <w:sz w:val="20"/>
                <w:szCs w:val="20"/>
                <w:color w:val="231F20"/>
                <w:w w:val="97"/>
              </w:rPr>
              <w:t>Total operating revenue . . . . . . . . . . . . . . . . . . . . . . . . . . . . . . . . . . . . . . .</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4,298</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3,961</w:t>
            </w:r>
          </w:p>
        </w:tc>
      </w:tr>
      <w:tr>
        <w:trPr>
          <w:trHeight w:val="240"/>
        </w:trPr>
        <w:tc>
          <w:tcPr>
            <w:tcW w:w="6400" w:type="dxa"/>
            <w:vAlign w:val="bottom"/>
          </w:tcPr>
          <w:p>
            <w:pPr>
              <w:jc w:val="right"/>
              <w:spacing w:after="0"/>
              <w:rPr>
                <w:sz w:val="20"/>
                <w:szCs w:val="20"/>
                <w:color w:val="auto"/>
              </w:rPr>
            </w:pPr>
            <w:r>
              <w:rPr>
                <w:rFonts w:ascii="Arial" w:cs="Arial" w:eastAsia="Arial" w:hAnsi="Arial"/>
                <w:sz w:val="20"/>
                <w:szCs w:val="20"/>
                <w:color w:val="231F20"/>
                <w:w w:val="96"/>
              </w:rPr>
              <w:t>Net income  . . . . . . . . . . . . . . . . . . . . . . . . . . . . . . . . . . . . . . . . . . . . . . . . .</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329</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434</w:t>
            </w:r>
          </w:p>
        </w:tc>
      </w:tr>
      <w:tr>
        <w:trPr>
          <w:trHeight w:val="480"/>
        </w:trPr>
        <w:tc>
          <w:tcPr>
            <w:tcW w:w="6400" w:type="dxa"/>
            <w:vAlign w:val="bottom"/>
          </w:tcPr>
          <w:p>
            <w:pPr>
              <w:jc w:val="right"/>
              <w:ind w:right="5900"/>
              <w:spacing w:after="0"/>
              <w:rPr>
                <w:sz w:val="20"/>
                <w:szCs w:val="20"/>
                <w:color w:val="auto"/>
              </w:rPr>
            </w:pPr>
            <w:r>
              <w:rPr>
                <w:rFonts w:ascii="Arial" w:cs="Arial" w:eastAsia="Arial" w:hAnsi="Arial"/>
                <w:sz w:val="20"/>
                <w:szCs w:val="20"/>
                <w:b w:val="1"/>
                <w:bCs w:val="1"/>
                <w:color w:val="231F20"/>
                <w:w w:val="94"/>
              </w:rPr>
              <w:t>EPS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0"/>
        </w:trPr>
        <w:tc>
          <w:tcPr>
            <w:tcW w:w="6400" w:type="dxa"/>
            <w:vAlign w:val="bottom"/>
          </w:tcPr>
          <w:p>
            <w:pPr>
              <w:jc w:val="right"/>
              <w:spacing w:after="0"/>
              <w:rPr>
                <w:sz w:val="20"/>
                <w:szCs w:val="20"/>
                <w:color w:val="auto"/>
              </w:rPr>
            </w:pPr>
            <w:r>
              <w:rPr>
                <w:rFonts w:ascii="Arial" w:cs="Arial" w:eastAsia="Arial" w:hAnsi="Arial"/>
                <w:sz w:val="20"/>
                <w:szCs w:val="20"/>
                <w:color w:val="231F20"/>
                <w:w w:val="99"/>
              </w:rPr>
              <w:t>Basic  . . . . . . . . . . . . . . . . . . . . . . . . . . . . . . . . . . . . . . . . . . . . . . . . . . . .</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3.56</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5.11</w:t>
            </w:r>
          </w:p>
        </w:tc>
      </w:tr>
      <w:tr>
        <w:trPr>
          <w:trHeight w:val="238"/>
        </w:trPr>
        <w:tc>
          <w:tcPr>
            <w:tcW w:w="6400" w:type="dxa"/>
            <w:vAlign w:val="bottom"/>
          </w:tcPr>
          <w:p>
            <w:pPr>
              <w:jc w:val="right"/>
              <w:spacing w:after="0"/>
              <w:rPr>
                <w:sz w:val="20"/>
                <w:szCs w:val="20"/>
                <w:color w:val="auto"/>
              </w:rPr>
            </w:pPr>
            <w:r>
              <w:rPr>
                <w:rFonts w:ascii="Arial" w:cs="Arial" w:eastAsia="Arial" w:hAnsi="Arial"/>
                <w:sz w:val="20"/>
                <w:szCs w:val="20"/>
                <w:color w:val="231F20"/>
                <w:w w:val="98"/>
              </w:rPr>
              <w:t>Diluted  . . . . . . . . . . . . . . . . . . . . . . . . . . . . . . . . . . . . . . . . . . . . . . . . . . .</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3.54</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4.99</w:t>
            </w:r>
          </w:p>
        </w:tc>
      </w:tr>
    </w:tbl>
    <w:p>
      <w:pPr>
        <w:spacing w:after="0" w:line="199" w:lineRule="exact"/>
        <w:rPr>
          <w:sz w:val="20"/>
          <w:szCs w:val="20"/>
          <w:color w:val="auto"/>
        </w:rPr>
      </w:pPr>
    </w:p>
    <w:p>
      <w:pPr>
        <w:ind w:right="200" w:firstLine="300"/>
        <w:spacing w:after="0" w:line="243" w:lineRule="auto"/>
        <w:rPr>
          <w:sz w:val="20"/>
          <w:szCs w:val="20"/>
          <w:color w:val="auto"/>
        </w:rPr>
      </w:pPr>
      <w:r>
        <w:rPr>
          <w:rFonts w:ascii="Arial" w:cs="Arial" w:eastAsia="Arial" w:hAnsi="Arial"/>
          <w:sz w:val="20"/>
          <w:szCs w:val="20"/>
          <w:color w:val="231F20"/>
        </w:rPr>
        <w:t>The pro forma information is presented for illustration purposes only and is not necessarily indicative of the operating results that would have occurred had the Berry Merger been completed on</w:t>
      </w:r>
    </w:p>
    <w:p>
      <w:pPr>
        <w:sectPr>
          <w:pgSz w:w="11880" w:h="15480" w:orient="portrait"/>
          <w:cols w:equalWidth="0" w:num="1">
            <w:col w:w="9120"/>
          </w:cols>
          <w:pgMar w:left="1380" w:top="1316" w:right="1380" w:bottom="66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106</w:t>
      </w:r>
    </w:p>
    <w:p>
      <w:pPr>
        <w:sectPr>
          <w:pgSz w:w="11880" w:h="15480" w:orient="portrait"/>
          <w:cols w:equalWidth="0" w:num="1">
            <w:col w:w="9120"/>
          </w:cols>
          <w:pgMar w:left="1380" w:top="1316" w:right="1380" w:bottom="660" w:gutter="0" w:footer="0" w:header="0"/>
          <w:type w:val="continuous"/>
        </w:sectPr>
      </w:pPr>
    </w:p>
    <w:bookmarkStart w:id="110" w:name="page111"/>
    <w:bookmarkEnd w:id="110"/>
    <w:p>
      <w:pPr>
        <w:spacing w:after="0" w:line="249" w:lineRule="auto"/>
        <w:rPr>
          <w:sz w:val="20"/>
          <w:szCs w:val="20"/>
          <w:color w:val="auto"/>
        </w:rPr>
      </w:pPr>
      <w:r>
        <w:rPr>
          <w:rFonts w:ascii="Arial" w:cs="Arial" w:eastAsia="Arial" w:hAnsi="Arial"/>
          <w:sz w:val="20"/>
          <w:szCs w:val="20"/>
          <w:color w:val="231F20"/>
        </w:rPr>
        <w:t>January 1, 2024, nor is it necessarily indicative of future operating results of the combined entity. The pro forma financial information for the years ended December 31, 2025 and 2024 is a result of combining our statements of operations with Berry’s pre-merger results from January 1, 2025 and 2024 and includes adjustments for revenues and direct expenses. The pro forma results do not reflect any cost savings anticipated as a result of the Berry Merger and exclude the impact of any employee severance or retention. The pro forma results include adjustments to (i) depreciation, depletion and amortization (DD&amp;A) based on the purchase price allocated to property, plant, and equipment and the estimated useful lives, (ii) interest assuming the issuance of our 2034 Senior Notes, (iii) accretion expense, and (iv) intercompany eliminations with C&amp;J Well Services. We also included pro forma adjustments for certain nonrecurring compensation-related costs and transaction costs we incurred related to the Berry Merger. The pro forma adjustments include estimates and assumptions based on currently available information. Management believes the estimates and assumptions are reasonable, and the relative effects of the Berry Merger are properly reflected. Future results may vary significantly from the results reflected in the above pro forma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Aera Merger</w:t>
      </w:r>
    </w:p>
    <w:p>
      <w:pPr>
        <w:spacing w:after="0" w:line="215" w:lineRule="exact"/>
        <w:rPr>
          <w:sz w:val="20"/>
          <w:szCs w:val="20"/>
          <w:color w:val="auto"/>
        </w:rPr>
      </w:pPr>
    </w:p>
    <w:p>
      <w:pPr>
        <w:ind w:right="240" w:firstLine="300"/>
        <w:spacing w:after="0" w:line="248" w:lineRule="auto"/>
        <w:rPr>
          <w:sz w:val="20"/>
          <w:szCs w:val="20"/>
          <w:color w:val="auto"/>
        </w:rPr>
      </w:pPr>
      <w:r>
        <w:rPr>
          <w:rFonts w:ascii="Arial" w:cs="Arial" w:eastAsia="Arial" w:hAnsi="Arial"/>
          <w:sz w:val="20"/>
          <w:szCs w:val="20"/>
          <w:color w:val="231F20"/>
        </w:rPr>
        <w:t>On July 1, 2024, we obtained by way of merger all of the ownership interests in Aera. We applied the acquisition method of accounting and are the accounting acquirer. The Aera Merger added significant oil-weighted production and proved developed reserves to CRC, primarily in the San Joaquin and Ventura basins.</w:t>
      </w:r>
    </w:p>
    <w:p>
      <w:pPr>
        <w:spacing w:after="0" w:line="209"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 xml:space="preserve">In connection with the closing of the Aera Merger, we issued 21,315,707 shares of common stock to the Sellers. We issued an additional 107,265 shares in February 2025 and we expect to issue an insignificant amount of shares for deferred consideration. This deferred consideration is related to pre-effective date and restructuring income taxes of the former owners of Aera. We also paid approximately $990 million in connection with the extinguishment of all of Aera’s outstanding indebtedness using the proceeds from the issuance of our 8.25% senior notes due 2029 (2029 Senior Notes) and cash on hand. The net cash paid by us at legal close to acquire Aera was $853 million, consisting of $990 million to repay Aera’s outstanding debt less Aera’s cash on hand of $137 million. For more information on the 2029 Senior Notes and recent amendments to our Revolving Credit Facility, refer to </w:t>
      </w:r>
      <w:r>
        <w:rPr>
          <w:rFonts w:ascii="Arial" w:cs="Arial" w:eastAsia="Arial" w:hAnsi="Arial"/>
          <w:sz w:val="20"/>
          <w:szCs w:val="20"/>
          <w:i w:val="1"/>
          <w:iCs w:val="1"/>
          <w:color w:val="231F20"/>
        </w:rPr>
        <w:t>Note 5 Debt.</w:t>
      </w:r>
    </w:p>
    <w:p>
      <w:pPr>
        <w:spacing w:after="0" w:line="214" w:lineRule="exact"/>
        <w:rPr>
          <w:sz w:val="20"/>
          <w:szCs w:val="20"/>
          <w:color w:val="auto"/>
        </w:rPr>
      </w:pPr>
    </w:p>
    <w:p>
      <w:pPr>
        <w:ind w:right="180" w:firstLine="300"/>
        <w:spacing w:after="0" w:line="245" w:lineRule="auto"/>
        <w:rPr>
          <w:sz w:val="20"/>
          <w:szCs w:val="20"/>
          <w:color w:val="auto"/>
        </w:rPr>
      </w:pPr>
      <w:r>
        <w:rPr>
          <w:rFonts w:ascii="Arial" w:cs="Arial" w:eastAsia="Arial" w:hAnsi="Arial"/>
          <w:sz w:val="20"/>
          <w:szCs w:val="20"/>
          <w:color w:val="231F20"/>
        </w:rPr>
        <w:t>As of July 1, 2024, immediately following the closing of the Aera Merger, our existing stockholders prior to the Aera Merger owned 76% of CRC and the Sellers owned 24% of CRC.</w:t>
      </w:r>
    </w:p>
    <w:p>
      <w:pPr>
        <w:spacing w:after="0" w:line="210" w:lineRule="exact"/>
        <w:rPr>
          <w:sz w:val="20"/>
          <w:szCs w:val="20"/>
          <w:color w:val="auto"/>
        </w:rPr>
      </w:pPr>
    </w:p>
    <w:p>
      <w:pPr>
        <w:ind w:right="120" w:firstLine="300"/>
        <w:spacing w:after="0" w:line="246" w:lineRule="auto"/>
        <w:rPr>
          <w:sz w:val="20"/>
          <w:szCs w:val="20"/>
          <w:color w:val="auto"/>
        </w:rPr>
      </w:pPr>
      <w:r>
        <w:rPr>
          <w:rFonts w:ascii="Arial" w:cs="Arial" w:eastAsia="Arial" w:hAnsi="Arial"/>
          <w:sz w:val="20"/>
          <w:szCs w:val="20"/>
          <w:color w:val="231F20"/>
        </w:rPr>
        <w:t>We have measured assets and liabilities at acquisition date fair value on a nonrecurring basis. The purchase price allocation was final as of June 30, 2025. The following table summarizes the consideration transferred:</w:t>
      </w:r>
    </w:p>
    <w:p>
      <w:pPr>
        <w:spacing w:after="0" w:line="170" w:lineRule="exact"/>
        <w:rPr>
          <w:sz w:val="20"/>
          <w:szCs w:val="20"/>
          <w:color w:val="auto"/>
        </w:rPr>
      </w:pPr>
    </w:p>
    <w:p>
      <w:pPr>
        <w:ind w:left="7060"/>
        <w:spacing w:after="0"/>
        <w:rPr>
          <w:sz w:val="20"/>
          <w:szCs w:val="20"/>
          <w:color w:val="auto"/>
        </w:rPr>
      </w:pPr>
      <w:r>
        <w:rPr>
          <w:rFonts w:ascii="Arial" w:cs="Arial" w:eastAsia="Arial" w:hAnsi="Arial"/>
          <w:sz w:val="19"/>
          <w:szCs w:val="19"/>
          <w:b w:val="1"/>
          <w:bCs w:val="1"/>
          <w:color w:val="231F20"/>
        </w:rPr>
        <w:t>Merger Consideration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4476115</wp:posOffset>
                </wp:positionH>
                <wp:positionV relativeFrom="paragraph">
                  <wp:posOffset>23495</wp:posOffset>
                </wp:positionV>
                <wp:extent cx="131508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508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45pt,1.85pt" to="456pt,1.85pt" o:allowincell="f" strokecolor="#231F20" strokeweight="1pt"/>
            </w:pict>
          </mc:Fallback>
        </mc:AlternateContent>
      </w:r>
    </w:p>
    <w:p>
      <w:pPr>
        <w:spacing w:after="0" w:line="35" w:lineRule="exact"/>
        <w:rPr>
          <w:sz w:val="20"/>
          <w:szCs w:val="20"/>
          <w:color w:val="auto"/>
        </w:rPr>
      </w:pPr>
    </w:p>
    <w:p>
      <w:pPr>
        <w:jc w:val="center"/>
        <w:ind w:left="7040"/>
        <w:spacing w:after="0"/>
        <w:rPr>
          <w:sz w:val="20"/>
          <w:szCs w:val="20"/>
          <w:color w:val="auto"/>
        </w:rPr>
      </w:pPr>
      <w:r>
        <w:rPr>
          <w:rFonts w:ascii="Arial" w:cs="Arial" w:eastAsia="Arial" w:hAnsi="Arial"/>
          <w:sz w:val="16"/>
          <w:szCs w:val="16"/>
          <w:color w:val="231F20"/>
        </w:rPr>
        <w:t>(in millions, except share and</w:t>
      </w:r>
    </w:p>
    <w:p>
      <w:pPr>
        <w:jc w:val="center"/>
        <w:ind w:left="7040"/>
        <w:spacing w:after="0" w:line="208" w:lineRule="auto"/>
        <w:rPr>
          <w:sz w:val="20"/>
          <w:szCs w:val="20"/>
          <w:color w:val="auto"/>
        </w:rPr>
      </w:pPr>
      <w:r>
        <w:rPr>
          <w:rFonts w:ascii="Arial" w:cs="Arial" w:eastAsia="Arial" w:hAnsi="Arial"/>
          <w:sz w:val="16"/>
          <w:szCs w:val="16"/>
          <w:color w:val="231F20"/>
        </w:rPr>
        <w:t>per share data)</w:t>
      </w:r>
    </w:p>
    <w:p>
      <w:pPr>
        <w:sectPr>
          <w:pgSz w:w="11880" w:h="15480" w:orient="portrait"/>
          <w:cols w:equalWidth="0" w:num="1">
            <w:col w:w="9120"/>
          </w:cols>
          <w:pgMar w:left="1380" w:top="1316" w:right="1380" w:bottom="66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231F20"/>
        </w:rPr>
        <w:t>Shares of common stock issued (dividend adjusted) . . . . . . . . . . . . . . . . . . . . .</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231F20"/>
        </w:rPr>
        <w:t>Common stock per share fair value on July 1, 2024 . . . . . . . . . . . . . . . . . . . . . .</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Fair value of share consideration . . . . . . . . . . . . . . . . . . . . . . . . . . . . . . . . . . .</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231F20"/>
        </w:rPr>
        <w:t>Settlement of Aera debt  . . . . . . . . . . . . . . . . . . . . . . . . . . . . . . . . . . . . . . . . . . . .</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231F20"/>
        </w:rPr>
        <w:t>Purchase price settlement, net . . . . . . . . . . . . . . . . . . . . . . . . . . . . . . . . . . . . . . .</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Total purchase consideration . . . . . . . . . . . . . . . . . . . . . . . . . . . . . . . . . . . .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420"/>
        <w:spacing w:after="0"/>
        <w:rPr>
          <w:sz w:val="20"/>
          <w:szCs w:val="20"/>
          <w:color w:val="auto"/>
        </w:rPr>
      </w:pPr>
      <w:r>
        <w:rPr>
          <w:rFonts w:ascii="Arial" w:cs="Arial" w:eastAsia="Arial" w:hAnsi="Arial"/>
          <w:sz w:val="20"/>
          <w:szCs w:val="20"/>
          <w:color w:val="231F20"/>
        </w:rPr>
        <w:t>21,422,972</w:t>
      </w:r>
    </w:p>
    <w:p>
      <w:pPr>
        <w:spacing w:after="0" w:line="15" w:lineRule="exact"/>
        <w:rPr>
          <w:sz w:val="20"/>
          <w:szCs w:val="20"/>
          <w:color w:val="auto"/>
        </w:rPr>
      </w:pPr>
    </w:p>
    <w:p>
      <w:pPr>
        <w:ind w:left="721" w:hanging="721"/>
        <w:spacing w:after="0"/>
        <w:tabs>
          <w:tab w:leader="none" w:pos="721" w:val="left"/>
        </w:tabs>
        <w:numPr>
          <w:ilvl w:val="0"/>
          <w:numId w:val="59"/>
        </w:numPr>
        <w:rPr>
          <w:rFonts w:ascii="Arial" w:cs="Arial" w:eastAsia="Arial" w:hAnsi="Arial"/>
          <w:sz w:val="19"/>
          <w:szCs w:val="19"/>
          <w:color w:val="231F20"/>
        </w:rPr>
      </w:pPr>
      <w:r>
        <w:rPr>
          <w:rFonts w:ascii="Arial" w:cs="Arial" w:eastAsia="Arial" w:hAnsi="Arial"/>
          <w:sz w:val="19"/>
          <w:szCs w:val="19"/>
          <w:color w:val="231F20"/>
        </w:rPr>
        <w:t>53.28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76898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60.55pt,1.95pt" o:allowincell="f" strokecolor="#231F20" strokeweight="0.5pt"/>
            </w:pict>
          </mc:Fallback>
        </mc:AlternateContent>
      </w:r>
    </w:p>
    <w:p>
      <w:pPr>
        <w:spacing w:after="0" w:line="82" w:lineRule="exact"/>
        <w:rPr>
          <w:sz w:val="20"/>
          <w:szCs w:val="20"/>
          <w:color w:val="auto"/>
        </w:rPr>
      </w:pPr>
    </w:p>
    <w:p>
      <w:pPr>
        <w:ind w:left="721" w:hanging="721"/>
        <w:spacing w:after="0"/>
        <w:tabs>
          <w:tab w:leader="none" w:pos="721" w:val="left"/>
        </w:tabs>
        <w:numPr>
          <w:ilvl w:val="0"/>
          <w:numId w:val="60"/>
        </w:numPr>
        <w:rPr>
          <w:rFonts w:ascii="Arial" w:cs="Arial" w:eastAsia="Arial" w:hAnsi="Arial"/>
          <w:sz w:val="19"/>
          <w:szCs w:val="19"/>
          <w:color w:val="231F20"/>
        </w:rPr>
      </w:pPr>
      <w:r>
        <w:rPr>
          <w:rFonts w:ascii="Arial" w:cs="Arial" w:eastAsia="Arial" w:hAnsi="Arial"/>
          <w:sz w:val="19"/>
          <w:szCs w:val="19"/>
          <w:color w:val="231F20"/>
        </w:rPr>
        <w:t>1,141</w:t>
      </w:r>
    </w:p>
    <w:p>
      <w:pPr>
        <w:spacing w:after="0" w:line="14" w:lineRule="exact"/>
        <w:rPr>
          <w:rFonts w:ascii="Arial" w:cs="Arial" w:eastAsia="Arial" w:hAnsi="Arial"/>
          <w:sz w:val="19"/>
          <w:szCs w:val="19"/>
          <w:color w:val="231F20"/>
        </w:rPr>
      </w:pPr>
    </w:p>
    <w:p>
      <w:pPr>
        <w:ind w:left="881"/>
        <w:spacing w:after="0"/>
        <w:rPr>
          <w:rFonts w:ascii="Arial" w:cs="Arial" w:eastAsia="Arial" w:hAnsi="Arial"/>
          <w:sz w:val="19"/>
          <w:szCs w:val="19"/>
          <w:color w:val="231F20"/>
        </w:rPr>
      </w:pPr>
      <w:r>
        <w:rPr>
          <w:rFonts w:ascii="Arial" w:cs="Arial" w:eastAsia="Arial" w:hAnsi="Arial"/>
          <w:sz w:val="20"/>
          <w:szCs w:val="20"/>
          <w:color w:val="231F20"/>
        </w:rPr>
        <w:t>990</w:t>
      </w:r>
    </w:p>
    <w:p>
      <w:pPr>
        <w:spacing w:after="0" w:line="10" w:lineRule="exact"/>
        <w:rPr>
          <w:rFonts w:ascii="Arial" w:cs="Arial" w:eastAsia="Arial" w:hAnsi="Arial"/>
          <w:sz w:val="19"/>
          <w:szCs w:val="19"/>
          <w:color w:val="231F20"/>
        </w:rPr>
      </w:pPr>
    </w:p>
    <w:p>
      <w:pPr>
        <w:ind w:left="861"/>
        <w:spacing w:after="0"/>
        <w:rPr>
          <w:rFonts w:ascii="Arial" w:cs="Arial" w:eastAsia="Arial" w:hAnsi="Arial"/>
          <w:sz w:val="19"/>
          <w:szCs w:val="19"/>
          <w:color w:val="231F20"/>
        </w:rPr>
      </w:pPr>
      <w:r>
        <w:rPr>
          <w:rFonts w:ascii="Arial" w:cs="Arial" w:eastAsia="Arial" w:hAnsi="Arial"/>
          <w:sz w:val="20"/>
          <w:szCs w:val="20"/>
          <w:color w:val="231F20"/>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76898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pt" to="60.55pt,1.7pt" o:allowincell="f" strokecolor="#231F20" strokeweight="0.5pt"/>
            </w:pict>
          </mc:Fallback>
        </mc:AlternateContent>
      </w:r>
    </w:p>
    <w:p>
      <w:pPr>
        <w:spacing w:after="0" w:line="77" w:lineRule="exact"/>
        <w:rPr>
          <w:sz w:val="20"/>
          <w:szCs w:val="20"/>
          <w:color w:val="auto"/>
        </w:rPr>
      </w:pPr>
    </w:p>
    <w:p>
      <w:pPr>
        <w:ind w:left="721" w:hanging="721"/>
        <w:spacing w:after="0"/>
        <w:tabs>
          <w:tab w:leader="none" w:pos="721" w:val="left"/>
        </w:tabs>
        <w:numPr>
          <w:ilvl w:val="0"/>
          <w:numId w:val="61"/>
        </w:numPr>
        <w:rPr>
          <w:rFonts w:ascii="Arial" w:cs="Arial" w:eastAsia="Arial" w:hAnsi="Arial"/>
          <w:sz w:val="19"/>
          <w:szCs w:val="19"/>
          <w:color w:val="231F20"/>
        </w:rPr>
      </w:pPr>
      <w:r>
        <w:rPr>
          <w:rFonts w:ascii="Arial" w:cs="Arial" w:eastAsia="Arial" w:hAnsi="Arial"/>
          <w:sz w:val="19"/>
          <w:szCs w:val="19"/>
          <w:color w:val="231F20"/>
        </w:rPr>
        <w:t>2,121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24765</wp:posOffset>
                </wp:positionV>
                <wp:extent cx="76898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pt" to="60.55pt,1.9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50165</wp:posOffset>
                </wp:positionV>
                <wp:extent cx="76898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9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5pt" to="60.55pt,3.95pt" o:allowincell="f" strokecolor="#231F20" strokeweight="0.5pt"/>
            </w:pict>
          </mc:Fallback>
        </mc:AlternateContent>
      </w:r>
    </w:p>
    <w:p>
      <w:pPr>
        <w:spacing w:after="0" w:line="200" w:lineRule="exact"/>
        <w:rPr>
          <w:sz w:val="20"/>
          <w:szCs w:val="20"/>
          <w:color w:val="auto"/>
        </w:rPr>
      </w:pPr>
    </w:p>
    <w:p>
      <w:pPr>
        <w:sectPr>
          <w:pgSz w:w="11880" w:h="15480" w:orient="portrait"/>
          <w:cols w:equalWidth="0" w:num="2">
            <w:col w:w="6840" w:space="639"/>
            <w:col w:w="1641"/>
          </w:cols>
          <w:pgMar w:left="1380" w:top="1316" w:right="1380" w:bottom="6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107</w:t>
      </w:r>
    </w:p>
    <w:p>
      <w:pPr>
        <w:sectPr>
          <w:pgSz w:w="11880" w:h="15480" w:orient="portrait"/>
          <w:cols w:equalWidth="0" w:num="1">
            <w:col w:w="9120"/>
          </w:cols>
          <w:pgMar w:left="1380" w:top="1316" w:right="1380" w:bottom="660" w:gutter="0" w:footer="0" w:header="0"/>
          <w:type w:val="continuous"/>
        </w:sectPr>
      </w:pPr>
    </w:p>
    <w:bookmarkStart w:id="111" w:name="page112"/>
    <w:bookmarkEnd w:id="111"/>
    <w:p>
      <w:pPr>
        <w:ind w:right="100" w:firstLine="300"/>
        <w:spacing w:after="0" w:line="246" w:lineRule="auto"/>
        <w:rPr>
          <w:sz w:val="20"/>
          <w:szCs w:val="20"/>
          <w:color w:val="auto"/>
        </w:rPr>
      </w:pPr>
      <w:r>
        <w:rPr>
          <w:rFonts w:ascii="Arial" w:cs="Arial" w:eastAsia="Arial" w:hAnsi="Arial"/>
          <w:sz w:val="20"/>
          <w:szCs w:val="20"/>
          <w:color w:val="231F20"/>
        </w:rPr>
        <w:t>The following table represents the final purchase price allocation to the identifiable assets acquired and the liabilities assumed based on their estimated fair values as of the closing date of the Aera Merger:</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4"/>
          </w:tcPr>
          <w:p>
            <w:pPr>
              <w:jc w:val="center"/>
              <w:ind w:right="320"/>
              <w:spacing w:after="0"/>
              <w:rPr>
                <w:sz w:val="20"/>
                <w:szCs w:val="20"/>
                <w:color w:val="auto"/>
              </w:rPr>
            </w:pPr>
            <w:r>
              <w:rPr>
                <w:rFonts w:ascii="Arial" w:cs="Arial" w:eastAsia="Arial" w:hAnsi="Arial"/>
                <w:sz w:val="20"/>
                <w:szCs w:val="20"/>
                <w:b w:val="1"/>
                <w:bCs w:val="1"/>
                <w:color w:val="231F20"/>
              </w:rPr>
              <w:t>Preliminary</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1920" w:type="dxa"/>
            <w:vAlign w:val="bottom"/>
            <w:gridSpan w:val="6"/>
          </w:tcPr>
          <w:p>
            <w:pPr>
              <w:jc w:val="center"/>
              <w:spacing w:after="0" w:line="200" w:lineRule="exact"/>
              <w:rPr>
                <w:sz w:val="20"/>
                <w:szCs w:val="20"/>
                <w:color w:val="auto"/>
              </w:rPr>
            </w:pPr>
            <w:r>
              <w:rPr>
                <w:rFonts w:ascii="Arial" w:cs="Arial" w:eastAsia="Arial" w:hAnsi="Arial"/>
                <w:sz w:val="20"/>
                <w:szCs w:val="20"/>
                <w:b w:val="1"/>
                <w:bCs w:val="1"/>
                <w:color w:val="231F20"/>
                <w:w w:val="99"/>
              </w:rPr>
              <w:t>Purchase Price as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5"/>
          </w:tcPr>
          <w:p>
            <w:pPr>
              <w:jc w:val="center"/>
              <w:ind w:right="80"/>
              <w:spacing w:after="0" w:line="200" w:lineRule="exact"/>
              <w:rPr>
                <w:sz w:val="20"/>
                <w:szCs w:val="20"/>
                <w:color w:val="auto"/>
              </w:rPr>
            </w:pPr>
            <w:r>
              <w:rPr>
                <w:rFonts w:ascii="Arial" w:cs="Arial" w:eastAsia="Arial" w:hAnsi="Arial"/>
                <w:sz w:val="20"/>
                <w:szCs w:val="20"/>
                <w:b w:val="1"/>
                <w:bCs w:val="1"/>
                <w:color w:val="231F20"/>
                <w:w w:val="99"/>
              </w:rPr>
              <w:t>of December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5"/>
          </w:tcPr>
          <w:p>
            <w:pPr>
              <w:jc w:val="right"/>
              <w:spacing w:after="0" w:line="200" w:lineRule="exact"/>
              <w:rPr>
                <w:sz w:val="20"/>
                <w:szCs w:val="20"/>
                <w:color w:val="auto"/>
              </w:rPr>
            </w:pPr>
            <w:r>
              <w:rPr>
                <w:rFonts w:ascii="Arial" w:cs="Arial" w:eastAsia="Arial" w:hAnsi="Arial"/>
                <w:sz w:val="20"/>
                <w:szCs w:val="20"/>
                <w:b w:val="1"/>
                <w:bCs w:val="1"/>
                <w:color w:val="231F20"/>
              </w:rPr>
              <w:t>Purchase Price as</w:t>
            </w:r>
          </w:p>
        </w:tc>
        <w:tc>
          <w:tcPr>
            <w:tcW w:w="0" w:type="dxa"/>
            <w:vAlign w:val="bottom"/>
          </w:tcPr>
          <w:p>
            <w:pPr>
              <w:spacing w:after="0"/>
              <w:rPr>
                <w:sz w:val="1"/>
                <w:szCs w:val="1"/>
                <w:color w:val="auto"/>
              </w:rPr>
            </w:pPr>
          </w:p>
        </w:tc>
      </w:tr>
      <w:tr>
        <w:trPr>
          <w:trHeight w:val="248"/>
        </w:trPr>
        <w:tc>
          <w:tcPr>
            <w:tcW w:w="3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center"/>
              <w:ind w:right="160"/>
              <w:spacing w:after="0"/>
              <w:rPr>
                <w:sz w:val="20"/>
                <w:szCs w:val="20"/>
                <w:color w:val="auto"/>
              </w:rPr>
            </w:pPr>
            <w:r>
              <w:rPr>
                <w:rFonts w:ascii="Arial" w:cs="Arial" w:eastAsia="Arial" w:hAnsi="Arial"/>
                <w:sz w:val="20"/>
                <w:szCs w:val="20"/>
                <w:b w:val="1"/>
                <w:bCs w:val="1"/>
                <w:color w:val="231F20"/>
                <w:w w:val="98"/>
              </w:rPr>
              <w:t>2024</w:t>
            </w:r>
          </w:p>
        </w:tc>
        <w:tc>
          <w:tcPr>
            <w:tcW w:w="240" w:type="dxa"/>
            <w:vAlign w:val="bottom"/>
            <w:tcBorders>
              <w:bottom w:val="single" w:sz="8" w:color="231F20"/>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231F20"/>
            </w:tcBorders>
            <w:gridSpan w:val="4"/>
          </w:tcPr>
          <w:p>
            <w:pPr>
              <w:spacing w:after="0" w:line="228" w:lineRule="exact"/>
              <w:rPr>
                <w:sz w:val="20"/>
                <w:szCs w:val="20"/>
                <w:color w:val="auto"/>
              </w:rPr>
            </w:pPr>
            <w:r>
              <w:rPr>
                <w:rFonts w:ascii="Arial" w:cs="Arial" w:eastAsia="Arial" w:hAnsi="Arial"/>
                <w:sz w:val="20"/>
                <w:szCs w:val="20"/>
                <w:b w:val="1"/>
                <w:bCs w:val="1"/>
                <w:color w:val="231F20"/>
                <w:w w:val="99"/>
              </w:rPr>
              <w:t>Adjustments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231F20"/>
            </w:tcBorders>
            <w:gridSpan w:val="4"/>
          </w:tcPr>
          <w:p>
            <w:pPr>
              <w:jc w:val="right"/>
              <w:ind w:right="80"/>
              <w:spacing w:after="0" w:line="228" w:lineRule="exact"/>
              <w:rPr>
                <w:sz w:val="20"/>
                <w:szCs w:val="20"/>
                <w:color w:val="auto"/>
              </w:rPr>
            </w:pPr>
            <w:r>
              <w:rPr>
                <w:rFonts w:ascii="Arial" w:cs="Arial" w:eastAsia="Arial" w:hAnsi="Arial"/>
                <w:sz w:val="20"/>
                <w:szCs w:val="20"/>
                <w:b w:val="1"/>
                <w:bCs w:val="1"/>
                <w:color w:val="231F20"/>
              </w:rPr>
              <w:t>of June 30, 2025</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color w:val="231F20"/>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960" w:type="dxa"/>
            <w:vAlign w:val="bottom"/>
          </w:tcPr>
          <w:p>
            <w:pPr>
              <w:spacing w:after="0"/>
              <w:rPr>
                <w:sz w:val="20"/>
                <w:szCs w:val="20"/>
                <w:color w:val="auto"/>
              </w:rPr>
            </w:pPr>
            <w:r>
              <w:rPr>
                <w:rFonts w:ascii="Arial" w:cs="Arial" w:eastAsia="Arial" w:hAnsi="Arial"/>
                <w:sz w:val="20"/>
                <w:szCs w:val="20"/>
                <w:b w:val="1"/>
                <w:bCs w:val="1"/>
                <w:color w:val="231F20"/>
              </w:rPr>
              <w:t>Assets Acquired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w w:val="98"/>
              </w:rPr>
              <w:t>Cash . . . . . . . . . . . . . . . . . . . . . . . . . . . . . .</w:t>
            </w:r>
          </w:p>
        </w:tc>
        <w:tc>
          <w:tcPr>
            <w:tcW w:w="600" w:type="dxa"/>
            <w:vAlign w:val="bottom"/>
            <w:gridSpan w:val="3"/>
          </w:tcPr>
          <w:p>
            <w:pPr>
              <w:jc w:val="right"/>
              <w:ind w:right="40"/>
              <w:spacing w:after="0"/>
              <w:rPr>
                <w:sz w:val="20"/>
                <w:szCs w:val="20"/>
                <w:color w:val="auto"/>
              </w:rPr>
            </w:pPr>
            <w:r>
              <w:rPr>
                <w:rFonts w:ascii="Arial" w:cs="Arial" w:eastAsia="Arial" w:hAnsi="Arial"/>
                <w:sz w:val="20"/>
                <w:szCs w:val="20"/>
                <w:color w:val="231F20"/>
              </w:rPr>
              <w:t>$</w:t>
            </w:r>
          </w:p>
        </w:tc>
        <w:tc>
          <w:tcPr>
            <w:tcW w:w="1220" w:type="dxa"/>
            <w:vAlign w:val="bottom"/>
            <w:gridSpan w:val="2"/>
          </w:tcPr>
          <w:p>
            <w:pPr>
              <w:jc w:val="right"/>
              <w:ind w:right="240"/>
              <w:spacing w:after="0"/>
              <w:rPr>
                <w:sz w:val="20"/>
                <w:szCs w:val="20"/>
                <w:color w:val="auto"/>
              </w:rPr>
            </w:pPr>
            <w:r>
              <w:rPr>
                <w:rFonts w:ascii="Arial" w:cs="Arial" w:eastAsia="Arial" w:hAnsi="Arial"/>
                <w:sz w:val="20"/>
                <w:szCs w:val="20"/>
                <w:color w:val="231F20"/>
              </w:rPr>
              <w:t>137</w:t>
            </w:r>
          </w:p>
        </w:tc>
        <w:tc>
          <w:tcPr>
            <w:tcW w:w="100" w:type="dxa"/>
            <w:vAlign w:val="bottom"/>
          </w:tcPr>
          <w:p>
            <w:pPr>
              <w:spacing w:after="0"/>
              <w:rPr>
                <w:sz w:val="20"/>
                <w:szCs w:val="20"/>
                <w:color w:val="auto"/>
              </w:rPr>
            </w:pPr>
          </w:p>
        </w:tc>
        <w:tc>
          <w:tcPr>
            <w:tcW w:w="280" w:type="dxa"/>
            <w:vAlign w:val="bottom"/>
            <w:gridSpan w:val="3"/>
          </w:tcPr>
          <w:p>
            <w:pPr>
              <w:ind w:left="120"/>
              <w:spacing w:after="0"/>
              <w:rPr>
                <w:sz w:val="20"/>
                <w:szCs w:val="20"/>
                <w:color w:val="auto"/>
              </w:rPr>
            </w:pPr>
            <w:r>
              <w:rPr>
                <w:rFonts w:ascii="Arial" w:cs="Arial" w:eastAsia="Arial" w:hAnsi="Arial"/>
                <w:sz w:val="20"/>
                <w:szCs w:val="20"/>
                <w:color w:val="231F20"/>
              </w:rPr>
              <w:t>$</w:t>
            </w:r>
          </w:p>
        </w:tc>
        <w:tc>
          <w:tcPr>
            <w:tcW w:w="1140" w:type="dxa"/>
            <w:vAlign w:val="bottom"/>
            <w:gridSpan w:val="3"/>
          </w:tcPr>
          <w:p>
            <w:pPr>
              <w:jc w:val="right"/>
              <w:ind w:right="180"/>
              <w:spacing w:after="0"/>
              <w:rPr>
                <w:sz w:val="20"/>
                <w:szCs w:val="20"/>
                <w:color w:val="auto"/>
              </w:rPr>
            </w:pPr>
            <w:r>
              <w:rPr>
                <w:rFonts w:ascii="Arial" w:cs="Arial" w:eastAsia="Arial" w:hAnsi="Arial"/>
                <w:sz w:val="20"/>
                <w:szCs w:val="20"/>
                <w:color w:val="231F20"/>
              </w:rPr>
              <w:t>—</w:t>
            </w:r>
          </w:p>
        </w:tc>
        <w:tc>
          <w:tcPr>
            <w:tcW w:w="700" w:type="dxa"/>
            <w:vAlign w:val="bottom"/>
            <w:gridSpan w:val="3"/>
          </w:tcPr>
          <w:p>
            <w:pPr>
              <w:jc w:val="right"/>
              <w:ind w:right="260"/>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137</w:t>
            </w: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rPr>
              <w:t>Accounts receivable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20"/>
                <w:szCs w:val="20"/>
                <w:color w:val="231F20"/>
              </w:rPr>
              <w:t>176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176</w:t>
            </w: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w w:val="99"/>
              </w:rPr>
              <w:t>Inventories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30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29</w:t>
            </w: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rPr>
              <w:t>Other current assets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62</w:t>
            </w: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rPr>
              <w:t>Investment in unconsolidated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w w:val="98"/>
              </w:rPr>
              <w:t>subsidiary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59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52</w:t>
            </w: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rPr>
              <w:t>Property, plant and equipment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3,048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3,080</w:t>
            </w:r>
          </w:p>
        </w:tc>
        <w:tc>
          <w:tcPr>
            <w:tcW w:w="0" w:type="dxa"/>
            <w:vAlign w:val="bottom"/>
          </w:tcPr>
          <w:p>
            <w:pPr>
              <w:spacing w:after="0"/>
              <w:rPr>
                <w:sz w:val="1"/>
                <w:szCs w:val="1"/>
                <w:color w:val="auto"/>
              </w:rPr>
            </w:pPr>
          </w:p>
        </w:tc>
      </w:tr>
      <w:tr>
        <w:trPr>
          <w:trHeight w:val="242"/>
        </w:trPr>
        <w:tc>
          <w:tcPr>
            <w:tcW w:w="3960" w:type="dxa"/>
            <w:vAlign w:val="bottom"/>
          </w:tcPr>
          <w:p>
            <w:pPr>
              <w:ind w:left="200"/>
              <w:spacing w:after="0"/>
              <w:rPr>
                <w:sz w:val="20"/>
                <w:szCs w:val="20"/>
                <w:color w:val="auto"/>
              </w:rPr>
            </w:pPr>
            <w:r>
              <w:rPr>
                <w:rFonts w:ascii="Arial" w:cs="Arial" w:eastAsia="Arial" w:hAnsi="Arial"/>
                <w:sz w:val="20"/>
                <w:szCs w:val="20"/>
                <w:color w:val="231F20"/>
              </w:rPr>
              <w:t>Pension and other postretirement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w w:val="99"/>
              </w:rPr>
              <w:t>benefits  .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73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73</w:t>
            </w: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rPr>
              <w:t>Other noncurrent assets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57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70</w:t>
            </w:r>
          </w:p>
        </w:tc>
        <w:tc>
          <w:tcPr>
            <w:tcW w:w="0" w:type="dxa"/>
            <w:vAlign w:val="bottom"/>
          </w:tcPr>
          <w:p>
            <w:pPr>
              <w:spacing w:after="0"/>
              <w:rPr>
                <w:sz w:val="1"/>
                <w:szCs w:val="1"/>
                <w:color w:val="auto"/>
              </w:rPr>
            </w:pPr>
          </w:p>
        </w:tc>
      </w:tr>
      <w:tr>
        <w:trPr>
          <w:trHeight w:val="28"/>
        </w:trPr>
        <w:tc>
          <w:tcPr>
            <w:tcW w:w="396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Total Assets Acquired </w:t>
            </w:r>
            <w:r>
              <w:rPr>
                <w:rFonts w:ascii="Arial" w:cs="Arial" w:eastAsia="Arial" w:hAnsi="Arial"/>
                <w:sz w:val="20"/>
                <w:szCs w:val="20"/>
                <w:color w:val="231F20"/>
              </w:rPr>
              <w:t>. . . . . . . . .</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960" w:type="dxa"/>
            <w:vAlign w:val="bottom"/>
            <w:vMerge w:val="continue"/>
          </w:tcPr>
          <w:p>
            <w:pPr>
              <w:ind w:left="3180"/>
              <w:spacing w:after="0"/>
              <w:rPr>
                <w:sz w:val="20"/>
                <w:szCs w:val="20"/>
                <w:color w:val="auto"/>
              </w:rPr>
            </w:pPr>
            <w:r>
              <w:rPr>
                <w:rFonts w:ascii="Arial" w:cs="Arial" w:eastAsia="Arial" w:hAnsi="Arial"/>
                <w:sz w:val="20"/>
                <w:szCs w:val="20"/>
                <w:color w:val="231F20"/>
              </w:rPr>
              <w:t>. . . . . .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3,629</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3,679</w:t>
            </w:r>
          </w:p>
        </w:tc>
        <w:tc>
          <w:tcPr>
            <w:tcW w:w="0" w:type="dxa"/>
            <w:vAlign w:val="bottom"/>
          </w:tcPr>
          <w:p>
            <w:pPr>
              <w:spacing w:after="0"/>
              <w:rPr>
                <w:sz w:val="1"/>
                <w:szCs w:val="1"/>
                <w:color w:val="auto"/>
              </w:rPr>
            </w:pPr>
          </w:p>
        </w:tc>
      </w:tr>
      <w:tr>
        <w:trPr>
          <w:trHeight w:val="28"/>
        </w:trPr>
        <w:tc>
          <w:tcPr>
            <w:tcW w:w="3960" w:type="dxa"/>
            <w:vAlign w:val="bottom"/>
            <w:vMerge w:val="restart"/>
          </w:tcPr>
          <w:p>
            <w:pPr>
              <w:spacing w:after="0"/>
              <w:rPr>
                <w:sz w:val="20"/>
                <w:szCs w:val="20"/>
                <w:color w:val="auto"/>
              </w:rPr>
            </w:pPr>
            <w:r>
              <w:rPr>
                <w:rFonts w:ascii="Arial" w:cs="Arial" w:eastAsia="Arial" w:hAnsi="Arial"/>
                <w:sz w:val="20"/>
                <w:szCs w:val="20"/>
                <w:b w:val="1"/>
                <w:bCs w:val="1"/>
                <w:color w:val="231F20"/>
              </w:rPr>
              <w:t>Liabilities Assumed</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2"/>
        </w:trPr>
        <w:tc>
          <w:tcPr>
            <w:tcW w:w="3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w w:val="99"/>
              </w:rPr>
              <w:t>Accounts payable  . . . . . . . . . . . . . . . . . . .</w:t>
            </w:r>
          </w:p>
        </w:tc>
        <w:tc>
          <w:tcPr>
            <w:tcW w:w="600" w:type="dxa"/>
            <w:vAlign w:val="bottom"/>
            <w:gridSpan w:val="3"/>
          </w:tcPr>
          <w:p>
            <w:pPr>
              <w:jc w:val="right"/>
              <w:ind w:right="40"/>
              <w:spacing w:after="0"/>
              <w:rPr>
                <w:sz w:val="20"/>
                <w:szCs w:val="20"/>
                <w:color w:val="auto"/>
              </w:rPr>
            </w:pPr>
            <w:r>
              <w:rPr>
                <w:rFonts w:ascii="Arial" w:cs="Arial" w:eastAsia="Arial" w:hAnsi="Arial"/>
                <w:sz w:val="20"/>
                <w:szCs w:val="20"/>
                <w:color w:val="231F20"/>
              </w:rPr>
              <w:t>$</w:t>
            </w:r>
          </w:p>
        </w:tc>
        <w:tc>
          <w:tcPr>
            <w:tcW w:w="980" w:type="dxa"/>
            <w:vAlign w:val="bottom"/>
          </w:tcPr>
          <w:p>
            <w:pPr>
              <w:jc w:val="right"/>
              <w:spacing w:after="0"/>
              <w:rPr>
                <w:sz w:val="20"/>
                <w:szCs w:val="20"/>
                <w:color w:val="auto"/>
              </w:rPr>
            </w:pPr>
            <w:r>
              <w:rPr>
                <w:rFonts w:ascii="Arial" w:cs="Arial" w:eastAsia="Arial" w:hAnsi="Arial"/>
                <w:sz w:val="20"/>
                <w:szCs w:val="20"/>
                <w:color w:val="231F20"/>
              </w:rPr>
              <w:t>(158)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3"/>
          </w:tcPr>
          <w:p>
            <w:pPr>
              <w:ind w:left="120"/>
              <w:spacing w:after="0"/>
              <w:rPr>
                <w:sz w:val="20"/>
                <w:szCs w:val="20"/>
                <w:color w:val="auto"/>
              </w:rPr>
            </w:pPr>
            <w:r>
              <w:rPr>
                <w:rFonts w:ascii="Arial" w:cs="Arial" w:eastAsia="Arial" w:hAnsi="Arial"/>
                <w:sz w:val="20"/>
                <w:szCs w:val="20"/>
                <w:color w:val="231F20"/>
              </w:rPr>
              <w:t>$</w:t>
            </w:r>
          </w:p>
        </w:tc>
        <w:tc>
          <w:tcPr>
            <w:tcW w:w="1140" w:type="dxa"/>
            <w:vAlign w:val="bottom"/>
            <w:gridSpan w:val="3"/>
          </w:tcPr>
          <w:p>
            <w:pPr>
              <w:jc w:val="right"/>
              <w:ind w:right="180"/>
              <w:spacing w:after="0"/>
              <w:rPr>
                <w:sz w:val="20"/>
                <w:szCs w:val="20"/>
                <w:color w:val="auto"/>
              </w:rPr>
            </w:pPr>
            <w:r>
              <w:rPr>
                <w:rFonts w:ascii="Arial" w:cs="Arial" w:eastAsia="Arial" w:hAnsi="Arial"/>
                <w:sz w:val="20"/>
                <w:szCs w:val="20"/>
                <w:color w:val="231F20"/>
              </w:rPr>
              <w:t>—</w:t>
            </w:r>
          </w:p>
        </w:tc>
        <w:tc>
          <w:tcPr>
            <w:tcW w:w="700" w:type="dxa"/>
            <w:vAlign w:val="bottom"/>
            <w:gridSpan w:val="3"/>
          </w:tcPr>
          <w:p>
            <w:pPr>
              <w:jc w:val="right"/>
              <w:ind w:right="260"/>
              <w:spacing w:after="0"/>
              <w:rPr>
                <w:sz w:val="20"/>
                <w:szCs w:val="20"/>
                <w:color w:val="auto"/>
              </w:rPr>
            </w:pPr>
            <w:r>
              <w:rPr>
                <w:rFonts w:ascii="Arial" w:cs="Arial" w:eastAsia="Arial" w:hAnsi="Arial"/>
                <w:sz w:val="20"/>
                <w:szCs w:val="20"/>
                <w:color w:val="231F20"/>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(158)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w w:val="99"/>
              </w:rPr>
              <w:t>Accrued liabilities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(157)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(161)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rPr>
              <w:t>Asset retirement obligations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(646)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(627)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rPr>
              <w:t>Fair value of derivative contracts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(351)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(351)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rPr>
              <w:t>Pension and other postretirement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w w:val="99"/>
              </w:rPr>
              <w:t>benefits  . . . . . . . . .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(35)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(35)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w w:val="99"/>
              </w:rPr>
              <w:t>Deferred tax liability . . . . .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(101)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(171)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200"/>
              <w:spacing w:after="0"/>
              <w:rPr>
                <w:sz w:val="20"/>
                <w:szCs w:val="20"/>
                <w:color w:val="auto"/>
              </w:rPr>
            </w:pPr>
            <w:r>
              <w:rPr>
                <w:rFonts w:ascii="Arial" w:cs="Arial" w:eastAsia="Arial" w:hAnsi="Arial"/>
                <w:sz w:val="20"/>
                <w:szCs w:val="20"/>
                <w:color w:val="231F20"/>
              </w:rPr>
              <w:t>Other long-term liabilities  . . . . . . . .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(37)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(55)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96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Total Liabilities Assumed  </w:t>
            </w:r>
            <w:r>
              <w:rPr>
                <w:rFonts w:ascii="Arial" w:cs="Arial" w:eastAsia="Arial" w:hAnsi="Arial"/>
                <w:sz w:val="20"/>
                <w:szCs w:val="20"/>
                <w:color w:val="231F20"/>
              </w:rPr>
              <w:t>. . . . . .</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960" w:type="dxa"/>
            <w:vAlign w:val="bottom"/>
            <w:vMerge w:val="continue"/>
          </w:tcPr>
          <w:p>
            <w:pPr>
              <w:ind w:left="3180"/>
              <w:spacing w:after="0"/>
              <w:rPr>
                <w:sz w:val="20"/>
                <w:szCs w:val="20"/>
                <w:color w:val="auto"/>
              </w:rPr>
            </w:pPr>
            <w:r>
              <w:rPr>
                <w:rFonts w:ascii="Arial" w:cs="Arial" w:eastAsia="Arial" w:hAnsi="Arial"/>
                <w:sz w:val="20"/>
                <w:szCs w:val="20"/>
                <w:color w:val="231F20"/>
              </w:rPr>
              <w:t>. . . . . .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(1,485)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(73)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(1,558)</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396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Net Assets Acquired </w:t>
            </w:r>
            <w:r>
              <w:rPr>
                <w:rFonts w:ascii="Arial" w:cs="Arial" w:eastAsia="Arial" w:hAnsi="Arial"/>
                <w:sz w:val="20"/>
                <w:szCs w:val="20"/>
                <w:color w:val="231F20"/>
              </w:rPr>
              <w:t>. . . . . . . . . . .</w:t>
            </w:r>
          </w:p>
        </w:tc>
        <w:tc>
          <w:tcPr>
            <w:tcW w:w="340" w:type="dxa"/>
            <w:vAlign w:val="bottom"/>
            <w:gridSpan w:val="2"/>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960" w:type="dxa"/>
            <w:vAlign w:val="bottom"/>
            <w:vMerge w:val="continue"/>
          </w:tcPr>
          <w:p>
            <w:pPr>
              <w:ind w:left="3180"/>
              <w:spacing w:after="0"/>
              <w:rPr>
                <w:sz w:val="20"/>
                <w:szCs w:val="20"/>
                <w:color w:val="auto"/>
              </w:rPr>
            </w:pPr>
            <w:r>
              <w:rPr>
                <w:rFonts w:ascii="Arial" w:cs="Arial" w:eastAsia="Arial" w:hAnsi="Arial"/>
                <w:sz w:val="20"/>
                <w:szCs w:val="20"/>
                <w:color w:val="231F20"/>
              </w:rPr>
              <w:t>. . . . . . .</w:t>
            </w:r>
          </w:p>
        </w:tc>
        <w:tc>
          <w:tcPr>
            <w:tcW w:w="600" w:type="dxa"/>
            <w:vAlign w:val="bottom"/>
            <w:gridSpan w:val="3"/>
          </w:tcPr>
          <w:p>
            <w:pPr>
              <w:jc w:val="right"/>
              <w:ind w:right="40"/>
              <w:spacing w:after="0"/>
              <w:rPr>
                <w:sz w:val="20"/>
                <w:szCs w:val="20"/>
                <w:color w:val="auto"/>
              </w:rPr>
            </w:pPr>
            <w:r>
              <w:rPr>
                <w:rFonts w:ascii="Arial" w:cs="Arial" w:eastAsia="Arial" w:hAnsi="Arial"/>
                <w:sz w:val="20"/>
                <w:szCs w:val="20"/>
                <w:color w:val="231F20"/>
              </w:rPr>
              <w:t>$</w:t>
            </w:r>
          </w:p>
        </w:tc>
        <w:tc>
          <w:tcPr>
            <w:tcW w:w="980" w:type="dxa"/>
            <w:vAlign w:val="bottom"/>
          </w:tcPr>
          <w:p>
            <w:pPr>
              <w:jc w:val="right"/>
              <w:spacing w:after="0"/>
              <w:rPr>
                <w:sz w:val="20"/>
                <w:szCs w:val="20"/>
                <w:color w:val="auto"/>
              </w:rPr>
            </w:pPr>
            <w:r>
              <w:rPr>
                <w:rFonts w:ascii="Arial" w:cs="Arial" w:eastAsia="Arial" w:hAnsi="Arial"/>
                <w:sz w:val="20"/>
                <w:szCs w:val="20"/>
                <w:color w:val="231F20"/>
              </w:rPr>
              <w:t>2,144</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gridSpan w:val="3"/>
          </w:tcPr>
          <w:p>
            <w:pPr>
              <w:ind w:left="12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(23)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231F20"/>
              </w:rPr>
              <w:t>2,121</w:t>
            </w:r>
          </w:p>
        </w:tc>
        <w:tc>
          <w:tcPr>
            <w:tcW w:w="0" w:type="dxa"/>
            <w:vAlign w:val="bottom"/>
          </w:tcPr>
          <w:p>
            <w:pPr>
              <w:spacing w:after="0"/>
              <w:rPr>
                <w:sz w:val="1"/>
                <w:szCs w:val="1"/>
                <w:color w:val="auto"/>
              </w:rPr>
            </w:pPr>
          </w:p>
        </w:tc>
      </w:tr>
      <w:tr>
        <w:trPr>
          <w:trHeight w:val="30"/>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20" w:firstLine="300"/>
        <w:spacing w:after="0" w:line="245" w:lineRule="auto"/>
        <w:rPr>
          <w:sz w:val="20"/>
          <w:szCs w:val="20"/>
          <w:color w:val="auto"/>
        </w:rPr>
      </w:pPr>
      <w:r>
        <w:rPr>
          <w:rFonts w:ascii="Arial" w:cs="Arial" w:eastAsia="Arial" w:hAnsi="Arial"/>
          <w:sz w:val="20"/>
          <w:szCs w:val="20"/>
          <w:color w:val="231F20"/>
        </w:rPr>
        <w:t>For the period of July 1, 2024 through December 31, 2024, total operating revenue and income before income taxes associated with Aera totaled $1,205 million and $512 million, respectively.</w:t>
      </w:r>
    </w:p>
    <w:p>
      <w:pPr>
        <w:spacing w:after="0" w:line="163" w:lineRule="exact"/>
        <w:rPr>
          <w:sz w:val="20"/>
          <w:szCs w:val="20"/>
          <w:color w:val="auto"/>
        </w:rPr>
      </w:pPr>
    </w:p>
    <w:p>
      <w:pPr>
        <w:jc w:val="both"/>
        <w:ind w:right="20" w:firstLine="300"/>
        <w:spacing w:after="0" w:line="246" w:lineRule="auto"/>
        <w:rPr>
          <w:sz w:val="20"/>
          <w:szCs w:val="20"/>
          <w:color w:val="auto"/>
        </w:rPr>
      </w:pPr>
      <w:r>
        <w:rPr>
          <w:rFonts w:ascii="Arial" w:cs="Arial" w:eastAsia="Arial" w:hAnsi="Arial"/>
          <w:sz w:val="20"/>
          <w:szCs w:val="20"/>
          <w:color w:val="231F20"/>
        </w:rPr>
        <w:t>In connection with the Aera Merger, we incurred transaction and integration costs of $57 million and employee severance and related costs of $30 million during the year ended December 31, 2024, which are included in other operating expenses, net on our consolidated statements of operations.</w:t>
      </w:r>
    </w:p>
    <w:p>
      <w:pPr>
        <w:spacing w:after="0" w:line="166" w:lineRule="exact"/>
        <w:rPr>
          <w:sz w:val="20"/>
          <w:szCs w:val="20"/>
          <w:color w:val="auto"/>
        </w:rPr>
      </w:pPr>
    </w:p>
    <w:p>
      <w:pPr>
        <w:ind w:right="760" w:firstLine="300"/>
        <w:spacing w:after="0" w:line="248" w:lineRule="auto"/>
        <w:rPr>
          <w:sz w:val="20"/>
          <w:szCs w:val="20"/>
          <w:color w:val="auto"/>
        </w:rPr>
      </w:pPr>
      <w:r>
        <w:rPr>
          <w:rFonts w:ascii="Arial" w:cs="Arial" w:eastAsia="Arial" w:hAnsi="Arial"/>
          <w:sz w:val="20"/>
          <w:szCs w:val="20"/>
          <w:color w:val="231F20"/>
        </w:rPr>
        <w:t>The accelerated vesting of certain awards for former Aera executives was $7 million, and is included in general and administrative expenses for the year ended December 31, 2024. The accelerated vesting was based on existing change of control provisions within the former Aera employee award agreements.</w:t>
      </w:r>
    </w:p>
    <w:p>
      <w:pPr>
        <w:spacing w:after="0" w:line="162"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231F20"/>
        </w:rPr>
        <w:t>The fair value of an investment in an unconsolidated subsidiary was based on an appraisal using both the cost approach and available market data. The fair value of derivative instruments was based on observable inputs, primarily forward commodity-price curves. These inputs are considered Level 2 inputs in the fair value hierarchy.</w:t>
      </w:r>
    </w:p>
    <w:p>
      <w:pPr>
        <w:spacing w:after="0" w:line="162" w:lineRule="exact"/>
        <w:rPr>
          <w:sz w:val="20"/>
          <w:szCs w:val="20"/>
          <w:color w:val="auto"/>
        </w:rPr>
      </w:pPr>
    </w:p>
    <w:p>
      <w:pPr>
        <w:ind w:right="280" w:firstLine="300"/>
        <w:spacing w:after="0" w:line="243" w:lineRule="auto"/>
        <w:rPr>
          <w:sz w:val="20"/>
          <w:szCs w:val="20"/>
          <w:color w:val="auto"/>
        </w:rPr>
      </w:pPr>
      <w:r>
        <w:rPr>
          <w:rFonts w:ascii="Arial" w:cs="Arial" w:eastAsia="Arial" w:hAnsi="Arial"/>
          <w:sz w:val="20"/>
          <w:szCs w:val="20"/>
          <w:color w:val="231F20"/>
        </w:rPr>
        <w:t>The fair value of certain acquired property, plant and equipment, primarily consisted of proved oil and natural gas properties, land and corporate assets including software and computer equipment,</w:t>
      </w:r>
    </w:p>
    <w:p>
      <w:pPr>
        <w:sectPr>
          <w:pgSz w:w="11880" w:h="15480" w:orient="portrait"/>
          <w:cols w:equalWidth="0" w:num="1">
            <w:col w:w="9120"/>
          </w:cols>
          <w:pgMar w:left="1380" w:top="1316" w:right="1380" w:bottom="66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108</w:t>
      </w:r>
    </w:p>
    <w:p>
      <w:pPr>
        <w:sectPr>
          <w:pgSz w:w="11880" w:h="15480" w:orient="portrait"/>
          <w:cols w:equalWidth="0" w:num="1">
            <w:col w:w="9120"/>
          </w:cols>
          <w:pgMar w:left="1380" w:top="1316" w:right="1380" w:bottom="660" w:gutter="0" w:footer="0" w:header="0"/>
          <w:type w:val="continuous"/>
        </w:sectPr>
      </w:pPr>
    </w:p>
    <w:bookmarkStart w:id="112" w:name="page113"/>
    <w:bookmarkEnd w:id="112"/>
    <w:p>
      <w:pPr>
        <w:ind w:right="240"/>
        <w:spacing w:after="0" w:line="249" w:lineRule="auto"/>
        <w:rPr>
          <w:sz w:val="20"/>
          <w:szCs w:val="20"/>
          <w:color w:val="auto"/>
        </w:rPr>
      </w:pPr>
      <w:r>
        <w:rPr>
          <w:rFonts w:ascii="Arial" w:cs="Arial" w:eastAsia="Arial" w:hAnsi="Arial"/>
          <w:sz w:val="20"/>
          <w:szCs w:val="20"/>
          <w:color w:val="231F20"/>
        </w:rPr>
        <w:t>was based on appraisals. The fair value of proved oil and natural gas properties as of the acquisition date was based on estimated discounted future net cash flows incorporating market participant assumptions on an after-tax basis. Significant inputs to the valuation include estimates of future production volumes, future operating and development costs, future commodity prices, a weighted average cost of capital and a projected inflation rate. When estimating the fair value of proved properties, additional risk adjustments were applied to proved undeveloped reserves to reflect the relative uncertainty of the reserve class. These inputs are classified as Level 3 unobservable inputs, including the underlying commodity price assumptions which are based on the five-year NYMEX forward strip prices, escalated for inflation thereafter, and adjusted for price differentials.</w:t>
      </w:r>
    </w:p>
    <w:p>
      <w:pPr>
        <w:spacing w:after="0" w:line="184" w:lineRule="exact"/>
        <w:rPr>
          <w:sz w:val="20"/>
          <w:szCs w:val="20"/>
          <w:color w:val="auto"/>
        </w:rPr>
      </w:pPr>
    </w:p>
    <w:p>
      <w:pPr>
        <w:ind w:right="140" w:firstLine="300"/>
        <w:spacing w:after="0" w:line="248" w:lineRule="auto"/>
        <w:rPr>
          <w:sz w:val="20"/>
          <w:szCs w:val="20"/>
          <w:color w:val="auto"/>
        </w:rPr>
      </w:pPr>
      <w:r>
        <w:rPr>
          <w:rFonts w:ascii="Arial" w:cs="Arial" w:eastAsia="Arial" w:hAnsi="Arial"/>
          <w:sz w:val="20"/>
          <w:szCs w:val="20"/>
          <w:color w:val="231F20"/>
        </w:rPr>
        <w:t>The liability for future asset retirement obligations was determined by calculating the present value of estimated future abandonment costs. We utilized several assumptions, including a credit-adjusted risk-free interest rate, estimated remediation costs, estimated timing of when the work will be performed and a projected inflation rate.</w:t>
      </w:r>
    </w:p>
    <w:p>
      <w:pPr>
        <w:spacing w:after="0" w:line="180" w:lineRule="exact"/>
        <w:rPr>
          <w:sz w:val="20"/>
          <w:szCs w:val="20"/>
          <w:color w:val="auto"/>
        </w:rPr>
      </w:pPr>
    </w:p>
    <w:p>
      <w:pPr>
        <w:ind w:right="80" w:firstLine="300"/>
        <w:spacing w:after="0" w:line="245" w:lineRule="auto"/>
        <w:rPr>
          <w:sz w:val="20"/>
          <w:szCs w:val="20"/>
          <w:color w:val="auto"/>
        </w:rPr>
      </w:pPr>
      <w:r>
        <w:rPr>
          <w:rFonts w:ascii="Arial" w:cs="Arial" w:eastAsia="Arial" w:hAnsi="Arial"/>
          <w:sz w:val="20"/>
          <w:szCs w:val="20"/>
          <w:color w:val="231F20"/>
        </w:rPr>
        <w:t>Deferred income taxes represent the tax effects of differences in the tax basis and merger-date fair values of assets acquired and liabilities assumed.</w:t>
      </w:r>
    </w:p>
    <w:p>
      <w:pPr>
        <w:spacing w:after="0" w:line="181"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231F20"/>
        </w:rPr>
        <w:t>Lease-related assets and liabilities acquired were remeasured as if the leases were new at the merger date. These agreements were measured at an updated incremental borrowing rate. Lease assets are included in property, plant and equipment and the liabilities are included in accrued liabilities and other long-term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Supplemental Unaudited Pro Forma Financial Information</w:t>
      </w:r>
    </w:p>
    <w:p>
      <w:pPr>
        <w:spacing w:after="0" w:line="188" w:lineRule="exact"/>
        <w:rPr>
          <w:sz w:val="20"/>
          <w:szCs w:val="20"/>
          <w:color w:val="auto"/>
        </w:rPr>
      </w:pPr>
    </w:p>
    <w:p>
      <w:pPr>
        <w:ind w:right="380" w:firstLine="300"/>
        <w:spacing w:after="0" w:line="247" w:lineRule="auto"/>
        <w:rPr>
          <w:sz w:val="20"/>
          <w:szCs w:val="20"/>
          <w:color w:val="auto"/>
        </w:rPr>
      </w:pPr>
      <w:r>
        <w:rPr>
          <w:rFonts w:ascii="Arial" w:cs="Arial" w:eastAsia="Arial" w:hAnsi="Arial"/>
          <w:sz w:val="20"/>
          <w:szCs w:val="20"/>
          <w:color w:val="231F20"/>
        </w:rPr>
        <w:t>The following supplemental unaudited pro forma financial information presents the consolidated results of operations for the years ended December 31, 2024 and 2023 as if the Aera Merger had occurred on January 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Borders>
              <w:bottom w:val="single" w:sz="8" w:color="231F20"/>
            </w:tcBorders>
            <w:gridSpan w:val="6"/>
          </w:tcPr>
          <w:p>
            <w:pPr>
              <w:jc w:val="right"/>
              <w:spacing w:after="0"/>
              <w:rPr>
                <w:sz w:val="20"/>
                <w:szCs w:val="20"/>
                <w:color w:val="auto"/>
              </w:rPr>
            </w:pPr>
            <w:r>
              <w:rPr>
                <w:rFonts w:ascii="Arial" w:cs="Arial" w:eastAsia="Arial" w:hAnsi="Arial"/>
                <w:sz w:val="20"/>
                <w:szCs w:val="20"/>
                <w:b w:val="1"/>
                <w:bCs w:val="1"/>
                <w:color w:val="231F20"/>
              </w:rPr>
              <w:t>Year ended December 31,</w:t>
            </w:r>
          </w:p>
        </w:tc>
      </w:tr>
      <w:tr>
        <w:trPr>
          <w:trHeight w:val="240"/>
        </w:trPr>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283"/>
              <w:spacing w:after="0"/>
              <w:rPr>
                <w:sz w:val="20"/>
                <w:szCs w:val="20"/>
                <w:color w:val="auto"/>
              </w:rPr>
            </w:pPr>
            <w:r>
              <w:rPr>
                <w:rFonts w:ascii="Arial" w:cs="Arial" w:eastAsia="Arial" w:hAnsi="Arial"/>
                <w:sz w:val="20"/>
                <w:szCs w:val="20"/>
                <w:b w:val="1"/>
                <w:bCs w:val="1"/>
                <w:color w:val="231F20"/>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80"/>
              <w:spacing w:after="0"/>
              <w:rPr>
                <w:sz w:val="20"/>
                <w:szCs w:val="20"/>
                <w:color w:val="auto"/>
              </w:rPr>
            </w:pPr>
            <w:r>
              <w:rPr>
                <w:rFonts w:ascii="Arial" w:cs="Arial" w:eastAsia="Arial" w:hAnsi="Arial"/>
                <w:sz w:val="20"/>
                <w:szCs w:val="20"/>
                <w:b w:val="1"/>
                <w:bCs w:val="1"/>
                <w:color w:val="231F20"/>
              </w:rPr>
              <w:t>2023</w:t>
            </w: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r>
      <w:tr>
        <w:trPr>
          <w:trHeight w:val="192"/>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6"/>
                <w:szCs w:val="16"/>
                <w:color w:val="231F20"/>
              </w:rPr>
              <w:t>(in millions)</w:t>
            </w:r>
          </w:p>
        </w:tc>
        <w:tc>
          <w:tcPr>
            <w:tcW w:w="860" w:type="dxa"/>
            <w:vAlign w:val="bottom"/>
          </w:tcPr>
          <w:p>
            <w:pPr>
              <w:spacing w:after="0"/>
              <w:rPr>
                <w:sz w:val="16"/>
                <w:szCs w:val="16"/>
                <w:color w:val="auto"/>
              </w:rPr>
            </w:pPr>
          </w:p>
        </w:tc>
      </w:tr>
      <w:tr>
        <w:trPr>
          <w:trHeight w:val="248"/>
        </w:trPr>
        <w:tc>
          <w:tcPr>
            <w:tcW w:w="6400" w:type="dxa"/>
            <w:vAlign w:val="bottom"/>
          </w:tcPr>
          <w:p>
            <w:pPr>
              <w:jc w:val="right"/>
              <w:spacing w:after="0"/>
              <w:rPr>
                <w:sz w:val="20"/>
                <w:szCs w:val="20"/>
                <w:color w:val="auto"/>
              </w:rPr>
            </w:pPr>
            <w:r>
              <w:rPr>
                <w:rFonts w:ascii="Arial" w:cs="Arial" w:eastAsia="Arial" w:hAnsi="Arial"/>
                <w:sz w:val="20"/>
                <w:szCs w:val="20"/>
                <w:color w:val="231F20"/>
                <w:w w:val="97"/>
              </w:rPr>
              <w:t>Total operating revenue . . . . . . . . . . . . . . . . . . . . . . . . . . . . . . . . . . . . . . .</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3,883</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4,838</w:t>
            </w:r>
          </w:p>
        </w:tc>
      </w:tr>
      <w:tr>
        <w:trPr>
          <w:trHeight w:val="240"/>
        </w:trPr>
        <w:tc>
          <w:tcPr>
            <w:tcW w:w="6400" w:type="dxa"/>
            <w:vAlign w:val="bottom"/>
          </w:tcPr>
          <w:p>
            <w:pPr>
              <w:jc w:val="right"/>
              <w:spacing w:after="0"/>
              <w:rPr>
                <w:sz w:val="20"/>
                <w:szCs w:val="20"/>
                <w:color w:val="auto"/>
              </w:rPr>
            </w:pPr>
            <w:r>
              <w:rPr>
                <w:rFonts w:ascii="Arial" w:cs="Arial" w:eastAsia="Arial" w:hAnsi="Arial"/>
                <w:sz w:val="20"/>
                <w:szCs w:val="20"/>
                <w:color w:val="231F20"/>
                <w:w w:val="96"/>
              </w:rPr>
              <w:t>Net income  . . . . . . . . . . . . . . . . . . . . . . . . . . . . . . . . . . . . . . . . . . . . . . . . .</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355</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721</w:t>
            </w:r>
          </w:p>
        </w:tc>
      </w:tr>
      <w:tr>
        <w:trPr>
          <w:trHeight w:val="480"/>
        </w:trPr>
        <w:tc>
          <w:tcPr>
            <w:tcW w:w="6400" w:type="dxa"/>
            <w:vAlign w:val="bottom"/>
          </w:tcPr>
          <w:p>
            <w:pPr>
              <w:jc w:val="right"/>
              <w:ind w:right="5900"/>
              <w:spacing w:after="0"/>
              <w:rPr>
                <w:sz w:val="20"/>
                <w:szCs w:val="20"/>
                <w:color w:val="auto"/>
              </w:rPr>
            </w:pPr>
            <w:r>
              <w:rPr>
                <w:rFonts w:ascii="Arial" w:cs="Arial" w:eastAsia="Arial" w:hAnsi="Arial"/>
                <w:sz w:val="20"/>
                <w:szCs w:val="20"/>
                <w:b w:val="1"/>
                <w:bCs w:val="1"/>
                <w:color w:val="231F20"/>
                <w:w w:val="94"/>
              </w:rPr>
              <w:t>EPS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0"/>
        </w:trPr>
        <w:tc>
          <w:tcPr>
            <w:tcW w:w="6400" w:type="dxa"/>
            <w:vAlign w:val="bottom"/>
          </w:tcPr>
          <w:p>
            <w:pPr>
              <w:jc w:val="right"/>
              <w:spacing w:after="0"/>
              <w:rPr>
                <w:sz w:val="20"/>
                <w:szCs w:val="20"/>
                <w:color w:val="auto"/>
              </w:rPr>
            </w:pPr>
            <w:r>
              <w:rPr>
                <w:rFonts w:ascii="Arial" w:cs="Arial" w:eastAsia="Arial" w:hAnsi="Arial"/>
                <w:sz w:val="20"/>
                <w:szCs w:val="20"/>
                <w:color w:val="231F20"/>
                <w:w w:val="99"/>
              </w:rPr>
              <w:t>Basic  . . . . . . . . . . . . . . . . . . . . . . . . . . . . . . . . . . . . . . . . . . . . . . . . . . . .</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3.94</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7.93</w:t>
            </w:r>
          </w:p>
        </w:tc>
      </w:tr>
      <w:tr>
        <w:trPr>
          <w:trHeight w:val="240"/>
        </w:trPr>
        <w:tc>
          <w:tcPr>
            <w:tcW w:w="6400" w:type="dxa"/>
            <w:vAlign w:val="bottom"/>
          </w:tcPr>
          <w:p>
            <w:pPr>
              <w:jc w:val="right"/>
              <w:spacing w:after="0"/>
              <w:rPr>
                <w:sz w:val="20"/>
                <w:szCs w:val="20"/>
                <w:color w:val="auto"/>
              </w:rPr>
            </w:pPr>
            <w:r>
              <w:rPr>
                <w:rFonts w:ascii="Arial" w:cs="Arial" w:eastAsia="Arial" w:hAnsi="Arial"/>
                <w:sz w:val="20"/>
                <w:szCs w:val="20"/>
                <w:color w:val="231F20"/>
                <w:w w:val="98"/>
              </w:rPr>
              <w:t>Diluted  . . . . . . . . . . . . . . . . . . . . . . . . . . . . . . . . . . . . . . . . . . . . . . . . . . .</w:t>
            </w:r>
          </w:p>
        </w:tc>
        <w:tc>
          <w:tcPr>
            <w:tcW w:w="34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231F20"/>
              </w:rPr>
              <w:t>3.85</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7.65</w:t>
            </w:r>
          </w:p>
        </w:tc>
      </w:tr>
    </w:tbl>
    <w:p>
      <w:pPr>
        <w:spacing w:after="0" w:line="188"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The pro forma information is presented for illustration purposes only and is not necessarily indicative of the operating results that would have occurred had the Aera Merger been completed on January 1, 2023, nor is it necessarily indicative of future operating results of the combined entity. The pro forma financial information for the years ended December 31, 2024 and 2023 is a result of combining our statements of operations with Aera’s premerger results from January 1, 2024 and 2023 and includes adjustments for revenues and direct expenses. The pro forma results do not reflect any cost savings anticipated as a result of the Aera Merger and exclude the impact of any severance. The pro forma results include adjustments to depreciation, depletion and amortization (DD&amp;A) based on the purchase price allocated to property, plant, and equipment and the estimated useful lives as well as adjustments to interest and accretion expense. We also included pro forma adjustments for certain compensation related costs and transaction costs we incurred related to the Aera Merger. The pro forma adjustments include estimates and assumptions based on currently available information. Management believes the estimates and assumptions are reasonable, and the relative effects of the Aera Merger are properly reflected. Future results may vary significantly from the results reflected in the following pro forma information.</w:t>
      </w:r>
    </w:p>
    <w:p>
      <w:pPr>
        <w:sectPr>
          <w:pgSz w:w="11880" w:h="15480" w:orient="portrait"/>
          <w:cols w:equalWidth="0" w:num="1">
            <w:col w:w="9120"/>
          </w:cols>
          <w:pgMar w:left="1380" w:top="1316" w:right="1380" w:bottom="66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109</w:t>
      </w:r>
    </w:p>
    <w:p>
      <w:pPr>
        <w:sectPr>
          <w:pgSz w:w="11880" w:h="15480" w:orient="portrait"/>
          <w:cols w:equalWidth="0" w:num="1">
            <w:col w:w="9120"/>
          </w:cols>
          <w:pgMar w:left="1380" w:top="1316" w:right="1380" w:bottom="660" w:gutter="0" w:footer="0" w:header="0"/>
          <w:type w:val="continuous"/>
        </w:sectPr>
      </w:pPr>
    </w:p>
    <w:bookmarkStart w:id="113" w:name="page114"/>
    <w:bookmarkEnd w:id="113"/>
    <w:p>
      <w:pPr>
        <w:spacing w:after="0"/>
        <w:tabs>
          <w:tab w:leader="none" w:pos="900" w:val="left"/>
        </w:tabs>
        <w:rPr>
          <w:sz w:val="20"/>
          <w:szCs w:val="20"/>
          <w:color w:val="auto"/>
        </w:rPr>
      </w:pPr>
      <w:r>
        <w:rPr>
          <w:rFonts w:ascii="Arial" w:cs="Arial" w:eastAsia="Arial" w:hAnsi="Arial"/>
          <w:sz w:val="20"/>
          <w:szCs w:val="20"/>
          <w:b w:val="1"/>
          <w:bCs w:val="1"/>
          <w:color w:val="231F20"/>
        </w:rPr>
        <w:t>NOTE 3</w:t>
        <w:tab/>
        <w:t>PROPERTY, PLANT AND EQUIPMENT</w:t>
      </w:r>
    </w:p>
    <w:p>
      <w:pPr>
        <w:spacing w:after="0" w:line="217" w:lineRule="exact"/>
        <w:rPr>
          <w:sz w:val="20"/>
          <w:szCs w:val="20"/>
          <w:color w:val="auto"/>
        </w:rPr>
      </w:pPr>
    </w:p>
    <w:p>
      <w:pPr>
        <w:ind w:right="120" w:firstLine="300"/>
        <w:spacing w:after="0" w:line="248" w:lineRule="auto"/>
        <w:rPr>
          <w:sz w:val="20"/>
          <w:szCs w:val="20"/>
          <w:color w:val="auto"/>
        </w:rPr>
      </w:pPr>
      <w:r>
        <w:rPr>
          <w:rFonts w:ascii="Arial" w:cs="Arial" w:eastAsia="Arial" w:hAnsi="Arial"/>
          <w:sz w:val="20"/>
          <w:szCs w:val="20"/>
          <w:color w:val="231F20"/>
        </w:rPr>
        <w:t>We capitalize the costs incurred to acquire, develop and explore our oil and natural gas assets, including ARO and interest. Our total property, plant and equipment increased $659 million related to our provisional allocation of fair value to assets acquired in the Berry Merger on the effective date. We evaluate long-lived assets on a quarterly basis for possible impairment.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jc w:val="right"/>
              <w:ind w:right="400"/>
              <w:spacing w:after="0"/>
              <w:rPr>
                <w:sz w:val="20"/>
                <w:szCs w:val="20"/>
                <w:color w:val="auto"/>
              </w:rPr>
            </w:pPr>
            <w:r>
              <w:rPr>
                <w:rFonts w:ascii="Arial" w:cs="Arial" w:eastAsia="Arial" w:hAnsi="Arial"/>
                <w:sz w:val="20"/>
                <w:szCs w:val="20"/>
                <w:color w:val="231F20"/>
              </w:rPr>
              <w:t>Property, plant and equipment, net consisted of the following:</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72"/>
        </w:trPr>
        <w:tc>
          <w:tcPr>
            <w:tcW w:w="6220" w:type="dxa"/>
            <w:vAlign w:val="bottom"/>
          </w:tcPr>
          <w:p>
            <w:pPr>
              <w:spacing w:after="0"/>
              <w:rPr>
                <w:sz w:val="24"/>
                <w:szCs w:val="24"/>
                <w:color w:val="auto"/>
              </w:rPr>
            </w:pPr>
          </w:p>
        </w:tc>
        <w:tc>
          <w:tcPr>
            <w:tcW w:w="1400" w:type="dxa"/>
            <w:vAlign w:val="bottom"/>
            <w:gridSpan w:val="5"/>
          </w:tcPr>
          <w:p>
            <w:pPr>
              <w:ind w:left="100"/>
              <w:spacing w:after="0"/>
              <w:rPr>
                <w:sz w:val="20"/>
                <w:szCs w:val="20"/>
                <w:color w:val="auto"/>
              </w:rPr>
            </w:pPr>
            <w:r>
              <w:rPr>
                <w:rFonts w:ascii="Arial" w:cs="Arial" w:eastAsia="Arial" w:hAnsi="Arial"/>
                <w:sz w:val="20"/>
                <w:szCs w:val="20"/>
                <w:b w:val="1"/>
                <w:bCs w:val="1"/>
                <w:color w:val="231F20"/>
                <w:w w:val="98"/>
              </w:rPr>
              <w:t>December 31,</w:t>
            </w:r>
          </w:p>
        </w:tc>
        <w:tc>
          <w:tcPr>
            <w:tcW w:w="1500" w:type="dxa"/>
            <w:vAlign w:val="bottom"/>
            <w:gridSpan w:val="5"/>
          </w:tcPr>
          <w:p>
            <w:pPr>
              <w:ind w:left="200"/>
              <w:spacing w:after="0"/>
              <w:rPr>
                <w:sz w:val="20"/>
                <w:szCs w:val="20"/>
                <w:color w:val="auto"/>
              </w:rPr>
            </w:pPr>
            <w:r>
              <w:rPr>
                <w:rFonts w:ascii="Arial" w:cs="Arial" w:eastAsia="Arial" w:hAnsi="Arial"/>
                <w:sz w:val="20"/>
                <w:szCs w:val="20"/>
                <w:b w:val="1"/>
                <w:bCs w:val="1"/>
                <w:color w:val="231F20"/>
                <w:w w:val="98"/>
              </w:rPr>
              <w:t>December 31,</w:t>
            </w:r>
          </w:p>
        </w:tc>
      </w:tr>
      <w:tr>
        <w:trPr>
          <w:trHeight w:val="248"/>
        </w:trPr>
        <w:tc>
          <w:tcPr>
            <w:tcW w:w="6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3"/>
              <w:spacing w:after="0" w:line="228" w:lineRule="exact"/>
              <w:rPr>
                <w:sz w:val="20"/>
                <w:szCs w:val="20"/>
                <w:color w:val="auto"/>
              </w:rPr>
            </w:pPr>
            <w:r>
              <w:rPr>
                <w:rFonts w:ascii="Arial" w:cs="Arial" w:eastAsia="Arial" w:hAnsi="Arial"/>
                <w:sz w:val="20"/>
                <w:szCs w:val="20"/>
                <w:b w:val="1"/>
                <w:bCs w:val="1"/>
                <w:color w:val="231F20"/>
              </w:rPr>
              <w:t>2025</w:t>
            </w:r>
          </w:p>
        </w:tc>
        <w:tc>
          <w:tcPr>
            <w:tcW w:w="40" w:type="dxa"/>
            <w:vAlign w:val="bottom"/>
            <w:tcBorders>
              <w:bottom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80"/>
              <w:spacing w:after="0" w:line="228" w:lineRule="exact"/>
              <w:rPr>
                <w:sz w:val="20"/>
                <w:szCs w:val="20"/>
                <w:color w:val="auto"/>
              </w:rPr>
            </w:pPr>
            <w:r>
              <w:rPr>
                <w:rFonts w:ascii="Arial" w:cs="Arial" w:eastAsia="Arial" w:hAnsi="Arial"/>
                <w:sz w:val="20"/>
                <w:szCs w:val="20"/>
                <w:b w:val="1"/>
                <w:bCs w:val="1"/>
                <w:color w:val="231F20"/>
              </w:rPr>
              <w:t>2024</w:t>
            </w:r>
          </w:p>
        </w:tc>
        <w:tc>
          <w:tcPr>
            <w:tcW w:w="40" w:type="dxa"/>
            <w:vAlign w:val="bottom"/>
            <w:tcBorders>
              <w:bottom w:val="single" w:sz="8" w:color="231F20"/>
            </w:tcBorders>
          </w:tcPr>
          <w:p>
            <w:pPr>
              <w:spacing w:after="0"/>
              <w:rPr>
                <w:sz w:val="21"/>
                <w:szCs w:val="21"/>
                <w:color w:val="auto"/>
              </w:rPr>
            </w:pPr>
          </w:p>
        </w:tc>
      </w:tr>
      <w:tr>
        <w:trPr>
          <w:trHeight w:val="192"/>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5"/>
          </w:tcPr>
          <w:p>
            <w:pPr>
              <w:jc w:val="right"/>
              <w:ind w:right="60"/>
              <w:spacing w:after="0"/>
              <w:rPr>
                <w:sz w:val="20"/>
                <w:szCs w:val="20"/>
                <w:color w:val="auto"/>
              </w:rPr>
            </w:pPr>
            <w:r>
              <w:rPr>
                <w:rFonts w:ascii="Arial" w:cs="Arial" w:eastAsia="Arial" w:hAnsi="Arial"/>
                <w:sz w:val="16"/>
                <w:szCs w:val="16"/>
                <w:color w:val="231F20"/>
              </w:rPr>
              <w:t>(in millions)</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8"/>
        </w:trPr>
        <w:tc>
          <w:tcPr>
            <w:tcW w:w="6220" w:type="dxa"/>
            <w:vAlign w:val="bottom"/>
          </w:tcPr>
          <w:p>
            <w:pPr>
              <w:jc w:val="right"/>
              <w:spacing w:after="0"/>
              <w:rPr>
                <w:sz w:val="20"/>
                <w:szCs w:val="20"/>
                <w:color w:val="auto"/>
              </w:rPr>
            </w:pPr>
            <w:r>
              <w:rPr>
                <w:rFonts w:ascii="Arial" w:cs="Arial" w:eastAsia="Arial" w:hAnsi="Arial"/>
                <w:sz w:val="20"/>
                <w:szCs w:val="20"/>
                <w:color w:val="231F20"/>
                <w:w w:val="98"/>
              </w:rPr>
              <w:t>Proved oil and natural gas properties  . . . . . . . . . . . . . . . . . . . . . . . . . .</w:t>
            </w:r>
          </w:p>
        </w:tc>
        <w:tc>
          <w:tcPr>
            <w:tcW w:w="400" w:type="dxa"/>
            <w:vAlign w:val="bottom"/>
            <w:gridSpan w:val="3"/>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7,097</w:t>
            </w:r>
          </w:p>
        </w:tc>
        <w:tc>
          <w:tcPr>
            <w:tcW w:w="40" w:type="dxa"/>
            <w:vAlign w:val="bottom"/>
          </w:tcPr>
          <w:p>
            <w:pPr>
              <w:spacing w:after="0"/>
              <w:rPr>
                <w:sz w:val="21"/>
                <w:szCs w:val="2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231F20"/>
              </w:rPr>
              <w:t>6,343</w:t>
            </w: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7"/>
              </w:rPr>
              <w:t>Unproved oil and natural gas properties  . . . . . . . . . . . . . . . . . . . . . .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20"/>
                <w:szCs w:val="20"/>
                <w:color w:val="231F20"/>
              </w:rPr>
              <w:t>—</w:t>
            </w: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6"/>
              </w:rPr>
              <w:t>Facilities and other  . . . . . . . . . . . . . . . . . . . . . . . . . . . . . . . . . . . . . . .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231F20"/>
              </w:rPr>
              <w:t>415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231F20"/>
              </w:rPr>
              <w:t>395</w:t>
            </w:r>
          </w:p>
        </w:tc>
      </w:tr>
      <w:tr>
        <w:trPr>
          <w:trHeight w:val="30"/>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272"/>
        </w:trPr>
        <w:tc>
          <w:tcPr>
            <w:tcW w:w="6220" w:type="dxa"/>
            <w:vAlign w:val="bottom"/>
          </w:tcPr>
          <w:p>
            <w:pPr>
              <w:jc w:val="right"/>
              <w:spacing w:after="0"/>
              <w:rPr>
                <w:sz w:val="20"/>
                <w:szCs w:val="20"/>
                <w:color w:val="auto"/>
              </w:rPr>
            </w:pPr>
            <w:r>
              <w:rPr>
                <w:rFonts w:ascii="Arial" w:cs="Arial" w:eastAsia="Arial" w:hAnsi="Arial"/>
                <w:sz w:val="20"/>
                <w:szCs w:val="20"/>
                <w:color w:val="231F20"/>
              </w:rPr>
              <w:t>Total property, plant and equipment . . . . . . . . . . . . . . . . . . . . . . . .</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7,523</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231F20"/>
              </w:rPr>
              <w:t>6,738</w:t>
            </w: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9"/>
              </w:rPr>
              <w:t>Accumulated depreciation, depletion and amortization  . . . . . . . . . .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(1,618)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(1,058)</w:t>
            </w:r>
          </w:p>
        </w:tc>
        <w:tc>
          <w:tcPr>
            <w:tcW w:w="40" w:type="dxa"/>
            <w:vAlign w:val="bottom"/>
          </w:tcPr>
          <w:p>
            <w:pPr>
              <w:spacing w:after="0"/>
              <w:rPr>
                <w:sz w:val="20"/>
                <w:szCs w:val="20"/>
                <w:color w:val="auto"/>
              </w:rPr>
            </w:pPr>
          </w:p>
        </w:tc>
      </w:tr>
      <w:tr>
        <w:trPr>
          <w:trHeight w:val="28"/>
        </w:trPr>
        <w:tc>
          <w:tcPr>
            <w:tcW w:w="6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272"/>
        </w:trPr>
        <w:tc>
          <w:tcPr>
            <w:tcW w:w="6220" w:type="dxa"/>
            <w:vAlign w:val="bottom"/>
          </w:tcPr>
          <w:p>
            <w:pPr>
              <w:jc w:val="right"/>
              <w:spacing w:after="0"/>
              <w:rPr>
                <w:sz w:val="20"/>
                <w:szCs w:val="20"/>
                <w:color w:val="auto"/>
              </w:rPr>
            </w:pPr>
            <w:r>
              <w:rPr>
                <w:rFonts w:ascii="Arial" w:cs="Arial" w:eastAsia="Arial" w:hAnsi="Arial"/>
                <w:sz w:val="20"/>
                <w:szCs w:val="20"/>
                <w:color w:val="231F20"/>
              </w:rPr>
              <w:t>Total property, plant and equipment, net . . . . . . . . . . . . . . . . . . . .</w:t>
            </w:r>
          </w:p>
        </w:tc>
        <w:tc>
          <w:tcPr>
            <w:tcW w:w="400" w:type="dxa"/>
            <w:vAlign w:val="bottom"/>
            <w:gridSpan w:val="3"/>
          </w:tcPr>
          <w:p>
            <w:pPr>
              <w:jc w:val="right"/>
              <w:ind w:right="14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5,905</w:t>
            </w:r>
          </w:p>
        </w:tc>
        <w:tc>
          <w:tcPr>
            <w:tcW w:w="40" w:type="dxa"/>
            <w:vAlign w:val="bottom"/>
          </w:tcPr>
          <w:p>
            <w:pPr>
              <w:spacing w:after="0"/>
              <w:rPr>
                <w:sz w:val="23"/>
                <w:szCs w:val="23"/>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231F20"/>
              </w:rPr>
              <w:t>5,680</w:t>
            </w:r>
          </w:p>
        </w:tc>
      </w:tr>
      <w:tr>
        <w:trPr>
          <w:trHeight w:val="28"/>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following table summarizes the activity of capitalized exploratory well costs: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400" w:type="dxa"/>
            <w:vAlign w:val="bottom"/>
            <w:gridSpan w:val="5"/>
          </w:tcPr>
          <w:p>
            <w:pPr>
              <w:ind w:left="100"/>
              <w:spacing w:after="0"/>
              <w:rPr>
                <w:sz w:val="20"/>
                <w:szCs w:val="20"/>
                <w:color w:val="auto"/>
              </w:rPr>
            </w:pPr>
            <w:r>
              <w:rPr>
                <w:rFonts w:ascii="Arial" w:cs="Arial" w:eastAsia="Arial" w:hAnsi="Arial"/>
                <w:sz w:val="20"/>
                <w:szCs w:val="20"/>
                <w:b w:val="1"/>
                <w:bCs w:val="1"/>
                <w:color w:val="231F20"/>
                <w:w w:val="98"/>
              </w:rPr>
              <w:t>December 31,</w:t>
            </w:r>
          </w:p>
        </w:tc>
        <w:tc>
          <w:tcPr>
            <w:tcW w:w="1500" w:type="dxa"/>
            <w:vAlign w:val="bottom"/>
            <w:gridSpan w:val="5"/>
          </w:tcPr>
          <w:p>
            <w:pPr>
              <w:jc w:val="center"/>
              <w:ind w:left="100"/>
              <w:spacing w:after="0"/>
              <w:rPr>
                <w:sz w:val="20"/>
                <w:szCs w:val="20"/>
                <w:color w:val="auto"/>
              </w:rPr>
            </w:pPr>
            <w:r>
              <w:rPr>
                <w:rFonts w:ascii="Arial" w:cs="Arial" w:eastAsia="Arial" w:hAnsi="Arial"/>
                <w:sz w:val="20"/>
                <w:szCs w:val="20"/>
                <w:b w:val="1"/>
                <w:bCs w:val="1"/>
                <w:color w:val="231F20"/>
                <w:w w:val="99"/>
              </w:rPr>
              <w:t>December 31,</w:t>
            </w:r>
          </w:p>
        </w:tc>
        <w:tc>
          <w:tcPr>
            <w:tcW w:w="1500" w:type="dxa"/>
            <w:vAlign w:val="bottom"/>
            <w:gridSpan w:val="5"/>
          </w:tcPr>
          <w:p>
            <w:pPr>
              <w:ind w:left="200"/>
              <w:spacing w:after="0"/>
              <w:rPr>
                <w:sz w:val="20"/>
                <w:szCs w:val="20"/>
                <w:color w:val="auto"/>
              </w:rPr>
            </w:pPr>
            <w:r>
              <w:rPr>
                <w:rFonts w:ascii="Arial" w:cs="Arial" w:eastAsia="Arial" w:hAnsi="Arial"/>
                <w:sz w:val="20"/>
                <w:szCs w:val="20"/>
                <w:b w:val="1"/>
                <w:bCs w:val="1"/>
                <w:color w:val="231F20"/>
                <w:w w:val="98"/>
              </w:rPr>
              <w:t>December 31,</w:t>
            </w:r>
          </w:p>
        </w:tc>
      </w:tr>
      <w:tr>
        <w:trPr>
          <w:trHeight w:val="228"/>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80"/>
              <w:spacing w:after="0" w:line="228" w:lineRule="exact"/>
              <w:rPr>
                <w:sz w:val="20"/>
                <w:szCs w:val="20"/>
                <w:color w:val="auto"/>
              </w:rPr>
            </w:pPr>
            <w:r>
              <w:rPr>
                <w:rFonts w:ascii="Arial" w:cs="Arial" w:eastAsia="Arial" w:hAnsi="Arial"/>
                <w:sz w:val="20"/>
                <w:szCs w:val="20"/>
                <w:b w:val="1"/>
                <w:bCs w:val="1"/>
                <w:color w:val="231F20"/>
              </w:rPr>
              <w:t>2025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80"/>
              <w:spacing w:after="0" w:line="228" w:lineRule="exact"/>
              <w:rPr>
                <w:sz w:val="20"/>
                <w:szCs w:val="20"/>
                <w:color w:val="auto"/>
              </w:rPr>
            </w:pPr>
            <w:r>
              <w:rPr>
                <w:rFonts w:ascii="Arial" w:cs="Arial" w:eastAsia="Arial" w:hAnsi="Arial"/>
                <w:sz w:val="20"/>
                <w:szCs w:val="20"/>
                <w:b w:val="1"/>
                <w:bCs w:val="1"/>
                <w:color w:val="231F20"/>
              </w:rPr>
              <w:t>2024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20"/>
              <w:spacing w:after="0" w:line="228" w:lineRule="exact"/>
              <w:rPr>
                <w:sz w:val="20"/>
                <w:szCs w:val="20"/>
                <w:color w:val="auto"/>
              </w:rPr>
            </w:pPr>
            <w:r>
              <w:rPr>
                <w:rFonts w:ascii="Arial" w:cs="Arial" w:eastAsia="Arial" w:hAnsi="Arial"/>
                <w:sz w:val="20"/>
                <w:szCs w:val="20"/>
                <w:b w:val="1"/>
                <w:bCs w:val="1"/>
                <w:color w:val="231F20"/>
              </w:rPr>
              <w:t>2023</w:t>
            </w:r>
          </w:p>
        </w:tc>
        <w:tc>
          <w:tcPr>
            <w:tcW w:w="2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gridSpan w:val="2"/>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r>
      <w:tr>
        <w:trPr>
          <w:trHeight w:val="192"/>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color w:val="231F20"/>
              </w:rPr>
              <w:t>(in millions)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20"/>
                <w:szCs w:val="20"/>
                <w:color w:val="231F20"/>
                <w:w w:val="98"/>
              </w:rPr>
              <w:t>Beginning balance . . . . . . . . . . . . . . . . . . . . . . . . . . . .</w:t>
            </w:r>
          </w:p>
        </w:tc>
        <w:tc>
          <w:tcPr>
            <w:tcW w:w="480" w:type="dxa"/>
            <w:vAlign w:val="bottom"/>
            <w:gridSpan w:val="3"/>
          </w:tcPr>
          <w:p>
            <w:pPr>
              <w:jc w:val="right"/>
              <w:ind w:right="20"/>
              <w:spacing w:after="0"/>
              <w:rPr>
                <w:sz w:val="20"/>
                <w:szCs w:val="20"/>
                <w:color w:val="auto"/>
              </w:rPr>
            </w:pPr>
            <w:r>
              <w:rPr>
                <w:rFonts w:ascii="Arial" w:cs="Arial" w:eastAsia="Arial" w:hAnsi="Arial"/>
                <w:sz w:val="20"/>
                <w:szCs w:val="20"/>
                <w:color w:val="231F20"/>
              </w:rPr>
              <w:t>$</w:t>
            </w:r>
          </w:p>
        </w:tc>
        <w:tc>
          <w:tcPr>
            <w:tcW w:w="680" w:type="dxa"/>
            <w:vAlign w:val="bottom"/>
          </w:tcPr>
          <w:p>
            <w:pPr>
              <w:jc w:val="right"/>
              <w:spacing w:after="0"/>
              <w:rPr>
                <w:sz w:val="20"/>
                <w:szCs w:val="20"/>
                <w:color w:val="auto"/>
              </w:rPr>
            </w:pPr>
            <w:r>
              <w:rPr>
                <w:rFonts w:ascii="Arial" w:cs="Arial" w:eastAsia="Arial" w:hAnsi="Arial"/>
                <w:sz w:val="20"/>
                <w:szCs w:val="20"/>
                <w:color w:val="231F20"/>
              </w:rPr>
              <w:t>1</w:t>
            </w:r>
          </w:p>
        </w:tc>
        <w:tc>
          <w:tcPr>
            <w:tcW w:w="2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20"/>
                <w:szCs w:val="20"/>
                <w:color w:val="231F20"/>
              </w:rPr>
              <w:t>$</w:t>
            </w:r>
          </w:p>
        </w:tc>
        <w:tc>
          <w:tcPr>
            <w:tcW w:w="720" w:type="dxa"/>
            <w:vAlign w:val="bottom"/>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1"/>
                <w:szCs w:val="21"/>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20"/>
                <w:szCs w:val="20"/>
                <w:color w:val="231F20"/>
              </w:rPr>
              <w:t>$</w:t>
            </w:r>
          </w:p>
        </w:tc>
        <w:tc>
          <w:tcPr>
            <w:tcW w:w="720" w:type="dxa"/>
            <w:vAlign w:val="bottom"/>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1"/>
                <w:szCs w:val="21"/>
                <w:color w:val="auto"/>
              </w:rPr>
            </w:pPr>
          </w:p>
        </w:tc>
      </w:tr>
      <w:tr>
        <w:trPr>
          <w:trHeight w:val="240"/>
        </w:trPr>
        <w:tc>
          <w:tcPr>
            <w:tcW w:w="4720" w:type="dxa"/>
            <w:vAlign w:val="bottom"/>
          </w:tcPr>
          <w:p>
            <w:pPr>
              <w:spacing w:after="0"/>
              <w:rPr>
                <w:sz w:val="20"/>
                <w:szCs w:val="20"/>
                <w:color w:val="auto"/>
              </w:rPr>
            </w:pPr>
            <w:r>
              <w:rPr>
                <w:rFonts w:ascii="Arial" w:cs="Arial" w:eastAsia="Arial" w:hAnsi="Arial"/>
                <w:sz w:val="20"/>
                <w:szCs w:val="20"/>
                <w:color w:val="231F20"/>
              </w:rPr>
              <w:t>Additions to capitalized exploratory well costs  . . . .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31F20"/>
              </w:rPr>
              <w:t>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r>
      <w:tr>
        <w:trPr>
          <w:trHeight w:val="28"/>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r>
      <w:tr>
        <w:trPr>
          <w:trHeight w:val="272"/>
        </w:trPr>
        <w:tc>
          <w:tcPr>
            <w:tcW w:w="4720" w:type="dxa"/>
            <w:vAlign w:val="bottom"/>
          </w:tcPr>
          <w:p>
            <w:pPr>
              <w:spacing w:after="0"/>
              <w:rPr>
                <w:sz w:val="20"/>
                <w:szCs w:val="20"/>
                <w:color w:val="auto"/>
              </w:rPr>
            </w:pPr>
            <w:r>
              <w:rPr>
                <w:rFonts w:ascii="Arial" w:cs="Arial" w:eastAsia="Arial" w:hAnsi="Arial"/>
                <w:sz w:val="20"/>
                <w:szCs w:val="20"/>
                <w:color w:val="231F20"/>
                <w:w w:val="98"/>
              </w:rPr>
              <w:t>Ending balance  . . . . . . . . . . . . . . . . . . . . . . . . . . . . .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31F20"/>
              </w:rPr>
              <w:t>11</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3"/>
                <w:szCs w:val="23"/>
                <w:color w:val="auto"/>
              </w:rPr>
            </w:pPr>
          </w:p>
        </w:tc>
      </w:tr>
      <w:tr>
        <w:trPr>
          <w:trHeight w:val="28"/>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Asset Impairments</w:t>
      </w:r>
    </w:p>
    <w:p>
      <w:pPr>
        <w:spacing w:after="0" w:line="21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In 2025, we recognized impairments of $59 million, of which $57 million related to proved natural gas properties in the Sacramento basin. At December 31, 2025, we determined that the carrying value of these assets was not recoverable due to a change in development plans after the Berry Merger and current market conditions. The fair value of our proved natural gas properties was determined as of the date of the assessment using undiscounted cash flow models based on management’s expectations for the future development and on Level 3 inputs within fair value measurement hierarchy, including unobservable inputs such as estimates of future natural gas production, forward commodity price curves, inflation, pricing adjustments for differentials, reserve adjustment factors and estimated future operating costs. We used a market-based weighted average cost of capital to discount the future net cash flows.</w:t>
      </w:r>
    </w:p>
    <w:p>
      <w:pPr>
        <w:spacing w:after="0" w:line="214"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231F20"/>
        </w:rPr>
        <w:t xml:space="preserve">We also recognized asset impairments in the years ended December 31, 2025 and 2024 related to our carbon management assets. Refer to </w:t>
      </w:r>
      <w:r>
        <w:rPr>
          <w:rFonts w:ascii="Arial" w:cs="Arial" w:eastAsia="Arial" w:hAnsi="Arial"/>
          <w:sz w:val="20"/>
          <w:szCs w:val="20"/>
          <w:i w:val="1"/>
          <w:iCs w:val="1"/>
          <w:color w:val="231F20"/>
        </w:rPr>
        <w:t>Note 9 Divestitures and Acquisitions</w:t>
      </w:r>
      <w:r>
        <w:rPr>
          <w:rFonts w:ascii="Arial" w:cs="Arial" w:eastAsia="Arial" w:hAnsi="Arial"/>
          <w:sz w:val="20"/>
          <w:szCs w:val="20"/>
          <w:color w:val="231F20"/>
        </w:rPr>
        <w:t xml:space="preserve"> for more information. See </w:t>
      </w:r>
      <w:r>
        <w:rPr>
          <w:rFonts w:ascii="Arial" w:cs="Arial" w:eastAsia="Arial" w:hAnsi="Arial"/>
          <w:sz w:val="20"/>
          <w:szCs w:val="20"/>
          <w:i w:val="1"/>
          <w:iCs w:val="1"/>
          <w:color w:val="231F20"/>
        </w:rPr>
        <w:t>Note 1 Nature of Business, Summary of Significant Accounting Policies and Other</w:t>
      </w:r>
      <w:r>
        <w:rPr>
          <w:rFonts w:ascii="Arial" w:cs="Arial" w:eastAsia="Arial" w:hAnsi="Arial"/>
          <w:sz w:val="20"/>
          <w:szCs w:val="20"/>
          <w:color w:val="231F20"/>
        </w:rPr>
        <w:t xml:space="preserve"> for information on a $13 million impairment on materials and supplies inventory recognized in 2024.</w:t>
      </w:r>
    </w:p>
    <w:p>
      <w:pPr>
        <w:sectPr>
          <w:pgSz w:w="11880" w:h="15480" w:orient="portrait"/>
          <w:cols w:equalWidth="0" w:num="1">
            <w:col w:w="9120"/>
          </w:cols>
          <w:pgMar w:left="1380" w:top="1310"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110</w:t>
      </w:r>
    </w:p>
    <w:p>
      <w:pPr>
        <w:sectPr>
          <w:pgSz w:w="11880" w:h="15480" w:orient="portrait"/>
          <w:cols w:equalWidth="0" w:num="1">
            <w:col w:w="9120"/>
          </w:cols>
          <w:pgMar w:left="1380" w:top="1310" w:right="1380" w:bottom="660" w:gutter="0" w:footer="0" w:header="0"/>
          <w:type w:val="continuous"/>
        </w:sectPr>
      </w:pPr>
    </w:p>
    <w:bookmarkStart w:id="114" w:name="page115"/>
    <w:bookmarkEnd w:id="114"/>
    <w:p>
      <w:pPr>
        <w:spacing w:after="0"/>
        <w:tabs>
          <w:tab w:leader="none" w:pos="900" w:val="left"/>
        </w:tabs>
        <w:rPr>
          <w:sz w:val="20"/>
          <w:szCs w:val="20"/>
          <w:color w:val="auto"/>
        </w:rPr>
      </w:pPr>
      <w:r>
        <w:rPr>
          <w:rFonts w:ascii="Arial" w:cs="Arial" w:eastAsia="Arial" w:hAnsi="Arial"/>
          <w:sz w:val="20"/>
          <w:szCs w:val="20"/>
          <w:b w:val="1"/>
          <w:bCs w:val="1"/>
          <w:color w:val="231F20"/>
        </w:rPr>
        <w:t>NOTE 4</w:t>
      </w:r>
      <w:r>
        <w:rPr>
          <w:sz w:val="20"/>
          <w:szCs w:val="20"/>
          <w:color w:val="auto"/>
        </w:rPr>
        <w:tab/>
      </w:r>
      <w:r>
        <w:rPr>
          <w:rFonts w:ascii="Arial" w:cs="Arial" w:eastAsia="Arial" w:hAnsi="Arial"/>
          <w:sz w:val="19"/>
          <w:szCs w:val="19"/>
          <w:b w:val="1"/>
          <w:bCs w:val="1"/>
          <w:color w:val="231F20"/>
        </w:rPr>
        <w:t>INVESTMENTS AND RELATED PARTY TRANSACTIONS</w:t>
      </w:r>
    </w:p>
    <w:p>
      <w:pPr>
        <w:spacing w:after="0" w:line="144" w:lineRule="exact"/>
        <w:rPr>
          <w:sz w:val="20"/>
          <w:szCs w:val="20"/>
          <w:color w:val="auto"/>
        </w:rPr>
      </w:pPr>
    </w:p>
    <w:p>
      <w:pPr>
        <w:ind w:right="480" w:firstLine="300"/>
        <w:spacing w:after="0" w:line="243" w:lineRule="auto"/>
        <w:rPr>
          <w:sz w:val="20"/>
          <w:szCs w:val="20"/>
          <w:color w:val="auto"/>
        </w:rPr>
      </w:pPr>
      <w:r>
        <w:rPr>
          <w:rFonts w:ascii="Arial" w:cs="Arial" w:eastAsia="Arial" w:hAnsi="Arial"/>
          <w:sz w:val="20"/>
          <w:szCs w:val="20"/>
          <w:color w:val="231F20"/>
        </w:rPr>
        <w:t>The following tables present changes to our investments in unconsolidated subsidiaries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19"/>
                <w:szCs w:val="19"/>
                <w:color w:val="auto"/>
              </w:rPr>
            </w:pPr>
          </w:p>
        </w:tc>
        <w:tc>
          <w:tcPr>
            <w:tcW w:w="1840" w:type="dxa"/>
            <w:vAlign w:val="bottom"/>
            <w:gridSpan w:val="5"/>
          </w:tcPr>
          <w:p>
            <w:pPr>
              <w:jc w:val="center"/>
              <w:spacing w:after="0"/>
              <w:rPr>
                <w:sz w:val="20"/>
                <w:szCs w:val="20"/>
                <w:color w:val="auto"/>
              </w:rPr>
            </w:pPr>
            <w:r>
              <w:rPr>
                <w:rFonts w:ascii="Arial" w:cs="Arial" w:eastAsia="Arial" w:hAnsi="Arial"/>
                <w:sz w:val="20"/>
                <w:szCs w:val="20"/>
                <w:b w:val="1"/>
                <w:bCs w:val="1"/>
                <w:color w:val="231F20"/>
                <w:w w:val="99"/>
              </w:rPr>
              <w:t>Carbon TerraVault</w:t>
            </w:r>
          </w:p>
        </w:tc>
        <w:tc>
          <w:tcPr>
            <w:tcW w:w="0" w:type="dxa"/>
            <w:vAlign w:val="bottom"/>
          </w:tcPr>
          <w:p>
            <w:pPr>
              <w:spacing w:after="0"/>
              <w:rPr>
                <w:sz w:val="1"/>
                <w:szCs w:val="1"/>
                <w:color w:val="auto"/>
              </w:rPr>
            </w:pPr>
          </w:p>
        </w:tc>
      </w:tr>
      <w:tr>
        <w:trPr>
          <w:trHeight w:val="246"/>
        </w:trPr>
        <w:tc>
          <w:tcPr>
            <w:tcW w:w="7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gridSpan w:val="2"/>
          </w:tcPr>
          <w:p>
            <w:pPr>
              <w:jc w:val="center"/>
              <w:ind w:right="440"/>
              <w:spacing w:after="0" w:line="228" w:lineRule="exact"/>
              <w:rPr>
                <w:sz w:val="20"/>
                <w:szCs w:val="20"/>
                <w:color w:val="auto"/>
              </w:rPr>
            </w:pPr>
            <w:r>
              <w:rPr>
                <w:rFonts w:ascii="Arial" w:cs="Arial" w:eastAsia="Arial" w:hAnsi="Arial"/>
                <w:sz w:val="20"/>
                <w:szCs w:val="20"/>
                <w:b w:val="1"/>
                <w:bCs w:val="1"/>
                <w:color w:val="231F20"/>
              </w:rPr>
              <w:t>JV</w:t>
            </w: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color w:val="231F20"/>
              </w:rPr>
              <w:t>(in millions)</w:t>
            </w:r>
          </w:p>
        </w:tc>
        <w:tc>
          <w:tcPr>
            <w:tcW w:w="0" w:type="dxa"/>
            <w:vAlign w:val="bottom"/>
          </w:tcPr>
          <w:p>
            <w:pPr>
              <w:spacing w:after="0"/>
              <w:rPr>
                <w:sz w:val="1"/>
                <w:szCs w:val="1"/>
                <w:color w:val="auto"/>
              </w:rPr>
            </w:pPr>
          </w:p>
        </w:tc>
      </w:tr>
      <w:tr>
        <w:trPr>
          <w:trHeight w:val="248"/>
        </w:trPr>
        <w:tc>
          <w:tcPr>
            <w:tcW w:w="7280" w:type="dxa"/>
            <w:vAlign w:val="bottom"/>
          </w:tcPr>
          <w:p>
            <w:pPr>
              <w:spacing w:after="0"/>
              <w:rPr>
                <w:sz w:val="20"/>
                <w:szCs w:val="20"/>
                <w:color w:val="auto"/>
              </w:rPr>
            </w:pPr>
            <w:r>
              <w:rPr>
                <w:rFonts w:ascii="Arial" w:cs="Arial" w:eastAsia="Arial" w:hAnsi="Arial"/>
                <w:sz w:val="20"/>
                <w:szCs w:val="20"/>
                <w:b w:val="1"/>
                <w:bCs w:val="1"/>
                <w:color w:val="231F20"/>
                <w:w w:val="98"/>
              </w:rPr>
              <w:t xml:space="preserve">Investment, December 31, 2023  </w:t>
            </w:r>
            <w:r>
              <w:rPr>
                <w:rFonts w:ascii="Arial" w:cs="Arial" w:eastAsia="Arial" w:hAnsi="Arial"/>
                <w:sz w:val="20"/>
                <w:szCs w:val="20"/>
                <w:color w:val="231F20"/>
                <w:w w:val="98"/>
              </w:rPr>
              <w:t>. . . . . . . . . . . . . . . . . . . . . . . . . . . . . . . . . . . . . . .</w:t>
            </w:r>
          </w:p>
        </w:tc>
        <w:tc>
          <w:tcPr>
            <w:tcW w:w="540" w:type="dxa"/>
            <w:vAlign w:val="bottom"/>
            <w:gridSpan w:val="3"/>
          </w:tcPr>
          <w:p>
            <w:pPr>
              <w:jc w:val="right"/>
              <w:ind w:right="20"/>
              <w:spacing w:after="0"/>
              <w:rPr>
                <w:sz w:val="20"/>
                <w:szCs w:val="20"/>
                <w:color w:val="auto"/>
              </w:rPr>
            </w:pPr>
            <w:r>
              <w:rPr>
                <w:rFonts w:ascii="Arial" w:cs="Arial" w:eastAsia="Arial" w:hAnsi="Arial"/>
                <w:sz w:val="20"/>
                <w:szCs w:val="20"/>
                <w:color w:val="231F20"/>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19</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280" w:type="dxa"/>
            <w:vAlign w:val="bottom"/>
          </w:tcPr>
          <w:p>
            <w:pPr>
              <w:spacing w:after="0"/>
              <w:rPr>
                <w:sz w:val="20"/>
                <w:szCs w:val="20"/>
                <w:color w:val="auto"/>
              </w:rPr>
            </w:pPr>
            <w:r>
              <w:rPr>
                <w:rFonts w:ascii="Arial" w:cs="Arial" w:eastAsia="Arial" w:hAnsi="Arial"/>
                <w:sz w:val="20"/>
                <w:szCs w:val="20"/>
                <w:color w:val="231F20"/>
                <w:w w:val="98"/>
              </w:rPr>
              <w:t>Share of net loss . . . . . . . . . . . . . . . . . . . . . . . . . . . . . . . . . . . . . . . . . . . . . . . . . . . .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(12)</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7280" w:type="dxa"/>
            <w:vAlign w:val="bottom"/>
          </w:tcPr>
          <w:p>
            <w:pPr>
              <w:spacing w:after="0"/>
              <w:rPr>
                <w:sz w:val="20"/>
                <w:szCs w:val="20"/>
                <w:color w:val="auto"/>
              </w:rPr>
            </w:pPr>
            <w:r>
              <w:rPr>
                <w:rFonts w:ascii="Arial" w:cs="Arial" w:eastAsia="Arial" w:hAnsi="Arial"/>
                <w:sz w:val="20"/>
                <w:szCs w:val="20"/>
                <w:color w:val="231F20"/>
                <w:w w:val="97"/>
              </w:rPr>
              <w:t>Contributions  . . . . . . . . . . . . . . . . . . . . . . . . . . . . . . . . . . . . . . . . . . . . .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231F20"/>
              </w:rPr>
              <w:t>Investment, December 31, 2024</w:t>
            </w: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280" w:type="dxa"/>
            <w:vAlign w:val="bottom"/>
            <w:vMerge w:val="continue"/>
          </w:tcPr>
          <w:p>
            <w:pPr>
              <w:ind w:left="3100"/>
              <w:spacing w:after="0"/>
              <w:rPr>
                <w:sz w:val="20"/>
                <w:szCs w:val="20"/>
                <w:color w:val="auto"/>
              </w:rPr>
            </w:pPr>
            <w:r>
              <w:rPr>
                <w:rFonts w:ascii="Arial" w:cs="Arial" w:eastAsia="Arial" w:hAnsi="Arial"/>
                <w:sz w:val="20"/>
                <w:szCs w:val="20"/>
                <w:color w:val="231F20"/>
                <w:w w:val="97"/>
              </w:rPr>
              <w:t>. . . . . . . . . . . . . . . . . . . . . . . . . . . . . . . . . . . . . .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27</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280" w:type="dxa"/>
            <w:vAlign w:val="bottom"/>
          </w:tcPr>
          <w:p>
            <w:pPr>
              <w:spacing w:after="0"/>
              <w:rPr>
                <w:sz w:val="20"/>
                <w:szCs w:val="20"/>
                <w:color w:val="auto"/>
              </w:rPr>
            </w:pPr>
            <w:r>
              <w:rPr>
                <w:rFonts w:ascii="Arial" w:cs="Arial" w:eastAsia="Arial" w:hAnsi="Arial"/>
                <w:sz w:val="20"/>
                <w:szCs w:val="20"/>
                <w:color w:val="231F20"/>
                <w:w w:val="98"/>
              </w:rPr>
              <w:t>Share of net loss . . . . . . . . . . . . . . . . . . . . . . . . . . . . . . . . . . . . . . . . . . . . . . . . . . . .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20"/>
                <w:szCs w:val="20"/>
                <w:color w:val="231F20"/>
              </w:rPr>
              <w:t>(6)</w:t>
            </w:r>
          </w:p>
        </w:tc>
        <w:tc>
          <w:tcPr>
            <w:tcW w:w="0" w:type="dxa"/>
            <w:vAlign w:val="bottom"/>
          </w:tcPr>
          <w:p>
            <w:pPr>
              <w:spacing w:after="0"/>
              <w:rPr>
                <w:sz w:val="1"/>
                <w:szCs w:val="1"/>
                <w:color w:val="auto"/>
              </w:rPr>
            </w:pPr>
          </w:p>
        </w:tc>
      </w:tr>
      <w:tr>
        <w:trPr>
          <w:trHeight w:val="240"/>
        </w:trPr>
        <w:tc>
          <w:tcPr>
            <w:tcW w:w="7280" w:type="dxa"/>
            <w:vAlign w:val="bottom"/>
          </w:tcPr>
          <w:p>
            <w:pPr>
              <w:spacing w:after="0"/>
              <w:rPr>
                <w:sz w:val="20"/>
                <w:szCs w:val="20"/>
                <w:color w:val="auto"/>
              </w:rPr>
            </w:pPr>
            <w:r>
              <w:rPr>
                <w:rFonts w:ascii="Arial" w:cs="Arial" w:eastAsia="Arial" w:hAnsi="Arial"/>
                <w:sz w:val="20"/>
                <w:szCs w:val="20"/>
                <w:color w:val="231F20"/>
                <w:w w:val="97"/>
              </w:rPr>
              <w:t>Contributions  . . . . . . . . . . . . . . . . . . . . . . . . . . . . . . . . . . . . . . . . . . . . .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36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280" w:type="dxa"/>
            <w:vAlign w:val="bottom"/>
            <w:vMerge w:val="restart"/>
          </w:tcPr>
          <w:p>
            <w:pPr>
              <w:spacing w:after="0"/>
              <w:rPr>
                <w:sz w:val="20"/>
                <w:szCs w:val="20"/>
                <w:color w:val="auto"/>
              </w:rPr>
            </w:pPr>
            <w:r>
              <w:rPr>
                <w:rFonts w:ascii="Arial" w:cs="Arial" w:eastAsia="Arial" w:hAnsi="Arial"/>
                <w:sz w:val="20"/>
                <w:szCs w:val="20"/>
                <w:b w:val="1"/>
                <w:bCs w:val="1"/>
                <w:color w:val="231F20"/>
              </w:rPr>
              <w:t>Investment, December 31, 2025</w:t>
            </w:r>
          </w:p>
        </w:tc>
        <w:tc>
          <w:tcPr>
            <w:tcW w:w="400" w:type="dxa"/>
            <w:vAlign w:val="bottom"/>
            <w:gridSpan w:val="2"/>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280" w:type="dxa"/>
            <w:vAlign w:val="bottom"/>
            <w:vMerge w:val="continue"/>
          </w:tcPr>
          <w:p>
            <w:pPr>
              <w:ind w:left="3100"/>
              <w:spacing w:after="0"/>
              <w:rPr>
                <w:sz w:val="20"/>
                <w:szCs w:val="20"/>
                <w:color w:val="auto"/>
              </w:rPr>
            </w:pPr>
            <w:r>
              <w:rPr>
                <w:rFonts w:ascii="Arial" w:cs="Arial" w:eastAsia="Arial" w:hAnsi="Arial"/>
                <w:sz w:val="20"/>
                <w:szCs w:val="20"/>
                <w:color w:val="231F20"/>
                <w:w w:val="97"/>
              </w:rPr>
              <w:t>. . . . . . . . . . . . . . . . . . . . . . . . . . . . . . . . . . . . . . .</w:t>
            </w:r>
          </w:p>
        </w:tc>
        <w:tc>
          <w:tcPr>
            <w:tcW w:w="540" w:type="dxa"/>
            <w:vAlign w:val="bottom"/>
            <w:gridSpan w:val="3"/>
          </w:tcPr>
          <w:p>
            <w:pPr>
              <w:jc w:val="right"/>
              <w:ind w:right="20"/>
              <w:spacing w:after="0"/>
              <w:rPr>
                <w:sz w:val="20"/>
                <w:szCs w:val="20"/>
                <w:color w:val="auto"/>
              </w:rPr>
            </w:pPr>
            <w:r>
              <w:rPr>
                <w:rFonts w:ascii="Arial" w:cs="Arial" w:eastAsia="Arial" w:hAnsi="Arial"/>
                <w:sz w:val="20"/>
                <w:szCs w:val="20"/>
                <w:color w:val="231F20"/>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57</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1540" w:type="dxa"/>
            <w:vAlign w:val="bottom"/>
            <w:gridSpan w:val="5"/>
          </w:tcPr>
          <w:p>
            <w:pPr>
              <w:jc w:val="center"/>
              <w:spacing w:after="0"/>
              <w:rPr>
                <w:sz w:val="20"/>
                <w:szCs w:val="20"/>
                <w:color w:val="auto"/>
              </w:rPr>
            </w:pPr>
            <w:r>
              <w:rPr>
                <w:rFonts w:ascii="Arial" w:cs="Arial" w:eastAsia="Arial" w:hAnsi="Arial"/>
                <w:sz w:val="20"/>
                <w:szCs w:val="20"/>
                <w:b w:val="1"/>
                <w:bCs w:val="1"/>
                <w:color w:val="231F20"/>
                <w:w w:val="99"/>
              </w:rPr>
              <w:t>Midway Sunset</w:t>
            </w:r>
          </w:p>
        </w:tc>
        <w:tc>
          <w:tcPr>
            <w:tcW w:w="0" w:type="dxa"/>
            <w:vAlign w:val="bottom"/>
          </w:tcPr>
          <w:p>
            <w:pPr>
              <w:spacing w:after="0"/>
              <w:rPr>
                <w:sz w:val="1"/>
                <w:szCs w:val="1"/>
                <w:color w:val="auto"/>
              </w:rPr>
            </w:pPr>
          </w:p>
        </w:tc>
      </w:tr>
      <w:tr>
        <w:trPr>
          <w:trHeight w:val="200"/>
        </w:trPr>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4"/>
          </w:tcPr>
          <w:p>
            <w:pPr>
              <w:jc w:val="center"/>
              <w:spacing w:after="0" w:line="200" w:lineRule="exact"/>
              <w:rPr>
                <w:sz w:val="20"/>
                <w:szCs w:val="20"/>
                <w:color w:val="auto"/>
              </w:rPr>
            </w:pPr>
            <w:r>
              <w:rPr>
                <w:rFonts w:ascii="Arial" w:cs="Arial" w:eastAsia="Arial" w:hAnsi="Arial"/>
                <w:sz w:val="20"/>
                <w:szCs w:val="20"/>
                <w:b w:val="1"/>
                <w:bCs w:val="1"/>
                <w:color w:val="231F20"/>
                <w:w w:val="99"/>
              </w:rPr>
              <w:t>Cogeneration</w:t>
            </w:r>
          </w:p>
        </w:tc>
        <w:tc>
          <w:tcPr>
            <w:tcW w:w="0" w:type="dxa"/>
            <w:vAlign w:val="bottom"/>
          </w:tcPr>
          <w:p>
            <w:pPr>
              <w:spacing w:after="0"/>
              <w:rPr>
                <w:sz w:val="1"/>
                <w:szCs w:val="1"/>
                <w:color w:val="auto"/>
              </w:rPr>
            </w:pPr>
          </w:p>
        </w:tc>
      </w:tr>
      <w:tr>
        <w:trPr>
          <w:trHeight w:val="248"/>
        </w:trPr>
        <w:tc>
          <w:tcPr>
            <w:tcW w:w="7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gridSpan w:val="2"/>
          </w:tcPr>
          <w:p>
            <w:pPr>
              <w:jc w:val="center"/>
              <w:ind w:right="260"/>
              <w:spacing w:after="0"/>
              <w:rPr>
                <w:sz w:val="20"/>
                <w:szCs w:val="20"/>
                <w:color w:val="auto"/>
              </w:rPr>
            </w:pPr>
            <w:r>
              <w:rPr>
                <w:rFonts w:ascii="Arial" w:cs="Arial" w:eastAsia="Arial" w:hAnsi="Arial"/>
                <w:sz w:val="20"/>
                <w:szCs w:val="20"/>
                <w:b w:val="1"/>
                <w:bCs w:val="1"/>
                <w:color w:val="231F20"/>
              </w:rPr>
              <w:t>Company</w:t>
            </w:r>
          </w:p>
        </w:tc>
        <w:tc>
          <w:tcPr>
            <w:tcW w:w="0" w:type="dxa"/>
            <w:vAlign w:val="bottom"/>
          </w:tcPr>
          <w:p>
            <w:pPr>
              <w:spacing w:after="0"/>
              <w:rPr>
                <w:sz w:val="1"/>
                <w:szCs w:val="1"/>
                <w:color w:val="auto"/>
              </w:rPr>
            </w:pPr>
          </w:p>
        </w:tc>
      </w:tr>
      <w:tr>
        <w:trPr>
          <w:trHeight w:val="192"/>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color w:val="231F20"/>
                <w:w w:val="98"/>
              </w:rPr>
              <w:t>(in millions)</w:t>
            </w:r>
          </w:p>
        </w:tc>
        <w:tc>
          <w:tcPr>
            <w:tcW w:w="0" w:type="dxa"/>
            <w:vAlign w:val="bottom"/>
          </w:tcPr>
          <w:p>
            <w:pPr>
              <w:spacing w:after="0"/>
              <w:rPr>
                <w:sz w:val="1"/>
                <w:szCs w:val="1"/>
                <w:color w:val="auto"/>
              </w:rPr>
            </w:pPr>
          </w:p>
        </w:tc>
      </w:tr>
      <w:tr>
        <w:trPr>
          <w:trHeight w:val="250"/>
        </w:trPr>
        <w:tc>
          <w:tcPr>
            <w:tcW w:w="7580" w:type="dxa"/>
            <w:vAlign w:val="bottom"/>
          </w:tcPr>
          <w:p>
            <w:pPr>
              <w:spacing w:after="0"/>
              <w:rPr>
                <w:sz w:val="20"/>
                <w:szCs w:val="20"/>
                <w:color w:val="auto"/>
              </w:rPr>
            </w:pPr>
            <w:r>
              <w:rPr>
                <w:rFonts w:ascii="Arial" w:cs="Arial" w:eastAsia="Arial" w:hAnsi="Arial"/>
                <w:sz w:val="20"/>
                <w:szCs w:val="20"/>
                <w:b w:val="1"/>
                <w:bCs w:val="1"/>
                <w:color w:val="231F20"/>
                <w:w w:val="98"/>
              </w:rPr>
              <w:t xml:space="preserve">Investment, December 31, 2024 </w:t>
            </w:r>
            <w:r>
              <w:rPr>
                <w:rFonts w:ascii="Arial" w:cs="Arial" w:eastAsia="Arial" w:hAnsi="Arial"/>
                <w:sz w:val="20"/>
                <w:szCs w:val="20"/>
                <w:color w:val="231F20"/>
                <w:w w:val="98"/>
              </w:rPr>
              <w:t>. . . . . . . . . . . . . . . . . . . . . . . . . . . . . . . . . . . . . . . . . .</w:t>
            </w:r>
          </w:p>
        </w:tc>
        <w:tc>
          <w:tcPr>
            <w:tcW w:w="360" w:type="dxa"/>
            <w:vAlign w:val="bottom"/>
            <w:gridSpan w:val="3"/>
          </w:tcPr>
          <w:p>
            <w:pPr>
              <w:jc w:val="right"/>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59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580" w:type="dxa"/>
            <w:vAlign w:val="bottom"/>
          </w:tcPr>
          <w:p>
            <w:pPr>
              <w:spacing w:after="0"/>
              <w:rPr>
                <w:sz w:val="20"/>
                <w:szCs w:val="20"/>
                <w:color w:val="auto"/>
              </w:rPr>
            </w:pPr>
            <w:r>
              <w:rPr>
                <w:rFonts w:ascii="Arial" w:cs="Arial" w:eastAsia="Arial" w:hAnsi="Arial"/>
                <w:sz w:val="20"/>
                <w:szCs w:val="20"/>
                <w:color w:val="231F20"/>
                <w:w w:val="99"/>
              </w:rPr>
              <w:t>Purchase price adjustment (Aera Merger)  . . . . . . . . . . . . . . . . . . . . . . . . . . . . . . . . . .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7580" w:type="dxa"/>
            <w:vAlign w:val="bottom"/>
          </w:tcPr>
          <w:p>
            <w:pPr>
              <w:spacing w:after="0"/>
              <w:rPr>
                <w:sz w:val="20"/>
                <w:szCs w:val="20"/>
                <w:color w:val="auto"/>
              </w:rPr>
            </w:pPr>
            <w:r>
              <w:rPr>
                <w:rFonts w:ascii="Arial" w:cs="Arial" w:eastAsia="Arial" w:hAnsi="Arial"/>
                <w:sz w:val="20"/>
                <w:szCs w:val="20"/>
                <w:color w:val="231F20"/>
                <w:w w:val="97"/>
              </w:rPr>
              <w:t>Share of net income  . . . . . . . . . . . . . . . . . . . . . . . . . . . . . . . . . . . . . . . . . . . . . . . . . . . .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58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Investment, December 31, 2025 </w:t>
            </w:r>
            <w:r>
              <w:rPr>
                <w:rFonts w:ascii="Arial" w:cs="Arial" w:eastAsia="Arial" w:hAnsi="Arial"/>
                <w:sz w:val="20"/>
                <w:szCs w:val="20"/>
                <w:color w:val="231F20"/>
              </w:rPr>
              <w:t>. . . . . .</w:t>
            </w:r>
          </w:p>
        </w:tc>
        <w:tc>
          <w:tcPr>
            <w:tcW w:w="260" w:type="dxa"/>
            <w:vAlign w:val="bottom"/>
            <w:gridSpan w:val="2"/>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580" w:type="dxa"/>
            <w:vAlign w:val="bottom"/>
            <w:vMerge w:val="continue"/>
          </w:tcPr>
          <w:p>
            <w:pPr>
              <w:ind w:left="3700"/>
              <w:spacing w:after="0"/>
              <w:rPr>
                <w:sz w:val="20"/>
                <w:szCs w:val="20"/>
                <w:color w:val="auto"/>
              </w:rPr>
            </w:pPr>
            <w:r>
              <w:rPr>
                <w:rFonts w:ascii="Arial" w:cs="Arial" w:eastAsia="Arial" w:hAnsi="Arial"/>
                <w:sz w:val="20"/>
                <w:szCs w:val="20"/>
                <w:color w:val="231F20"/>
                <w:w w:val="97"/>
              </w:rPr>
              <w:t>. . . . . . . . . . . . . . . . . . . . . . . . . . . . . . . . . . . .</w:t>
            </w:r>
          </w:p>
        </w:tc>
        <w:tc>
          <w:tcPr>
            <w:tcW w:w="360" w:type="dxa"/>
            <w:vAlign w:val="bottom"/>
            <w:gridSpan w:val="3"/>
          </w:tcPr>
          <w:p>
            <w:pPr>
              <w:jc w:val="right"/>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54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Carbon TerraVault JV</w:t>
      </w:r>
    </w:p>
    <w:p>
      <w:pPr>
        <w:spacing w:after="0" w:line="227" w:lineRule="exact"/>
        <w:rPr>
          <w:sz w:val="20"/>
          <w:szCs w:val="20"/>
          <w:color w:val="auto"/>
        </w:rPr>
      </w:pPr>
    </w:p>
    <w:p>
      <w:pPr>
        <w:ind w:right="20" w:firstLine="300"/>
        <w:spacing w:after="0" w:line="239" w:lineRule="auto"/>
        <w:rPr>
          <w:sz w:val="20"/>
          <w:szCs w:val="20"/>
          <w:color w:val="auto"/>
        </w:rPr>
      </w:pPr>
      <w:r>
        <w:rPr>
          <w:rFonts w:ascii="Arial" w:cs="Arial" w:eastAsia="Arial" w:hAnsi="Arial"/>
          <w:sz w:val="20"/>
          <w:szCs w:val="20"/>
          <w:color w:val="231F20"/>
        </w:rPr>
        <w:t>In August 2022, we entered into a joint venture with BGTF Sierra Aggregator LLC (Brookfield) for the further development of a carbon management business in California (Carbon TerraVault JV). We hold a 51% interest in the Carbon TerraVault JV and Brookfield holds a 49% interest. Our initial contribution included rights to inject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into the 26R reservoir in our Elk Hills field for permanent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storage (26R reservoir). Brookfield has contributed $92 million to date. The remaining amount of Brookfield’s initial investment is based on the permitted storage capacity, subject to certain contractual adjustments. This remaining amount will be contributed to the joint venture upon entering into contracts for the injection of specified volumes with respect to the 26R reservoir.</w:t>
      </w:r>
    </w:p>
    <w:p>
      <w:pPr>
        <w:spacing w:after="0" w:line="231"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231F20"/>
        </w:rPr>
        <w:t>We determined that the Carbon TerraVault JV is a variable interest entity (VIE); however,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spacing w:after="0" w:line="224"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Because the parties have certain put and call rights (repurchase features) with respect to the 26R reservoir if certain milestones are not met, the initial investment (including accrued interest) by Brookfield is reflected as a contingent liability included in other long-term liabilities on our consolidated balance sheets. The contingent liability was $117 million and $107 million at December 31, 2025 and 2024, respectively, inclusive of interest. The amount payable to Brookfield under the put and call rights, if exercised, includes additional capital contributions made by Brookfield to develop the 26R storage reservoir, inclusive of interest. This payment would differ from the contingent liability currently recognized because the contingent liability reported in other long-term liabilities on our consolidated balance sheet relates solely to the initial investment by Brookfield and does not include capital</w:t>
      </w:r>
    </w:p>
    <w:p>
      <w:pPr>
        <w:sectPr>
          <w:pgSz w:w="11880" w:h="15480" w:orient="portrait"/>
          <w:cols w:equalWidth="0" w:num="1">
            <w:col w:w="9120"/>
          </w:cols>
          <w:pgMar w:left="1380" w:top="1310" w:right="1380" w:bottom="66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111</w:t>
      </w:r>
    </w:p>
    <w:p>
      <w:pPr>
        <w:sectPr>
          <w:pgSz w:w="11880" w:h="15480" w:orient="portrait"/>
          <w:cols w:equalWidth="0" w:num="1">
            <w:col w:w="9120"/>
          </w:cols>
          <w:pgMar w:left="1380" w:top="1310" w:right="1380" w:bottom="660" w:gutter="0" w:footer="0" w:header="0"/>
          <w:type w:val="continuous"/>
        </w:sectPr>
      </w:pPr>
    </w:p>
    <w:bookmarkStart w:id="115" w:name="page116"/>
    <w:bookmarkEnd w:id="115"/>
    <w:p>
      <w:pPr>
        <w:jc w:val="both"/>
        <w:ind w:right="240"/>
        <w:spacing w:after="0" w:line="246" w:lineRule="auto"/>
        <w:rPr>
          <w:sz w:val="20"/>
          <w:szCs w:val="20"/>
          <w:color w:val="auto"/>
        </w:rPr>
      </w:pPr>
      <w:r>
        <w:rPr>
          <w:rFonts w:ascii="Arial" w:cs="Arial" w:eastAsia="Arial" w:hAnsi="Arial"/>
          <w:sz w:val="20"/>
          <w:szCs w:val="20"/>
          <w:color w:val="231F20"/>
        </w:rPr>
        <w:t>contributions made for ongoing development activities of the 26R reservoir. The joint venture does not have a definitive term and terminates upon either party holding all of the ownership interests in the joint venture.</w:t>
      </w:r>
    </w:p>
    <w:p>
      <w:pPr>
        <w:spacing w:after="0" w:line="166" w:lineRule="exact"/>
        <w:rPr>
          <w:sz w:val="20"/>
          <w:szCs w:val="20"/>
          <w:color w:val="auto"/>
        </w:rPr>
      </w:pPr>
    </w:p>
    <w:p>
      <w:pPr>
        <w:ind w:right="20" w:firstLine="300"/>
        <w:spacing w:after="0" w:line="222" w:lineRule="auto"/>
        <w:rPr>
          <w:sz w:val="20"/>
          <w:szCs w:val="20"/>
          <w:color w:val="auto"/>
        </w:rPr>
      </w:pPr>
      <w:r>
        <w:rPr>
          <w:rFonts w:ascii="Arial" w:cs="Arial" w:eastAsia="Arial" w:hAnsi="Arial"/>
          <w:sz w:val="20"/>
          <w:szCs w:val="20"/>
          <w:color w:val="231F20"/>
        </w:rPr>
        <w:t>Both Brookfield and CRC have granted the other party a right to participate in projects that involve the capture, transportation and storage of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in California. These projects may be developed through the Carbon TerraVault JV or other joint ventures. This right expires upon the earlier of (1) August 2027,</w:t>
      </w:r>
    </w:p>
    <w:p>
      <w:pPr>
        <w:spacing w:after="0" w:line="18" w:lineRule="exact"/>
        <w:rPr>
          <w:sz w:val="20"/>
          <w:szCs w:val="20"/>
          <w:color w:val="auto"/>
        </w:rPr>
      </w:pPr>
    </w:p>
    <w:p>
      <w:pPr>
        <w:ind w:right="100"/>
        <w:spacing w:after="0" w:line="249" w:lineRule="auto"/>
        <w:tabs>
          <w:tab w:leader="none" w:pos="301" w:val="left"/>
        </w:tabs>
        <w:numPr>
          <w:ilvl w:val="0"/>
          <w:numId w:val="62"/>
        </w:numPr>
        <w:rPr>
          <w:rFonts w:ascii="Arial" w:cs="Arial" w:eastAsia="Arial" w:hAnsi="Arial"/>
          <w:sz w:val="20"/>
          <w:szCs w:val="20"/>
          <w:color w:val="231F20"/>
        </w:rPr>
      </w:pPr>
      <w:r>
        <w:rPr>
          <w:rFonts w:ascii="Arial" w:cs="Arial" w:eastAsia="Arial" w:hAnsi="Arial"/>
          <w:sz w:val="20"/>
          <w:szCs w:val="20"/>
          <w:color w:val="231F20"/>
        </w:rPr>
        <w:t>when a final investment decision has been approved by the investment committee of the Carbon TerraVault JV for storage projects representing in excess of 5 million metric tons per annum (MMTPA) in the aggregate, or (3) when Brookfield has made contributions to the joint venture in excess of $500 million (unless Brookfield elects to increase its commitment). The non-presenting party has the option to accept, decline or defer its decision to participate. If the decision is deferred, then the presenting party may continue to pursue development; however during this time and prior to a final investment decision, the non-presenting party may elect to participate provided they pay their share of the project development costs incurred up to that point. The joint venture does not have a definitive term and terminates upon either party holding all of the ownership interests in the joint venture.</w:t>
      </w:r>
    </w:p>
    <w:p>
      <w:pPr>
        <w:spacing w:after="0" w:line="166" w:lineRule="exact"/>
        <w:rPr>
          <w:sz w:val="20"/>
          <w:szCs w:val="20"/>
          <w:color w:val="auto"/>
        </w:rPr>
      </w:pPr>
    </w:p>
    <w:p>
      <w:pPr>
        <w:ind w:right="580" w:firstLine="300"/>
        <w:spacing w:after="0" w:line="248" w:lineRule="auto"/>
        <w:rPr>
          <w:sz w:val="20"/>
          <w:szCs w:val="20"/>
          <w:color w:val="auto"/>
        </w:rPr>
      </w:pPr>
      <w:r>
        <w:rPr>
          <w:rFonts w:ascii="Arial" w:cs="Arial" w:eastAsia="Arial" w:hAnsi="Arial"/>
          <w:sz w:val="20"/>
          <w:szCs w:val="20"/>
          <w:color w:val="231F20"/>
        </w:rPr>
        <w:t>The tables below present the summarized financial information related to our equity method investment in the Carbon TerraVault JV (and do not include amounts we have incurred related to development of our carbon management segment, Carbon TerraVault), along with related party transactions for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20"/>
                <w:szCs w:val="20"/>
                <w:b w:val="1"/>
                <w:bCs w:val="1"/>
                <w:color w:val="231F20"/>
              </w:rPr>
              <w:t>December 31,</w:t>
            </w:r>
          </w:p>
        </w:tc>
        <w:tc>
          <w:tcPr>
            <w:tcW w:w="1500" w:type="dxa"/>
            <w:vAlign w:val="bottom"/>
            <w:gridSpan w:val="3"/>
          </w:tcPr>
          <w:p>
            <w:pPr>
              <w:jc w:val="right"/>
              <w:spacing w:after="0"/>
              <w:rPr>
                <w:sz w:val="20"/>
                <w:szCs w:val="20"/>
                <w:color w:val="auto"/>
              </w:rPr>
            </w:pPr>
            <w:r>
              <w:rPr>
                <w:rFonts w:ascii="Arial" w:cs="Arial" w:eastAsia="Arial" w:hAnsi="Arial"/>
                <w:sz w:val="20"/>
                <w:szCs w:val="20"/>
                <w:b w:val="1"/>
                <w:bCs w:val="1"/>
                <w:color w:val="231F20"/>
              </w:rPr>
              <w:t>December 31,</w:t>
            </w:r>
          </w:p>
        </w:tc>
      </w:tr>
      <w:tr>
        <w:trPr>
          <w:trHeight w:val="248"/>
        </w:trPr>
        <w:tc>
          <w:tcPr>
            <w:tcW w:w="6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325"/>
              <w:spacing w:after="0"/>
              <w:rPr>
                <w:sz w:val="20"/>
                <w:szCs w:val="20"/>
                <w:color w:val="auto"/>
              </w:rPr>
            </w:pPr>
            <w:r>
              <w:rPr>
                <w:rFonts w:ascii="Arial" w:cs="Arial" w:eastAsia="Arial" w:hAnsi="Arial"/>
                <w:sz w:val="20"/>
                <w:szCs w:val="20"/>
                <w:b w:val="1"/>
                <w:bCs w:val="1"/>
                <w:color w:val="231F20"/>
              </w:rPr>
              <w:t>2025</w:t>
            </w:r>
          </w:p>
        </w:tc>
        <w:tc>
          <w:tcPr>
            <w:tcW w:w="20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320"/>
              <w:spacing w:after="0" w:line="228" w:lineRule="exact"/>
              <w:rPr>
                <w:sz w:val="20"/>
                <w:szCs w:val="20"/>
                <w:color w:val="auto"/>
              </w:rPr>
            </w:pPr>
            <w:r>
              <w:rPr>
                <w:rFonts w:ascii="Arial" w:cs="Arial" w:eastAsia="Arial" w:hAnsi="Arial"/>
                <w:sz w:val="20"/>
                <w:szCs w:val="20"/>
                <w:b w:val="1"/>
                <w:bCs w:val="1"/>
                <w:color w:val="231F20"/>
              </w:rPr>
              <w:t>2024</w:t>
            </w:r>
          </w:p>
        </w:tc>
      </w:tr>
      <w:tr>
        <w:trPr>
          <w:trHeight w:val="192"/>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6"/>
                <w:szCs w:val="16"/>
                <w:color w:val="231F20"/>
              </w:rPr>
              <w:t>(in millions)</w:t>
            </w:r>
          </w:p>
        </w:tc>
        <w:tc>
          <w:tcPr>
            <w:tcW w:w="940" w:type="dxa"/>
            <w:vAlign w:val="bottom"/>
          </w:tcPr>
          <w:p>
            <w:pPr>
              <w:spacing w:after="0"/>
              <w:rPr>
                <w:sz w:val="16"/>
                <w:szCs w:val="16"/>
                <w:color w:val="auto"/>
              </w:rPr>
            </w:pPr>
          </w:p>
        </w:tc>
      </w:tr>
      <w:tr>
        <w:trPr>
          <w:trHeight w:val="255"/>
        </w:trPr>
        <w:tc>
          <w:tcPr>
            <w:tcW w:w="6220" w:type="dxa"/>
            <w:vAlign w:val="bottom"/>
          </w:tcPr>
          <w:p>
            <w:pPr>
              <w:spacing w:after="0" w:line="255" w:lineRule="exact"/>
              <w:rPr>
                <w:sz w:val="20"/>
                <w:szCs w:val="20"/>
                <w:color w:val="auto"/>
              </w:rPr>
            </w:pPr>
            <w:r>
              <w:rPr>
                <w:rFonts w:ascii="Arial" w:cs="Arial" w:eastAsia="Arial" w:hAnsi="Arial"/>
                <w:sz w:val="20"/>
                <w:szCs w:val="20"/>
                <w:color w:val="231F20"/>
                <w:w w:val="97"/>
              </w:rPr>
              <w:t>Receivables from affiliate</w:t>
            </w:r>
            <w:r>
              <w:rPr>
                <w:rFonts w:ascii="Arial" w:cs="Arial" w:eastAsia="Arial" w:hAnsi="Arial"/>
                <w:sz w:val="26"/>
                <w:szCs w:val="26"/>
                <w:color w:val="231F20"/>
                <w:w w:val="97"/>
                <w:vertAlign w:val="superscript"/>
              </w:rPr>
              <w:t>(a)</w:t>
            </w:r>
            <w:r>
              <w:rPr>
                <w:rFonts w:ascii="Arial" w:cs="Arial" w:eastAsia="Arial" w:hAnsi="Arial"/>
                <w:sz w:val="20"/>
                <w:szCs w:val="20"/>
                <w:color w:val="231F20"/>
                <w:w w:val="97"/>
              </w:rPr>
              <w:t xml:space="preserve"> . . . . . . . . . . . . . . . . . . . . . . . . . . . . . . . . . . .</w:t>
            </w:r>
          </w:p>
        </w:tc>
        <w:tc>
          <w:tcPr>
            <w:tcW w:w="42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980" w:type="dxa"/>
            <w:vAlign w:val="bottom"/>
          </w:tcPr>
          <w:p>
            <w:pPr>
              <w:jc w:val="right"/>
              <w:spacing w:after="0"/>
              <w:rPr>
                <w:sz w:val="20"/>
                <w:szCs w:val="20"/>
                <w:color w:val="auto"/>
              </w:rPr>
            </w:pPr>
            <w:r>
              <w:rPr>
                <w:rFonts w:ascii="Arial" w:cs="Arial" w:eastAsia="Arial" w:hAnsi="Arial"/>
                <w:sz w:val="20"/>
                <w:szCs w:val="20"/>
                <w:color w:val="231F20"/>
              </w:rPr>
              <w:t>14</w:t>
            </w:r>
          </w:p>
        </w:tc>
        <w:tc>
          <w:tcPr>
            <w:tcW w:w="56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46</w:t>
            </w:r>
          </w:p>
        </w:tc>
      </w:tr>
      <w:tr>
        <w:trPr>
          <w:trHeight w:val="299"/>
        </w:trPr>
        <w:tc>
          <w:tcPr>
            <w:tcW w:w="6220" w:type="dxa"/>
            <w:vAlign w:val="bottom"/>
          </w:tcPr>
          <w:p>
            <w:pPr>
              <w:spacing w:after="0"/>
              <w:rPr>
                <w:sz w:val="20"/>
                <w:szCs w:val="20"/>
                <w:color w:val="auto"/>
              </w:rPr>
            </w:pPr>
            <w:r>
              <w:rPr>
                <w:rFonts w:ascii="Arial" w:cs="Arial" w:eastAsia="Arial" w:hAnsi="Arial"/>
                <w:sz w:val="20"/>
                <w:szCs w:val="20"/>
                <w:color w:val="231F20"/>
                <w:w w:val="97"/>
              </w:rPr>
              <w:t>Other long-term liabilities</w:t>
            </w:r>
            <w:r>
              <w:rPr>
                <w:rFonts w:ascii="Arial" w:cs="Arial" w:eastAsia="Arial" w:hAnsi="Arial"/>
                <w:sz w:val="26"/>
                <w:szCs w:val="26"/>
                <w:color w:val="231F20"/>
                <w:w w:val="97"/>
                <w:vertAlign w:val="superscript"/>
              </w:rPr>
              <w:t>(b)</w:t>
            </w:r>
            <w:r>
              <w:rPr>
                <w:rFonts w:ascii="Arial" w:cs="Arial" w:eastAsia="Arial" w:hAnsi="Arial"/>
                <w:sz w:val="20"/>
                <w:szCs w:val="20"/>
                <w:color w:val="231F20"/>
                <w:w w:val="97"/>
              </w:rPr>
              <w:t xml:space="preserve">  . . . . . . . . . . . . . . . . . . . . . . . . . . . . . . . . . . .</w:t>
            </w:r>
          </w:p>
        </w:tc>
        <w:tc>
          <w:tcPr>
            <w:tcW w:w="420" w:type="dxa"/>
            <w:vAlign w:val="bottom"/>
            <w:gridSpan w:val="2"/>
          </w:tcPr>
          <w:p>
            <w:pPr>
              <w:jc w:val="right"/>
              <w:ind w:right="120"/>
              <w:spacing w:after="0" w:line="223" w:lineRule="exact"/>
              <w:rPr>
                <w:sz w:val="20"/>
                <w:szCs w:val="20"/>
                <w:color w:val="auto"/>
              </w:rPr>
            </w:pPr>
            <w:r>
              <w:rPr>
                <w:rFonts w:ascii="Arial" w:cs="Arial" w:eastAsia="Arial" w:hAnsi="Arial"/>
                <w:sz w:val="20"/>
                <w:szCs w:val="20"/>
                <w:color w:val="231F20"/>
              </w:rPr>
              <w:t>$</w:t>
            </w:r>
          </w:p>
        </w:tc>
        <w:tc>
          <w:tcPr>
            <w:tcW w:w="980" w:type="dxa"/>
            <w:vAlign w:val="bottom"/>
          </w:tcPr>
          <w:p>
            <w:pPr>
              <w:jc w:val="right"/>
              <w:spacing w:after="0" w:line="223" w:lineRule="exact"/>
              <w:rPr>
                <w:sz w:val="20"/>
                <w:szCs w:val="20"/>
                <w:color w:val="auto"/>
              </w:rPr>
            </w:pPr>
            <w:r>
              <w:rPr>
                <w:rFonts w:ascii="Arial" w:cs="Arial" w:eastAsia="Arial" w:hAnsi="Arial"/>
                <w:sz w:val="20"/>
                <w:szCs w:val="20"/>
                <w:color w:val="231F20"/>
              </w:rPr>
              <w:t>117</w:t>
            </w:r>
          </w:p>
        </w:tc>
        <w:tc>
          <w:tcPr>
            <w:tcW w:w="560" w:type="dxa"/>
            <w:vAlign w:val="bottom"/>
            <w:gridSpan w:val="2"/>
          </w:tcPr>
          <w:p>
            <w:pPr>
              <w:jc w:val="right"/>
              <w:ind w:right="160"/>
              <w:spacing w:after="0" w:line="223" w:lineRule="exact"/>
              <w:rPr>
                <w:sz w:val="20"/>
                <w:szCs w:val="20"/>
                <w:color w:val="auto"/>
              </w:rPr>
            </w:pPr>
            <w:r>
              <w:rPr>
                <w:rFonts w:ascii="Arial" w:cs="Arial" w:eastAsia="Arial" w:hAnsi="Arial"/>
                <w:sz w:val="20"/>
                <w:szCs w:val="20"/>
                <w:color w:val="231F20"/>
              </w:rPr>
              <w:t>$</w:t>
            </w:r>
          </w:p>
        </w:tc>
        <w:tc>
          <w:tcPr>
            <w:tcW w:w="940" w:type="dxa"/>
            <w:vAlign w:val="bottom"/>
          </w:tcPr>
          <w:p>
            <w:pPr>
              <w:jc w:val="right"/>
              <w:spacing w:after="0" w:line="223" w:lineRule="exact"/>
              <w:rPr>
                <w:sz w:val="20"/>
                <w:szCs w:val="20"/>
                <w:color w:val="auto"/>
              </w:rPr>
            </w:pPr>
            <w:r>
              <w:rPr>
                <w:rFonts w:ascii="Arial" w:cs="Arial" w:eastAsia="Arial" w:hAnsi="Arial"/>
                <w:sz w:val="20"/>
                <w:szCs w:val="20"/>
                <w:color w:val="231F20"/>
              </w:rPr>
              <w:t>107</w:t>
            </w:r>
          </w:p>
        </w:tc>
      </w:tr>
    </w:tbl>
    <w:p>
      <w:pPr>
        <w:spacing w:after="0" w:line="29" w:lineRule="exact"/>
        <w:rPr>
          <w:sz w:val="20"/>
          <w:szCs w:val="20"/>
          <w:color w:val="auto"/>
        </w:rPr>
      </w:pPr>
    </w:p>
    <w:p>
      <w:pPr>
        <w:ind w:left="320" w:right="20" w:hanging="320"/>
        <w:spacing w:after="0" w:line="258" w:lineRule="auto"/>
        <w:tabs>
          <w:tab w:leader="none" w:pos="320" w:val="left"/>
        </w:tabs>
        <w:numPr>
          <w:ilvl w:val="0"/>
          <w:numId w:val="63"/>
        </w:numPr>
        <w:rPr>
          <w:rFonts w:ascii="Arial" w:cs="Arial" w:eastAsia="Arial" w:hAnsi="Arial"/>
          <w:sz w:val="16"/>
          <w:szCs w:val="16"/>
          <w:color w:val="231F20"/>
        </w:rPr>
      </w:pPr>
      <w:r>
        <w:rPr>
          <w:rFonts w:ascii="Arial" w:cs="Arial" w:eastAsia="Arial" w:hAnsi="Arial"/>
          <w:sz w:val="16"/>
          <w:szCs w:val="16"/>
          <w:color w:val="231F20"/>
        </w:rPr>
        <w:t>At December 31, 2025, the amount of $14 million includes the remaining $8 million of Brookfield’s first and second installments of their initial investment which is available to us and $6 million related to the Master Service Agreement (MSA) and vendor reimbursements. At December 31, 2024, the amount of $46 million includes $43 million remaining of Brookfield’s initial contribution available to us and $3 million related to the MSA and vendor reimbursements.</w:t>
      </w:r>
    </w:p>
    <w:p>
      <w:pPr>
        <w:spacing w:after="0" w:line="3" w:lineRule="exact"/>
        <w:rPr>
          <w:rFonts w:ascii="Arial" w:cs="Arial" w:eastAsia="Arial" w:hAnsi="Arial"/>
          <w:sz w:val="16"/>
          <w:szCs w:val="16"/>
          <w:color w:val="231F20"/>
        </w:rPr>
      </w:pPr>
    </w:p>
    <w:p>
      <w:pPr>
        <w:ind w:left="320" w:hanging="320"/>
        <w:spacing w:after="0"/>
        <w:tabs>
          <w:tab w:leader="none" w:pos="320" w:val="left"/>
        </w:tabs>
        <w:numPr>
          <w:ilvl w:val="0"/>
          <w:numId w:val="63"/>
        </w:numPr>
        <w:rPr>
          <w:rFonts w:ascii="Arial" w:cs="Arial" w:eastAsia="Arial" w:hAnsi="Arial"/>
          <w:sz w:val="16"/>
          <w:szCs w:val="16"/>
          <w:color w:val="231F20"/>
        </w:rPr>
      </w:pPr>
      <w:r>
        <w:rPr>
          <w:rFonts w:ascii="Arial" w:cs="Arial" w:eastAsia="Arial" w:hAnsi="Arial"/>
          <w:sz w:val="16"/>
          <w:szCs w:val="16"/>
          <w:color w:val="231F20"/>
        </w:rPr>
        <w:t>Other long-term liabilities include the contingent liability related to the Carbon TerraVault JV put and call rights.</w:t>
      </w:r>
    </w:p>
    <w:p>
      <w:pPr>
        <w:spacing w:after="0" w:line="178"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We have a Management Services Agreement (MSA) with the Carbon TerraVault JV whereby we provide administrative, operational and commercial services under a cost-plus arrangement. Services may be supplemented by using third parties and payments to us under the MSA are limited to the amounts in an approved budget. The MSA may be terminated by mutual agreement of the parties, among other events. For the years ended December 31, 2025, 2024 and 2023 we invoiced $11 million, $9 million and $8 million, respectively, to the Carbon TerraVault JV under the MSA for back-office, operational and commercial services. These amounts reduced our carbon management segment expenses.</w:t>
      </w:r>
    </w:p>
    <w:p>
      <w:pPr>
        <w:spacing w:after="0" w:line="164" w:lineRule="exact"/>
        <w:rPr>
          <w:sz w:val="20"/>
          <w:szCs w:val="20"/>
          <w:color w:val="auto"/>
        </w:rPr>
      </w:pPr>
    </w:p>
    <w:p>
      <w:pPr>
        <w:ind w:firstLine="300"/>
        <w:spacing w:after="0" w:line="232" w:lineRule="auto"/>
        <w:rPr>
          <w:sz w:val="20"/>
          <w:szCs w:val="20"/>
          <w:color w:val="auto"/>
        </w:rPr>
      </w:pPr>
      <w:r>
        <w:rPr>
          <w:rFonts w:ascii="Arial" w:cs="Arial" w:eastAsia="Arial" w:hAnsi="Arial"/>
          <w:sz w:val="20"/>
          <w:szCs w:val="20"/>
          <w:color w:val="231F20"/>
        </w:rPr>
        <w:t>We also completed well abandonment work at our Elk Hills field as part of the permitting process for injection of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at the 26R reservoir. During the years ended December 31, 2025 and 2024, we performed abandonment work and sought reimbursement in the amounts of $9 million and $14 million, respectively, from the Carbon TerraVault JV. We have recorded these reimbursements as a reduction to property, plant and equipment on our consolidated balance sheets.</w:t>
      </w:r>
    </w:p>
    <w:p>
      <w:pPr>
        <w:spacing w:after="0" w:line="175"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231F20"/>
        </w:rPr>
        <w:t>The underlying net assets of the Carbon TerraVault JV were $367 million and $309 million as of December 31, 2025 and 2024, respectively, which includes cash on hand and PP&amp;E, net of current liabilities. The difference between the carrying value of our investment of $57 million and $27 million at December 31, 2025 and 2024, respectively, and the carrying value of the underlying net assets of the joint venture relates to our accounting for the contribution of the 26R reservoir as a financing arrangement due to the put and call features of the joint venture. The joint venture recognized the contributions by the members at fair value.</w:t>
      </w:r>
    </w:p>
    <w:p>
      <w:pPr>
        <w:sectPr>
          <w:pgSz w:w="11880" w:h="15480" w:orient="portrait"/>
          <w:cols w:equalWidth="0" w:num="1">
            <w:col w:w="9120"/>
          </w:cols>
          <w:pgMar w:left="1380" w:top="1316" w:right="1380" w:bottom="66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112</w:t>
      </w:r>
    </w:p>
    <w:p>
      <w:pPr>
        <w:sectPr>
          <w:pgSz w:w="11880" w:h="15480" w:orient="portrait"/>
          <w:cols w:equalWidth="0" w:num="1">
            <w:col w:w="9120"/>
          </w:cols>
          <w:pgMar w:left="1380" w:top="1316" w:right="1380" w:bottom="660"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i w:val="1"/>
          <w:iCs w:val="1"/>
          <w:color w:val="231F20"/>
        </w:rPr>
        <w:t>Midway Sunset Cogeneration Company</w:t>
      </w:r>
    </w:p>
    <w:p>
      <w:pPr>
        <w:spacing w:after="0" w:line="247"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In July 2024, our merger with Aera led to our partial ownership of Midway Sunset Cogeneration Company, which is a partnership designed to own, manage, and operate a cogeneration facility in Kern County, California. We hold a 50% interest in Midway Sunset Cogeneration Company and San Joaquin Energy Company, a subsidiary of NRG Energy, Inc. (NRG), holds a 50% interest. We determined that Midway Sunset Cogeneration Company is a voting interest entity, where we share decision-making power with San Joaquin Energy Company on all matters that most significantly impact the economic performance of Midway Sunset Cogeneration Company. Therefore, we account for our investment in Midway Sunset Cogeneration Company under the equity method of accounting. We recorded our investment at a fair value of $52 million which was $41 million in excess of Aera’s investment in the underlying assets of the partnership. This difference is associated with PP&amp;E and we expect this amount will reverse over the remaining useful life of the power plant. There are no significant transactions between us and Midway Sunset Cogeneration Company.</w:t>
      </w:r>
    </w:p>
    <w:p>
      <w:pPr>
        <w:spacing w:after="0" w:line="244"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231F20"/>
        </w:rPr>
        <w:t>NOTE 5</w:t>
      </w:r>
      <w:r>
        <w:rPr>
          <w:sz w:val="20"/>
          <w:szCs w:val="20"/>
          <w:color w:val="auto"/>
        </w:rPr>
        <w:tab/>
      </w:r>
      <w:r>
        <w:rPr>
          <w:rFonts w:ascii="Arial" w:cs="Arial" w:eastAsia="Arial" w:hAnsi="Arial"/>
          <w:sz w:val="19"/>
          <w:szCs w:val="19"/>
          <w:b w:val="1"/>
          <w:bCs w:val="1"/>
          <w:color w:val="231F20"/>
        </w:rPr>
        <w:t>DEBT</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As of December 31, 2025 and 2024, our long-term debt consisted of the following:</w:t>
      </w:r>
    </w:p>
    <w:p>
      <w:pPr>
        <w:spacing w:after="0" w:line="204"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231F20"/>
        </w:rPr>
        <w:t>December 31, December 31,</w:t>
      </w:r>
    </w:p>
    <w:tbl>
      <w:tblPr>
        <w:tblLayout w:type="fixed"/>
        <w:tblInd w:w="180" w:type="dxa"/>
        <w:tblCellMar>
          <w:top w:w="0" w:type="dxa"/>
          <w:left w:w="0" w:type="dxa"/>
          <w:bottom w:w="0" w:type="dxa"/>
          <w:right w:w="0" w:type="dxa"/>
        </w:tblCellMar>
      </w:tblPr>
      <w:tr>
        <w:trPr>
          <w:trHeight w:val="198"/>
        </w:trPr>
        <w:tc>
          <w:tcPr>
            <w:tcW w:w="28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ind w:right="211"/>
              <w:spacing w:after="0" w:line="198" w:lineRule="exact"/>
              <w:rPr>
                <w:sz w:val="20"/>
                <w:szCs w:val="20"/>
                <w:color w:val="auto"/>
              </w:rPr>
            </w:pPr>
            <w:r>
              <w:rPr>
                <w:rFonts w:ascii="Arial" w:cs="Arial" w:eastAsia="Arial" w:hAnsi="Arial"/>
                <w:sz w:val="18"/>
                <w:szCs w:val="18"/>
                <w:b w:val="1"/>
                <w:bCs w:val="1"/>
                <w:color w:val="231F20"/>
              </w:rPr>
              <w:t>2025</w:t>
            </w:r>
          </w:p>
        </w:tc>
        <w:tc>
          <w:tcPr>
            <w:tcW w:w="16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ind w:right="210"/>
              <w:spacing w:after="0" w:line="198" w:lineRule="exact"/>
              <w:rPr>
                <w:sz w:val="20"/>
                <w:szCs w:val="20"/>
                <w:color w:val="auto"/>
              </w:rPr>
            </w:pPr>
            <w:r>
              <w:rPr>
                <w:rFonts w:ascii="Arial" w:cs="Arial" w:eastAsia="Arial" w:hAnsi="Arial"/>
                <w:sz w:val="18"/>
                <w:szCs w:val="18"/>
                <w:b w:val="1"/>
                <w:bCs w:val="1"/>
                <w:color w:val="231F20"/>
              </w:rPr>
              <w:t>2024</w:t>
            </w:r>
          </w:p>
        </w:tc>
        <w:tc>
          <w:tcPr>
            <w:tcW w:w="16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Borders>
              <w:bottom w:val="single" w:sz="8" w:color="231F20"/>
            </w:tcBorders>
          </w:tcPr>
          <w:p>
            <w:pPr>
              <w:jc w:val="center"/>
              <w:spacing w:after="0" w:line="198" w:lineRule="exact"/>
              <w:rPr>
                <w:sz w:val="20"/>
                <w:szCs w:val="20"/>
                <w:color w:val="auto"/>
              </w:rPr>
            </w:pPr>
            <w:r>
              <w:rPr>
                <w:rFonts w:ascii="Arial" w:cs="Arial" w:eastAsia="Arial" w:hAnsi="Arial"/>
                <w:sz w:val="18"/>
                <w:szCs w:val="18"/>
                <w:b w:val="1"/>
                <w:bCs w:val="1"/>
                <w:color w:val="231F20"/>
                <w:w w:val="99"/>
              </w:rPr>
              <w:t>Interest Rate</w:t>
            </w:r>
          </w:p>
        </w:tc>
        <w:tc>
          <w:tcPr>
            <w:tcW w:w="80" w:type="dxa"/>
            <w:vAlign w:val="bottom"/>
          </w:tcPr>
          <w:p>
            <w:pPr>
              <w:spacing w:after="0"/>
              <w:rPr>
                <w:sz w:val="17"/>
                <w:szCs w:val="17"/>
                <w:color w:val="auto"/>
              </w:rPr>
            </w:pPr>
          </w:p>
        </w:tc>
        <w:tc>
          <w:tcPr>
            <w:tcW w:w="1380" w:type="dxa"/>
            <w:vAlign w:val="bottom"/>
            <w:tcBorders>
              <w:bottom w:val="single" w:sz="8" w:color="231F20"/>
            </w:tcBorders>
          </w:tcPr>
          <w:p>
            <w:pPr>
              <w:jc w:val="center"/>
              <w:spacing w:after="0" w:line="198" w:lineRule="exact"/>
              <w:rPr>
                <w:sz w:val="20"/>
                <w:szCs w:val="20"/>
                <w:color w:val="auto"/>
              </w:rPr>
            </w:pPr>
            <w:r>
              <w:rPr>
                <w:rFonts w:ascii="Arial" w:cs="Arial" w:eastAsia="Arial" w:hAnsi="Arial"/>
                <w:sz w:val="18"/>
                <w:szCs w:val="18"/>
                <w:b w:val="1"/>
                <w:bCs w:val="1"/>
                <w:color w:val="231F20"/>
                <w:w w:val="99"/>
              </w:rPr>
              <w:t>Maturity</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5"/>
          </w:tcPr>
          <w:p>
            <w:pPr>
              <w:jc w:val="right"/>
              <w:ind w:right="40"/>
              <w:spacing w:after="0"/>
              <w:rPr>
                <w:sz w:val="20"/>
                <w:szCs w:val="20"/>
                <w:color w:val="auto"/>
              </w:rPr>
            </w:pPr>
            <w:r>
              <w:rPr>
                <w:rFonts w:ascii="Arial" w:cs="Arial" w:eastAsia="Arial" w:hAnsi="Arial"/>
                <w:sz w:val="16"/>
                <w:szCs w:val="16"/>
                <w:color w:val="231F20"/>
              </w:rPr>
              <w:t>(in millions)</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20" w:type="dxa"/>
            <w:vAlign w:val="bottom"/>
          </w:tcPr>
          <w:p>
            <w:pPr>
              <w:jc w:val="right"/>
              <w:spacing w:after="0"/>
              <w:rPr>
                <w:sz w:val="20"/>
                <w:szCs w:val="20"/>
                <w:color w:val="auto"/>
              </w:rPr>
            </w:pPr>
            <w:r>
              <w:rPr>
                <w:rFonts w:ascii="Arial" w:cs="Arial" w:eastAsia="Arial" w:hAnsi="Arial"/>
                <w:sz w:val="18"/>
                <w:szCs w:val="18"/>
                <w:color w:val="231F20"/>
                <w:w w:val="99"/>
              </w:rPr>
              <w:t>Revolving Credit Facility . . . . . . . .</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231F20"/>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3440" w:type="dxa"/>
            <w:vAlign w:val="bottom"/>
            <w:gridSpan w:val="4"/>
          </w:tcPr>
          <w:p>
            <w:pPr>
              <w:ind w:left="20"/>
              <w:spacing w:after="0"/>
              <w:rPr>
                <w:sz w:val="20"/>
                <w:szCs w:val="20"/>
                <w:color w:val="auto"/>
              </w:rPr>
            </w:pPr>
            <w:r>
              <w:rPr>
                <w:rFonts w:ascii="Arial" w:cs="Arial" w:eastAsia="Arial" w:hAnsi="Arial"/>
                <w:sz w:val="18"/>
                <w:szCs w:val="18"/>
                <w:color w:val="231F20"/>
              </w:rPr>
              <w:t>SOFR plus 2.50%-3.50% March 16, 2029</w:t>
            </w:r>
          </w:p>
        </w:tc>
        <w:tc>
          <w:tcPr>
            <w:tcW w:w="0" w:type="dxa"/>
            <w:vAlign w:val="bottom"/>
          </w:tcPr>
          <w:p>
            <w:pPr>
              <w:spacing w:after="0"/>
              <w:rPr>
                <w:sz w:val="1"/>
                <w:szCs w:val="1"/>
                <w:color w:val="auto"/>
              </w:rPr>
            </w:pPr>
          </w:p>
        </w:tc>
      </w:tr>
      <w:tr>
        <w:trPr>
          <w:trHeight w:val="220"/>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231F20"/>
                <w:w w:val="99"/>
              </w:rPr>
              <w:t>ABR plus 1.50%-2.50%</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jc w:val="right"/>
              <w:spacing w:after="0"/>
              <w:rPr>
                <w:sz w:val="20"/>
                <w:szCs w:val="20"/>
                <w:color w:val="auto"/>
              </w:rPr>
            </w:pPr>
            <w:r>
              <w:rPr>
                <w:rFonts w:ascii="Arial" w:cs="Arial" w:eastAsia="Arial" w:hAnsi="Arial"/>
                <w:sz w:val="18"/>
                <w:szCs w:val="18"/>
                <w:color w:val="231F20"/>
                <w:w w:val="97"/>
              </w:rPr>
              <w:t>2026 Senior Notes . . . . . . . . . . . .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245</w:t>
            </w:r>
          </w:p>
        </w:tc>
        <w:tc>
          <w:tcPr>
            <w:tcW w:w="16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231F20"/>
                <w:w w:val="98"/>
              </w:rPr>
              <w:t>7.125%</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jc w:val="right"/>
              <w:spacing w:after="0"/>
              <w:rPr>
                <w:sz w:val="20"/>
                <w:szCs w:val="20"/>
                <w:color w:val="auto"/>
              </w:rPr>
            </w:pPr>
            <w:r>
              <w:rPr>
                <w:rFonts w:ascii="Arial" w:cs="Arial" w:eastAsia="Arial" w:hAnsi="Arial"/>
                <w:sz w:val="18"/>
                <w:szCs w:val="18"/>
                <w:color w:val="231F20"/>
                <w:w w:val="97"/>
              </w:rPr>
              <w:t>2029 Senior Notes . . . . . . . . . . . .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900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900</w:t>
            </w:r>
          </w:p>
        </w:tc>
        <w:tc>
          <w:tcPr>
            <w:tcW w:w="160" w:type="dxa"/>
            <w:vAlign w:val="bottom"/>
          </w:tcPr>
          <w:p>
            <w:pPr>
              <w:spacing w:after="0"/>
              <w:rPr>
                <w:sz w:val="19"/>
                <w:szCs w:val="19"/>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231F20"/>
                <w:w w:val="98"/>
              </w:rPr>
              <w:t>8.250%</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231F20"/>
                <w:w w:val="99"/>
              </w:rPr>
              <w:t>June 15, 2029</w:t>
            </w:r>
          </w:p>
        </w:tc>
        <w:tc>
          <w:tcPr>
            <w:tcW w:w="0" w:type="dxa"/>
            <w:vAlign w:val="bottom"/>
          </w:tcPr>
          <w:p>
            <w:pPr>
              <w:spacing w:after="0"/>
              <w:rPr>
                <w:sz w:val="1"/>
                <w:szCs w:val="1"/>
                <w:color w:val="auto"/>
              </w:rPr>
            </w:pPr>
          </w:p>
        </w:tc>
      </w:tr>
      <w:tr>
        <w:trPr>
          <w:trHeight w:val="220"/>
        </w:trPr>
        <w:tc>
          <w:tcPr>
            <w:tcW w:w="2820" w:type="dxa"/>
            <w:vAlign w:val="bottom"/>
          </w:tcPr>
          <w:p>
            <w:pPr>
              <w:jc w:val="right"/>
              <w:spacing w:after="0"/>
              <w:rPr>
                <w:sz w:val="20"/>
                <w:szCs w:val="20"/>
                <w:color w:val="auto"/>
              </w:rPr>
            </w:pPr>
            <w:r>
              <w:rPr>
                <w:rFonts w:ascii="Arial" w:cs="Arial" w:eastAsia="Arial" w:hAnsi="Arial"/>
                <w:sz w:val="18"/>
                <w:szCs w:val="18"/>
                <w:color w:val="231F20"/>
                <w:w w:val="97"/>
              </w:rPr>
              <w:t>2034 Senior Notes . . . . . . . . . . . .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400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c>
          <w:tcPr>
            <w:tcW w:w="1980" w:type="dxa"/>
            <w:vAlign w:val="bottom"/>
            <w:gridSpan w:val="2"/>
          </w:tcPr>
          <w:p>
            <w:pPr>
              <w:jc w:val="center"/>
              <w:spacing w:after="0"/>
              <w:rPr>
                <w:sz w:val="20"/>
                <w:szCs w:val="20"/>
                <w:color w:val="auto"/>
              </w:rPr>
            </w:pPr>
            <w:r>
              <w:rPr>
                <w:rFonts w:ascii="Arial" w:cs="Arial" w:eastAsia="Arial" w:hAnsi="Arial"/>
                <w:sz w:val="18"/>
                <w:szCs w:val="18"/>
                <w:color w:val="231F20"/>
                <w:w w:val="98"/>
              </w:rPr>
              <w:t>7.000%</w:t>
            </w:r>
          </w:p>
        </w:tc>
        <w:tc>
          <w:tcPr>
            <w:tcW w:w="1460" w:type="dxa"/>
            <w:vAlign w:val="bottom"/>
            <w:gridSpan w:val="2"/>
          </w:tcPr>
          <w:p>
            <w:pPr>
              <w:jc w:val="center"/>
              <w:spacing w:after="0"/>
              <w:rPr>
                <w:sz w:val="20"/>
                <w:szCs w:val="20"/>
                <w:color w:val="auto"/>
              </w:rPr>
            </w:pPr>
            <w:r>
              <w:rPr>
                <w:rFonts w:ascii="Arial" w:cs="Arial" w:eastAsia="Arial" w:hAnsi="Arial"/>
                <w:sz w:val="18"/>
                <w:szCs w:val="18"/>
                <w:color w:val="231F20"/>
                <w:w w:val="99"/>
              </w:rPr>
              <w:t>January 15, 2034</w:t>
            </w:r>
          </w:p>
        </w:tc>
        <w:tc>
          <w:tcPr>
            <w:tcW w:w="0" w:type="dxa"/>
            <w:vAlign w:val="bottom"/>
          </w:tcPr>
          <w:p>
            <w:pPr>
              <w:spacing w:after="0"/>
              <w:rPr>
                <w:sz w:val="1"/>
                <w:szCs w:val="1"/>
                <w:color w:val="auto"/>
              </w:rPr>
            </w:pPr>
          </w:p>
        </w:tc>
      </w:tr>
      <w:tr>
        <w:trPr>
          <w:trHeight w:val="34"/>
        </w:trPr>
        <w:tc>
          <w:tcPr>
            <w:tcW w:w="2820" w:type="dxa"/>
            <w:vAlign w:val="bottom"/>
            <w:vMerge w:val="restart"/>
          </w:tcPr>
          <w:p>
            <w:pPr>
              <w:jc w:val="right"/>
              <w:spacing w:after="0"/>
              <w:rPr>
                <w:sz w:val="20"/>
                <w:szCs w:val="20"/>
                <w:color w:val="auto"/>
              </w:rPr>
            </w:pPr>
            <w:r>
              <w:rPr>
                <w:rFonts w:ascii="Arial" w:cs="Arial" w:eastAsia="Arial" w:hAnsi="Arial"/>
                <w:sz w:val="18"/>
                <w:szCs w:val="18"/>
                <w:b w:val="1"/>
                <w:bCs w:val="1"/>
                <w:color w:val="231F20"/>
              </w:rPr>
              <w:t xml:space="preserve">Principal amount </w:t>
            </w:r>
            <w:r>
              <w:rPr>
                <w:rFonts w:ascii="Arial" w:cs="Arial" w:eastAsia="Arial" w:hAnsi="Arial"/>
                <w:sz w:val="18"/>
                <w:szCs w:val="18"/>
                <w:color w:val="231F20"/>
              </w:rPr>
              <w:t>. . . . . . . . . . .</w:t>
            </w:r>
          </w:p>
        </w:tc>
        <w:tc>
          <w:tcPr>
            <w:tcW w:w="1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8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1,300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1,145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jc w:val="right"/>
              <w:ind w:right="230"/>
              <w:spacing w:after="0"/>
              <w:rPr>
                <w:sz w:val="20"/>
                <w:szCs w:val="20"/>
                <w:color w:val="auto"/>
              </w:rPr>
            </w:pPr>
            <w:r>
              <w:rPr>
                <w:rFonts w:ascii="Arial" w:cs="Arial" w:eastAsia="Arial" w:hAnsi="Arial"/>
                <w:sz w:val="18"/>
                <w:szCs w:val="18"/>
                <w:color w:val="231F20"/>
                <w:w w:val="99"/>
              </w:rPr>
              <w:t>Unamortized debt discount and</w:t>
            </w:r>
          </w:p>
        </w:tc>
        <w:tc>
          <w:tcPr>
            <w:tcW w:w="1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8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20" w:type="dxa"/>
            <w:vAlign w:val="bottom"/>
          </w:tcPr>
          <w:p>
            <w:pPr>
              <w:jc w:val="right"/>
              <w:spacing w:after="0"/>
              <w:rPr>
                <w:sz w:val="20"/>
                <w:szCs w:val="20"/>
                <w:color w:val="auto"/>
              </w:rPr>
            </w:pPr>
            <w:r>
              <w:rPr>
                <w:rFonts w:ascii="Arial" w:cs="Arial" w:eastAsia="Arial" w:hAnsi="Arial"/>
                <w:sz w:val="18"/>
                <w:szCs w:val="18"/>
                <w:color w:val="231F20"/>
                <w:w w:val="97"/>
              </w:rPr>
              <w:t>issuance costs . . . . . . . . . . . . . . .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Pr>
          <w:p>
            <w:pPr>
              <w:jc w:val="right"/>
              <w:spacing w:after="0"/>
              <w:rPr>
                <w:sz w:val="20"/>
                <w:szCs w:val="20"/>
                <w:color w:val="auto"/>
              </w:rPr>
            </w:pPr>
            <w:r>
              <w:rPr>
                <w:rFonts w:ascii="Arial" w:cs="Arial" w:eastAsia="Arial" w:hAnsi="Arial"/>
                <w:sz w:val="18"/>
                <w:szCs w:val="18"/>
                <w:color w:val="231F20"/>
                <w:w w:val="98"/>
              </w:rPr>
              <w:t>Unamortized premium . . . . . . . . .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jc w:val="right"/>
              <w:spacing w:after="0"/>
              <w:rPr>
                <w:sz w:val="20"/>
                <w:szCs w:val="20"/>
                <w:color w:val="auto"/>
              </w:rPr>
            </w:pPr>
            <w:r>
              <w:rPr>
                <w:rFonts w:ascii="Arial" w:cs="Arial" w:eastAsia="Arial" w:hAnsi="Arial"/>
                <w:sz w:val="18"/>
                <w:szCs w:val="18"/>
                <w:b w:val="1"/>
                <w:bCs w:val="1"/>
                <w:color w:val="231F20"/>
              </w:rPr>
              <w:t xml:space="preserve">Long-term debt, net </w:t>
            </w:r>
            <w:r>
              <w:rPr>
                <w:rFonts w:ascii="Arial" w:cs="Arial" w:eastAsia="Arial" w:hAnsi="Arial"/>
                <w:sz w:val="18"/>
                <w:szCs w:val="18"/>
                <w:color w:val="231F20"/>
              </w:rPr>
              <w:t>. . . . . . . . .</w:t>
            </w:r>
          </w:p>
        </w:tc>
        <w:tc>
          <w:tcPr>
            <w:tcW w:w="1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820" w:type="dxa"/>
            <w:vAlign w:val="bottom"/>
            <w:vMerge w:val="continue"/>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1,283</w:t>
            </w:r>
          </w:p>
        </w:tc>
        <w:tc>
          <w:tcPr>
            <w:tcW w:w="160" w:type="dxa"/>
            <w:vAlign w:val="bottom"/>
          </w:tcPr>
          <w:p>
            <w:pPr>
              <w:spacing w:after="0"/>
              <w:rPr>
                <w:sz w:val="21"/>
                <w:szCs w:val="21"/>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1,132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Revolving Credit Facility</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On April 26, 2023, we entered into an Amended and Restated Credit Agreement (as amended,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restated supplemented or modified as of the date hereof, the Revolving Credit Facility) with Citibank,</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231F20"/>
        </w:rPr>
        <w:t>N.A., as administrative agent, and certain other lenders, which amended and restated in its entirety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prior credit agreement, dated October 27, 2020. As of December 31, 2025, our Revolving Credit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Facility consisted of a senior revolving loan facility with an aggregate commitment of $1.46 billion.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amount we are able to borrow under our Revolving Credit Facility is limited to the amount of these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commitments. Our Revolving Credit Facility also included a sub-limit of $300 million for the issuance of</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letters of credit. As of December 31, 2025, $176 million letters of credit were issued to support ordinary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course marketing, insurance, regulatory and other matters. As of December 31, 2025, we had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$1,284 million of availability on our Revolving Credit Facility after taking into account $176 million in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letters of credit outstanding. Our borrowing base of $1.5 billion is redetermined semi-annually and was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re-affirmed in October 2025 as part of our recent amendment.</w:t>
      </w:r>
    </w:p>
    <w:p>
      <w:pPr>
        <w:spacing w:after="0" w:line="249" w:lineRule="exact"/>
        <w:rPr>
          <w:sz w:val="20"/>
          <w:szCs w:val="20"/>
          <w:color w:val="auto"/>
        </w:rPr>
      </w:pPr>
    </w:p>
    <w:p>
      <w:pPr>
        <w:ind w:right="80" w:firstLine="300"/>
        <w:spacing w:after="0" w:line="245" w:lineRule="auto"/>
        <w:rPr>
          <w:sz w:val="20"/>
          <w:szCs w:val="20"/>
          <w:color w:val="auto"/>
        </w:rPr>
      </w:pPr>
      <w:r>
        <w:rPr>
          <w:rFonts w:ascii="Arial" w:cs="Arial" w:eastAsia="Arial" w:hAnsi="Arial"/>
          <w:sz w:val="20"/>
          <w:szCs w:val="20"/>
          <w:color w:val="231F20"/>
        </w:rPr>
        <w:t>The proceeds of all or a portion of the Revolving Credit Facility may be used for our working capital needs and for other purposes subject to meeting certain criteria.</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231F20"/>
        </w:rPr>
        <w:t xml:space="preserve">Security </w:t>
      </w:r>
      <w:r>
        <w:rPr>
          <w:rFonts w:ascii="Arial" w:cs="Arial" w:eastAsia="Arial" w:hAnsi="Arial"/>
          <w:sz w:val="20"/>
          <w:szCs w:val="20"/>
          <w:color w:val="231F20"/>
        </w:rPr>
        <w:t>– The lenders have a first-priority lien on a substantial majority of our assets.</w:t>
      </w:r>
    </w:p>
    <w:p>
      <w:pPr>
        <w:sectPr>
          <w:pgSz w:w="11880" w:h="15480" w:orient="portrait"/>
          <w:cols w:equalWidth="0" w:num="1">
            <w:col w:w="9120"/>
          </w:cols>
          <w:pgMar w:left="1380" w:top="1312" w:right="1380" w:bottom="66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113</w:t>
      </w:r>
    </w:p>
    <w:p>
      <w:pPr>
        <w:sectPr>
          <w:pgSz w:w="11880" w:h="15480" w:orient="portrait"/>
          <w:cols w:equalWidth="0" w:num="1">
            <w:col w:w="9120"/>
          </w:cols>
          <w:pgMar w:left="1380" w:top="1312" w:right="1380" w:bottom="660" w:gutter="0" w:footer="0" w:header="0"/>
          <w:type w:val="continuous"/>
        </w:sectPr>
      </w:pPr>
    </w:p>
    <w:bookmarkStart w:id="117" w:name="page118"/>
    <w:bookmarkEnd w:id="117"/>
    <w:p>
      <w:pPr>
        <w:ind w:right="80" w:firstLine="300"/>
        <w:spacing w:after="0" w:line="264" w:lineRule="auto"/>
        <w:rPr>
          <w:sz w:val="20"/>
          <w:szCs w:val="20"/>
          <w:color w:val="auto"/>
        </w:rPr>
      </w:pPr>
      <w:r>
        <w:rPr>
          <w:rFonts w:ascii="Arial" w:cs="Arial" w:eastAsia="Arial" w:hAnsi="Arial"/>
          <w:sz w:val="19"/>
          <w:szCs w:val="19"/>
          <w:i w:val="1"/>
          <w:iCs w:val="1"/>
          <w:color w:val="231F20"/>
        </w:rPr>
        <w:t xml:space="preserve">Interest Rate </w:t>
      </w:r>
      <w:r>
        <w:rPr>
          <w:rFonts w:ascii="Arial" w:cs="Arial" w:eastAsia="Arial" w:hAnsi="Arial"/>
          <w:sz w:val="19"/>
          <w:szCs w:val="19"/>
          <w:color w:val="231F20"/>
        </w:rPr>
        <w:t>– We can elect to borrow at either an adjusted SOFR rate or an alternate base rate</w:t>
      </w:r>
      <w:r>
        <w:rPr>
          <w:rFonts w:ascii="Arial" w:cs="Arial" w:eastAsia="Arial" w:hAnsi="Arial"/>
          <w:sz w:val="19"/>
          <w:szCs w:val="19"/>
          <w:i w:val="1"/>
          <w:iCs w:val="1"/>
          <w:color w:val="231F20"/>
        </w:rPr>
        <w:t xml:space="preserve"> </w:t>
      </w:r>
      <w:r>
        <w:rPr>
          <w:rFonts w:ascii="Arial" w:cs="Arial" w:eastAsia="Arial" w:hAnsi="Arial"/>
          <w:sz w:val="19"/>
          <w:szCs w:val="19"/>
          <w:color w:val="231F20"/>
        </w:rPr>
        <w:t>(ABR),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w:t>
      </w:r>
    </w:p>
    <w:p>
      <w:pPr>
        <w:spacing w:after="0" w:line="3" w:lineRule="exact"/>
        <w:rPr>
          <w:sz w:val="20"/>
          <w:szCs w:val="20"/>
          <w:color w:val="auto"/>
        </w:rPr>
      </w:pPr>
    </w:p>
    <w:p>
      <w:pPr>
        <w:jc w:val="both"/>
        <w:ind w:right="580"/>
        <w:spacing w:after="0" w:line="243" w:lineRule="auto"/>
        <w:tabs>
          <w:tab w:leader="none" w:pos="234" w:val="left"/>
        </w:tabs>
        <w:numPr>
          <w:ilvl w:val="0"/>
          <w:numId w:val="64"/>
        </w:numPr>
        <w:rPr>
          <w:rFonts w:ascii="Arial" w:cs="Arial" w:eastAsia="Arial" w:hAnsi="Arial"/>
          <w:sz w:val="20"/>
          <w:szCs w:val="20"/>
          <w:color w:val="231F20"/>
        </w:rPr>
      </w:pPr>
      <w:r>
        <w:rPr>
          <w:rFonts w:ascii="Arial" w:cs="Arial" w:eastAsia="Arial" w:hAnsi="Arial"/>
          <w:sz w:val="20"/>
          <w:szCs w:val="20"/>
          <w:color w:val="231F20"/>
        </w:rPr>
        <w:t>in the case of SOFR loans, 2.5% to 3.5% and (ii) in the case of ABR loans, 1.5% to 2.5%. The unused portion of the facility is subject to a commitment fee which will vary between 0.375% and</w:t>
      </w:r>
    </w:p>
    <w:p>
      <w:pPr>
        <w:spacing w:after="0" w:line="14" w:lineRule="exact"/>
        <w:rPr>
          <w:rFonts w:ascii="Arial" w:cs="Arial" w:eastAsia="Arial" w:hAnsi="Arial"/>
          <w:sz w:val="20"/>
          <w:szCs w:val="20"/>
          <w:color w:val="231F20"/>
        </w:rPr>
      </w:pPr>
    </w:p>
    <w:p>
      <w:pPr>
        <w:ind w:right="40"/>
        <w:spacing w:after="0" w:line="246" w:lineRule="auto"/>
        <w:rPr>
          <w:rFonts w:ascii="Arial" w:cs="Arial" w:eastAsia="Arial" w:hAnsi="Arial"/>
          <w:sz w:val="20"/>
          <w:szCs w:val="20"/>
          <w:color w:val="231F20"/>
        </w:rPr>
      </w:pPr>
      <w:r>
        <w:rPr>
          <w:rFonts w:ascii="Arial" w:cs="Arial" w:eastAsia="Arial" w:hAnsi="Arial"/>
          <w:sz w:val="20"/>
          <w:szCs w:val="20"/>
          <w:color w:val="231F20"/>
        </w:rPr>
        <w:t>0.50% per annum based on the borrowing base utilization. We also pay customary fees and expenses. Interest on ABR loans is payable quarterly in arrears. Interest on SOFR loans is payable at the end of each SOFR period, but not less than quarterly.</w:t>
      </w:r>
    </w:p>
    <w:p>
      <w:pPr>
        <w:spacing w:after="0" w:line="199" w:lineRule="exact"/>
        <w:rPr>
          <w:sz w:val="20"/>
          <w:szCs w:val="20"/>
          <w:color w:val="auto"/>
        </w:rPr>
      </w:pPr>
    </w:p>
    <w:p>
      <w:pPr>
        <w:ind w:right="440" w:firstLine="300"/>
        <w:spacing w:after="0" w:line="247" w:lineRule="auto"/>
        <w:rPr>
          <w:sz w:val="20"/>
          <w:szCs w:val="20"/>
          <w:color w:val="auto"/>
        </w:rPr>
      </w:pPr>
      <w:r>
        <w:rPr>
          <w:rFonts w:ascii="Arial" w:cs="Arial" w:eastAsia="Arial" w:hAnsi="Arial"/>
          <w:sz w:val="20"/>
          <w:szCs w:val="20"/>
          <w:i w:val="1"/>
          <w:iCs w:val="1"/>
          <w:color w:val="231F20"/>
        </w:rPr>
        <w:t xml:space="preserve">Amortization Payments </w:t>
      </w:r>
      <w:r>
        <w:rPr>
          <w:rFonts w:ascii="Arial" w:cs="Arial" w:eastAsia="Arial" w:hAnsi="Arial"/>
          <w:sz w:val="20"/>
          <w:szCs w:val="20"/>
          <w:color w:val="231F20"/>
        </w:rPr>
        <w:t>– The Revolving Credit Facility does not include any obligation to make</w:t>
      </w:r>
      <w:r>
        <w:rPr>
          <w:rFonts w:ascii="Arial" w:cs="Arial" w:eastAsia="Arial" w:hAnsi="Arial"/>
          <w:sz w:val="20"/>
          <w:szCs w:val="20"/>
          <w:i w:val="1"/>
          <w:iCs w:val="1"/>
          <w:color w:val="231F20"/>
        </w:rPr>
        <w:t xml:space="preserve"> </w:t>
      </w:r>
      <w:r>
        <w:rPr>
          <w:rFonts w:ascii="Arial" w:cs="Arial" w:eastAsia="Arial" w:hAnsi="Arial"/>
          <w:sz w:val="20"/>
          <w:szCs w:val="20"/>
          <w:color w:val="231F20"/>
        </w:rPr>
        <w:t>amortizing payments.</w:t>
      </w:r>
    </w:p>
    <w:p>
      <w:pPr>
        <w:spacing w:after="0" w:line="197" w:lineRule="exact"/>
        <w:rPr>
          <w:sz w:val="20"/>
          <w:szCs w:val="20"/>
          <w:color w:val="auto"/>
        </w:rPr>
      </w:pPr>
    </w:p>
    <w:p>
      <w:pPr>
        <w:ind w:right="340" w:firstLine="300"/>
        <w:spacing w:after="0" w:line="247" w:lineRule="auto"/>
        <w:rPr>
          <w:sz w:val="20"/>
          <w:szCs w:val="20"/>
          <w:color w:val="auto"/>
        </w:rPr>
      </w:pPr>
      <w:r>
        <w:rPr>
          <w:rFonts w:ascii="Arial" w:cs="Arial" w:eastAsia="Arial" w:hAnsi="Arial"/>
          <w:sz w:val="20"/>
          <w:szCs w:val="20"/>
          <w:i w:val="1"/>
          <w:iCs w:val="1"/>
          <w:color w:val="231F20"/>
        </w:rPr>
        <w:t xml:space="preserve">Borrowing Base </w:t>
      </w:r>
      <w:r>
        <w:rPr>
          <w:rFonts w:ascii="Arial" w:cs="Arial" w:eastAsia="Arial" w:hAnsi="Arial"/>
          <w:sz w:val="20"/>
          <w:szCs w:val="20"/>
          <w:color w:val="231F20"/>
        </w:rPr>
        <w:t>– The borrowing base, currently $1.5 billion, will be redetermined semi-annually</w:t>
      </w:r>
      <w:r>
        <w:rPr>
          <w:rFonts w:ascii="Arial" w:cs="Arial" w:eastAsia="Arial" w:hAnsi="Arial"/>
          <w:sz w:val="20"/>
          <w:szCs w:val="20"/>
          <w:i w:val="1"/>
          <w:iCs w:val="1"/>
          <w:color w:val="231F20"/>
        </w:rPr>
        <w:t xml:space="preserve"> </w:t>
      </w:r>
      <w:r>
        <w:rPr>
          <w:rFonts w:ascii="Arial" w:cs="Arial" w:eastAsia="Arial" w:hAnsi="Arial"/>
          <w:sz w:val="20"/>
          <w:szCs w:val="20"/>
          <w:color w:val="231F20"/>
        </w:rPr>
        <w:t>each April and October.</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231F20"/>
        </w:rPr>
        <w:t xml:space="preserve">Financial Covenants </w:t>
      </w:r>
      <w:r>
        <w:rPr>
          <w:rFonts w:ascii="Arial" w:cs="Arial" w:eastAsia="Arial" w:hAnsi="Arial"/>
          <w:sz w:val="20"/>
          <w:szCs w:val="20"/>
          <w:color w:val="231F20"/>
        </w:rPr>
        <w:t>– Our Revolving Credit Facility includes the following financial covenants:</w:t>
      </w:r>
    </w:p>
    <w:p>
      <w:pPr>
        <w:spacing w:after="0" w:line="162" w:lineRule="exact"/>
        <w:rPr>
          <w:sz w:val="20"/>
          <w:szCs w:val="20"/>
          <w:color w:val="auto"/>
        </w:rPr>
      </w:pPr>
    </w:p>
    <w:p>
      <w:pPr>
        <w:ind w:left="1140"/>
        <w:spacing w:after="0"/>
        <w:tabs>
          <w:tab w:leader="none" w:pos="3520" w:val="left"/>
          <w:tab w:leader="none" w:pos="5820" w:val="left"/>
          <w:tab w:leader="none" w:pos="8080" w:val="left"/>
        </w:tabs>
        <w:rPr>
          <w:sz w:val="20"/>
          <w:szCs w:val="20"/>
          <w:color w:val="auto"/>
        </w:rPr>
      </w:pPr>
      <w:r>
        <w:rPr>
          <w:rFonts w:ascii="Arial" w:cs="Arial" w:eastAsia="Arial" w:hAnsi="Arial"/>
          <w:sz w:val="20"/>
          <w:szCs w:val="20"/>
          <w:b w:val="1"/>
          <w:bCs w:val="1"/>
          <w:color w:val="231F20"/>
        </w:rPr>
        <w:t>Ratio</w:t>
      </w:r>
      <w:r>
        <w:rPr>
          <w:sz w:val="20"/>
          <w:szCs w:val="20"/>
          <w:color w:val="auto"/>
        </w:rPr>
        <w:tab/>
      </w:r>
      <w:r>
        <w:rPr>
          <w:rFonts w:ascii="Arial" w:cs="Arial" w:eastAsia="Arial" w:hAnsi="Arial"/>
          <w:sz w:val="20"/>
          <w:szCs w:val="20"/>
          <w:b w:val="1"/>
          <w:bCs w:val="1"/>
          <w:color w:val="231F20"/>
        </w:rPr>
        <w:t>Components</w:t>
      </w:r>
      <w:r>
        <w:rPr>
          <w:sz w:val="20"/>
          <w:szCs w:val="20"/>
          <w:color w:val="auto"/>
        </w:rPr>
        <w:tab/>
      </w:r>
      <w:r>
        <w:rPr>
          <w:rFonts w:ascii="Arial" w:cs="Arial" w:eastAsia="Arial" w:hAnsi="Arial"/>
          <w:sz w:val="20"/>
          <w:szCs w:val="20"/>
          <w:b w:val="1"/>
          <w:bCs w:val="1"/>
          <w:color w:val="231F20"/>
        </w:rPr>
        <w:t>Required Levels</w:t>
      </w:r>
      <w:r>
        <w:rPr>
          <w:sz w:val="20"/>
          <w:szCs w:val="20"/>
          <w:color w:val="auto"/>
        </w:rPr>
        <w:tab/>
      </w:r>
      <w:r>
        <w:rPr>
          <w:rFonts w:ascii="Arial" w:cs="Arial" w:eastAsia="Arial" w:hAnsi="Arial"/>
          <w:sz w:val="19"/>
          <w:szCs w:val="19"/>
          <w:b w:val="1"/>
          <w:bCs w:val="1"/>
          <w:color w:val="231F20"/>
        </w:rPr>
        <w:t>Tested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17780</wp:posOffset>
                </wp:positionV>
                <wp:extent cx="17526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138pt,1.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1778000</wp:posOffset>
                </wp:positionH>
                <wp:positionV relativeFrom="paragraph">
                  <wp:posOffset>17780</wp:posOffset>
                </wp:positionV>
                <wp:extent cx="17272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7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pt,1.4pt" to="276pt,1.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3530600</wp:posOffset>
                </wp:positionH>
                <wp:positionV relativeFrom="paragraph">
                  <wp:posOffset>17780</wp:posOffset>
                </wp:positionV>
                <wp:extent cx="13462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46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pt,1.4pt" to="384pt,1.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4902200</wp:posOffset>
                </wp:positionH>
                <wp:positionV relativeFrom="paragraph">
                  <wp:posOffset>17780</wp:posOffset>
                </wp:positionV>
                <wp:extent cx="8890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pt,1.4pt" to="456pt,1.4pt" o:allowincell="f" strokecolor="#231F20" strokeweight="1pt"/>
            </w:pict>
          </mc:Fallback>
        </mc:AlternateContent>
      </w:r>
    </w:p>
    <w:p>
      <w:pPr>
        <w:sectPr>
          <w:pgSz w:w="11880" w:h="15480" w:orient="portrait"/>
          <w:cols w:equalWidth="0" w:num="1">
            <w:col w:w="9120"/>
          </w:cols>
          <w:pgMar w:left="1380" w:top="1312" w:right="1380" w:bottom="660" w:gutter="0" w:footer="0" w:header="0"/>
        </w:sectPr>
      </w:pPr>
    </w:p>
    <w:p>
      <w:pPr>
        <w:spacing w:after="0" w:line="88" w:lineRule="exact"/>
        <w:rPr>
          <w:sz w:val="20"/>
          <w:szCs w:val="20"/>
          <w:color w:val="auto"/>
        </w:rPr>
      </w:pPr>
    </w:p>
    <w:p>
      <w:pPr>
        <w:spacing w:after="0"/>
        <w:tabs>
          <w:tab w:leader="none" w:pos="2780" w:val="left"/>
        </w:tabs>
        <w:rPr>
          <w:sz w:val="20"/>
          <w:szCs w:val="20"/>
          <w:color w:val="auto"/>
        </w:rPr>
      </w:pPr>
      <w:r>
        <w:rPr>
          <w:rFonts w:ascii="Arial" w:cs="Arial" w:eastAsia="Arial" w:hAnsi="Arial"/>
          <w:sz w:val="20"/>
          <w:szCs w:val="20"/>
          <w:color w:val="231F20"/>
        </w:rPr>
        <w:t>Consolidated Total Net</w:t>
      </w:r>
      <w:r>
        <w:rPr>
          <w:sz w:val="20"/>
          <w:szCs w:val="20"/>
          <w:color w:val="auto"/>
        </w:rPr>
        <w:tab/>
      </w:r>
      <w:r>
        <w:rPr>
          <w:rFonts w:ascii="Arial" w:cs="Arial" w:eastAsia="Arial" w:hAnsi="Arial"/>
          <w:sz w:val="20"/>
          <w:szCs w:val="20"/>
          <w:color w:val="231F20"/>
        </w:rPr>
        <w:t>Ratio of Consolidated Total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Leverage Ratio . . . . . . . . . . . . . Debt to Consolidated</w:t>
      </w:r>
    </w:p>
    <w:p>
      <w:pPr>
        <w:ind w:left="2800"/>
        <w:spacing w:after="0" w:line="238" w:lineRule="auto"/>
        <w:rPr>
          <w:sz w:val="20"/>
          <w:szCs w:val="20"/>
          <w:color w:val="auto"/>
        </w:rPr>
      </w:pPr>
      <w:r>
        <w:rPr>
          <w:rFonts w:ascii="Arial" w:cs="Arial" w:eastAsia="Arial" w:hAnsi="Arial"/>
          <w:sz w:val="20"/>
          <w:szCs w:val="20"/>
          <w:color w:val="231F20"/>
        </w:rPr>
        <w:t>EBITDAX</w:t>
      </w:r>
      <w:r>
        <w:rPr>
          <w:rFonts w:ascii="Arial" w:cs="Arial" w:eastAsia="Arial" w:hAnsi="Arial"/>
          <w:sz w:val="26"/>
          <w:szCs w:val="26"/>
          <w:color w:val="231F20"/>
          <w:vertAlign w:val="superscript"/>
        </w:rPr>
        <w:t>(a)</w:t>
      </w:r>
    </w:p>
    <w:p>
      <w:pPr>
        <w:spacing w:after="0" w:line="201" w:lineRule="auto"/>
        <w:tabs>
          <w:tab w:leader="none" w:pos="1300" w:val="left"/>
        </w:tabs>
        <w:rPr>
          <w:sz w:val="20"/>
          <w:szCs w:val="20"/>
          <w:color w:val="auto"/>
        </w:rPr>
      </w:pPr>
      <w:r>
        <w:rPr>
          <w:rFonts w:ascii="Arial" w:cs="Arial" w:eastAsia="Arial" w:hAnsi="Arial"/>
          <w:sz w:val="20"/>
          <w:szCs w:val="20"/>
          <w:color w:val="231F20"/>
        </w:rPr>
        <w:t>Current Ratio</w:t>
      </w:r>
      <w:r>
        <w:rPr>
          <w:sz w:val="20"/>
          <w:szCs w:val="20"/>
          <w:color w:val="auto"/>
        </w:rPr>
        <w:tab/>
      </w:r>
      <w:r>
        <w:rPr>
          <w:rFonts w:ascii="Arial" w:cs="Arial" w:eastAsia="Arial" w:hAnsi="Arial"/>
          <w:sz w:val="19"/>
          <w:szCs w:val="19"/>
          <w:color w:val="231F20"/>
        </w:rPr>
        <w:t>. . . . . . . . . . . . . . Ratio of consolidated current</w:t>
      </w:r>
    </w:p>
    <w:p>
      <w:pPr>
        <w:spacing w:after="0" w:line="11" w:lineRule="exact"/>
        <w:rPr>
          <w:sz w:val="20"/>
          <w:szCs w:val="20"/>
          <w:color w:val="auto"/>
        </w:rPr>
      </w:pPr>
    </w:p>
    <w:p>
      <w:pPr>
        <w:ind w:left="2800"/>
        <w:spacing w:after="0"/>
        <w:rPr>
          <w:sz w:val="20"/>
          <w:szCs w:val="20"/>
          <w:color w:val="auto"/>
        </w:rPr>
      </w:pPr>
      <w:r>
        <w:rPr>
          <w:rFonts w:ascii="Arial" w:cs="Arial" w:eastAsia="Arial" w:hAnsi="Arial"/>
          <w:sz w:val="20"/>
          <w:szCs w:val="20"/>
          <w:color w:val="231F20"/>
        </w:rPr>
        <w:t>assets to consolidated current</w:t>
      </w:r>
    </w:p>
    <w:p>
      <w:pPr>
        <w:spacing w:after="0" w:line="17" w:lineRule="exact"/>
        <w:rPr>
          <w:sz w:val="20"/>
          <w:szCs w:val="20"/>
          <w:color w:val="auto"/>
        </w:rPr>
      </w:pPr>
    </w:p>
    <w:p>
      <w:pPr>
        <w:ind w:left="2800"/>
        <w:spacing w:after="0"/>
        <w:rPr>
          <w:sz w:val="20"/>
          <w:szCs w:val="20"/>
          <w:color w:val="auto"/>
        </w:rPr>
      </w:pPr>
      <w:r>
        <w:rPr>
          <w:rFonts w:ascii="Arial" w:cs="Arial" w:eastAsia="Arial" w:hAnsi="Arial"/>
          <w:sz w:val="20"/>
          <w:szCs w:val="20"/>
          <w:color w:val="231F20"/>
        </w:rPr>
        <w:t>liabilities</w:t>
      </w:r>
      <w:r>
        <w:rPr>
          <w:rFonts w:ascii="Arial" w:cs="Arial" w:eastAsia="Arial" w:hAnsi="Arial"/>
          <w:sz w:val="26"/>
          <w:szCs w:val="26"/>
          <w:color w:val="231F20"/>
          <w:vertAlign w:val="superscript"/>
        </w:rPr>
        <w:t>(b)</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580"/>
        <w:spacing w:after="0" w:line="243" w:lineRule="auto"/>
        <w:rPr>
          <w:sz w:val="20"/>
          <w:szCs w:val="20"/>
          <w:color w:val="auto"/>
        </w:rPr>
      </w:pPr>
      <w:r>
        <w:rPr>
          <w:rFonts w:ascii="Arial" w:cs="Arial" w:eastAsia="Arial" w:hAnsi="Arial"/>
          <w:sz w:val="20"/>
          <w:szCs w:val="20"/>
          <w:color w:val="231F20"/>
        </w:rPr>
        <w:t>Not greater than 3.00 to Quarterly 1.00</w:t>
      </w:r>
    </w:p>
    <w:p>
      <w:pPr>
        <w:spacing w:after="0" w:line="254" w:lineRule="exact"/>
        <w:rPr>
          <w:sz w:val="20"/>
          <w:szCs w:val="20"/>
          <w:color w:val="auto"/>
        </w:rPr>
      </w:pPr>
    </w:p>
    <w:p>
      <w:pPr>
        <w:ind w:right="580"/>
        <w:spacing w:after="0" w:line="245" w:lineRule="auto"/>
        <w:rPr>
          <w:sz w:val="20"/>
          <w:szCs w:val="20"/>
          <w:color w:val="auto"/>
        </w:rPr>
      </w:pPr>
      <w:r>
        <w:rPr>
          <w:rFonts w:ascii="Arial" w:cs="Arial" w:eastAsia="Arial" w:hAnsi="Arial"/>
          <w:sz w:val="20"/>
          <w:szCs w:val="20"/>
          <w:color w:val="231F20"/>
        </w:rPr>
        <w:t>Not less than 1.00 to Quarterly 1.00</w:t>
      </w:r>
    </w:p>
    <w:p>
      <w:pPr>
        <w:spacing w:after="0" w:line="431" w:lineRule="exact"/>
        <w:rPr>
          <w:sz w:val="20"/>
          <w:szCs w:val="20"/>
          <w:color w:val="auto"/>
        </w:rPr>
      </w:pPr>
    </w:p>
    <w:p>
      <w:pPr>
        <w:sectPr>
          <w:pgSz w:w="11880" w:h="15480" w:orient="portrait"/>
          <w:cols w:equalWidth="0" w:num="2">
            <w:col w:w="5460" w:space="100"/>
            <w:col w:w="3560"/>
          </w:cols>
          <w:pgMar w:left="1380" w:top="1312" w:right="1380" w:bottom="660" w:gutter="0" w:footer="0" w:header="0"/>
          <w:type w:val="continuous"/>
        </w:sectPr>
      </w:pPr>
    </w:p>
    <w:p>
      <w:pPr>
        <w:ind w:left="320" w:hanging="320"/>
        <w:spacing w:after="0"/>
        <w:tabs>
          <w:tab w:leader="none" w:pos="320" w:val="left"/>
        </w:tabs>
        <w:numPr>
          <w:ilvl w:val="0"/>
          <w:numId w:val="65"/>
        </w:numPr>
        <w:rPr>
          <w:rFonts w:ascii="Arial" w:cs="Arial" w:eastAsia="Arial" w:hAnsi="Arial"/>
          <w:sz w:val="16"/>
          <w:szCs w:val="16"/>
          <w:color w:val="231F20"/>
        </w:rPr>
      </w:pPr>
      <w:r>
        <w:rPr>
          <w:rFonts w:ascii="Arial" w:cs="Arial" w:eastAsia="Arial" w:hAnsi="Arial"/>
          <w:sz w:val="16"/>
          <w:szCs w:val="16"/>
          <w:color w:val="231F20"/>
        </w:rPr>
        <w:t>Consolidated EBITDAX is calculated as defined in the Revolving Credit Facility.</w:t>
      </w:r>
    </w:p>
    <w:p>
      <w:pPr>
        <w:spacing w:after="0" w:line="21" w:lineRule="exact"/>
        <w:rPr>
          <w:rFonts w:ascii="Arial" w:cs="Arial" w:eastAsia="Arial" w:hAnsi="Arial"/>
          <w:sz w:val="16"/>
          <w:szCs w:val="16"/>
          <w:color w:val="231F20"/>
        </w:rPr>
      </w:pPr>
    </w:p>
    <w:p>
      <w:pPr>
        <w:ind w:left="320" w:hanging="320"/>
        <w:spacing w:after="0" w:line="253" w:lineRule="auto"/>
        <w:tabs>
          <w:tab w:leader="none" w:pos="320" w:val="left"/>
        </w:tabs>
        <w:numPr>
          <w:ilvl w:val="0"/>
          <w:numId w:val="65"/>
        </w:numPr>
        <w:rPr>
          <w:rFonts w:ascii="Arial" w:cs="Arial" w:eastAsia="Arial" w:hAnsi="Arial"/>
          <w:sz w:val="16"/>
          <w:szCs w:val="16"/>
          <w:color w:val="231F20"/>
        </w:rPr>
      </w:pPr>
      <w:r>
        <w:rPr>
          <w:rFonts w:ascii="Arial" w:cs="Arial" w:eastAsia="Arial" w:hAnsi="Arial"/>
          <w:sz w:val="16"/>
          <w:szCs w:val="16"/>
          <w:color w:val="231F20"/>
        </w:rPr>
        <w:t>The available credit under our Revolving Credit Facility is included in consolidated current assets as part of the calculation of the current ratio.</w:t>
      </w:r>
    </w:p>
    <w:p>
      <w:pPr>
        <w:spacing w:after="0" w:line="203"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i w:val="1"/>
          <w:iCs w:val="1"/>
          <w:color w:val="231F20"/>
        </w:rPr>
        <w:t xml:space="preserve">Other Covenants </w:t>
      </w:r>
      <w:r>
        <w:rPr>
          <w:rFonts w:ascii="Arial" w:cs="Arial" w:eastAsia="Arial" w:hAnsi="Arial"/>
          <w:sz w:val="20"/>
          <w:szCs w:val="20"/>
          <w:color w:val="231F20"/>
        </w:rPr>
        <w:t>– Our Revolving Credit Facility includes covenants that, among other things,</w:t>
      </w:r>
      <w:r>
        <w:rPr>
          <w:rFonts w:ascii="Arial" w:cs="Arial" w:eastAsia="Arial" w:hAnsi="Arial"/>
          <w:sz w:val="20"/>
          <w:szCs w:val="20"/>
          <w:i w:val="1"/>
          <w:iCs w:val="1"/>
          <w:color w:val="231F20"/>
        </w:rPr>
        <w:t xml:space="preserve"> </w:t>
      </w:r>
      <w:r>
        <w:rPr>
          <w:rFonts w:ascii="Arial" w:cs="Arial" w:eastAsia="Arial" w:hAnsi="Arial"/>
          <w:sz w:val="20"/>
          <w:szCs w:val="20"/>
          <w:color w:val="231F20"/>
        </w:rPr>
        <w:t>restrict our ability to incur additional 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Revolving Credit Facility.</w:t>
      </w:r>
    </w:p>
    <w:p>
      <w:pPr>
        <w:spacing w:after="0" w:line="199" w:lineRule="exact"/>
        <w:rPr>
          <w:sz w:val="20"/>
          <w:szCs w:val="20"/>
          <w:color w:val="auto"/>
        </w:rPr>
      </w:pPr>
    </w:p>
    <w:p>
      <w:pPr>
        <w:ind w:right="40" w:firstLine="300"/>
        <w:spacing w:after="0" w:line="250" w:lineRule="auto"/>
        <w:rPr>
          <w:sz w:val="20"/>
          <w:szCs w:val="20"/>
          <w:color w:val="auto"/>
        </w:rPr>
      </w:pPr>
      <w:r>
        <w:rPr>
          <w:rFonts w:ascii="Arial" w:cs="Arial" w:eastAsia="Arial" w:hAnsi="Arial"/>
          <w:sz w:val="20"/>
          <w:szCs w:val="20"/>
          <w:color w:val="231F20"/>
        </w:rPr>
        <w:t>Our Revolving Credit Facility, among other things, permits us to make certain restricted payments (such as dividends and share repurchases) and certain investments (including in our carbon management segment); provides for the release of liens on certain assets securing the loans made under the Revolving Credit Facility, including our Elk Hills power plant; permits us to designate the entities that hold certain of our assets, including our Elk Hills power plant, as unrestricted subsidiaries subject to meeting certain conditions; sets the period for which we can enter into hedges on our production at 60 months. In October 2023, we further amended our Revolving Credit Facility to increase our flexibility to incur new indebtedness in the form of term loans secured on a pari passu basis with the obligations under the Revolving Credit Facility. The aggregate amount of such term loans shall not exceed the lesser of the following: (i) the borrowing base then in effect minus the Aggregate Elected Revolving Commitment Amounts (as defined in the Revolving Credit Facility) then in effect and (ii) an amount equal to 33 1/3% of the sum of (A) the Aggregate Elected Revolving Commitment Amounts (as defined in the Revolving Credit Facility) then in effect plus (B) the aggregate term loan exposure of any lender then outstanding.</w:t>
      </w:r>
    </w:p>
    <w:p>
      <w:pPr>
        <w:spacing w:after="0" w:line="196" w:lineRule="exact"/>
        <w:rPr>
          <w:sz w:val="20"/>
          <w:szCs w:val="20"/>
          <w:color w:val="auto"/>
        </w:rPr>
      </w:pPr>
    </w:p>
    <w:p>
      <w:pPr>
        <w:jc w:val="both"/>
        <w:ind w:right="420" w:firstLine="300"/>
        <w:spacing w:after="0" w:line="246" w:lineRule="auto"/>
        <w:rPr>
          <w:sz w:val="20"/>
          <w:szCs w:val="20"/>
          <w:color w:val="auto"/>
        </w:rPr>
      </w:pPr>
      <w:r>
        <w:rPr>
          <w:rFonts w:ascii="Arial" w:cs="Arial" w:eastAsia="Arial" w:hAnsi="Arial"/>
          <w:sz w:val="20"/>
          <w:szCs w:val="20"/>
          <w:color w:val="231F20"/>
        </w:rPr>
        <w:t>Our Revolving Credit Facility requires us to maintain hedges on a minimum amount of crude oil production (determined on (i) the date of delivery of annual and quarterly financial statements and (ii) the date of delivery of a reserve report delivered in connection with an interim borrowing base</w:t>
      </w:r>
    </w:p>
    <w:p>
      <w:pPr>
        <w:sectPr>
          <w:pgSz w:w="11880" w:h="15480" w:orient="portrait"/>
          <w:cols w:equalWidth="0" w:num="1">
            <w:col w:w="9120"/>
          </w:cols>
          <w:pgMar w:left="1380" w:top="1312" w:right="1380" w:bottom="660" w:gutter="0" w:footer="0" w:header="0"/>
          <w:type w:val="continuous"/>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114</w:t>
      </w:r>
    </w:p>
    <w:p>
      <w:pPr>
        <w:sectPr>
          <w:pgSz w:w="11880" w:h="15480" w:orient="portrait"/>
          <w:cols w:equalWidth="0" w:num="1">
            <w:col w:w="9120"/>
          </w:cols>
          <w:pgMar w:left="1380" w:top="1312" w:right="1380" w:bottom="660" w:gutter="0" w:footer="0" w:header="0"/>
          <w:type w:val="continuous"/>
        </w:sectPr>
      </w:pPr>
    </w:p>
    <w:bookmarkStart w:id="118" w:name="page119"/>
    <w:bookmarkEnd w:id="118"/>
    <w:p>
      <w:pPr>
        <w:ind w:right="120"/>
        <w:spacing w:after="0" w:line="249" w:lineRule="auto"/>
        <w:rPr>
          <w:sz w:val="20"/>
          <w:szCs w:val="20"/>
          <w:color w:val="auto"/>
        </w:rPr>
      </w:pPr>
      <w:r>
        <w:rPr>
          <w:rFonts w:ascii="Arial" w:cs="Arial" w:eastAsia="Arial" w:hAnsi="Arial"/>
          <w:sz w:val="20"/>
          <w:szCs w:val="20"/>
          <w:color w:val="231F20"/>
        </w:rPr>
        <w:t>redetermination) of no less than (i) in the event that our Consolidated Total Net Leverage Ratio (as defined in the Revolving Credit Facility) is greater than 2.0:1.0 as of the end of the most recent fiscal quarter test period, 50.0%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and (ii) in the event that our Consolidated Total Net Leverage Ratio is less than or equal to 2.0:1.0 but greater than 1.5:1.0 as of the end of the most recent fiscal quarter test period,</w:t>
      </w:r>
    </w:p>
    <w:p>
      <w:pPr>
        <w:spacing w:after="0" w:line="10" w:lineRule="exact"/>
        <w:rPr>
          <w:sz w:val="20"/>
          <w:szCs w:val="20"/>
          <w:color w:val="auto"/>
        </w:rPr>
      </w:pPr>
    </w:p>
    <w:p>
      <w:pPr>
        <w:spacing w:after="0" w:line="249" w:lineRule="auto"/>
        <w:rPr>
          <w:sz w:val="20"/>
          <w:szCs w:val="20"/>
          <w:color w:val="auto"/>
        </w:rPr>
      </w:pPr>
      <w:r>
        <w:rPr>
          <w:rFonts w:ascii="Arial" w:cs="Arial" w:eastAsia="Arial" w:hAnsi="Arial"/>
          <w:sz w:val="20"/>
          <w:szCs w:val="20"/>
          <w:color w:val="231F20"/>
        </w:rPr>
        <w:t>33.0%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The foregoing minimum hedge requirements do not apply to the extent that our Consolidated Total Net Leverage Ratio is less than or equal to 1.5:1.0 as of the last day of the most recently ended fiscal quarter test period.</w:t>
      </w:r>
    </w:p>
    <w:p>
      <w:pPr>
        <w:spacing w:after="0" w:line="158"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Furthermore, the restricted payment and investments covenants permit unlimited investments and/ or restricted payments so long as either (a) (i) no Default, Event of Default or Borrowing Base Deficiency shall have occurred and be continuing under the Revolving Credit Facility, (ii) the undrawn availability under the Revolving Credit Facility at such time is not less than 20.0% of the total commitment, (iii) the Consolidated Total Net Leverage Ratio is less than or equal to 2.5:1.0 and (iv) Distributable Free Cash Flow is greater than or equal to zero on such date of determination; or</w:t>
      </w:r>
    </w:p>
    <w:p>
      <w:pPr>
        <w:spacing w:after="0" w:line="8" w:lineRule="exact"/>
        <w:rPr>
          <w:sz w:val="20"/>
          <w:szCs w:val="20"/>
          <w:color w:val="auto"/>
        </w:rPr>
      </w:pPr>
    </w:p>
    <w:p>
      <w:pPr>
        <w:ind w:right="20"/>
        <w:spacing w:after="0" w:line="248" w:lineRule="auto"/>
        <w:tabs>
          <w:tab w:leader="none" w:pos="301" w:val="left"/>
        </w:tabs>
        <w:numPr>
          <w:ilvl w:val="0"/>
          <w:numId w:val="66"/>
        </w:numPr>
        <w:rPr>
          <w:rFonts w:ascii="Arial" w:cs="Arial" w:eastAsia="Arial" w:hAnsi="Arial"/>
          <w:sz w:val="20"/>
          <w:szCs w:val="20"/>
          <w:color w:val="231F20"/>
        </w:rPr>
      </w:pPr>
      <w:r>
        <w:rPr>
          <w:rFonts w:ascii="Arial" w:cs="Arial" w:eastAsia="Arial" w:hAnsi="Arial"/>
          <w:sz w:val="20"/>
          <w:szCs w:val="20"/>
          <w:color w:val="231F20"/>
        </w:rPr>
        <w:t>(i) no Default, Event of Default or Borrowing Base Deficiency shall have occurred and be continuing under the Revolving Credit Facility at the time of such investment or restricted payment, (ii) the undrawn availability under the Revolving Credit Facility at such time is not less than 25.0% of the total commitment and (iii) the Consolidated Total Net Leverage Ratio is less than or equal to 1.75:1.0.</w:t>
      </w:r>
    </w:p>
    <w:p>
      <w:pPr>
        <w:spacing w:after="0" w:line="157" w:lineRule="exact"/>
        <w:rPr>
          <w:sz w:val="20"/>
          <w:szCs w:val="20"/>
          <w:color w:val="auto"/>
        </w:rPr>
      </w:pPr>
    </w:p>
    <w:p>
      <w:pPr>
        <w:ind w:right="60" w:firstLine="300"/>
        <w:spacing w:after="0" w:line="290" w:lineRule="auto"/>
        <w:rPr>
          <w:sz w:val="20"/>
          <w:szCs w:val="20"/>
          <w:color w:val="auto"/>
        </w:rPr>
      </w:pPr>
      <w:r>
        <w:rPr>
          <w:rFonts w:ascii="Arial" w:cs="Arial" w:eastAsia="Arial" w:hAnsi="Arial"/>
          <w:sz w:val="18"/>
          <w:szCs w:val="18"/>
          <w:i w:val="1"/>
          <w:iCs w:val="1"/>
          <w:color w:val="231F20"/>
        </w:rPr>
        <w:t xml:space="preserve">Events of Default and Change of Control </w:t>
      </w:r>
      <w:r>
        <w:rPr>
          <w:rFonts w:ascii="Arial" w:cs="Arial" w:eastAsia="Arial" w:hAnsi="Arial"/>
          <w:sz w:val="18"/>
          <w:szCs w:val="18"/>
          <w:color w:val="231F20"/>
        </w:rPr>
        <w:t>– Our Revolving Credit Facility provides for certain events of</w:t>
      </w:r>
      <w:r>
        <w:rPr>
          <w:rFonts w:ascii="Arial" w:cs="Arial" w:eastAsia="Arial" w:hAnsi="Arial"/>
          <w:sz w:val="18"/>
          <w:szCs w:val="18"/>
          <w:i w:val="1"/>
          <w:iCs w:val="1"/>
          <w:color w:val="231F20"/>
        </w:rPr>
        <w:t xml:space="preserve"> </w:t>
      </w:r>
      <w:r>
        <w:rPr>
          <w:rFonts w:ascii="Arial" w:cs="Arial" w:eastAsia="Arial" w:hAnsi="Arial"/>
          <w:sz w:val="18"/>
          <w:szCs w:val="18"/>
          <w:color w:val="231F20"/>
        </w:rPr>
        <w:t>default, including upon a change of control, as defined in the Revolving Credit Facility, that entitles our lenders to declare the outstanding loans immediately due and payable, subject to certain limitations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Amendments</w:t>
      </w:r>
    </w:p>
    <w:p>
      <w:pPr>
        <w:spacing w:after="0" w:line="16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In February 2024, in connection with the Aera Merger, we entered into a second amendment to our Revolving Credit Facility to, among other things, permit the incurrence of indebtedness under a bridge loan facility. We did not utilize a bridge loan facility in connection with the Aera Merger and wrote-off $6 million of bridge loan and commitment fees during the year ended December 31, 2024 included in other non-operating (loss) income on our consolidated statement of operations. We capitalized approximately $3 million in financing fees related to this amendment to other assets on our consolidated statement of financial position.</w:t>
      </w:r>
    </w:p>
    <w:p>
      <w:pPr>
        <w:spacing w:after="0" w:line="160" w:lineRule="exact"/>
        <w:rPr>
          <w:sz w:val="20"/>
          <w:szCs w:val="20"/>
          <w:color w:val="auto"/>
        </w:rPr>
      </w:pPr>
    </w:p>
    <w:p>
      <w:pPr>
        <w:ind w:right="60" w:firstLine="300"/>
        <w:spacing w:after="0" w:line="247" w:lineRule="auto"/>
        <w:rPr>
          <w:sz w:val="20"/>
          <w:szCs w:val="20"/>
          <w:color w:val="auto"/>
        </w:rPr>
      </w:pPr>
      <w:r>
        <w:rPr>
          <w:rFonts w:ascii="Arial" w:cs="Arial" w:eastAsia="Arial" w:hAnsi="Arial"/>
          <w:sz w:val="20"/>
          <w:szCs w:val="20"/>
          <w:color w:val="231F20"/>
        </w:rPr>
        <w:t>In March 2024, we entered into a third amendment to our Revolving Credit Facility. This amendment facilitated certain matters with respect to the Aera Merger, including the postponement of the regular spring borrowing base redetermination until the fall of 2024 and certain other amendments.</w:t>
      </w:r>
    </w:p>
    <w:p>
      <w:pPr>
        <w:spacing w:after="0" w:line="160" w:lineRule="exact"/>
        <w:rPr>
          <w:sz w:val="20"/>
          <w:szCs w:val="20"/>
          <w:color w:val="auto"/>
        </w:rPr>
      </w:pPr>
    </w:p>
    <w:p>
      <w:pPr>
        <w:ind w:right="260" w:firstLine="300"/>
        <w:spacing w:after="0" w:line="265" w:lineRule="auto"/>
        <w:rPr>
          <w:sz w:val="20"/>
          <w:szCs w:val="20"/>
          <w:color w:val="auto"/>
        </w:rPr>
      </w:pPr>
      <w:r>
        <w:rPr>
          <w:rFonts w:ascii="Arial" w:cs="Arial" w:eastAsia="Arial" w:hAnsi="Arial"/>
          <w:sz w:val="19"/>
          <w:szCs w:val="19"/>
          <w:color w:val="231F20"/>
        </w:rPr>
        <w:t>In July 2024, we entered into a fourth amendment to our Revolving Credit Facility as part of the Aera Merger. This amendment increased the aggregate revolving commitments available under the Revolving Credit Facility from $630 million to $1.1 billion. Our ability to borrow under our Revolving Credit Facility is limited to the amount of these commitments. This amendment also increased the borrowing base from $1.2 billion to $1.5 billion, among other matters. We capitalized approximately $7 million in financing fees related to this amendment to other assets on our consolidated statement of financial position.</w:t>
      </w:r>
    </w:p>
    <w:p>
      <w:pPr>
        <w:spacing w:after="0" w:line="143" w:lineRule="exact"/>
        <w:rPr>
          <w:sz w:val="20"/>
          <w:szCs w:val="20"/>
          <w:color w:val="auto"/>
        </w:rPr>
      </w:pPr>
    </w:p>
    <w:p>
      <w:pPr>
        <w:ind w:right="800" w:firstLine="300"/>
        <w:spacing w:after="0" w:line="243" w:lineRule="auto"/>
        <w:rPr>
          <w:sz w:val="20"/>
          <w:szCs w:val="20"/>
          <w:color w:val="auto"/>
        </w:rPr>
      </w:pPr>
      <w:r>
        <w:rPr>
          <w:rFonts w:ascii="Arial" w:cs="Arial" w:eastAsia="Arial" w:hAnsi="Arial"/>
          <w:sz w:val="20"/>
          <w:szCs w:val="20"/>
          <w:color w:val="231F20"/>
        </w:rPr>
        <w:t>In November 2024, we entered into a fifth amendment to our Revolving Credit Facility. The amendments included, among other things:</w:t>
      </w:r>
    </w:p>
    <w:p>
      <w:pPr>
        <w:spacing w:after="0" w:line="164" w:lineRule="exact"/>
        <w:rPr>
          <w:sz w:val="20"/>
          <w:szCs w:val="20"/>
          <w:color w:val="auto"/>
        </w:rPr>
      </w:pPr>
    </w:p>
    <w:p>
      <w:pPr>
        <w:ind w:left="800" w:right="260" w:hanging="400"/>
        <w:spacing w:after="0" w:line="243" w:lineRule="auto"/>
        <w:tabs>
          <w:tab w:leader="none" w:pos="800" w:val="left"/>
        </w:tabs>
        <w:numPr>
          <w:ilvl w:val="0"/>
          <w:numId w:val="67"/>
        </w:numPr>
        <w:rPr>
          <w:rFonts w:ascii="Arial" w:cs="Arial" w:eastAsia="Arial" w:hAnsi="Arial"/>
          <w:sz w:val="20"/>
          <w:szCs w:val="20"/>
          <w:color w:val="231F20"/>
        </w:rPr>
      </w:pPr>
      <w:r>
        <w:rPr>
          <w:rFonts w:ascii="Arial" w:cs="Arial" w:eastAsia="Arial" w:hAnsi="Arial"/>
          <w:sz w:val="20"/>
          <w:szCs w:val="20"/>
          <w:color w:val="231F20"/>
        </w:rPr>
        <w:t>increased the amount of the elected commitments by $50 million to $1,150 million to reflect changes to our lender group;</w:t>
      </w:r>
    </w:p>
    <w:p>
      <w:pPr>
        <w:sectPr>
          <w:pgSz w:w="11880" w:h="15480" w:orient="portrait"/>
          <w:cols w:equalWidth="0" w:num="1">
            <w:col w:w="9100"/>
          </w:cols>
          <w:pgMar w:left="1380" w:top="1316" w:right="1400" w:bottom="66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115</w:t>
      </w:r>
    </w:p>
    <w:p>
      <w:pPr>
        <w:sectPr>
          <w:pgSz w:w="11880" w:h="15480" w:orient="portrait"/>
          <w:cols w:equalWidth="0" w:num="1">
            <w:col w:w="9100"/>
          </w:cols>
          <w:pgMar w:left="1380" w:top="1316" w:right="1400" w:bottom="660" w:gutter="0" w:footer="0" w:header="0"/>
          <w:type w:val="continuous"/>
        </w:sectPr>
      </w:pPr>
    </w:p>
    <w:bookmarkStart w:id="119" w:name="page120"/>
    <w:bookmarkEnd w:id="119"/>
    <w:p>
      <w:pPr>
        <w:ind w:left="800" w:hanging="400"/>
        <w:spacing w:after="0"/>
        <w:tabs>
          <w:tab w:leader="none" w:pos="800" w:val="left"/>
        </w:tabs>
        <w:numPr>
          <w:ilvl w:val="0"/>
          <w:numId w:val="68"/>
        </w:numPr>
        <w:rPr>
          <w:rFonts w:ascii="Arial" w:cs="Arial" w:eastAsia="Arial" w:hAnsi="Arial"/>
          <w:sz w:val="20"/>
          <w:szCs w:val="20"/>
          <w:color w:val="231F20"/>
        </w:rPr>
      </w:pPr>
      <w:r>
        <w:rPr>
          <w:rFonts w:ascii="Arial" w:cs="Arial" w:eastAsia="Arial" w:hAnsi="Arial"/>
          <w:sz w:val="20"/>
          <w:szCs w:val="20"/>
          <w:color w:val="231F20"/>
        </w:rPr>
        <w:t>extended the maturity date of the facility from July 31, 2027 to March 16, 2029;</w:t>
      </w:r>
    </w:p>
    <w:p>
      <w:pPr>
        <w:spacing w:after="0" w:line="16" w:lineRule="exact"/>
        <w:rPr>
          <w:rFonts w:ascii="Arial" w:cs="Arial" w:eastAsia="Arial" w:hAnsi="Arial"/>
          <w:sz w:val="20"/>
          <w:szCs w:val="20"/>
          <w:color w:val="231F20"/>
        </w:rPr>
      </w:pPr>
    </w:p>
    <w:p>
      <w:pPr>
        <w:ind w:left="800" w:right="160" w:hanging="400"/>
        <w:spacing w:after="0" w:line="246" w:lineRule="auto"/>
        <w:tabs>
          <w:tab w:leader="none" w:pos="800" w:val="left"/>
        </w:tabs>
        <w:numPr>
          <w:ilvl w:val="0"/>
          <w:numId w:val="68"/>
        </w:numPr>
        <w:rPr>
          <w:rFonts w:ascii="Arial" w:cs="Arial" w:eastAsia="Arial" w:hAnsi="Arial"/>
          <w:sz w:val="20"/>
          <w:szCs w:val="20"/>
          <w:color w:val="231F20"/>
        </w:rPr>
      </w:pPr>
      <w:r>
        <w:rPr>
          <w:rFonts w:ascii="Arial" w:cs="Arial" w:eastAsia="Arial" w:hAnsi="Arial"/>
          <w:sz w:val="20"/>
          <w:szCs w:val="20"/>
          <w:color w:val="231F20"/>
        </w:rPr>
        <w:t>amended the springing maturity to permit our 2026 Senior Notes to remain outstanding past October 31, 2025 so long as the aggregate availability (less the outstanding 2026 Senior Notes) is not less than 25% of the total revolving commitments;</w:t>
      </w:r>
    </w:p>
    <w:p>
      <w:pPr>
        <w:spacing w:after="0" w:line="6" w:lineRule="exact"/>
        <w:rPr>
          <w:rFonts w:ascii="Arial" w:cs="Arial" w:eastAsia="Arial" w:hAnsi="Arial"/>
          <w:sz w:val="20"/>
          <w:szCs w:val="20"/>
          <w:color w:val="231F20"/>
        </w:rPr>
      </w:pPr>
    </w:p>
    <w:p>
      <w:pPr>
        <w:ind w:left="800" w:hanging="400"/>
        <w:spacing w:after="0"/>
        <w:tabs>
          <w:tab w:leader="none" w:pos="800" w:val="left"/>
        </w:tabs>
        <w:numPr>
          <w:ilvl w:val="0"/>
          <w:numId w:val="68"/>
        </w:numPr>
        <w:rPr>
          <w:rFonts w:ascii="Arial" w:cs="Arial" w:eastAsia="Arial" w:hAnsi="Arial"/>
          <w:sz w:val="20"/>
          <w:szCs w:val="20"/>
          <w:color w:val="231F20"/>
        </w:rPr>
      </w:pPr>
      <w:r>
        <w:rPr>
          <w:rFonts w:ascii="Arial" w:cs="Arial" w:eastAsia="Arial" w:hAnsi="Arial"/>
          <w:sz w:val="20"/>
          <w:szCs w:val="20"/>
          <w:color w:val="231F20"/>
        </w:rPr>
        <w:t>increased our capacity to issue letters of credit from $250 million to $300 million; and</w:t>
      </w:r>
    </w:p>
    <w:p>
      <w:pPr>
        <w:spacing w:after="0" w:line="10" w:lineRule="exact"/>
        <w:rPr>
          <w:rFonts w:ascii="Arial" w:cs="Arial" w:eastAsia="Arial" w:hAnsi="Arial"/>
          <w:sz w:val="20"/>
          <w:szCs w:val="20"/>
          <w:color w:val="231F20"/>
        </w:rPr>
      </w:pPr>
    </w:p>
    <w:p>
      <w:pPr>
        <w:ind w:left="800" w:hanging="400"/>
        <w:spacing w:after="0"/>
        <w:tabs>
          <w:tab w:leader="none" w:pos="800" w:val="left"/>
        </w:tabs>
        <w:numPr>
          <w:ilvl w:val="0"/>
          <w:numId w:val="68"/>
        </w:numPr>
        <w:rPr>
          <w:rFonts w:ascii="Arial" w:cs="Arial" w:eastAsia="Arial" w:hAnsi="Arial"/>
          <w:sz w:val="20"/>
          <w:szCs w:val="20"/>
          <w:color w:val="231F20"/>
        </w:rPr>
      </w:pPr>
      <w:r>
        <w:rPr>
          <w:rFonts w:ascii="Arial" w:cs="Arial" w:eastAsia="Arial" w:hAnsi="Arial"/>
          <w:sz w:val="20"/>
          <w:szCs w:val="20"/>
          <w:color w:val="231F20"/>
        </w:rPr>
        <w:t>other technical amendments.</w:t>
      </w:r>
    </w:p>
    <w:p>
      <w:pPr>
        <w:spacing w:after="0" w:line="217" w:lineRule="exact"/>
        <w:rPr>
          <w:sz w:val="20"/>
          <w:szCs w:val="20"/>
          <w:color w:val="auto"/>
        </w:rPr>
      </w:pPr>
    </w:p>
    <w:p>
      <w:pPr>
        <w:ind w:right="20" w:firstLine="300"/>
        <w:spacing w:after="0" w:line="243" w:lineRule="auto"/>
        <w:rPr>
          <w:sz w:val="20"/>
          <w:szCs w:val="20"/>
          <w:color w:val="auto"/>
        </w:rPr>
      </w:pPr>
      <w:r>
        <w:rPr>
          <w:rFonts w:ascii="Arial" w:cs="Arial" w:eastAsia="Arial" w:hAnsi="Arial"/>
          <w:sz w:val="20"/>
          <w:szCs w:val="20"/>
          <w:color w:val="231F20"/>
        </w:rPr>
        <w:t>We capitalized approximately $7 million in financing fees related to this amendment to other assets on our consolidated statement of financial position.</w:t>
      </w:r>
    </w:p>
    <w:p>
      <w:pPr>
        <w:spacing w:after="0" w:line="214" w:lineRule="exact"/>
        <w:rPr>
          <w:sz w:val="20"/>
          <w:szCs w:val="20"/>
          <w:color w:val="auto"/>
        </w:rPr>
      </w:pPr>
    </w:p>
    <w:p>
      <w:pPr>
        <w:ind w:firstLine="300"/>
        <w:spacing w:after="0" w:line="246" w:lineRule="auto"/>
        <w:rPr>
          <w:sz w:val="20"/>
          <w:szCs w:val="20"/>
          <w:color w:val="auto"/>
        </w:rPr>
      </w:pPr>
      <w:r>
        <w:rPr>
          <w:rFonts w:ascii="Arial" w:cs="Arial" w:eastAsia="Arial" w:hAnsi="Arial"/>
          <w:sz w:val="20"/>
          <w:szCs w:val="20"/>
          <w:color w:val="231F20"/>
        </w:rPr>
        <w:t>In September 2025, in connection with the Berry Merger, we entered into a sixth amendment to our Revolving Credit Facility to, among other things, allow for the incurrence of the 2034 Senior Notes without a corresponding reduction in our existing borrowing base.</w:t>
      </w:r>
    </w:p>
    <w:p>
      <w:pPr>
        <w:spacing w:after="0" w:line="213" w:lineRule="exact"/>
        <w:rPr>
          <w:sz w:val="20"/>
          <w:szCs w:val="20"/>
          <w:color w:val="auto"/>
        </w:rPr>
      </w:pPr>
    </w:p>
    <w:p>
      <w:pPr>
        <w:ind w:right="100" w:firstLine="300"/>
        <w:spacing w:after="0" w:line="246" w:lineRule="auto"/>
        <w:rPr>
          <w:sz w:val="20"/>
          <w:szCs w:val="20"/>
          <w:color w:val="auto"/>
        </w:rPr>
      </w:pPr>
      <w:r>
        <w:rPr>
          <w:rFonts w:ascii="Arial" w:cs="Arial" w:eastAsia="Arial" w:hAnsi="Arial"/>
          <w:sz w:val="20"/>
          <w:szCs w:val="20"/>
          <w:color w:val="231F20"/>
        </w:rPr>
        <w:t>In October 2025, we entered into a seventh amendment to our Revolving Credit Facility to, among other things, (i) add certain new lenders to the facility, and (ii) increase the aggregate elected commitment from $1.15 billion to $1.45 billion.</w:t>
      </w:r>
    </w:p>
    <w:p>
      <w:pPr>
        <w:spacing w:after="0" w:line="213" w:lineRule="exact"/>
        <w:rPr>
          <w:sz w:val="20"/>
          <w:szCs w:val="20"/>
          <w:color w:val="auto"/>
        </w:rPr>
      </w:pPr>
    </w:p>
    <w:p>
      <w:pPr>
        <w:ind w:right="600" w:firstLine="300"/>
        <w:spacing w:after="0" w:line="247" w:lineRule="auto"/>
        <w:rPr>
          <w:sz w:val="20"/>
          <w:szCs w:val="20"/>
          <w:color w:val="auto"/>
        </w:rPr>
      </w:pPr>
      <w:r>
        <w:rPr>
          <w:rFonts w:ascii="Arial" w:cs="Arial" w:eastAsia="Arial" w:hAnsi="Arial"/>
          <w:sz w:val="20"/>
          <w:szCs w:val="20"/>
          <w:color w:val="231F20"/>
        </w:rPr>
        <w:t>In December 2025, we entered into an eighth amendment to our Revolving Credit Facility to, among other things, (i) add a new lender to the facility, and (ii) increase the aggregate elected commitment from $1.45 billion to $1.46 billion.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2026 Senior Notes</w:t>
      </w:r>
    </w:p>
    <w:p>
      <w:pPr>
        <w:spacing w:after="0" w:line="215" w:lineRule="exact"/>
        <w:rPr>
          <w:sz w:val="20"/>
          <w:szCs w:val="20"/>
          <w:color w:val="auto"/>
        </w:rPr>
      </w:pPr>
    </w:p>
    <w:p>
      <w:pPr>
        <w:ind w:right="40" w:firstLine="300"/>
        <w:spacing w:after="0" w:line="247" w:lineRule="auto"/>
        <w:rPr>
          <w:sz w:val="20"/>
          <w:szCs w:val="20"/>
          <w:color w:val="auto"/>
        </w:rPr>
      </w:pPr>
      <w:r>
        <w:rPr>
          <w:rFonts w:ascii="Arial" w:cs="Arial" w:eastAsia="Arial" w:hAnsi="Arial"/>
          <w:sz w:val="20"/>
          <w:szCs w:val="20"/>
          <w:color w:val="231F20"/>
        </w:rPr>
        <w:t>In February 2025, we redeemed $123 million of our 7.125% senior notes due 2026 (2026 Senior Notes) at 100% of the principal amount, resulting in an extinguishment loss in the amount of $1 million for the write-off of unamortized debt issuance costs.</w:t>
      </w:r>
    </w:p>
    <w:p>
      <w:pPr>
        <w:spacing w:after="0" w:line="210" w:lineRule="exact"/>
        <w:rPr>
          <w:sz w:val="20"/>
          <w:szCs w:val="20"/>
          <w:color w:val="auto"/>
        </w:rPr>
      </w:pPr>
    </w:p>
    <w:p>
      <w:pPr>
        <w:ind w:right="60" w:firstLine="300"/>
        <w:spacing w:after="0" w:line="247" w:lineRule="auto"/>
        <w:rPr>
          <w:sz w:val="20"/>
          <w:szCs w:val="20"/>
          <w:color w:val="auto"/>
        </w:rPr>
      </w:pPr>
      <w:r>
        <w:rPr>
          <w:rFonts w:ascii="Arial" w:cs="Arial" w:eastAsia="Arial" w:hAnsi="Arial"/>
          <w:sz w:val="20"/>
          <w:szCs w:val="20"/>
          <w:color w:val="231F20"/>
        </w:rPr>
        <w:t>In October 2025, we redeemed $122 million of our 2026 Senior Notes at 100% of the principal amount, resulting in an insignificant extinguishment loss for the write-off of unamortized debt issuance costs. Following this redemption, none of our 2026 Senior Notes were outstanding.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2029 Notes Offering and Follow-On Offering</w:t>
      </w:r>
    </w:p>
    <w:p>
      <w:pPr>
        <w:spacing w:after="0" w:line="215"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 xml:space="preserve">In June 2024, we completed the offering of $600 million in aggregate principal amount of the 2029 Senior Notes. The terms of the 2029 Senior Notes are governed by the indenture, dated as of June 5, 2024, by and among us, the guarantors and Wilmington Trust, National Association, as trustee (2029 Senior Notes Indenture). The net proceeds of $590 million, after $10 million of debt discount and issuance costs, were used along with available cash to repay all of Aera’s outstanding debt for approximately $990 million at closing of the Aera Merger. See </w:t>
      </w:r>
      <w:r>
        <w:rPr>
          <w:rFonts w:ascii="Arial" w:cs="Arial" w:eastAsia="Arial" w:hAnsi="Arial"/>
          <w:sz w:val="20"/>
          <w:szCs w:val="20"/>
          <w:i w:val="1"/>
          <w:iCs w:val="1"/>
          <w:color w:val="231F20"/>
        </w:rPr>
        <w:t>Note 2 Business Combinations</w:t>
      </w:r>
      <w:r>
        <w:rPr>
          <w:rFonts w:ascii="Arial" w:cs="Arial" w:eastAsia="Arial" w:hAnsi="Arial"/>
          <w:sz w:val="20"/>
          <w:szCs w:val="20"/>
          <w:color w:val="231F20"/>
        </w:rPr>
        <w:t xml:space="preserve"> for more information on the Aera Merger.</w:t>
      </w:r>
    </w:p>
    <w:p>
      <w:pPr>
        <w:spacing w:after="0" w:line="210" w:lineRule="exact"/>
        <w:rPr>
          <w:sz w:val="20"/>
          <w:szCs w:val="20"/>
          <w:color w:val="auto"/>
        </w:rPr>
      </w:pPr>
    </w:p>
    <w:p>
      <w:pPr>
        <w:ind w:right="200" w:firstLine="300"/>
        <w:spacing w:after="0" w:line="263" w:lineRule="auto"/>
        <w:rPr>
          <w:sz w:val="20"/>
          <w:szCs w:val="20"/>
          <w:color w:val="auto"/>
        </w:rPr>
      </w:pPr>
      <w:r>
        <w:rPr>
          <w:rFonts w:ascii="Arial" w:cs="Arial" w:eastAsia="Arial" w:hAnsi="Arial"/>
          <w:sz w:val="19"/>
          <w:szCs w:val="19"/>
          <w:color w:val="231F20"/>
        </w:rPr>
        <w:t>On August 22, 2024, we completed a follow-on offering of an additional $300 million in aggregate principal amount of 2029 Senior Notes. The net proceeds from this offering of $298 million, after</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231F20"/>
        </w:rPr>
        <w:t>$3 million of debt premium and $5 million of debt issuance costs, were used to repurchase a portion of our 2026 Senior Notes. The 2029 Senior Notes issued on August 22, 2024 are governed by the same indenture as the $600 million of 2029 Senior Notes that were previously issued on June 5, 2024.</w:t>
      </w:r>
    </w:p>
    <w:p>
      <w:pPr>
        <w:spacing w:after="0" w:line="211" w:lineRule="exact"/>
        <w:rPr>
          <w:sz w:val="20"/>
          <w:szCs w:val="20"/>
          <w:color w:val="auto"/>
        </w:rPr>
      </w:pPr>
    </w:p>
    <w:p>
      <w:pPr>
        <w:ind w:right="280" w:firstLine="300"/>
        <w:spacing w:after="0" w:line="247" w:lineRule="auto"/>
        <w:rPr>
          <w:sz w:val="20"/>
          <w:szCs w:val="20"/>
          <w:color w:val="auto"/>
        </w:rPr>
      </w:pPr>
      <w:r>
        <w:rPr>
          <w:rFonts w:ascii="Arial" w:cs="Arial" w:eastAsia="Arial" w:hAnsi="Arial"/>
          <w:sz w:val="20"/>
          <w:szCs w:val="20"/>
          <w:i w:val="1"/>
          <w:iCs w:val="1"/>
          <w:color w:val="231F20"/>
        </w:rPr>
        <w:t xml:space="preserve">Security </w:t>
      </w:r>
      <w:r>
        <w:rPr>
          <w:rFonts w:ascii="Arial" w:cs="Arial" w:eastAsia="Arial" w:hAnsi="Arial"/>
          <w:sz w:val="20"/>
          <w:szCs w:val="20"/>
          <w:color w:val="231F20"/>
        </w:rPr>
        <w:t>– Our 2029 Senior Notes are general unsecured obligations which are guaranteed on a</w:t>
      </w:r>
      <w:r>
        <w:rPr>
          <w:rFonts w:ascii="Arial" w:cs="Arial" w:eastAsia="Arial" w:hAnsi="Arial"/>
          <w:sz w:val="20"/>
          <w:szCs w:val="20"/>
          <w:i w:val="1"/>
          <w:iCs w:val="1"/>
          <w:color w:val="231F20"/>
        </w:rPr>
        <w:t xml:space="preserve"> </w:t>
      </w:r>
      <w:r>
        <w:rPr>
          <w:rFonts w:ascii="Arial" w:cs="Arial" w:eastAsia="Arial" w:hAnsi="Arial"/>
          <w:sz w:val="20"/>
          <w:szCs w:val="20"/>
          <w:color w:val="231F20"/>
        </w:rPr>
        <w:t>senior unsecured basis by all of our existing subsidiaries that guarantee our obligations under the Revolving Credit Facility and our existing 2026 Senior Notes.</w:t>
      </w:r>
    </w:p>
    <w:p>
      <w:pPr>
        <w:sectPr>
          <w:pgSz w:w="11880" w:h="15480" w:orient="portrait"/>
          <w:cols w:equalWidth="0" w:num="1">
            <w:col w:w="9060"/>
          </w:cols>
          <w:pgMar w:left="1380" w:top="1310" w:right="144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231F20"/>
        </w:rPr>
        <w:t>116</w:t>
      </w:r>
    </w:p>
    <w:p>
      <w:pPr>
        <w:sectPr>
          <w:pgSz w:w="11880" w:h="15480" w:orient="portrait"/>
          <w:cols w:equalWidth="0" w:num="1">
            <w:col w:w="9060"/>
          </w:cols>
          <w:pgMar w:left="1380" w:top="1310" w:right="1440" w:bottom="660" w:gutter="0" w:footer="0" w:header="0"/>
          <w:type w:val="continuous"/>
        </w:sectPr>
      </w:pPr>
    </w:p>
    <w:bookmarkStart w:id="120" w:name="page121"/>
    <w:bookmarkEnd w:id="120"/>
    <w:p>
      <w:pPr>
        <w:ind w:right="80" w:firstLine="300"/>
        <w:spacing w:after="0" w:line="247" w:lineRule="auto"/>
        <w:rPr>
          <w:sz w:val="20"/>
          <w:szCs w:val="20"/>
          <w:color w:val="auto"/>
        </w:rPr>
      </w:pPr>
      <w:r>
        <w:rPr>
          <w:rFonts w:ascii="Arial" w:cs="Arial" w:eastAsia="Arial" w:hAnsi="Arial"/>
          <w:sz w:val="20"/>
          <w:szCs w:val="20"/>
          <w:i w:val="1"/>
          <w:iCs w:val="1"/>
          <w:color w:val="231F20"/>
        </w:rPr>
        <w:t xml:space="preserve">Redemption </w:t>
      </w:r>
      <w:r>
        <w:rPr>
          <w:rFonts w:ascii="Arial" w:cs="Arial" w:eastAsia="Arial" w:hAnsi="Arial"/>
          <w:sz w:val="20"/>
          <w:szCs w:val="20"/>
          <w:color w:val="231F20"/>
        </w:rPr>
        <w:t>– We may redeem the 2029 Senior Notes at any time on or after June 15, 2026 at the</w:t>
      </w:r>
      <w:r>
        <w:rPr>
          <w:rFonts w:ascii="Arial" w:cs="Arial" w:eastAsia="Arial" w:hAnsi="Arial"/>
          <w:sz w:val="20"/>
          <w:szCs w:val="20"/>
          <w:i w:val="1"/>
          <w:iCs w:val="1"/>
          <w:color w:val="231F20"/>
        </w:rPr>
        <w:t xml:space="preserve"> </w:t>
      </w:r>
      <w:r>
        <w:rPr>
          <w:rFonts w:ascii="Arial" w:cs="Arial" w:eastAsia="Arial" w:hAnsi="Arial"/>
          <w:sz w:val="20"/>
          <w:szCs w:val="20"/>
          <w:color w:val="231F20"/>
        </w:rPr>
        <w:t>redemption prices of (i) 104.125% during the twelve-month period beginning on June 15, 2026, (ii)</w:t>
      </w:r>
    </w:p>
    <w:p>
      <w:pPr>
        <w:spacing w:after="0" w:line="11" w:lineRule="exact"/>
        <w:rPr>
          <w:sz w:val="20"/>
          <w:szCs w:val="20"/>
          <w:color w:val="auto"/>
        </w:rPr>
      </w:pPr>
    </w:p>
    <w:p>
      <w:pPr>
        <w:spacing w:after="0" w:line="248" w:lineRule="auto"/>
        <w:rPr>
          <w:sz w:val="20"/>
          <w:szCs w:val="20"/>
          <w:color w:val="auto"/>
        </w:rPr>
      </w:pPr>
      <w:r>
        <w:rPr>
          <w:rFonts w:ascii="Arial" w:cs="Arial" w:eastAsia="Arial" w:hAnsi="Arial"/>
          <w:sz w:val="20"/>
          <w:szCs w:val="20"/>
          <w:color w:val="231F20"/>
        </w:rPr>
        <w:t>102.063% during the twelve-month period beginning on June 15, 2027 and (iii) 100% after June 15, 2028 and before the maturity date. Prior to June 15, 2026, we may redeem up to 35% of the aggregate principal amount of the 2029 Senior Notes with an amount of cash not greater than the net cash proceeds from certain equity offerings at the redemption price of 108.250%. In addition, before</w:t>
      </w:r>
    </w:p>
    <w:p>
      <w:pPr>
        <w:spacing w:after="0" w:line="9"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231F20"/>
        </w:rPr>
        <w:t>June 15, 2026, we may redeem some or all of the 2029 Senior Notes at a redemption price equal to 100% of the aggregate principal amount of the 2029 Senior Notes redeemed, plus the applicable premium as specified in the 2029 Senior Notes Indenture and accrued and unpaid interest, if any, to, but excluding, the redemption date.</w:t>
      </w:r>
    </w:p>
    <w:p>
      <w:pPr>
        <w:spacing w:after="0" w:line="153"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i w:val="1"/>
          <w:iCs w:val="1"/>
          <w:color w:val="231F20"/>
        </w:rPr>
        <w:t xml:space="preserve">Other Covenants </w:t>
      </w:r>
      <w:r>
        <w:rPr>
          <w:rFonts w:ascii="Arial" w:cs="Arial" w:eastAsia="Arial" w:hAnsi="Arial"/>
          <w:sz w:val="20"/>
          <w:szCs w:val="20"/>
          <w:color w:val="231F20"/>
        </w:rPr>
        <w:t>– Our 2029 Senior Notes include covenants that, among other things, restrict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incur additional indebtedness, issue preferred stock, grant liens, make asset sales and investments, repay existing indebtedness, make subsidiary distributions, and enter into transactions that would result in fundamental changes.</w:t>
      </w:r>
    </w:p>
    <w:p>
      <w:pPr>
        <w:spacing w:after="0" w:line="153" w:lineRule="exact"/>
        <w:rPr>
          <w:sz w:val="20"/>
          <w:szCs w:val="20"/>
          <w:color w:val="auto"/>
        </w:rPr>
      </w:pPr>
    </w:p>
    <w:p>
      <w:pPr>
        <w:ind w:right="20" w:firstLine="300"/>
        <w:spacing w:after="0" w:line="250" w:lineRule="auto"/>
        <w:rPr>
          <w:sz w:val="20"/>
          <w:szCs w:val="20"/>
          <w:color w:val="auto"/>
        </w:rPr>
      </w:pPr>
      <w:r>
        <w:rPr>
          <w:rFonts w:ascii="Arial" w:cs="Arial" w:eastAsia="Arial" w:hAnsi="Arial"/>
          <w:sz w:val="20"/>
          <w:szCs w:val="20"/>
          <w:i w:val="1"/>
          <w:iCs w:val="1"/>
          <w:color w:val="231F20"/>
        </w:rPr>
        <w:t xml:space="preserve">Events of Default and Change of Control </w:t>
      </w:r>
      <w:r>
        <w:rPr>
          <w:rFonts w:ascii="Arial" w:cs="Arial" w:eastAsia="Arial" w:hAnsi="Arial"/>
          <w:sz w:val="20"/>
          <w:szCs w:val="20"/>
          <w:color w:val="231F20"/>
        </w:rPr>
        <w:t>– Our 2029 Senior Notes provide for certain triggering</w:t>
      </w:r>
      <w:r>
        <w:rPr>
          <w:rFonts w:ascii="Arial" w:cs="Arial" w:eastAsia="Arial" w:hAnsi="Arial"/>
          <w:sz w:val="20"/>
          <w:szCs w:val="20"/>
          <w:i w:val="1"/>
          <w:iCs w:val="1"/>
          <w:color w:val="231F20"/>
        </w:rPr>
        <w:t xml:space="preserve"> </w:t>
      </w:r>
      <w:r>
        <w:rPr>
          <w:rFonts w:ascii="Arial" w:cs="Arial" w:eastAsia="Arial" w:hAnsi="Arial"/>
          <w:sz w:val="20"/>
          <w:szCs w:val="20"/>
          <w:color w:val="231F20"/>
        </w:rPr>
        <w:t>events, including upon a change of control, as defined in the indenture, that would require us to repurchase all or any part of the 2029 Senior Notes at a price equal to 101% of the aggregate principal amount plus accrued and unpaid interest.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2034 Senior Notes</w:t>
      </w:r>
    </w:p>
    <w:p>
      <w:pPr>
        <w:spacing w:after="0" w:line="161"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231F20"/>
        </w:rPr>
        <w:t xml:space="preserve">On October 8, 2025, we completed a private offering of $400 million in an aggregate principal amount of 7.000% senior notes due 2034 (2034 Senior Notes). The terms of the 2034 Senior Notes are governed by the Indenture, dated as of October 8, 2025, by and among us, the guarantors and Wilmington Trust, National Association, as trustee (2034 Senior Notes Indenture). The 2034 Senior Notes will mature on January 15, 2034. The net proceeds of $393 million, after $7 million of issuance costs, were used along with available cash to repay all of Berry’s outstanding debt for $449 million at closing of the Berry Merger. See </w:t>
      </w:r>
      <w:r>
        <w:rPr>
          <w:rFonts w:ascii="Arial" w:cs="Arial" w:eastAsia="Arial" w:hAnsi="Arial"/>
          <w:sz w:val="20"/>
          <w:szCs w:val="20"/>
          <w:i w:val="1"/>
          <w:iCs w:val="1"/>
          <w:color w:val="231F20"/>
        </w:rPr>
        <w:t>Note 2 Business Combinations</w:t>
      </w:r>
      <w:r>
        <w:rPr>
          <w:rFonts w:ascii="Arial" w:cs="Arial" w:eastAsia="Arial" w:hAnsi="Arial"/>
          <w:sz w:val="20"/>
          <w:szCs w:val="20"/>
          <w:color w:val="231F20"/>
        </w:rPr>
        <w:t xml:space="preserve"> for more information on the Berry Merger.</w:t>
      </w:r>
    </w:p>
    <w:p>
      <w:pPr>
        <w:spacing w:after="0" w:line="155" w:lineRule="exact"/>
        <w:rPr>
          <w:sz w:val="20"/>
          <w:szCs w:val="20"/>
          <w:color w:val="auto"/>
        </w:rPr>
      </w:pPr>
    </w:p>
    <w:p>
      <w:pPr>
        <w:ind w:right="300" w:firstLine="300"/>
        <w:spacing w:after="0" w:line="249" w:lineRule="auto"/>
        <w:rPr>
          <w:sz w:val="20"/>
          <w:szCs w:val="20"/>
          <w:color w:val="auto"/>
        </w:rPr>
      </w:pPr>
      <w:r>
        <w:rPr>
          <w:rFonts w:ascii="Arial" w:cs="Arial" w:eastAsia="Arial" w:hAnsi="Arial"/>
          <w:sz w:val="20"/>
          <w:szCs w:val="20"/>
          <w:i w:val="1"/>
          <w:iCs w:val="1"/>
          <w:color w:val="231F20"/>
        </w:rPr>
        <w:t xml:space="preserve">Security </w:t>
      </w:r>
      <w:r>
        <w:rPr>
          <w:rFonts w:ascii="Arial" w:cs="Arial" w:eastAsia="Arial" w:hAnsi="Arial"/>
          <w:sz w:val="20"/>
          <w:szCs w:val="20"/>
          <w:color w:val="231F20"/>
        </w:rPr>
        <w:t>– Our 2034 Senior Notes are general unsecured obligations which are guaranteed on a</w:t>
      </w:r>
      <w:r>
        <w:rPr>
          <w:rFonts w:ascii="Arial" w:cs="Arial" w:eastAsia="Arial" w:hAnsi="Arial"/>
          <w:sz w:val="20"/>
          <w:szCs w:val="20"/>
          <w:i w:val="1"/>
          <w:iCs w:val="1"/>
          <w:color w:val="231F20"/>
        </w:rPr>
        <w:t xml:space="preserve"> </w:t>
      </w:r>
      <w:r>
        <w:rPr>
          <w:rFonts w:ascii="Arial" w:cs="Arial" w:eastAsia="Arial" w:hAnsi="Arial"/>
          <w:sz w:val="20"/>
          <w:szCs w:val="20"/>
          <w:color w:val="231F20"/>
        </w:rPr>
        <w:t>senior unsecured basis by all of our existing subsidiaries that guarantee our obligations under the Revolving Credit Facility and our existing 2029 Senior Notes.</w:t>
      </w:r>
    </w:p>
    <w:p>
      <w:pPr>
        <w:spacing w:after="0" w:line="148" w:lineRule="exact"/>
        <w:rPr>
          <w:sz w:val="20"/>
          <w:szCs w:val="20"/>
          <w:color w:val="auto"/>
        </w:rPr>
      </w:pPr>
    </w:p>
    <w:p>
      <w:pPr>
        <w:jc w:val="both"/>
        <w:ind w:right="80" w:firstLine="300"/>
        <w:spacing w:after="0" w:line="247" w:lineRule="auto"/>
        <w:rPr>
          <w:sz w:val="20"/>
          <w:szCs w:val="20"/>
          <w:color w:val="auto"/>
        </w:rPr>
      </w:pPr>
      <w:r>
        <w:rPr>
          <w:rFonts w:ascii="Arial" w:cs="Arial" w:eastAsia="Arial" w:hAnsi="Arial"/>
          <w:sz w:val="20"/>
          <w:szCs w:val="20"/>
          <w:i w:val="1"/>
          <w:iCs w:val="1"/>
          <w:color w:val="231F20"/>
        </w:rPr>
        <w:t xml:space="preserve">Redemption </w:t>
      </w:r>
      <w:r>
        <w:rPr>
          <w:rFonts w:ascii="Arial" w:cs="Arial" w:eastAsia="Arial" w:hAnsi="Arial"/>
          <w:sz w:val="20"/>
          <w:szCs w:val="20"/>
          <w:color w:val="231F20"/>
        </w:rPr>
        <w:t>– We may redeem the 2034 Senior Notes at any time on or after January 15, 2029 at</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redemption prices of (i) 103.500% during the twelve-month period beginning on January 15, 2029,</w:t>
      </w:r>
    </w:p>
    <w:p>
      <w:pPr>
        <w:spacing w:after="0" w:line="11" w:lineRule="exact"/>
        <w:rPr>
          <w:sz w:val="20"/>
          <w:szCs w:val="20"/>
          <w:color w:val="auto"/>
        </w:rPr>
      </w:pPr>
    </w:p>
    <w:p>
      <w:pPr>
        <w:ind w:right="40"/>
        <w:spacing w:after="0" w:line="249" w:lineRule="auto"/>
        <w:tabs>
          <w:tab w:leader="none" w:pos="278" w:val="left"/>
        </w:tabs>
        <w:numPr>
          <w:ilvl w:val="0"/>
          <w:numId w:val="69"/>
        </w:numPr>
        <w:rPr>
          <w:rFonts w:ascii="Arial" w:cs="Arial" w:eastAsia="Arial" w:hAnsi="Arial"/>
          <w:sz w:val="20"/>
          <w:szCs w:val="20"/>
          <w:color w:val="231F20"/>
        </w:rPr>
      </w:pPr>
      <w:r>
        <w:rPr>
          <w:rFonts w:ascii="Arial" w:cs="Arial" w:eastAsia="Arial" w:hAnsi="Arial"/>
          <w:sz w:val="20"/>
          <w:szCs w:val="20"/>
          <w:color w:val="231F20"/>
        </w:rPr>
        <w:t>101.750% during the twelve-month period beginning on January 15, 2030 and (iii) 100.000% after January 15, 2031 and before the maturity date. Prior to January 15, 2029, we may on one or more occasions redeem up to 40% of the aggregate principal amount of the 2034 Senior Notes with an amount not greater than the net cash proceeds of one or more equity offerings at the redemption price of 107.000% provided that (i) at least 60% of the aggregate principal amount of the 2034 Senior Notes originally issued remains outstanding immediately after the redemption and (ii) the redemption occurs within 180 days of the date of the closing of the equity offering.</w:t>
      </w:r>
    </w:p>
    <w:p>
      <w:pPr>
        <w:spacing w:after="0" w:line="156"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231F20"/>
        </w:rPr>
        <w:t>In addition, before January 15, 2029, we may redeem some or all of the 2034 Senior Notes at a redemption price equal to 100% of the aggregate principal amount of the 2034 Senior Notes redeemed, plus the applicable premium as specified in the 2034 Senior Notes Indenture and accrued and unpaid interest, if any, to, but excluding, the redemption date.</w:t>
      </w:r>
    </w:p>
    <w:p>
      <w:pPr>
        <w:spacing w:after="0" w:line="182"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i w:val="1"/>
          <w:iCs w:val="1"/>
          <w:color w:val="231F20"/>
        </w:rPr>
        <w:t xml:space="preserve">Other Covenants </w:t>
      </w:r>
      <w:r>
        <w:rPr>
          <w:rFonts w:ascii="Arial" w:cs="Arial" w:eastAsia="Arial" w:hAnsi="Arial"/>
          <w:sz w:val="20"/>
          <w:szCs w:val="20"/>
          <w:color w:val="231F20"/>
        </w:rPr>
        <w:t>– Our 2034 Senior Notes include covenants that, among other things, restrict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incur additional indebtedness, issue preferred stock, grant liens, make asset sales and investments, repay existing indebtedness, make subsidiary distributions, and enter into transactions that would result in fundamental changes.</w:t>
      </w:r>
    </w:p>
    <w:p>
      <w:pPr>
        <w:sectPr>
          <w:pgSz w:w="11880" w:h="15480" w:orient="portrait"/>
          <w:cols w:equalWidth="0" w:num="1">
            <w:col w:w="9080"/>
          </w:cols>
          <w:pgMar w:left="1380" w:top="1312" w:right="1420" w:bottom="660" w:gutter="0" w:footer="0" w:header="0"/>
        </w:sect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231F20"/>
        </w:rPr>
        <w:t>117</w:t>
      </w:r>
    </w:p>
    <w:p>
      <w:pPr>
        <w:sectPr>
          <w:pgSz w:w="11880" w:h="15480" w:orient="portrait"/>
          <w:cols w:equalWidth="0" w:num="1">
            <w:col w:w="9080"/>
          </w:cols>
          <w:pgMar w:left="1380" w:top="1312" w:right="1420" w:bottom="660" w:gutter="0" w:footer="0" w:header="0"/>
          <w:type w:val="continuous"/>
        </w:sectPr>
      </w:pPr>
    </w:p>
    <w:bookmarkStart w:id="121" w:name="page122"/>
    <w:bookmarkEnd w:id="121"/>
    <w:p>
      <w:pPr>
        <w:ind w:right="160" w:firstLine="300"/>
        <w:spacing w:after="0" w:line="249" w:lineRule="auto"/>
        <w:rPr>
          <w:sz w:val="20"/>
          <w:szCs w:val="20"/>
          <w:color w:val="auto"/>
        </w:rPr>
      </w:pPr>
      <w:r>
        <w:rPr>
          <w:rFonts w:ascii="Arial" w:cs="Arial" w:eastAsia="Arial" w:hAnsi="Arial"/>
          <w:sz w:val="20"/>
          <w:szCs w:val="20"/>
          <w:i w:val="1"/>
          <w:iCs w:val="1"/>
          <w:color w:val="231F20"/>
        </w:rPr>
        <w:t xml:space="preserve">Events of Default and Change of Control </w:t>
      </w:r>
      <w:r>
        <w:rPr>
          <w:rFonts w:ascii="Arial" w:cs="Arial" w:eastAsia="Arial" w:hAnsi="Arial"/>
          <w:sz w:val="20"/>
          <w:szCs w:val="20"/>
          <w:color w:val="231F20"/>
        </w:rPr>
        <w:t>– Our 2034 Senior Notes provide for certain triggering</w:t>
      </w:r>
      <w:r>
        <w:rPr>
          <w:rFonts w:ascii="Arial" w:cs="Arial" w:eastAsia="Arial" w:hAnsi="Arial"/>
          <w:sz w:val="20"/>
          <w:szCs w:val="20"/>
          <w:i w:val="1"/>
          <w:iCs w:val="1"/>
          <w:color w:val="231F20"/>
        </w:rPr>
        <w:t xml:space="preserve"> </w:t>
      </w:r>
      <w:r>
        <w:rPr>
          <w:rFonts w:ascii="Arial" w:cs="Arial" w:eastAsia="Arial" w:hAnsi="Arial"/>
          <w:sz w:val="20"/>
          <w:szCs w:val="20"/>
          <w:color w:val="231F20"/>
        </w:rPr>
        <w:t>events, including upon a change of control, as defined in the 2034 Senior Notes Indenture, that would require us to repurchase all or any part of the 2034 Senior Notes at a price equal to 101% of the aggregate principal amount plus accrued and unpaid interest.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Fair Value</w:t>
      </w:r>
    </w:p>
    <w:p>
      <w:pPr>
        <w:spacing w:after="0" w:line="200" w:lineRule="exact"/>
        <w:rPr>
          <w:sz w:val="20"/>
          <w:szCs w:val="20"/>
          <w:color w:val="auto"/>
        </w:rPr>
      </w:pPr>
    </w:p>
    <w:p>
      <w:pPr>
        <w:ind w:right="280" w:firstLine="300"/>
        <w:spacing w:after="0" w:line="246" w:lineRule="auto"/>
        <w:rPr>
          <w:sz w:val="20"/>
          <w:szCs w:val="20"/>
          <w:color w:val="auto"/>
        </w:rPr>
      </w:pPr>
      <w:r>
        <w:rPr>
          <w:rFonts w:ascii="Arial" w:cs="Arial" w:eastAsia="Arial" w:hAnsi="Arial"/>
          <w:sz w:val="20"/>
          <w:szCs w:val="20"/>
          <w:color w:val="231F20"/>
        </w:rPr>
        <w:t>As shown in the table below, we estimate the fair value of our fixed rate 2029 Senior Notes and 2026 Senior Notes based on known prices from market transactions (using Level 1 inputs on the fair value hierarchy).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1400" w:type="dxa"/>
            <w:vAlign w:val="bottom"/>
            <w:gridSpan w:val="5"/>
          </w:tcPr>
          <w:p>
            <w:pPr>
              <w:ind w:left="100"/>
              <w:spacing w:after="0"/>
              <w:rPr>
                <w:sz w:val="20"/>
                <w:szCs w:val="20"/>
                <w:color w:val="auto"/>
              </w:rPr>
            </w:pPr>
            <w:r>
              <w:rPr>
                <w:rFonts w:ascii="Arial" w:cs="Arial" w:eastAsia="Arial" w:hAnsi="Arial"/>
                <w:sz w:val="20"/>
                <w:szCs w:val="20"/>
                <w:b w:val="1"/>
                <w:bCs w:val="1"/>
                <w:color w:val="231F20"/>
                <w:w w:val="98"/>
              </w:rPr>
              <w:t>December 31,</w:t>
            </w:r>
          </w:p>
        </w:tc>
        <w:tc>
          <w:tcPr>
            <w:tcW w:w="1500" w:type="dxa"/>
            <w:vAlign w:val="bottom"/>
            <w:gridSpan w:val="5"/>
          </w:tcPr>
          <w:p>
            <w:pPr>
              <w:ind w:left="200"/>
              <w:spacing w:after="0"/>
              <w:rPr>
                <w:sz w:val="20"/>
                <w:szCs w:val="20"/>
                <w:color w:val="auto"/>
              </w:rPr>
            </w:pPr>
            <w:r>
              <w:rPr>
                <w:rFonts w:ascii="Arial" w:cs="Arial" w:eastAsia="Arial" w:hAnsi="Arial"/>
                <w:sz w:val="20"/>
                <w:szCs w:val="20"/>
                <w:b w:val="1"/>
                <w:bCs w:val="1"/>
                <w:color w:val="231F20"/>
                <w:w w:val="98"/>
              </w:rPr>
              <w:t>December 31,</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63"/>
              <w:spacing w:after="0" w:line="228" w:lineRule="exact"/>
              <w:rPr>
                <w:sz w:val="20"/>
                <w:szCs w:val="20"/>
                <w:color w:val="auto"/>
              </w:rPr>
            </w:pPr>
            <w:r>
              <w:rPr>
                <w:rFonts w:ascii="Arial" w:cs="Arial" w:eastAsia="Arial" w:hAnsi="Arial"/>
                <w:sz w:val="20"/>
                <w:szCs w:val="20"/>
                <w:b w:val="1"/>
                <w:bCs w:val="1"/>
                <w:color w:val="231F20"/>
              </w:rPr>
              <w:t>2025</w:t>
            </w:r>
          </w:p>
        </w:tc>
        <w:tc>
          <w:tcPr>
            <w:tcW w:w="60" w:type="dxa"/>
            <w:vAlign w:val="bottom"/>
            <w:tcBorders>
              <w:bottom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ind w:right="260"/>
              <w:spacing w:after="0" w:line="228" w:lineRule="exact"/>
              <w:rPr>
                <w:sz w:val="20"/>
                <w:szCs w:val="20"/>
                <w:color w:val="auto"/>
              </w:rPr>
            </w:pPr>
            <w:r>
              <w:rPr>
                <w:rFonts w:ascii="Arial" w:cs="Arial" w:eastAsia="Arial" w:hAnsi="Arial"/>
                <w:sz w:val="20"/>
                <w:szCs w:val="20"/>
                <w:b w:val="1"/>
                <w:bCs w:val="1"/>
                <w:color w:val="231F20"/>
              </w:rPr>
              <w:t>2024</w:t>
            </w:r>
          </w:p>
        </w:tc>
        <w:tc>
          <w:tcPr>
            <w:tcW w:w="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5"/>
          </w:tcPr>
          <w:p>
            <w:pPr>
              <w:jc w:val="right"/>
              <w:ind w:right="60"/>
              <w:spacing w:after="0"/>
              <w:rPr>
                <w:sz w:val="20"/>
                <w:szCs w:val="20"/>
                <w:color w:val="auto"/>
              </w:rPr>
            </w:pPr>
            <w:r>
              <w:rPr>
                <w:rFonts w:ascii="Arial" w:cs="Arial" w:eastAsia="Arial" w:hAnsi="Arial"/>
                <w:sz w:val="16"/>
                <w:szCs w:val="16"/>
                <w:color w:val="231F20"/>
              </w:rPr>
              <w:t>(in millions)</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20" w:type="dxa"/>
            <w:vAlign w:val="bottom"/>
          </w:tcPr>
          <w:p>
            <w:pPr>
              <w:jc w:val="right"/>
              <w:spacing w:after="0"/>
              <w:rPr>
                <w:sz w:val="20"/>
                <w:szCs w:val="20"/>
                <w:color w:val="auto"/>
              </w:rPr>
            </w:pPr>
            <w:r>
              <w:rPr>
                <w:rFonts w:ascii="Arial" w:cs="Arial" w:eastAsia="Arial" w:hAnsi="Arial"/>
                <w:sz w:val="20"/>
                <w:szCs w:val="20"/>
                <w:color w:val="231F20"/>
                <w:w w:val="96"/>
              </w:rPr>
              <w:t>Variable rate debt  . . . . . . . . . . . . . . . . . . . . . . . . . . . . . . . . . . . . . . . . . .</w:t>
            </w:r>
          </w:p>
        </w:tc>
        <w:tc>
          <w:tcPr>
            <w:tcW w:w="420" w:type="dxa"/>
            <w:vAlign w:val="bottom"/>
            <w:gridSpan w:val="3"/>
          </w:tcPr>
          <w:p>
            <w:pPr>
              <w:jc w:val="right"/>
              <w:ind w:right="80"/>
              <w:spacing w:after="0"/>
              <w:rPr>
                <w:sz w:val="20"/>
                <w:szCs w:val="20"/>
                <w:color w:val="auto"/>
              </w:rPr>
            </w:pPr>
            <w:r>
              <w:rPr>
                <w:rFonts w:ascii="Arial" w:cs="Arial" w:eastAsia="Arial" w:hAnsi="Arial"/>
                <w:sz w:val="20"/>
                <w:szCs w:val="20"/>
                <w:color w:val="231F20"/>
              </w:rPr>
              <w:t>$</w:t>
            </w:r>
          </w:p>
        </w:tc>
        <w:tc>
          <w:tcPr>
            <w:tcW w:w="98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56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6220" w:type="dxa"/>
            <w:vAlign w:val="bottom"/>
          </w:tcPr>
          <w:p>
            <w:pPr>
              <w:spacing w:after="0"/>
              <w:rPr>
                <w:sz w:val="20"/>
                <w:szCs w:val="20"/>
                <w:color w:val="auto"/>
              </w:rPr>
            </w:pPr>
            <w:r>
              <w:rPr>
                <w:rFonts w:ascii="Arial" w:cs="Arial" w:eastAsia="Arial" w:hAnsi="Arial"/>
                <w:sz w:val="20"/>
                <w:szCs w:val="20"/>
                <w:color w:val="231F20"/>
              </w:rPr>
              <w:t>Fixed rate debt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9"/>
              </w:rPr>
              <w:t>2026 Senior Notes . . . . . . . . . . . . . . . . . . . . . . . . . . . . . . . . . . . . . . .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231F20"/>
              </w:rPr>
              <w:t>245</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9"/>
              </w:rPr>
              <w:t>2029 Senior Notes . . . . . . . . . . . . . . . . . . . . . . . . . . . . . . . . . . . . . . .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20"/>
                <w:szCs w:val="20"/>
                <w:color w:val="231F20"/>
              </w:rPr>
              <w:t>943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231F20"/>
              </w:rPr>
              <w:t>913</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9"/>
              </w:rPr>
              <w:t>2034 Senior Notes . . . . . . . . . . . . . . . . . . . . . . . . . . . . . . . . . . . . . . .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20"/>
                <w:szCs w:val="20"/>
                <w:color w:val="231F20"/>
              </w:rPr>
              <w:t>394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8"/>
        </w:trPr>
        <w:tc>
          <w:tcPr>
            <w:tcW w:w="6220" w:type="dxa"/>
            <w:vAlign w:val="bottom"/>
            <w:vMerge w:val="restart"/>
          </w:tcPr>
          <w:p>
            <w:pPr>
              <w:spacing w:after="0"/>
              <w:rPr>
                <w:sz w:val="20"/>
                <w:szCs w:val="20"/>
                <w:color w:val="auto"/>
              </w:rPr>
            </w:pPr>
            <w:r>
              <w:rPr>
                <w:rFonts w:ascii="Arial" w:cs="Arial" w:eastAsia="Arial" w:hAnsi="Arial"/>
                <w:sz w:val="20"/>
                <w:szCs w:val="20"/>
                <w:b w:val="1"/>
                <w:bCs w:val="1"/>
                <w:color w:val="231F20"/>
              </w:rPr>
              <w:t>Fair Value of Long-Term Debt</w:t>
            </w:r>
          </w:p>
        </w:tc>
        <w:tc>
          <w:tcPr>
            <w:tcW w:w="160" w:type="dxa"/>
            <w:vAlign w:val="bottom"/>
            <w:gridSpan w:val="2"/>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20" w:type="dxa"/>
            <w:vAlign w:val="bottom"/>
            <w:vMerge w:val="continue"/>
          </w:tcPr>
          <w:p>
            <w:pPr>
              <w:jc w:val="right"/>
              <w:spacing w:after="0"/>
              <w:rPr>
                <w:sz w:val="20"/>
                <w:szCs w:val="20"/>
                <w:color w:val="auto"/>
              </w:rPr>
            </w:pPr>
            <w:r>
              <w:rPr>
                <w:rFonts w:ascii="Arial" w:cs="Arial" w:eastAsia="Arial" w:hAnsi="Arial"/>
                <w:sz w:val="20"/>
                <w:szCs w:val="20"/>
                <w:color w:val="231F20"/>
              </w:rPr>
              <w:t>. . . . . . . . . . . . . . . . . . . . . . . . . . . . . . .</w:t>
            </w:r>
          </w:p>
        </w:tc>
        <w:tc>
          <w:tcPr>
            <w:tcW w:w="420" w:type="dxa"/>
            <w:vAlign w:val="bottom"/>
            <w:gridSpan w:val="3"/>
          </w:tcPr>
          <w:p>
            <w:pPr>
              <w:jc w:val="right"/>
              <w:ind w:right="8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1,337</w:t>
            </w:r>
          </w:p>
        </w:tc>
        <w:tc>
          <w:tcPr>
            <w:tcW w:w="60" w:type="dxa"/>
            <w:vAlign w:val="bottom"/>
          </w:tcPr>
          <w:p>
            <w:pPr>
              <w:spacing w:after="0"/>
              <w:rPr>
                <w:sz w:val="23"/>
                <w:szCs w:val="2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231F20"/>
              </w:rPr>
              <w:t>1,158</w:t>
            </w:r>
          </w:p>
        </w:tc>
        <w:tc>
          <w:tcPr>
            <w:tcW w:w="0" w:type="dxa"/>
            <w:vAlign w:val="bottom"/>
          </w:tcPr>
          <w:p>
            <w:pPr>
              <w:spacing w:after="0"/>
              <w:rPr>
                <w:sz w:val="1"/>
                <w:szCs w:val="1"/>
                <w:color w:val="auto"/>
              </w:rPr>
            </w:pPr>
          </w:p>
        </w:tc>
      </w:tr>
      <w:tr>
        <w:trPr>
          <w:trHeight w:val="30"/>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Other</w:t>
      </w:r>
    </w:p>
    <w:p>
      <w:pPr>
        <w:spacing w:after="0" w:line="200" w:lineRule="exact"/>
        <w:rPr>
          <w:sz w:val="20"/>
          <w:szCs w:val="20"/>
          <w:color w:val="auto"/>
        </w:rPr>
      </w:pPr>
    </w:p>
    <w:p>
      <w:pPr>
        <w:ind w:right="440" w:firstLine="300"/>
        <w:spacing w:after="0" w:line="246" w:lineRule="auto"/>
        <w:rPr>
          <w:sz w:val="20"/>
          <w:szCs w:val="20"/>
          <w:color w:val="auto"/>
        </w:rPr>
      </w:pPr>
      <w:r>
        <w:rPr>
          <w:rFonts w:ascii="Arial" w:cs="Arial" w:eastAsia="Arial" w:hAnsi="Arial"/>
          <w:sz w:val="20"/>
          <w:szCs w:val="20"/>
          <w:color w:val="231F20"/>
        </w:rPr>
        <w:t xml:space="preserve">At December 31, 2025, all obligations under our Revolving Credit Facility and Senior Notes are guaranteed by certain of our material wholly owned subsidiaries. See </w:t>
      </w:r>
      <w:r>
        <w:rPr>
          <w:rFonts w:ascii="Arial" w:cs="Arial" w:eastAsia="Arial" w:hAnsi="Arial"/>
          <w:sz w:val="20"/>
          <w:szCs w:val="20"/>
          <w:i w:val="1"/>
          <w:iCs w:val="1"/>
          <w:color w:val="231F20"/>
        </w:rPr>
        <w:t>Note 18 Condensed</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Consolidating Financial Information </w:t>
      </w:r>
      <w:r>
        <w:rPr>
          <w:rFonts w:ascii="Arial" w:cs="Arial" w:eastAsia="Arial" w:hAnsi="Arial"/>
          <w:sz w:val="20"/>
          <w:szCs w:val="20"/>
          <w:color w:val="231F20"/>
        </w:rPr>
        <w:t>for additional information.</w:t>
      </w:r>
    </w:p>
    <w:p>
      <w:pPr>
        <w:spacing w:after="0" w:line="198" w:lineRule="exact"/>
        <w:rPr>
          <w:sz w:val="20"/>
          <w:szCs w:val="20"/>
          <w:color w:val="auto"/>
        </w:rPr>
      </w:pPr>
    </w:p>
    <w:p>
      <w:pPr>
        <w:ind w:right="520" w:firstLine="300"/>
        <w:spacing w:after="0" w:line="243" w:lineRule="auto"/>
        <w:rPr>
          <w:sz w:val="20"/>
          <w:szCs w:val="20"/>
          <w:color w:val="auto"/>
        </w:rPr>
      </w:pPr>
      <w:r>
        <w:rPr>
          <w:rFonts w:ascii="Arial" w:cs="Arial" w:eastAsia="Arial" w:hAnsi="Arial"/>
          <w:sz w:val="20"/>
          <w:szCs w:val="20"/>
          <w:color w:val="231F20"/>
        </w:rPr>
        <w:t>The terms and conditions of all of our indebtedness are subject to additional qualifications and limitations that are set forth in the relevant governing documents.</w:t>
      </w:r>
    </w:p>
    <w:p>
      <w:pPr>
        <w:spacing w:after="0" w:line="199" w:lineRule="exact"/>
        <w:rPr>
          <w:sz w:val="20"/>
          <w:szCs w:val="20"/>
          <w:color w:val="auto"/>
        </w:rPr>
      </w:pPr>
    </w:p>
    <w:p>
      <w:pPr>
        <w:ind w:right="180" w:firstLine="300"/>
        <w:spacing w:after="0" w:line="243" w:lineRule="auto"/>
        <w:rPr>
          <w:sz w:val="20"/>
          <w:szCs w:val="20"/>
          <w:color w:val="auto"/>
        </w:rPr>
      </w:pPr>
      <w:r>
        <w:rPr>
          <w:rFonts w:ascii="Arial" w:cs="Arial" w:eastAsia="Arial" w:hAnsi="Arial"/>
          <w:sz w:val="20"/>
          <w:szCs w:val="20"/>
          <w:color w:val="231F20"/>
        </w:rPr>
        <w:t>At December 31, 2025, we were in compliance with all debt covenants under our Revolving Credit Facility.</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231F20"/>
        </w:rPr>
        <w:t>NOTE 6</w:t>
        <w:tab/>
        <w:t>LAWSUITS, CLAIMS, COMMITMENTS AND CONTINGENCIES</w:t>
      </w:r>
    </w:p>
    <w:p>
      <w:pPr>
        <w:spacing w:after="0" w:line="202"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231F20"/>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4"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We accrue reserves for currently outstanding lawsuits, claims and proceedings when it is probable that a liability has been incurred and the liability can be reasonably estimated. Reserve balances at December 31, 2025 and 2024 were not material to our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193"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w:t>
      </w:r>
    </w:p>
    <w:p>
      <w:pPr>
        <w:sectPr>
          <w:pgSz w:w="11880" w:h="15480" w:orient="portrait"/>
          <w:cols w:equalWidth="0" w:num="1">
            <w:col w:w="9120"/>
          </w:cols>
          <w:pgMar w:left="1380" w:top="1312" w:right="1380" w:bottom="66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118</w:t>
      </w:r>
    </w:p>
    <w:p>
      <w:pPr>
        <w:sectPr>
          <w:pgSz w:w="11880" w:h="15480" w:orient="portrait"/>
          <w:cols w:equalWidth="0" w:num="1">
            <w:col w:w="9120"/>
          </w:cols>
          <w:pgMar w:left="1380" w:top="1312" w:right="1380" w:bottom="660" w:gutter="0" w:footer="0" w:header="0"/>
          <w:type w:val="continuous"/>
        </w:sectPr>
      </w:pPr>
    </w:p>
    <w:bookmarkStart w:id="122" w:name="page123"/>
    <w:bookmarkEnd w:id="122"/>
    <w:p>
      <w:pPr>
        <w:ind w:right="20"/>
        <w:spacing w:after="0" w:line="249" w:lineRule="auto"/>
        <w:rPr>
          <w:sz w:val="20"/>
          <w:szCs w:val="20"/>
          <w:color w:val="auto"/>
        </w:rPr>
      </w:pPr>
      <w:r>
        <w:rPr>
          <w:rFonts w:ascii="Arial" w:cs="Arial" w:eastAsia="Arial" w:hAnsi="Arial"/>
          <w:sz w:val="20"/>
          <w:szCs w:val="20"/>
          <w:color w:val="231F20"/>
        </w:rPr>
        <w:t>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In September 2025, the parties amended the cost sharing agreement to include well abandonment work. As of December 31, 2025, we recognized a liability of $12 million, included in accrued liabilities in our consolidated balance sheet related to this abandonment work. For the year ended December 31, 2025 and 2024, other operating expenses, net on our consolidated statements of operations includes $19 million and $5 million, respectively, for our ongoing share of maintenance costs and well abandonment work. We continue to challenge the BSEE order.</w:t>
      </w:r>
    </w:p>
    <w:p>
      <w:pPr>
        <w:spacing w:after="0" w:line="213"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In 2023 and 2024, the California Geologic Energy Management Division (CalGEM) plugged and abandoned approximately 120 “orphaned” oil and gas wells located in Cat Canyon, Santa Barbara County, at an aggregate cost of $25 million. These wells had previously been operated by us prior to being sold to their current operators. CalGEM is seeking to recover these costs from us due to our prior operatorship of the wells, and we are disputing these claims. In connection with this dispute, we were required to remit $25 million to CalGEM under protest pending the outcome of this matter. For the year ended December 31, 2025, other operating expenses, net on our consolidated statement of operations includes $25 million related to this matter.</w:t>
      </w:r>
    </w:p>
    <w:p>
      <w:pPr>
        <w:spacing w:after="0" w:line="211"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We have certain commitments under contracts, including drilling commitments of $8 million in 2026 and $9 million in 2027 and purchase commitments for goods and services used in the normal course of business such as pipeline capacity, easements, obligations under long-term service agreements and field equipment.</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At December 31, 2025, total purchase obligations on a discounted basis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400" w:type="dxa"/>
            <w:vAlign w:val="bottom"/>
            <w:gridSpan w:val="5"/>
          </w:tcPr>
          <w:p>
            <w:pPr>
              <w:jc w:val="center"/>
              <w:spacing w:after="0"/>
              <w:rPr>
                <w:sz w:val="20"/>
                <w:szCs w:val="20"/>
                <w:color w:val="auto"/>
              </w:rPr>
            </w:pPr>
            <w:r>
              <w:rPr>
                <w:rFonts w:ascii="Arial" w:cs="Arial" w:eastAsia="Arial" w:hAnsi="Arial"/>
                <w:sz w:val="20"/>
                <w:szCs w:val="20"/>
                <w:b w:val="1"/>
                <w:bCs w:val="1"/>
                <w:color w:val="231F20"/>
                <w:w w:val="99"/>
              </w:rPr>
              <w:t>December 31,</w:t>
            </w:r>
          </w:p>
        </w:tc>
      </w:tr>
      <w:tr>
        <w:trPr>
          <w:trHeight w:val="246"/>
        </w:trPr>
        <w:tc>
          <w:tcPr>
            <w:tcW w:w="7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center"/>
              <w:ind w:right="42"/>
              <w:spacing w:after="0" w:line="228" w:lineRule="exact"/>
              <w:rPr>
                <w:sz w:val="20"/>
                <w:szCs w:val="20"/>
                <w:color w:val="auto"/>
              </w:rPr>
            </w:pPr>
            <w:r>
              <w:rPr>
                <w:rFonts w:ascii="Arial" w:cs="Arial" w:eastAsia="Arial" w:hAnsi="Arial"/>
                <w:sz w:val="20"/>
                <w:szCs w:val="20"/>
                <w:b w:val="1"/>
                <w:bCs w:val="1"/>
                <w:color w:val="231F20"/>
              </w:rPr>
              <w:t>2025</w:t>
            </w:r>
          </w:p>
        </w:tc>
        <w:tc>
          <w:tcPr>
            <w:tcW w:w="80" w:type="dxa"/>
            <w:vAlign w:val="bottom"/>
            <w:tcBorders>
              <w:bottom w:val="single" w:sz="8" w:color="231F20"/>
            </w:tcBorders>
          </w:tcPr>
          <w:p>
            <w:pPr>
              <w:spacing w:after="0"/>
              <w:rPr>
                <w:sz w:val="21"/>
                <w:szCs w:val="21"/>
                <w:color w:val="auto"/>
              </w:rPr>
            </w:pPr>
          </w:p>
        </w:tc>
      </w:tr>
      <w:tr>
        <w:trPr>
          <w:trHeight w:val="192"/>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231F20"/>
              </w:rPr>
              <w:t>(in millions)</w:t>
            </w:r>
          </w:p>
        </w:tc>
      </w:tr>
      <w:tr>
        <w:trPr>
          <w:trHeight w:val="250"/>
        </w:trPr>
        <w:tc>
          <w:tcPr>
            <w:tcW w:w="7720" w:type="dxa"/>
            <w:vAlign w:val="bottom"/>
          </w:tcPr>
          <w:p>
            <w:pPr>
              <w:jc w:val="right"/>
              <w:spacing w:after="0"/>
              <w:rPr>
                <w:sz w:val="20"/>
                <w:szCs w:val="20"/>
                <w:color w:val="auto"/>
              </w:rPr>
            </w:pPr>
            <w:r>
              <w:rPr>
                <w:rFonts w:ascii="Arial" w:cs="Arial" w:eastAsia="Arial" w:hAnsi="Arial"/>
                <w:sz w:val="20"/>
                <w:szCs w:val="20"/>
                <w:color w:val="231F20"/>
                <w:w w:val="95"/>
              </w:rPr>
              <w:t>2026  . . . . . . . . . . . . . . . . . . . . . . . . . . . . . . . . . . . . . . . . . . . . . . . . . . . . . . . . . . . . . . . . . . .</w:t>
            </w:r>
          </w:p>
        </w:tc>
        <w:tc>
          <w:tcPr>
            <w:tcW w:w="320" w:type="dxa"/>
            <w:vAlign w:val="bottom"/>
            <w:gridSpan w:val="3"/>
          </w:tcPr>
          <w:p>
            <w:pPr>
              <w:jc w:val="right"/>
              <w:ind w:right="20"/>
              <w:spacing w:after="0"/>
              <w:rPr>
                <w:sz w:val="20"/>
                <w:szCs w:val="20"/>
                <w:color w:val="auto"/>
              </w:rPr>
            </w:pPr>
            <w:r>
              <w:rPr>
                <w:rFonts w:ascii="Arial" w:cs="Arial" w:eastAsia="Arial" w:hAnsi="Arial"/>
                <w:sz w:val="20"/>
                <w:szCs w:val="20"/>
                <w:color w:val="231F20"/>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69</w:t>
            </w:r>
          </w:p>
        </w:tc>
        <w:tc>
          <w:tcPr>
            <w:tcW w:w="80" w:type="dxa"/>
            <w:vAlign w:val="bottom"/>
          </w:tcPr>
          <w:p>
            <w:pPr>
              <w:spacing w:after="0"/>
              <w:rPr>
                <w:sz w:val="21"/>
                <w:szCs w:val="21"/>
                <w:color w:val="auto"/>
              </w:rPr>
            </w:pPr>
          </w:p>
        </w:tc>
      </w:tr>
      <w:tr>
        <w:trPr>
          <w:trHeight w:val="240"/>
        </w:trPr>
        <w:tc>
          <w:tcPr>
            <w:tcW w:w="7720" w:type="dxa"/>
            <w:vAlign w:val="bottom"/>
          </w:tcPr>
          <w:p>
            <w:pPr>
              <w:jc w:val="right"/>
              <w:spacing w:after="0"/>
              <w:rPr>
                <w:sz w:val="20"/>
                <w:szCs w:val="20"/>
                <w:color w:val="auto"/>
              </w:rPr>
            </w:pPr>
            <w:r>
              <w:rPr>
                <w:rFonts w:ascii="Arial" w:cs="Arial" w:eastAsia="Arial" w:hAnsi="Arial"/>
                <w:sz w:val="20"/>
                <w:szCs w:val="20"/>
                <w:color w:val="231F20"/>
                <w:w w:val="95"/>
              </w:rPr>
              <w:t>2027  . . . . . . . . . . . . . . . . . . . . . . . . . . . . . . . . . . . . . . . . . . . . . . . . . . . . . . . . . . . . . . . . . . .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36</w:t>
            </w:r>
          </w:p>
        </w:tc>
        <w:tc>
          <w:tcPr>
            <w:tcW w:w="80" w:type="dxa"/>
            <w:vAlign w:val="bottom"/>
          </w:tcPr>
          <w:p>
            <w:pPr>
              <w:spacing w:after="0"/>
              <w:rPr>
                <w:sz w:val="20"/>
                <w:szCs w:val="20"/>
                <w:color w:val="auto"/>
              </w:rPr>
            </w:pPr>
          </w:p>
        </w:tc>
      </w:tr>
      <w:tr>
        <w:trPr>
          <w:trHeight w:val="240"/>
        </w:trPr>
        <w:tc>
          <w:tcPr>
            <w:tcW w:w="7720" w:type="dxa"/>
            <w:vAlign w:val="bottom"/>
          </w:tcPr>
          <w:p>
            <w:pPr>
              <w:jc w:val="right"/>
              <w:spacing w:after="0"/>
              <w:rPr>
                <w:sz w:val="20"/>
                <w:szCs w:val="20"/>
                <w:color w:val="auto"/>
              </w:rPr>
            </w:pPr>
            <w:r>
              <w:rPr>
                <w:rFonts w:ascii="Arial" w:cs="Arial" w:eastAsia="Arial" w:hAnsi="Arial"/>
                <w:sz w:val="20"/>
                <w:szCs w:val="20"/>
                <w:color w:val="231F20"/>
                <w:w w:val="95"/>
              </w:rPr>
              <w:t>2028  . . . . . . . . . . . . . . . . . . . . . . . . . . . . . . . . . . . . . . . . . . . . . . . . . . . . . . . . . . . . . . . . . . .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22</w:t>
            </w:r>
          </w:p>
        </w:tc>
        <w:tc>
          <w:tcPr>
            <w:tcW w:w="80" w:type="dxa"/>
            <w:vAlign w:val="bottom"/>
          </w:tcPr>
          <w:p>
            <w:pPr>
              <w:spacing w:after="0"/>
              <w:rPr>
                <w:sz w:val="20"/>
                <w:szCs w:val="20"/>
                <w:color w:val="auto"/>
              </w:rPr>
            </w:pPr>
          </w:p>
        </w:tc>
      </w:tr>
      <w:tr>
        <w:trPr>
          <w:trHeight w:val="240"/>
        </w:trPr>
        <w:tc>
          <w:tcPr>
            <w:tcW w:w="7720" w:type="dxa"/>
            <w:vAlign w:val="bottom"/>
          </w:tcPr>
          <w:p>
            <w:pPr>
              <w:jc w:val="right"/>
              <w:spacing w:after="0"/>
              <w:rPr>
                <w:sz w:val="20"/>
                <w:szCs w:val="20"/>
                <w:color w:val="auto"/>
              </w:rPr>
            </w:pPr>
            <w:r>
              <w:rPr>
                <w:rFonts w:ascii="Arial" w:cs="Arial" w:eastAsia="Arial" w:hAnsi="Arial"/>
                <w:sz w:val="20"/>
                <w:szCs w:val="20"/>
                <w:color w:val="231F20"/>
                <w:w w:val="95"/>
              </w:rPr>
              <w:t>2029  . . . . . . . . . . . . . . . . . . . . . . . . . . . . . . . . . . . . . . . . . . . . . . . . . . . . . . . . . . . . . . . . . . .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21</w:t>
            </w:r>
          </w:p>
        </w:tc>
        <w:tc>
          <w:tcPr>
            <w:tcW w:w="80" w:type="dxa"/>
            <w:vAlign w:val="bottom"/>
          </w:tcPr>
          <w:p>
            <w:pPr>
              <w:spacing w:after="0"/>
              <w:rPr>
                <w:sz w:val="20"/>
                <w:szCs w:val="20"/>
                <w:color w:val="auto"/>
              </w:rPr>
            </w:pPr>
          </w:p>
        </w:tc>
      </w:tr>
      <w:tr>
        <w:trPr>
          <w:trHeight w:val="240"/>
        </w:trPr>
        <w:tc>
          <w:tcPr>
            <w:tcW w:w="7720" w:type="dxa"/>
            <w:vAlign w:val="bottom"/>
          </w:tcPr>
          <w:p>
            <w:pPr>
              <w:jc w:val="right"/>
              <w:spacing w:after="0"/>
              <w:rPr>
                <w:sz w:val="20"/>
                <w:szCs w:val="20"/>
                <w:color w:val="auto"/>
              </w:rPr>
            </w:pPr>
            <w:r>
              <w:rPr>
                <w:rFonts w:ascii="Arial" w:cs="Arial" w:eastAsia="Arial" w:hAnsi="Arial"/>
                <w:sz w:val="20"/>
                <w:szCs w:val="20"/>
                <w:color w:val="231F20"/>
                <w:w w:val="95"/>
              </w:rPr>
              <w:t>2030  . . . . . . . . . . . . . . . . . . . . . . . . . . . . . . . . . . . . . . . . . . . . . . . . . . . . . . . . . . . . . . . . . . .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27</w:t>
            </w:r>
          </w:p>
        </w:tc>
        <w:tc>
          <w:tcPr>
            <w:tcW w:w="80" w:type="dxa"/>
            <w:vAlign w:val="bottom"/>
          </w:tcPr>
          <w:p>
            <w:pPr>
              <w:spacing w:after="0"/>
              <w:rPr>
                <w:sz w:val="20"/>
                <w:szCs w:val="20"/>
                <w:color w:val="auto"/>
              </w:rPr>
            </w:pPr>
          </w:p>
        </w:tc>
      </w:tr>
      <w:tr>
        <w:trPr>
          <w:trHeight w:val="240"/>
        </w:trPr>
        <w:tc>
          <w:tcPr>
            <w:tcW w:w="7720" w:type="dxa"/>
            <w:vAlign w:val="bottom"/>
          </w:tcPr>
          <w:p>
            <w:pPr>
              <w:jc w:val="right"/>
              <w:spacing w:after="0"/>
              <w:rPr>
                <w:sz w:val="20"/>
                <w:szCs w:val="20"/>
                <w:color w:val="auto"/>
              </w:rPr>
            </w:pPr>
            <w:r>
              <w:rPr>
                <w:rFonts w:ascii="Arial" w:cs="Arial" w:eastAsia="Arial" w:hAnsi="Arial"/>
                <w:sz w:val="20"/>
                <w:szCs w:val="20"/>
                <w:color w:val="231F20"/>
                <w:w w:val="95"/>
              </w:rPr>
              <w:t>Thereafter . . . . . . . . . . . . . . . . . . . . . . . . . . . . . . . . . . . . . . . . . . . . . . . . . . . . . . . . . . . . . .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26</w:t>
            </w:r>
          </w:p>
        </w:tc>
        <w:tc>
          <w:tcPr>
            <w:tcW w:w="80" w:type="dxa"/>
            <w:vAlign w:val="bottom"/>
          </w:tcPr>
          <w:p>
            <w:pPr>
              <w:spacing w:after="0"/>
              <w:rPr>
                <w:sz w:val="20"/>
                <w:szCs w:val="20"/>
                <w:color w:val="auto"/>
              </w:rPr>
            </w:pPr>
          </w:p>
        </w:tc>
      </w:tr>
      <w:tr>
        <w:trPr>
          <w:trHeight w:val="28"/>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r>
      <w:tr>
        <w:trPr>
          <w:trHeight w:val="272"/>
        </w:trPr>
        <w:tc>
          <w:tcPr>
            <w:tcW w:w="7720" w:type="dxa"/>
            <w:vAlign w:val="bottom"/>
          </w:tcPr>
          <w:p>
            <w:pPr>
              <w:jc w:val="right"/>
              <w:spacing w:after="0"/>
              <w:rPr>
                <w:sz w:val="20"/>
                <w:szCs w:val="20"/>
                <w:color w:val="auto"/>
              </w:rPr>
            </w:pPr>
            <w:r>
              <w:rPr>
                <w:rFonts w:ascii="Arial" w:cs="Arial" w:eastAsia="Arial" w:hAnsi="Arial"/>
                <w:sz w:val="20"/>
                <w:szCs w:val="20"/>
                <w:color w:val="231F20"/>
                <w:w w:val="95"/>
              </w:rPr>
              <w:t>Total  . . . . . . . . . . . . . . . . . . . . . . . . . . . . . . . . . . . . . . . . . . . . . . . . . . . . . . . . . . . . . . . . . . .</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201</w:t>
            </w:r>
          </w:p>
        </w:tc>
        <w:tc>
          <w:tcPr>
            <w:tcW w:w="80" w:type="dxa"/>
            <w:vAlign w:val="bottom"/>
          </w:tcPr>
          <w:p>
            <w:pPr>
              <w:spacing w:after="0"/>
              <w:rPr>
                <w:sz w:val="23"/>
                <w:szCs w:val="23"/>
                <w:color w:val="auto"/>
              </w:rPr>
            </w:pPr>
          </w:p>
        </w:tc>
      </w:tr>
      <w:tr>
        <w:trPr>
          <w:trHeight w:val="240"/>
        </w:trPr>
        <w:tc>
          <w:tcPr>
            <w:tcW w:w="7720" w:type="dxa"/>
            <w:vAlign w:val="bottom"/>
          </w:tcPr>
          <w:p>
            <w:pPr>
              <w:jc w:val="right"/>
              <w:spacing w:after="0"/>
              <w:rPr>
                <w:sz w:val="20"/>
                <w:szCs w:val="20"/>
                <w:color w:val="auto"/>
              </w:rPr>
            </w:pPr>
            <w:r>
              <w:rPr>
                <w:rFonts w:ascii="Arial" w:cs="Arial" w:eastAsia="Arial" w:hAnsi="Arial"/>
                <w:sz w:val="20"/>
                <w:szCs w:val="20"/>
                <w:color w:val="231F20"/>
                <w:w w:val="96"/>
              </w:rPr>
              <w:t>Less: Interest . . . . . . . . . . . . . . . . . . . . . . . . . . . . . . . . . . . . . . . . . . . . . . . . . . . . . . . . . . .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231F20"/>
              </w:rPr>
              <w:t>(42)</w:t>
            </w:r>
          </w:p>
        </w:tc>
      </w:tr>
      <w:tr>
        <w:trPr>
          <w:trHeight w:val="28"/>
        </w:trPr>
        <w:tc>
          <w:tcPr>
            <w:tcW w:w="77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7720" w:type="dxa"/>
            <w:vAlign w:val="bottom"/>
          </w:tcPr>
          <w:p>
            <w:pPr>
              <w:jc w:val="right"/>
              <w:spacing w:after="0"/>
              <w:rPr>
                <w:sz w:val="20"/>
                <w:szCs w:val="20"/>
                <w:color w:val="auto"/>
              </w:rPr>
            </w:pPr>
            <w:r>
              <w:rPr>
                <w:rFonts w:ascii="Arial" w:cs="Arial" w:eastAsia="Arial" w:hAnsi="Arial"/>
                <w:sz w:val="20"/>
                <w:szCs w:val="20"/>
                <w:color w:val="231F20"/>
              </w:rPr>
              <w:t>Present value of purchase obligations . . . . . . . . . . . . . . . . . . . . . . . . . . . . . . . . . . . . . .</w:t>
            </w:r>
          </w:p>
        </w:tc>
        <w:tc>
          <w:tcPr>
            <w:tcW w:w="320" w:type="dxa"/>
            <w:vAlign w:val="bottom"/>
            <w:gridSpan w:val="3"/>
          </w:tcPr>
          <w:p>
            <w:pPr>
              <w:jc w:val="right"/>
              <w:ind w:right="20"/>
              <w:spacing w:after="0"/>
              <w:rPr>
                <w:sz w:val="20"/>
                <w:szCs w:val="20"/>
                <w:color w:val="auto"/>
              </w:rPr>
            </w:pPr>
            <w:r>
              <w:rPr>
                <w:rFonts w:ascii="Arial" w:cs="Arial" w:eastAsia="Arial" w:hAnsi="Arial"/>
                <w:sz w:val="20"/>
                <w:szCs w:val="20"/>
                <w:color w:val="231F20"/>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159</w:t>
            </w:r>
          </w:p>
        </w:tc>
        <w:tc>
          <w:tcPr>
            <w:tcW w:w="80" w:type="dxa"/>
            <w:vAlign w:val="bottom"/>
          </w:tcPr>
          <w:p>
            <w:pPr>
              <w:spacing w:after="0"/>
              <w:rPr>
                <w:sz w:val="23"/>
                <w:szCs w:val="23"/>
                <w:color w:val="auto"/>
              </w:rPr>
            </w:pPr>
          </w:p>
        </w:tc>
      </w:tr>
      <w:tr>
        <w:trPr>
          <w:trHeight w:val="30"/>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231F20"/>
        </w:rPr>
        <w:t>NOTE 7</w:t>
        <w:tab/>
        <w:t>DERIVATIVES</w:t>
      </w:r>
    </w:p>
    <w:p>
      <w:pPr>
        <w:spacing w:after="0" w:line="21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We continue to maintain a commodity hedging program to help protect our cash flows, margins and capital program from the volatility of commodity prices. We enter into natural gas swaps for the purpose of hedging our fuel consumption in our steamflood operations as well as swaps related to our marketing activities. We did not have any commodity derivatives designated as accounting hedges as of and during the years ended December 31, 2025, 2024 and 2023</w:t>
      </w:r>
      <w:r>
        <w:rPr>
          <w:rFonts w:ascii="Arial" w:cs="Arial" w:eastAsia="Arial" w:hAnsi="Arial"/>
          <w:sz w:val="20"/>
          <w:szCs w:val="20"/>
          <w:i w:val="1"/>
          <w:iCs w:val="1"/>
          <w:color w:val="231F20"/>
        </w:rPr>
        <w:t>.</w:t>
      </w:r>
      <w:r>
        <w:rPr>
          <w:rFonts w:ascii="Arial" w:cs="Arial" w:eastAsia="Arial" w:hAnsi="Arial"/>
          <w:sz w:val="20"/>
          <w:szCs w:val="20"/>
          <w:color w:val="231F20"/>
        </w:rPr>
        <w:t xml:space="preserve"> Unless otherwise indicated, we use the term “hedge” to describe derivative instruments that are designed to achieve our hedging requirements and program goals, even though they are not accounted for as accounting hedges. For more information on the hedging requirements of our Revolving Credit Facility, see </w:t>
      </w:r>
      <w:r>
        <w:rPr>
          <w:rFonts w:ascii="Arial" w:cs="Arial" w:eastAsia="Arial" w:hAnsi="Arial"/>
          <w:sz w:val="20"/>
          <w:szCs w:val="20"/>
          <w:i w:val="1"/>
          <w:iCs w:val="1"/>
          <w:color w:val="231F20"/>
        </w:rPr>
        <w:t>Note 5 Debt.</w:t>
      </w:r>
    </w:p>
    <w:p>
      <w:pPr>
        <w:sectPr>
          <w:pgSz w:w="11880" w:h="15480" w:orient="portrait"/>
          <w:cols w:equalWidth="0" w:num="1">
            <w:col w:w="9120"/>
          </w:cols>
          <w:pgMar w:left="1380" w:top="1316"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119</w:t>
      </w:r>
    </w:p>
    <w:p>
      <w:pPr>
        <w:sectPr>
          <w:pgSz w:w="11880" w:h="15480" w:orient="portrait"/>
          <w:cols w:equalWidth="0" w:num="1">
            <w:col w:w="9120"/>
          </w:cols>
          <w:pgMar w:left="1380" w:top="1316" w:right="1380" w:bottom="660"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i w:val="1"/>
          <w:iCs w:val="1"/>
          <w:color w:val="231F20"/>
        </w:rPr>
        <w:t>Summary of Derivative Contracts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We held the following Brent-based contracts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231F20"/>
              </w:rPr>
              <w:t>Q1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231F20"/>
              </w:rPr>
              <w:t>Q2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231F20"/>
                <w:w w:val="97"/>
              </w:rPr>
              <w:t>Q3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231F20"/>
                <w:w w:val="97"/>
              </w:rPr>
              <w:t>Q4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48"/>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0"/>
              <w:spacing w:after="0" w:line="228" w:lineRule="exact"/>
              <w:rPr>
                <w:sz w:val="20"/>
                <w:szCs w:val="20"/>
                <w:color w:val="auto"/>
              </w:rPr>
            </w:pPr>
            <w:r>
              <w:rPr>
                <w:rFonts w:ascii="Arial" w:cs="Arial" w:eastAsia="Arial" w:hAnsi="Arial"/>
                <w:sz w:val="20"/>
                <w:szCs w:val="20"/>
                <w:b w:val="1"/>
                <w:bCs w:val="1"/>
                <w:color w:val="231F20"/>
                <w:w w:val="98"/>
              </w:rPr>
              <w:t>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20"/>
                <w:szCs w:val="20"/>
                <w:b w:val="1"/>
                <w:bCs w:val="1"/>
                <w:color w:val="231F20"/>
                <w:w w:val="98"/>
              </w:rPr>
              <w:t>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20"/>
                <w:szCs w:val="20"/>
                <w:b w:val="1"/>
                <w:bCs w:val="1"/>
                <w:color w:val="231F20"/>
                <w:w w:val="98"/>
              </w:rPr>
              <w:t>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20"/>
                <w:szCs w:val="20"/>
                <w:b w:val="1"/>
                <w:bCs w:val="1"/>
                <w:color w:val="231F20"/>
                <w:w w:val="98"/>
              </w:rPr>
              <w:t>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20"/>
              <w:spacing w:after="0"/>
              <w:rPr>
                <w:sz w:val="20"/>
                <w:szCs w:val="20"/>
                <w:color w:val="auto"/>
              </w:rPr>
            </w:pPr>
            <w:r>
              <w:rPr>
                <w:rFonts w:ascii="Arial" w:cs="Arial" w:eastAsia="Arial" w:hAnsi="Arial"/>
                <w:sz w:val="20"/>
                <w:szCs w:val="20"/>
                <w:b w:val="1"/>
                <w:bCs w:val="1"/>
                <w:color w:val="231F20"/>
              </w:rPr>
              <w:t>2027</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231F20"/>
              </w:rPr>
              <w:t>2028</w:t>
            </w:r>
          </w:p>
        </w:tc>
      </w:tr>
      <w:tr>
        <w:trPr>
          <w:trHeight w:val="280"/>
        </w:trPr>
        <w:tc>
          <w:tcPr>
            <w:tcW w:w="3800" w:type="dxa"/>
            <w:vAlign w:val="bottom"/>
          </w:tcPr>
          <w:p>
            <w:pPr>
              <w:spacing w:after="0"/>
              <w:rPr>
                <w:sz w:val="20"/>
                <w:szCs w:val="20"/>
                <w:color w:val="auto"/>
              </w:rPr>
            </w:pPr>
            <w:r>
              <w:rPr>
                <w:rFonts w:ascii="Arial" w:cs="Arial" w:eastAsia="Arial" w:hAnsi="Arial"/>
                <w:sz w:val="20"/>
                <w:szCs w:val="20"/>
                <w:color w:val="231F20"/>
              </w:rPr>
              <w:t>Sold Calls:</w:t>
            </w: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231F20"/>
            </w:tcBorders>
          </w:tcPr>
          <w:p>
            <w:pPr>
              <w:spacing w:after="0"/>
              <w:rPr>
                <w:sz w:val="24"/>
                <w:szCs w:val="24"/>
                <w:color w:val="auto"/>
              </w:rPr>
            </w:pPr>
          </w:p>
        </w:tc>
      </w:tr>
      <w:tr>
        <w:trPr>
          <w:trHeight w:val="240"/>
        </w:trPr>
        <w:tc>
          <w:tcPr>
            <w:tcW w:w="3800" w:type="dxa"/>
            <w:vAlign w:val="bottom"/>
          </w:tcPr>
          <w:p>
            <w:pPr>
              <w:ind w:left="200"/>
              <w:spacing w:after="0"/>
              <w:rPr>
                <w:sz w:val="20"/>
                <w:szCs w:val="20"/>
                <w:color w:val="auto"/>
              </w:rPr>
            </w:pPr>
            <w:r>
              <w:rPr>
                <w:rFonts w:ascii="Arial" w:cs="Arial" w:eastAsia="Arial" w:hAnsi="Arial"/>
                <w:sz w:val="20"/>
                <w:szCs w:val="20"/>
                <w:color w:val="231F20"/>
                <w:w w:val="99"/>
              </w:rPr>
              <w:t>Barrels per day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37,078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36,000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36,000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36,000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2,465</w:t>
            </w: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1,534</w:t>
            </w:r>
          </w:p>
        </w:tc>
      </w:tr>
      <w:tr>
        <w:trPr>
          <w:trHeight w:val="240"/>
        </w:trPr>
        <w:tc>
          <w:tcPr>
            <w:tcW w:w="3800" w:type="dxa"/>
            <w:vAlign w:val="bottom"/>
          </w:tcPr>
          <w:p>
            <w:pPr>
              <w:ind w:left="200"/>
              <w:spacing w:after="0"/>
              <w:rPr>
                <w:sz w:val="20"/>
                <w:szCs w:val="20"/>
                <w:color w:val="auto"/>
              </w:rPr>
            </w:pPr>
            <w:r>
              <w:rPr>
                <w:rFonts w:ascii="Arial" w:cs="Arial" w:eastAsia="Arial" w:hAnsi="Arial"/>
                <w:sz w:val="20"/>
                <w:szCs w:val="20"/>
                <w:color w:val="231F20"/>
              </w:rPr>
              <w:t>Weighted-average price per barrel . . . .</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83.45</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83.51</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83.51</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83.51</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71.06</w:t>
            </w: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$70.59</w:t>
            </w:r>
          </w:p>
        </w:tc>
      </w:tr>
      <w:tr>
        <w:trPr>
          <w:trHeight w:val="480"/>
        </w:trPr>
        <w:tc>
          <w:tcPr>
            <w:tcW w:w="3800" w:type="dxa"/>
            <w:vAlign w:val="bottom"/>
          </w:tcPr>
          <w:p>
            <w:pPr>
              <w:spacing w:after="0"/>
              <w:rPr>
                <w:sz w:val="20"/>
                <w:szCs w:val="20"/>
                <w:color w:val="auto"/>
              </w:rPr>
            </w:pPr>
            <w:r>
              <w:rPr>
                <w:rFonts w:ascii="Arial" w:cs="Arial" w:eastAsia="Arial" w:hAnsi="Arial"/>
                <w:sz w:val="20"/>
                <w:szCs w:val="20"/>
                <w:color w:val="231F20"/>
              </w:rPr>
              <w:t>Purchased Puts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0"/>
        </w:trPr>
        <w:tc>
          <w:tcPr>
            <w:tcW w:w="3800" w:type="dxa"/>
            <w:vAlign w:val="bottom"/>
          </w:tcPr>
          <w:p>
            <w:pPr>
              <w:ind w:left="200"/>
              <w:spacing w:after="0"/>
              <w:rPr>
                <w:sz w:val="20"/>
                <w:szCs w:val="20"/>
                <w:color w:val="auto"/>
              </w:rPr>
            </w:pPr>
            <w:r>
              <w:rPr>
                <w:rFonts w:ascii="Arial" w:cs="Arial" w:eastAsia="Arial" w:hAnsi="Arial"/>
                <w:sz w:val="20"/>
                <w:szCs w:val="20"/>
                <w:color w:val="231F20"/>
                <w:w w:val="99"/>
              </w:rPr>
              <w:t>Barrels per day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37,078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36,000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36,000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36,000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2,465</w:t>
            </w: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1,534</w:t>
            </w:r>
          </w:p>
        </w:tc>
      </w:tr>
      <w:tr>
        <w:trPr>
          <w:trHeight w:val="240"/>
        </w:trPr>
        <w:tc>
          <w:tcPr>
            <w:tcW w:w="3800" w:type="dxa"/>
            <w:vAlign w:val="bottom"/>
          </w:tcPr>
          <w:p>
            <w:pPr>
              <w:ind w:left="200"/>
              <w:spacing w:after="0"/>
              <w:rPr>
                <w:sz w:val="20"/>
                <w:szCs w:val="20"/>
                <w:color w:val="auto"/>
              </w:rPr>
            </w:pPr>
            <w:r>
              <w:rPr>
                <w:rFonts w:ascii="Arial" w:cs="Arial" w:eastAsia="Arial" w:hAnsi="Arial"/>
                <w:sz w:val="20"/>
                <w:szCs w:val="20"/>
                <w:color w:val="231F20"/>
              </w:rPr>
              <w:t>Weighted-average price per barrel . . . .</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61.08</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61.11</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61.11</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61.11</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61.01</w:t>
            </w: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$60.00</w:t>
            </w:r>
          </w:p>
        </w:tc>
      </w:tr>
      <w:tr>
        <w:trPr>
          <w:trHeight w:val="480"/>
        </w:trPr>
        <w:tc>
          <w:tcPr>
            <w:tcW w:w="3800" w:type="dxa"/>
            <w:vAlign w:val="bottom"/>
          </w:tcPr>
          <w:p>
            <w:pPr>
              <w:spacing w:after="0"/>
              <w:rPr>
                <w:sz w:val="20"/>
                <w:szCs w:val="20"/>
                <w:color w:val="auto"/>
              </w:rPr>
            </w:pPr>
            <w:r>
              <w:rPr>
                <w:rFonts w:ascii="Arial" w:cs="Arial" w:eastAsia="Arial" w:hAnsi="Arial"/>
                <w:sz w:val="20"/>
                <w:szCs w:val="20"/>
                <w:color w:val="231F20"/>
              </w:rPr>
              <w:t>Swaps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0"/>
        </w:trPr>
        <w:tc>
          <w:tcPr>
            <w:tcW w:w="3800" w:type="dxa"/>
            <w:vAlign w:val="bottom"/>
          </w:tcPr>
          <w:p>
            <w:pPr>
              <w:ind w:left="200"/>
              <w:spacing w:after="0"/>
              <w:rPr>
                <w:sz w:val="20"/>
                <w:szCs w:val="20"/>
                <w:color w:val="auto"/>
              </w:rPr>
            </w:pPr>
            <w:r>
              <w:rPr>
                <w:rFonts w:ascii="Arial" w:cs="Arial" w:eastAsia="Arial" w:hAnsi="Arial"/>
                <w:sz w:val="20"/>
                <w:szCs w:val="20"/>
                <w:color w:val="231F20"/>
                <w:w w:val="99"/>
              </w:rPr>
              <w:t>Barrels per day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51,861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44,487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42,869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41,703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50,110</w:t>
            </w: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7,285</w:t>
            </w:r>
          </w:p>
        </w:tc>
      </w:tr>
      <w:tr>
        <w:trPr>
          <w:trHeight w:val="242"/>
        </w:trPr>
        <w:tc>
          <w:tcPr>
            <w:tcW w:w="3800" w:type="dxa"/>
            <w:vAlign w:val="bottom"/>
          </w:tcPr>
          <w:p>
            <w:pPr>
              <w:ind w:left="200"/>
              <w:spacing w:after="0"/>
              <w:rPr>
                <w:sz w:val="20"/>
                <w:szCs w:val="20"/>
                <w:color w:val="auto"/>
              </w:rPr>
            </w:pPr>
            <w:r>
              <w:rPr>
                <w:rFonts w:ascii="Arial" w:cs="Arial" w:eastAsia="Arial" w:hAnsi="Arial"/>
                <w:sz w:val="20"/>
                <w:szCs w:val="20"/>
                <w:color w:val="231F20"/>
              </w:rPr>
              <w:t>Weighted-average price per barrel . . . .</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69.25</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68.52</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68.20</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67.98</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65.76</w:t>
            </w: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$66.98</w:t>
            </w:r>
          </w:p>
        </w:tc>
      </w:tr>
    </w:tbl>
    <w:p>
      <w:pPr>
        <w:spacing w:after="0" w:line="215" w:lineRule="exact"/>
        <w:rPr>
          <w:sz w:val="20"/>
          <w:szCs w:val="20"/>
          <w:color w:val="auto"/>
        </w:rPr>
      </w:pPr>
    </w:p>
    <w:p>
      <w:pPr>
        <w:ind w:right="60" w:firstLine="300"/>
        <w:spacing w:after="0" w:line="247" w:lineRule="auto"/>
        <w:rPr>
          <w:sz w:val="20"/>
          <w:szCs w:val="20"/>
          <w:color w:val="auto"/>
        </w:rPr>
      </w:pPr>
      <w:r>
        <w:rPr>
          <w:rFonts w:ascii="Arial" w:cs="Arial" w:eastAsia="Arial" w:hAnsi="Arial"/>
          <w:sz w:val="20"/>
          <w:szCs w:val="20"/>
          <w:color w:val="231F20"/>
        </w:rPr>
        <w:t>At December 31, 2025, we also held the following swaps to hedge purchased natural gas used in our operations as shown in the table below. The natural gas price index used to hedge each position is based on a number of factors including liquidity and transportation cost.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231F20"/>
              </w:rPr>
              <w:t>Q1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231F20"/>
              </w:rPr>
              <w:t>Q2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231F20"/>
                <w:w w:val="97"/>
              </w:rPr>
              <w:t>Q3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231F20"/>
                <w:w w:val="97"/>
              </w:rPr>
              <w:t>Q4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48"/>
        </w:trPr>
        <w:tc>
          <w:tcPr>
            <w:tcW w:w="3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20"/>
                <w:szCs w:val="20"/>
                <w:b w:val="1"/>
                <w:bCs w:val="1"/>
                <w:color w:val="231F20"/>
                <w:w w:val="98"/>
              </w:rPr>
              <w:t>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20"/>
                <w:szCs w:val="20"/>
                <w:b w:val="1"/>
                <w:bCs w:val="1"/>
                <w:color w:val="231F20"/>
                <w:w w:val="98"/>
              </w:rPr>
              <w:t>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20"/>
                <w:szCs w:val="20"/>
                <w:b w:val="1"/>
                <w:bCs w:val="1"/>
                <w:color w:val="231F20"/>
                <w:w w:val="98"/>
              </w:rPr>
              <w:t>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40"/>
              <w:spacing w:after="0"/>
              <w:rPr>
                <w:sz w:val="20"/>
                <w:szCs w:val="20"/>
                <w:color w:val="auto"/>
              </w:rPr>
            </w:pPr>
            <w:r>
              <w:rPr>
                <w:rFonts w:ascii="Arial" w:cs="Arial" w:eastAsia="Arial" w:hAnsi="Arial"/>
                <w:sz w:val="20"/>
                <w:szCs w:val="20"/>
                <w:b w:val="1"/>
                <w:bCs w:val="1"/>
                <w:color w:val="231F20"/>
                <w:w w:val="98"/>
              </w:rPr>
              <w:t>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20"/>
              <w:spacing w:after="0"/>
              <w:rPr>
                <w:sz w:val="20"/>
                <w:szCs w:val="20"/>
                <w:color w:val="auto"/>
              </w:rPr>
            </w:pPr>
            <w:r>
              <w:rPr>
                <w:rFonts w:ascii="Arial" w:cs="Arial" w:eastAsia="Arial" w:hAnsi="Arial"/>
                <w:sz w:val="20"/>
                <w:szCs w:val="20"/>
                <w:b w:val="1"/>
                <w:bCs w:val="1"/>
                <w:color w:val="231F20"/>
              </w:rPr>
              <w:t>2027</w:t>
            </w:r>
          </w:p>
        </w:tc>
        <w:tc>
          <w:tcPr>
            <w:tcW w:w="10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20"/>
                <w:szCs w:val="20"/>
                <w:b w:val="1"/>
                <w:bCs w:val="1"/>
                <w:color w:val="231F20"/>
              </w:rPr>
              <w:t>2028</w:t>
            </w:r>
          </w:p>
        </w:tc>
      </w:tr>
      <w:tr>
        <w:trPr>
          <w:trHeight w:val="282"/>
        </w:trPr>
        <w:tc>
          <w:tcPr>
            <w:tcW w:w="3820" w:type="dxa"/>
            <w:vAlign w:val="bottom"/>
          </w:tcPr>
          <w:p>
            <w:pPr>
              <w:spacing w:after="0"/>
              <w:rPr>
                <w:sz w:val="20"/>
                <w:szCs w:val="20"/>
                <w:color w:val="auto"/>
              </w:rPr>
            </w:pPr>
            <w:r>
              <w:rPr>
                <w:rFonts w:ascii="Arial" w:cs="Arial" w:eastAsia="Arial" w:hAnsi="Arial"/>
                <w:sz w:val="20"/>
                <w:szCs w:val="20"/>
                <w:color w:val="231F20"/>
              </w:rPr>
              <w:t>SoCal Border</w:t>
            </w:r>
          </w:p>
        </w:tc>
        <w:tc>
          <w:tcPr>
            <w:tcW w:w="8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60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231F20"/>
            </w:tcBorders>
          </w:tcPr>
          <w:p>
            <w:pPr>
              <w:spacing w:after="0"/>
              <w:rPr>
                <w:sz w:val="24"/>
                <w:szCs w:val="24"/>
                <w:color w:val="auto"/>
              </w:rPr>
            </w:pPr>
          </w:p>
        </w:tc>
        <w:tc>
          <w:tcPr>
            <w:tcW w:w="500" w:type="dxa"/>
            <w:vAlign w:val="bottom"/>
            <w:tcBorders>
              <w:top w:val="single" w:sz="8" w:color="231F20"/>
            </w:tcBorders>
          </w:tcPr>
          <w:p>
            <w:pPr>
              <w:spacing w:after="0"/>
              <w:rPr>
                <w:sz w:val="24"/>
                <w:szCs w:val="24"/>
                <w:color w:val="auto"/>
              </w:rPr>
            </w:pPr>
          </w:p>
        </w:tc>
      </w:tr>
      <w:tr>
        <w:trPr>
          <w:trHeight w:val="240"/>
        </w:trPr>
        <w:tc>
          <w:tcPr>
            <w:tcW w:w="3820" w:type="dxa"/>
            <w:vAlign w:val="bottom"/>
          </w:tcPr>
          <w:p>
            <w:pPr>
              <w:ind w:left="200"/>
              <w:spacing w:after="0"/>
              <w:rPr>
                <w:sz w:val="20"/>
                <w:szCs w:val="20"/>
                <w:color w:val="auto"/>
              </w:rPr>
            </w:pPr>
            <w:r>
              <w:rPr>
                <w:rFonts w:ascii="Arial" w:cs="Arial" w:eastAsia="Arial" w:hAnsi="Arial"/>
                <w:sz w:val="20"/>
                <w:szCs w:val="20"/>
                <w:color w:val="231F20"/>
                <w:w w:val="99"/>
              </w:rPr>
              <w:t>MMBtu per day  . . . . . . . . . . . . . . . . . . .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20,350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13,250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10,750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9,908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3820" w:type="dxa"/>
            <w:vAlign w:val="bottom"/>
          </w:tcPr>
          <w:p>
            <w:pPr>
              <w:ind w:left="200"/>
              <w:spacing w:after="0"/>
              <w:rPr>
                <w:sz w:val="20"/>
                <w:szCs w:val="20"/>
                <w:color w:val="auto"/>
              </w:rPr>
            </w:pPr>
            <w:r>
              <w:rPr>
                <w:rFonts w:ascii="Arial" w:cs="Arial" w:eastAsia="Arial" w:hAnsi="Arial"/>
                <w:sz w:val="20"/>
                <w:szCs w:val="20"/>
                <w:color w:val="231F20"/>
              </w:rPr>
              <w:t>Weighted-average price per MMBtu  . . .</w:t>
            </w:r>
          </w:p>
        </w:tc>
        <w:tc>
          <w:tcPr>
            <w:tcW w:w="20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5.18</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4.82</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4.83</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4.84</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50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3820" w:type="dxa"/>
            <w:vAlign w:val="bottom"/>
          </w:tcPr>
          <w:p>
            <w:pPr>
              <w:spacing w:after="0"/>
              <w:rPr>
                <w:sz w:val="20"/>
                <w:szCs w:val="20"/>
                <w:color w:val="auto"/>
              </w:rPr>
            </w:pPr>
            <w:r>
              <w:rPr>
                <w:rFonts w:ascii="Arial" w:cs="Arial" w:eastAsia="Arial" w:hAnsi="Arial"/>
                <w:sz w:val="20"/>
                <w:szCs w:val="20"/>
                <w:color w:val="231F20"/>
              </w:rPr>
              <w:t>NWPL Rockies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40"/>
        </w:trPr>
        <w:tc>
          <w:tcPr>
            <w:tcW w:w="3820" w:type="dxa"/>
            <w:vAlign w:val="bottom"/>
          </w:tcPr>
          <w:p>
            <w:pPr>
              <w:ind w:left="200"/>
              <w:spacing w:after="0"/>
              <w:rPr>
                <w:sz w:val="20"/>
                <w:szCs w:val="20"/>
                <w:color w:val="auto"/>
              </w:rPr>
            </w:pPr>
            <w:r>
              <w:rPr>
                <w:rFonts w:ascii="Arial" w:cs="Arial" w:eastAsia="Arial" w:hAnsi="Arial"/>
                <w:sz w:val="20"/>
                <w:szCs w:val="20"/>
                <w:color w:val="231F20"/>
                <w:w w:val="99"/>
              </w:rPr>
              <w:t>MMBtu per day  . . . . . . . . . . . . . . . . . . .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91,750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91,750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91,750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91,750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w w:val="94"/>
              </w:rPr>
              <w:t>71,861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231F20"/>
                <w:w w:val="95"/>
              </w:rPr>
              <w:t>1,576</w:t>
            </w:r>
          </w:p>
        </w:tc>
      </w:tr>
      <w:tr>
        <w:trPr>
          <w:trHeight w:val="240"/>
        </w:trPr>
        <w:tc>
          <w:tcPr>
            <w:tcW w:w="3820" w:type="dxa"/>
            <w:vAlign w:val="bottom"/>
          </w:tcPr>
          <w:p>
            <w:pPr>
              <w:ind w:left="200"/>
              <w:spacing w:after="0"/>
              <w:rPr>
                <w:sz w:val="20"/>
                <w:szCs w:val="20"/>
                <w:color w:val="auto"/>
              </w:rPr>
            </w:pPr>
            <w:r>
              <w:rPr>
                <w:rFonts w:ascii="Arial" w:cs="Arial" w:eastAsia="Arial" w:hAnsi="Arial"/>
                <w:sz w:val="20"/>
                <w:szCs w:val="20"/>
                <w:color w:val="231F20"/>
              </w:rPr>
              <w:t>Weighted-average price per MMBtu  . . .</w:t>
            </w:r>
          </w:p>
        </w:tc>
        <w:tc>
          <w:tcPr>
            <w:tcW w:w="20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4.35</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3.77</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3.76</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4.17</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231F20"/>
              </w:rPr>
              <w:t>4.13</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500" w:type="dxa"/>
            <w:vAlign w:val="bottom"/>
          </w:tcPr>
          <w:p>
            <w:pPr>
              <w:jc w:val="right"/>
              <w:spacing w:after="0"/>
              <w:rPr>
                <w:sz w:val="20"/>
                <w:szCs w:val="20"/>
                <w:color w:val="auto"/>
              </w:rPr>
            </w:pPr>
            <w:r>
              <w:rPr>
                <w:rFonts w:ascii="Arial" w:cs="Arial" w:eastAsia="Arial" w:hAnsi="Arial"/>
                <w:sz w:val="20"/>
                <w:szCs w:val="20"/>
                <w:color w:val="231F20"/>
              </w:rPr>
              <w:t>3.95</w:t>
            </w:r>
          </w:p>
        </w:tc>
      </w:tr>
    </w:tbl>
    <w:p>
      <w:pPr>
        <w:spacing w:after="0" w:line="215" w:lineRule="exact"/>
        <w:rPr>
          <w:sz w:val="20"/>
          <w:szCs w:val="20"/>
          <w:color w:val="auto"/>
        </w:rPr>
      </w:pPr>
    </w:p>
    <w:p>
      <w:pPr>
        <w:ind w:right="340" w:firstLine="300"/>
        <w:spacing w:after="0" w:line="248" w:lineRule="auto"/>
        <w:rPr>
          <w:sz w:val="20"/>
          <w:szCs w:val="20"/>
          <w:color w:val="auto"/>
        </w:rPr>
      </w:pPr>
      <w:r>
        <w:rPr>
          <w:rFonts w:ascii="Arial" w:cs="Arial" w:eastAsia="Arial" w:hAnsi="Arial"/>
          <w:sz w:val="20"/>
          <w:szCs w:val="20"/>
          <w:color w:val="231F20"/>
        </w:rPr>
        <w:t>In the years ended December 31, 2025 and 2024, we also had a limited number of derivative contracts related to our natural gas marketing activities that were intended to lock in locational price spreads. These derivative contracts were not significant to our results of operations or financial statements taken as a whole.</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outcomes of the derivative positions are as follows:</w:t>
      </w:r>
    </w:p>
    <w:p>
      <w:pPr>
        <w:spacing w:after="0" w:line="135" w:lineRule="exact"/>
        <w:rPr>
          <w:sz w:val="20"/>
          <w:szCs w:val="20"/>
          <w:color w:val="auto"/>
        </w:rPr>
      </w:pPr>
    </w:p>
    <w:p>
      <w:pPr>
        <w:ind w:left="600" w:right="420" w:hanging="300"/>
        <w:spacing w:after="0" w:line="243" w:lineRule="auto"/>
        <w:tabs>
          <w:tab w:leader="none" w:pos="600" w:val="left"/>
        </w:tabs>
        <w:numPr>
          <w:ilvl w:val="0"/>
          <w:numId w:val="70"/>
        </w:numPr>
        <w:rPr>
          <w:rFonts w:ascii="Arial" w:cs="Arial" w:eastAsia="Arial" w:hAnsi="Arial"/>
          <w:sz w:val="20"/>
          <w:szCs w:val="20"/>
          <w:color w:val="231F20"/>
        </w:rPr>
      </w:pPr>
      <w:r>
        <w:rPr>
          <w:rFonts w:ascii="Arial" w:cs="Arial" w:eastAsia="Arial" w:hAnsi="Arial"/>
          <w:sz w:val="20"/>
          <w:szCs w:val="20"/>
          <w:color w:val="231F20"/>
        </w:rPr>
        <w:t>Sold calls – we make settlement payments for prices above the indicated weighted-average price per barrel.</w:t>
      </w:r>
    </w:p>
    <w:p>
      <w:pPr>
        <w:spacing w:after="0" w:line="14" w:lineRule="exact"/>
        <w:rPr>
          <w:rFonts w:ascii="Arial" w:cs="Arial" w:eastAsia="Arial" w:hAnsi="Arial"/>
          <w:sz w:val="20"/>
          <w:szCs w:val="20"/>
          <w:color w:val="231F20"/>
        </w:rPr>
      </w:pPr>
    </w:p>
    <w:p>
      <w:pPr>
        <w:ind w:left="600" w:right="480" w:hanging="300"/>
        <w:spacing w:after="0" w:line="243" w:lineRule="auto"/>
        <w:tabs>
          <w:tab w:leader="none" w:pos="600" w:val="left"/>
        </w:tabs>
        <w:numPr>
          <w:ilvl w:val="0"/>
          <w:numId w:val="70"/>
        </w:numPr>
        <w:rPr>
          <w:rFonts w:ascii="Arial" w:cs="Arial" w:eastAsia="Arial" w:hAnsi="Arial"/>
          <w:sz w:val="20"/>
          <w:szCs w:val="20"/>
          <w:color w:val="231F20"/>
        </w:rPr>
      </w:pPr>
      <w:r>
        <w:rPr>
          <w:rFonts w:ascii="Arial" w:cs="Arial" w:eastAsia="Arial" w:hAnsi="Arial"/>
          <w:sz w:val="20"/>
          <w:szCs w:val="20"/>
          <w:color w:val="231F20"/>
        </w:rPr>
        <w:t>Purchased puts – we receive settlement payments for prices below the indicated weighted-average price per barrel.</w:t>
      </w:r>
    </w:p>
    <w:p>
      <w:pPr>
        <w:spacing w:after="0" w:line="14" w:lineRule="exact"/>
        <w:rPr>
          <w:rFonts w:ascii="Arial" w:cs="Arial" w:eastAsia="Arial" w:hAnsi="Arial"/>
          <w:sz w:val="20"/>
          <w:szCs w:val="20"/>
          <w:color w:val="231F20"/>
        </w:rPr>
      </w:pPr>
    </w:p>
    <w:p>
      <w:pPr>
        <w:ind w:left="600" w:right="60" w:hanging="300"/>
        <w:spacing w:after="0" w:line="249" w:lineRule="auto"/>
        <w:tabs>
          <w:tab w:leader="none" w:pos="600" w:val="left"/>
        </w:tabs>
        <w:numPr>
          <w:ilvl w:val="0"/>
          <w:numId w:val="70"/>
        </w:numPr>
        <w:rPr>
          <w:rFonts w:ascii="Arial" w:cs="Arial" w:eastAsia="Arial" w:hAnsi="Arial"/>
          <w:sz w:val="20"/>
          <w:szCs w:val="20"/>
          <w:color w:val="231F20"/>
        </w:rPr>
      </w:pPr>
      <w:r>
        <w:rPr>
          <w:rFonts w:ascii="Arial" w:cs="Arial" w:eastAsia="Arial" w:hAnsi="Arial"/>
          <w:sz w:val="20"/>
          <w:szCs w:val="20"/>
          <w:color w:val="231F20"/>
        </w:rPr>
        <w:t>Swaps – with respect to swaps for crude oil, we make settlement payments for prices above the indicated weighted-average price per barrel and receive settlement payments for prices below the indicated weighted-average price per barrel. With respect to swaps for purchased natural gas, we receive settlement payments for prices above the indicated weighted-average price per MMBtu and we make settlement payments for prices below the weighted-average price per MMBtu.</w:t>
      </w:r>
    </w:p>
    <w:p>
      <w:pPr>
        <w:sectPr>
          <w:pgSz w:w="11880" w:h="15480" w:orient="portrait"/>
          <w:cols w:equalWidth="0" w:num="1">
            <w:col w:w="9120"/>
          </w:cols>
          <w:pgMar w:left="1380" w:top="1312"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120</w:t>
      </w:r>
    </w:p>
    <w:p>
      <w:pPr>
        <w:sectPr>
          <w:pgSz w:w="11880" w:h="15480" w:orient="portrait"/>
          <w:cols w:equalWidth="0" w:num="1">
            <w:col w:w="9120"/>
          </w:cols>
          <w:pgMar w:left="1380" w:top="1312" w:right="1380" w:bottom="660" w:gutter="0" w:footer="0" w:header="0"/>
          <w:type w:val="continuous"/>
        </w:sectPr>
      </w:pPr>
    </w:p>
    <w:bookmarkStart w:id="124" w:name="page125"/>
    <w:bookmarkEnd w:id="124"/>
    <w:p>
      <w:pPr>
        <w:spacing w:after="0"/>
        <w:rPr>
          <w:sz w:val="20"/>
          <w:szCs w:val="20"/>
          <w:color w:val="auto"/>
        </w:rPr>
      </w:pPr>
      <w:r>
        <w:rPr>
          <w:rFonts w:ascii="Arial" w:cs="Arial" w:eastAsia="Arial" w:hAnsi="Arial"/>
          <w:sz w:val="20"/>
          <w:szCs w:val="20"/>
          <w:b w:val="1"/>
          <w:bCs w:val="1"/>
          <w:i w:val="1"/>
          <w:iCs w:val="1"/>
          <w:color w:val="231F20"/>
        </w:rPr>
        <w:t>Fair Value of Derivatives</w:t>
      </w:r>
    </w:p>
    <w:p>
      <w:pPr>
        <w:spacing w:after="0" w:line="215" w:lineRule="exact"/>
        <w:rPr>
          <w:sz w:val="20"/>
          <w:szCs w:val="20"/>
          <w:color w:val="auto"/>
        </w:rPr>
      </w:pPr>
    </w:p>
    <w:p>
      <w:pPr>
        <w:ind w:right="260" w:firstLine="300"/>
        <w:spacing w:after="0" w:line="248" w:lineRule="auto"/>
        <w:rPr>
          <w:sz w:val="20"/>
          <w:szCs w:val="20"/>
          <w:color w:val="auto"/>
        </w:rPr>
      </w:pPr>
      <w:r>
        <w:rPr>
          <w:rFonts w:ascii="Arial" w:cs="Arial" w:eastAsia="Arial" w:hAnsi="Arial"/>
          <w:sz w:val="20"/>
          <w:szCs w:val="20"/>
          <w:color w:val="231F20"/>
        </w:rPr>
        <w:t>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0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3380" w:type="dxa"/>
            <w:vAlign w:val="bottom"/>
            <w:tcBorders>
              <w:bottom w:val="single" w:sz="8" w:color="231F20"/>
            </w:tcBorders>
            <w:gridSpan w:val="7"/>
          </w:tcPr>
          <w:p>
            <w:pPr>
              <w:jc w:val="right"/>
              <w:ind w:right="500"/>
              <w:spacing w:after="0"/>
              <w:rPr>
                <w:sz w:val="20"/>
                <w:szCs w:val="20"/>
                <w:color w:val="auto"/>
              </w:rPr>
            </w:pPr>
            <w:r>
              <w:rPr>
                <w:rFonts w:ascii="Arial" w:cs="Arial" w:eastAsia="Arial" w:hAnsi="Arial"/>
                <w:sz w:val="20"/>
                <w:szCs w:val="20"/>
                <w:b w:val="1"/>
                <w:bCs w:val="1"/>
                <w:color w:val="231F20"/>
              </w:rPr>
              <w:t>Year ended December 31,</w:t>
            </w:r>
          </w:p>
        </w:tc>
      </w:tr>
      <w:tr>
        <w:trPr>
          <w:trHeight w:val="260"/>
        </w:trPr>
        <w:tc>
          <w:tcPr>
            <w:tcW w:w="55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20"/>
              <w:spacing w:after="0"/>
              <w:rPr>
                <w:sz w:val="20"/>
                <w:szCs w:val="20"/>
                <w:color w:val="auto"/>
              </w:rPr>
            </w:pPr>
            <w:r>
              <w:rPr>
                <w:rFonts w:ascii="Arial" w:cs="Arial" w:eastAsia="Arial" w:hAnsi="Arial"/>
                <w:sz w:val="20"/>
                <w:szCs w:val="20"/>
                <w:b w:val="1"/>
                <w:bCs w:val="1"/>
                <w:color w:val="231F20"/>
              </w:rPr>
              <w:t>2025</w:t>
            </w:r>
          </w:p>
        </w:tc>
        <w:tc>
          <w:tcPr>
            <w:tcW w:w="10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264"/>
              <w:spacing w:after="0"/>
              <w:rPr>
                <w:sz w:val="20"/>
                <w:szCs w:val="20"/>
                <w:color w:val="auto"/>
              </w:rPr>
            </w:pPr>
            <w:r>
              <w:rPr>
                <w:rFonts w:ascii="Arial" w:cs="Arial" w:eastAsia="Arial" w:hAnsi="Arial"/>
                <w:sz w:val="20"/>
                <w:szCs w:val="20"/>
                <w:b w:val="1"/>
                <w:bCs w:val="1"/>
                <w:color w:val="231F20"/>
              </w:rPr>
              <w:t>2024</w:t>
            </w:r>
          </w:p>
        </w:tc>
        <w:tc>
          <w:tcPr>
            <w:tcW w:w="1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60"/>
              <w:spacing w:after="0"/>
              <w:rPr>
                <w:sz w:val="20"/>
                <w:szCs w:val="20"/>
                <w:color w:val="auto"/>
              </w:rPr>
            </w:pPr>
            <w:r>
              <w:rPr>
                <w:rFonts w:ascii="Arial" w:cs="Arial" w:eastAsia="Arial" w:hAnsi="Arial"/>
                <w:sz w:val="20"/>
                <w:szCs w:val="20"/>
                <w:b w:val="1"/>
                <w:bCs w:val="1"/>
                <w:color w:val="231F20"/>
              </w:rPr>
              <w:t>2023</w:t>
            </w:r>
          </w:p>
        </w:tc>
      </w:tr>
      <w:tr>
        <w:trPr>
          <w:trHeight w:val="192"/>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44"/>
              <w:spacing w:after="0"/>
              <w:rPr>
                <w:sz w:val="20"/>
                <w:szCs w:val="20"/>
                <w:color w:val="auto"/>
              </w:rPr>
            </w:pPr>
            <w:r>
              <w:rPr>
                <w:rFonts w:ascii="Arial" w:cs="Arial" w:eastAsia="Arial" w:hAnsi="Arial"/>
                <w:sz w:val="16"/>
                <w:szCs w:val="16"/>
                <w:color w:val="231F20"/>
              </w:rPr>
              <w:t>(in millions)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8"/>
        </w:trPr>
        <w:tc>
          <w:tcPr>
            <w:tcW w:w="5500" w:type="dxa"/>
            <w:vAlign w:val="bottom"/>
          </w:tcPr>
          <w:p>
            <w:pPr>
              <w:spacing w:after="0"/>
              <w:rPr>
                <w:sz w:val="20"/>
                <w:szCs w:val="20"/>
                <w:color w:val="auto"/>
              </w:rPr>
            </w:pPr>
            <w:r>
              <w:rPr>
                <w:rFonts w:ascii="Arial" w:cs="Arial" w:eastAsia="Arial" w:hAnsi="Arial"/>
                <w:sz w:val="20"/>
                <w:szCs w:val="20"/>
                <w:color w:val="231F20"/>
              </w:rPr>
              <w:t>Non-cash commodity derivative gain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225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980" w:type="dxa"/>
            <w:vAlign w:val="bottom"/>
          </w:tcPr>
          <w:p>
            <w:pPr>
              <w:jc w:val="right"/>
              <w:spacing w:after="0"/>
              <w:rPr>
                <w:sz w:val="20"/>
                <w:szCs w:val="20"/>
                <w:color w:val="auto"/>
              </w:rPr>
            </w:pPr>
            <w:r>
              <w:rPr>
                <w:rFonts w:ascii="Arial" w:cs="Arial" w:eastAsia="Arial" w:hAnsi="Arial"/>
                <w:sz w:val="20"/>
                <w:szCs w:val="20"/>
                <w:color w:val="231F20"/>
              </w:rPr>
              <w:t>274</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260</w:t>
            </w:r>
          </w:p>
        </w:tc>
      </w:tr>
      <w:tr>
        <w:trPr>
          <w:trHeight w:val="240"/>
        </w:trPr>
        <w:tc>
          <w:tcPr>
            <w:tcW w:w="5500" w:type="dxa"/>
            <w:vAlign w:val="bottom"/>
          </w:tcPr>
          <w:p>
            <w:pPr>
              <w:spacing w:after="0"/>
              <w:rPr>
                <w:sz w:val="20"/>
                <w:szCs w:val="20"/>
                <w:color w:val="auto"/>
              </w:rPr>
            </w:pPr>
            <w:r>
              <w:rPr>
                <w:rFonts w:ascii="Arial" w:cs="Arial" w:eastAsia="Arial" w:hAnsi="Arial"/>
                <w:sz w:val="20"/>
                <w:szCs w:val="20"/>
                <w:color w:val="231F20"/>
              </w:rPr>
              <w:t>Net proceeds (settlements) and premium amortization  . . . .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(272)</w:t>
            </w:r>
          </w:p>
        </w:tc>
      </w:tr>
      <w:tr>
        <w:trPr>
          <w:trHeight w:val="30"/>
        </w:trPr>
        <w:tc>
          <w:tcPr>
            <w:tcW w:w="55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20"/>
                <w:szCs w:val="20"/>
                <w:color w:val="231F20"/>
              </w:rPr>
              <w:t>Net gain (loss) from commodity derivatives . . . . . . . . . . . . . . .</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266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980" w:type="dxa"/>
            <w:vAlign w:val="bottom"/>
          </w:tcPr>
          <w:p>
            <w:pPr>
              <w:jc w:val="right"/>
              <w:spacing w:after="0"/>
              <w:rPr>
                <w:sz w:val="20"/>
                <w:szCs w:val="20"/>
                <w:color w:val="auto"/>
              </w:rPr>
            </w:pPr>
            <w:r>
              <w:rPr>
                <w:rFonts w:ascii="Arial" w:cs="Arial" w:eastAsia="Arial" w:hAnsi="Arial"/>
                <w:sz w:val="20"/>
                <w:szCs w:val="20"/>
                <w:color w:val="231F20"/>
              </w:rPr>
              <w:t>241</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(12)</w:t>
            </w:r>
          </w:p>
        </w:tc>
      </w:tr>
      <w:tr>
        <w:trPr>
          <w:trHeight w:val="30"/>
        </w:trPr>
        <w:tc>
          <w:tcPr>
            <w:tcW w:w="55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r>
    </w:tbl>
    <w:p>
      <w:pPr>
        <w:spacing w:after="0" w:line="257" w:lineRule="exact"/>
        <w:rPr>
          <w:sz w:val="20"/>
          <w:szCs w:val="20"/>
          <w:color w:val="auto"/>
        </w:rPr>
      </w:pPr>
    </w:p>
    <w:p>
      <w:pPr>
        <w:ind w:right="300" w:firstLine="300"/>
        <w:spacing w:after="0" w:line="245" w:lineRule="auto"/>
        <w:rPr>
          <w:sz w:val="20"/>
          <w:szCs w:val="20"/>
          <w:color w:val="auto"/>
        </w:rPr>
      </w:pPr>
      <w:r>
        <w:rPr>
          <w:rFonts w:ascii="Arial" w:cs="Arial" w:eastAsia="Arial" w:hAnsi="Arial"/>
          <w:sz w:val="20"/>
          <w:szCs w:val="20"/>
          <w:color w:val="231F20"/>
        </w:rPr>
        <w:t>We report gains and losses on our commodity derivative contracts to purchases of natural gas in operating expenses on our consolidated statements of operations as shown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20" w:type="dxa"/>
            <w:vAlign w:val="bottom"/>
          </w:tcPr>
          <w:p>
            <w:pPr>
              <w:spacing w:after="0"/>
              <w:rPr>
                <w:sz w:val="21"/>
                <w:szCs w:val="21"/>
                <w:color w:val="auto"/>
              </w:rPr>
            </w:pPr>
          </w:p>
        </w:tc>
        <w:tc>
          <w:tcPr>
            <w:tcW w:w="3200" w:type="dxa"/>
            <w:vAlign w:val="bottom"/>
            <w:tcBorders>
              <w:bottom w:val="single" w:sz="8" w:color="231F20"/>
            </w:tcBorders>
            <w:gridSpan w:val="8"/>
          </w:tcPr>
          <w:p>
            <w:pPr>
              <w:jc w:val="center"/>
              <w:spacing w:after="0"/>
              <w:rPr>
                <w:sz w:val="20"/>
                <w:szCs w:val="20"/>
                <w:color w:val="auto"/>
              </w:rPr>
            </w:pPr>
            <w:r>
              <w:rPr>
                <w:rFonts w:ascii="Arial" w:cs="Arial" w:eastAsia="Arial" w:hAnsi="Arial"/>
                <w:sz w:val="20"/>
                <w:szCs w:val="20"/>
                <w:b w:val="1"/>
                <w:bCs w:val="1"/>
                <w:color w:val="231F20"/>
              </w:rPr>
              <w:t>Year ended December 31,</w:t>
            </w:r>
          </w:p>
        </w:tc>
      </w:tr>
      <w:tr>
        <w:trPr>
          <w:trHeight w:val="240"/>
        </w:trPr>
        <w:tc>
          <w:tcPr>
            <w:tcW w:w="59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231F20"/>
              </w:rPr>
              <w:t>2025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center"/>
              <w:ind w:right="120"/>
              <w:spacing w:after="0"/>
              <w:rPr>
                <w:sz w:val="20"/>
                <w:szCs w:val="20"/>
                <w:color w:val="auto"/>
              </w:rPr>
            </w:pPr>
            <w:r>
              <w:rPr>
                <w:rFonts w:ascii="Arial" w:cs="Arial" w:eastAsia="Arial" w:hAnsi="Arial"/>
                <w:sz w:val="20"/>
                <w:szCs w:val="20"/>
                <w:b w:val="1"/>
                <w:bCs w:val="1"/>
                <w:color w:val="231F20"/>
                <w:w w:val="98"/>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60"/>
              <w:spacing w:after="0"/>
              <w:rPr>
                <w:sz w:val="20"/>
                <w:szCs w:val="20"/>
                <w:color w:val="auto"/>
              </w:rPr>
            </w:pPr>
            <w:r>
              <w:rPr>
                <w:rFonts w:ascii="Arial" w:cs="Arial" w:eastAsia="Arial" w:hAnsi="Arial"/>
                <w:sz w:val="20"/>
                <w:szCs w:val="20"/>
                <w:b w:val="1"/>
                <w:bCs w:val="1"/>
                <w:color w:val="231F20"/>
              </w:rPr>
              <w:t>2023</w:t>
            </w:r>
          </w:p>
        </w:tc>
      </w:tr>
      <w:tr>
        <w:trPr>
          <w:trHeight w:val="20"/>
        </w:trPr>
        <w:tc>
          <w:tcPr>
            <w:tcW w:w="59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231F20"/>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r>
      <w:tr>
        <w:trPr>
          <w:trHeight w:val="192"/>
        </w:trPr>
        <w:tc>
          <w:tcPr>
            <w:tcW w:w="5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231F20"/>
                <w:w w:val="98"/>
              </w:rPr>
              <w:t>(in millions)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8"/>
        </w:trPr>
        <w:tc>
          <w:tcPr>
            <w:tcW w:w="5920" w:type="dxa"/>
            <w:vAlign w:val="bottom"/>
          </w:tcPr>
          <w:p>
            <w:pPr>
              <w:spacing w:after="0"/>
              <w:rPr>
                <w:sz w:val="20"/>
                <w:szCs w:val="20"/>
                <w:color w:val="auto"/>
              </w:rPr>
            </w:pPr>
            <w:r>
              <w:rPr>
                <w:rFonts w:ascii="Arial" w:cs="Arial" w:eastAsia="Arial" w:hAnsi="Arial"/>
                <w:sz w:val="20"/>
                <w:szCs w:val="20"/>
                <w:color w:val="231F20"/>
              </w:rPr>
              <w:t>Non-cash loss (gain) on natural gas purchase derivatives . . . . . . .</w:t>
            </w:r>
          </w:p>
        </w:tc>
        <w:tc>
          <w:tcPr>
            <w:tcW w:w="740" w:type="dxa"/>
            <w:vAlign w:val="bottom"/>
          </w:tcPr>
          <w:p>
            <w:pPr>
              <w:jc w:val="right"/>
              <w:ind w:right="480"/>
              <w:spacing w:after="0"/>
              <w:rPr>
                <w:sz w:val="20"/>
                <w:szCs w:val="20"/>
                <w:color w:val="auto"/>
              </w:rPr>
            </w:pPr>
            <w:r>
              <w:rPr>
                <w:rFonts w:ascii="Arial" w:cs="Arial" w:eastAsia="Arial" w:hAnsi="Arial"/>
                <w:sz w:val="20"/>
                <w:szCs w:val="20"/>
                <w:color w:val="231F20"/>
              </w:rPr>
              <w:t>$</w:t>
            </w:r>
          </w:p>
        </w:tc>
        <w:tc>
          <w:tcPr>
            <w:tcW w:w="240" w:type="dxa"/>
            <w:vAlign w:val="bottom"/>
          </w:tcPr>
          <w:p>
            <w:pPr>
              <w:jc w:val="right"/>
              <w:spacing w:after="0"/>
              <w:rPr>
                <w:sz w:val="20"/>
                <w:szCs w:val="20"/>
                <w:color w:val="auto"/>
              </w:rPr>
            </w:pPr>
            <w:r>
              <w:rPr>
                <w:rFonts w:ascii="Arial" w:cs="Arial" w:eastAsia="Arial" w:hAnsi="Arial"/>
                <w:sz w:val="20"/>
                <w:szCs w:val="20"/>
                <w:color w:val="231F20"/>
                <w:w w:val="98"/>
              </w:rPr>
              <w:t>24</w:t>
            </w: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(2)</w:t>
            </w:r>
          </w:p>
        </w:tc>
        <w:tc>
          <w:tcPr>
            <w:tcW w:w="30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760" w:type="dxa"/>
            <w:vAlign w:val="bottom"/>
          </w:tcPr>
          <w:p>
            <w:pPr>
              <w:jc w:val="right"/>
              <w:spacing w:after="0"/>
              <w:rPr>
                <w:sz w:val="20"/>
                <w:szCs w:val="20"/>
                <w:color w:val="auto"/>
              </w:rPr>
            </w:pPr>
            <w:r>
              <w:rPr>
                <w:rFonts w:ascii="Arial" w:cs="Arial" w:eastAsia="Arial" w:hAnsi="Arial"/>
                <w:sz w:val="20"/>
                <w:szCs w:val="20"/>
                <w:color w:val="231F20"/>
              </w:rPr>
              <w:t>8</w:t>
            </w:r>
          </w:p>
        </w:tc>
      </w:tr>
      <w:tr>
        <w:trPr>
          <w:trHeight w:val="240"/>
        </w:trPr>
        <w:tc>
          <w:tcPr>
            <w:tcW w:w="5920" w:type="dxa"/>
            <w:vAlign w:val="bottom"/>
          </w:tcPr>
          <w:p>
            <w:pPr>
              <w:spacing w:after="0"/>
              <w:rPr>
                <w:sz w:val="20"/>
                <w:szCs w:val="20"/>
                <w:color w:val="auto"/>
              </w:rPr>
            </w:pPr>
            <w:r>
              <w:rPr>
                <w:rFonts w:ascii="Arial" w:cs="Arial" w:eastAsia="Arial" w:hAnsi="Arial"/>
                <w:sz w:val="20"/>
                <w:szCs w:val="20"/>
                <w:color w:val="231F20"/>
                <w:w w:val="97"/>
              </w:rPr>
              <w:t>Settlements . . . . . . . . . . . . . . . . . . . . . . . . . . . . . . . . . . . . . . . . . . . . .</w:t>
            </w:r>
          </w:p>
        </w:tc>
        <w:tc>
          <w:tcPr>
            <w:tcW w:w="7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231F20"/>
                <w:w w:val="98"/>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30"/>
        </w:trPr>
        <w:tc>
          <w:tcPr>
            <w:tcW w:w="59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72"/>
        </w:trPr>
        <w:tc>
          <w:tcPr>
            <w:tcW w:w="5920" w:type="dxa"/>
            <w:vAlign w:val="bottom"/>
          </w:tcPr>
          <w:p>
            <w:pPr>
              <w:spacing w:after="0"/>
              <w:rPr>
                <w:sz w:val="20"/>
                <w:szCs w:val="20"/>
                <w:color w:val="auto"/>
              </w:rPr>
            </w:pPr>
            <w:r>
              <w:rPr>
                <w:rFonts w:ascii="Arial" w:cs="Arial" w:eastAsia="Arial" w:hAnsi="Arial"/>
                <w:sz w:val="20"/>
                <w:szCs w:val="20"/>
                <w:color w:val="231F20"/>
              </w:rPr>
              <w:t>Net loss on natural gas purchase derivatives  . . . . . . . . . . . . . . . . .</w:t>
            </w:r>
          </w:p>
        </w:tc>
        <w:tc>
          <w:tcPr>
            <w:tcW w:w="740" w:type="dxa"/>
            <w:vAlign w:val="bottom"/>
          </w:tcPr>
          <w:p>
            <w:pPr>
              <w:jc w:val="right"/>
              <w:ind w:right="480"/>
              <w:spacing w:after="0"/>
              <w:rPr>
                <w:sz w:val="20"/>
                <w:szCs w:val="20"/>
                <w:color w:val="auto"/>
              </w:rPr>
            </w:pPr>
            <w:r>
              <w:rPr>
                <w:rFonts w:ascii="Arial" w:cs="Arial" w:eastAsia="Arial" w:hAnsi="Arial"/>
                <w:sz w:val="20"/>
                <w:szCs w:val="20"/>
                <w:color w:val="231F20"/>
              </w:rPr>
              <w:t>$</w:t>
            </w:r>
          </w:p>
        </w:tc>
        <w:tc>
          <w:tcPr>
            <w:tcW w:w="240" w:type="dxa"/>
            <w:vAlign w:val="bottom"/>
          </w:tcPr>
          <w:p>
            <w:pPr>
              <w:jc w:val="right"/>
              <w:spacing w:after="0"/>
              <w:rPr>
                <w:sz w:val="20"/>
                <w:szCs w:val="20"/>
                <w:color w:val="auto"/>
              </w:rPr>
            </w:pPr>
            <w:r>
              <w:rPr>
                <w:rFonts w:ascii="Arial" w:cs="Arial" w:eastAsia="Arial" w:hAnsi="Arial"/>
                <w:sz w:val="20"/>
                <w:szCs w:val="20"/>
                <w:color w:val="231F20"/>
                <w:w w:val="98"/>
              </w:rPr>
              <w:t>50</w:t>
            </w:r>
          </w:p>
        </w:tc>
        <w:tc>
          <w:tcPr>
            <w:tcW w:w="1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30</w:t>
            </w:r>
          </w:p>
        </w:tc>
        <w:tc>
          <w:tcPr>
            <w:tcW w:w="30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760" w:type="dxa"/>
            <w:vAlign w:val="bottom"/>
          </w:tcPr>
          <w:p>
            <w:pPr>
              <w:jc w:val="right"/>
              <w:spacing w:after="0"/>
              <w:rPr>
                <w:sz w:val="20"/>
                <w:szCs w:val="20"/>
                <w:color w:val="auto"/>
              </w:rPr>
            </w:pPr>
            <w:r>
              <w:rPr>
                <w:rFonts w:ascii="Arial" w:cs="Arial" w:eastAsia="Arial" w:hAnsi="Arial"/>
                <w:sz w:val="20"/>
                <w:szCs w:val="20"/>
                <w:color w:val="231F20"/>
              </w:rPr>
              <w:t>8</w:t>
            </w:r>
          </w:p>
        </w:tc>
      </w:tr>
      <w:tr>
        <w:trPr>
          <w:trHeight w:val="28"/>
        </w:trPr>
        <w:tc>
          <w:tcPr>
            <w:tcW w:w="592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0"/>
        </w:trPr>
        <w:tc>
          <w:tcPr>
            <w:tcW w:w="59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r>
    </w:tbl>
    <w:p>
      <w:pPr>
        <w:spacing w:after="0" w:line="257" w:lineRule="exact"/>
        <w:rPr>
          <w:sz w:val="20"/>
          <w:szCs w:val="20"/>
          <w:color w:val="auto"/>
        </w:rPr>
      </w:pPr>
    </w:p>
    <w:p>
      <w:pPr>
        <w:ind w:right="380" w:firstLine="300"/>
        <w:spacing w:after="0" w:line="247" w:lineRule="auto"/>
        <w:rPr>
          <w:sz w:val="20"/>
          <w:szCs w:val="20"/>
          <w:color w:val="auto"/>
        </w:rPr>
      </w:pPr>
      <w:r>
        <w:rPr>
          <w:rFonts w:ascii="Arial" w:cs="Arial" w:eastAsia="Arial" w:hAnsi="Arial"/>
          <w:sz w:val="20"/>
          <w:szCs w:val="20"/>
          <w:color w:val="231F20"/>
        </w:rPr>
        <w:t>Our derivative contracts are measured at fair value using industry-standard models with various inputs, including quoted forward prices, and are classified as Level 2 in the required fair value hierarchy for the periods presented.</w:t>
      </w:r>
    </w:p>
    <w:p>
      <w:pPr>
        <w:spacing w:after="0" w:line="210" w:lineRule="exact"/>
        <w:rPr>
          <w:sz w:val="20"/>
          <w:szCs w:val="20"/>
          <w:color w:val="auto"/>
        </w:rPr>
      </w:pPr>
    </w:p>
    <w:p>
      <w:pPr>
        <w:ind w:right="380" w:firstLine="300"/>
        <w:spacing w:after="0" w:line="248" w:lineRule="auto"/>
        <w:rPr>
          <w:sz w:val="20"/>
          <w:szCs w:val="20"/>
          <w:color w:val="auto"/>
        </w:rPr>
      </w:pPr>
      <w:r>
        <w:rPr>
          <w:rFonts w:ascii="Arial" w:cs="Arial" w:eastAsia="Arial" w:hAnsi="Arial"/>
          <w:sz w:val="20"/>
          <w:szCs w:val="20"/>
          <w:color w:val="231F20"/>
        </w:rPr>
        <w:t>Our derivative contracts are measured at fair value using industry-standard models with various inputs, including quoted forward prices, and are classified as Level 2 in the required fair value hierarchy for the periods presented. The following tables present the fair values of our outstanding commodity derivatives as of December 31, 2025 and December 31, 2024.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17780</wp:posOffset>
                </wp:positionV>
                <wp:extent cx="57912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456pt,1.4pt" o:allowincell="f" strokecolor="#231F20" strokeweight="1pt"/>
            </w:pict>
          </mc:Fallback>
        </mc:AlternateContent>
      </w: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20"/>
                <w:szCs w:val="20"/>
                <w:b w:val="1"/>
                <w:bCs w:val="1"/>
                <w:color w:val="231F20"/>
              </w:rPr>
              <w:t>Gross Amounts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8"/>
        </w:trPr>
        <w:tc>
          <w:tcPr>
            <w:tcW w:w="4280" w:type="dxa"/>
            <w:vAlign w:val="bottom"/>
            <w:tcBorders>
              <w:bottom w:val="single" w:sz="8" w:color="231F20"/>
            </w:tcBorders>
          </w:tcPr>
          <w:p>
            <w:pPr>
              <w:ind w:left="1480"/>
              <w:spacing w:after="0"/>
              <w:rPr>
                <w:sz w:val="20"/>
                <w:szCs w:val="20"/>
                <w:color w:val="auto"/>
              </w:rPr>
            </w:pPr>
            <w:r>
              <w:rPr>
                <w:rFonts w:ascii="Arial" w:cs="Arial" w:eastAsia="Arial" w:hAnsi="Arial"/>
                <w:sz w:val="20"/>
                <w:szCs w:val="20"/>
                <w:b w:val="1"/>
                <w:bCs w:val="1"/>
                <w:color w:val="231F20"/>
              </w:rPr>
              <w:t>Classification</w:t>
            </w:r>
          </w:p>
        </w:tc>
        <w:tc>
          <w:tcPr>
            <w:tcW w:w="10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400" w:type="dxa"/>
            <w:vAlign w:val="bottom"/>
            <w:tcBorders>
              <w:bottom w:val="single" w:sz="8" w:color="231F20"/>
            </w:tcBorders>
          </w:tcPr>
          <w:p>
            <w:pPr>
              <w:jc w:val="right"/>
              <w:ind w:right="100"/>
              <w:spacing w:after="0"/>
              <w:rPr>
                <w:sz w:val="20"/>
                <w:szCs w:val="20"/>
                <w:color w:val="auto"/>
              </w:rPr>
            </w:pPr>
            <w:r>
              <w:rPr>
                <w:rFonts w:ascii="Arial" w:cs="Arial" w:eastAsia="Arial" w:hAnsi="Arial"/>
                <w:sz w:val="20"/>
                <w:szCs w:val="20"/>
                <w:b w:val="1"/>
                <w:bCs w:val="1"/>
                <w:color w:val="231F20"/>
                <w:w w:val="99"/>
              </w:rPr>
              <w:t>at Fair Value</w:t>
            </w:r>
          </w:p>
        </w:tc>
        <w:tc>
          <w:tcPr>
            <w:tcW w:w="10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283"/>
              <w:spacing w:after="0"/>
              <w:rPr>
                <w:sz w:val="20"/>
                <w:szCs w:val="20"/>
                <w:color w:val="auto"/>
              </w:rPr>
            </w:pPr>
            <w:r>
              <w:rPr>
                <w:rFonts w:ascii="Arial" w:cs="Arial" w:eastAsia="Arial" w:hAnsi="Arial"/>
                <w:sz w:val="20"/>
                <w:szCs w:val="20"/>
                <w:b w:val="1"/>
                <w:bCs w:val="1"/>
                <w:color w:val="231F20"/>
              </w:rPr>
              <w:t>Netting</w:t>
            </w:r>
          </w:p>
        </w:tc>
        <w:tc>
          <w:tcPr>
            <w:tcW w:w="100" w:type="dxa"/>
            <w:vAlign w:val="bottom"/>
          </w:tcPr>
          <w:p>
            <w:pPr>
              <w:spacing w:after="0"/>
              <w:rPr>
                <w:sz w:val="21"/>
                <w:szCs w:val="21"/>
                <w:color w:val="auto"/>
              </w:rPr>
            </w:pPr>
          </w:p>
        </w:tc>
        <w:tc>
          <w:tcPr>
            <w:tcW w:w="1560" w:type="dxa"/>
            <w:vAlign w:val="bottom"/>
            <w:tcBorders>
              <w:bottom w:val="single" w:sz="8" w:color="231F20"/>
            </w:tcBorders>
            <w:gridSpan w:val="2"/>
          </w:tcPr>
          <w:p>
            <w:pPr>
              <w:jc w:val="right"/>
              <w:ind w:right="20"/>
              <w:spacing w:after="0"/>
              <w:rPr>
                <w:sz w:val="20"/>
                <w:szCs w:val="20"/>
                <w:color w:val="auto"/>
              </w:rPr>
            </w:pPr>
            <w:r>
              <w:rPr>
                <w:rFonts w:ascii="Arial" w:cs="Arial" w:eastAsia="Arial" w:hAnsi="Arial"/>
                <w:sz w:val="20"/>
                <w:szCs w:val="20"/>
                <w:b w:val="1"/>
                <w:bCs w:val="1"/>
                <w:color w:val="231F20"/>
              </w:rPr>
              <w:t>Net Fair Value</w:t>
            </w:r>
          </w:p>
        </w:tc>
      </w:tr>
      <w:tr>
        <w:trPr>
          <w:trHeight w:val="282"/>
        </w:trPr>
        <w:tc>
          <w:tcPr>
            <w:tcW w:w="4280" w:type="dxa"/>
            <w:vAlign w:val="bottom"/>
          </w:tcPr>
          <w:p>
            <w:pPr>
              <w:spacing w:after="0"/>
              <w:rPr>
                <w:sz w:val="20"/>
                <w:szCs w:val="20"/>
                <w:color w:val="auto"/>
              </w:rPr>
            </w:pPr>
            <w:r>
              <w:rPr>
                <w:rFonts w:ascii="Arial" w:cs="Arial" w:eastAsia="Arial" w:hAnsi="Arial"/>
                <w:sz w:val="20"/>
                <w:szCs w:val="20"/>
                <w:b w:val="1"/>
                <w:bCs w:val="1"/>
                <w:color w:val="231F20"/>
              </w:rPr>
              <w:t>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163"/>
              <w:spacing w:after="0"/>
              <w:rPr>
                <w:sz w:val="20"/>
                <w:szCs w:val="20"/>
                <w:color w:val="auto"/>
              </w:rPr>
            </w:pPr>
            <w:r>
              <w:rPr>
                <w:rFonts w:ascii="Arial" w:cs="Arial" w:eastAsia="Arial" w:hAnsi="Arial"/>
                <w:sz w:val="16"/>
                <w:szCs w:val="16"/>
                <w:color w:val="231F20"/>
              </w:rPr>
              <w:t>(in millions)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4280" w:type="dxa"/>
            <w:vAlign w:val="bottom"/>
          </w:tcPr>
          <w:p>
            <w:pPr>
              <w:spacing w:after="0"/>
              <w:rPr>
                <w:sz w:val="20"/>
                <w:szCs w:val="20"/>
                <w:color w:val="auto"/>
              </w:rPr>
            </w:pPr>
            <w:r>
              <w:rPr>
                <w:rFonts w:ascii="Arial" w:cs="Arial" w:eastAsia="Arial" w:hAnsi="Arial"/>
                <w:sz w:val="20"/>
                <w:szCs w:val="20"/>
                <w:color w:val="231F20"/>
                <w:w w:val="98"/>
              </w:rPr>
              <w:t>Other current assets, net . . . . . . . . . . . . . . . . . . .</w:t>
            </w:r>
          </w:p>
        </w:tc>
        <w:tc>
          <w:tcPr>
            <w:tcW w:w="260" w:type="dxa"/>
            <w:vAlign w:val="bottom"/>
            <w:gridSpan w:val="2"/>
          </w:tcPr>
          <w:p>
            <w:pPr>
              <w:ind w:left="140"/>
              <w:spacing w:after="0"/>
              <w:rPr>
                <w:sz w:val="20"/>
                <w:szCs w:val="20"/>
                <w:color w:val="auto"/>
              </w:rPr>
            </w:pPr>
            <w:r>
              <w:rPr>
                <w:rFonts w:ascii="Arial" w:cs="Arial" w:eastAsia="Arial" w:hAnsi="Arial"/>
                <w:sz w:val="20"/>
                <w:szCs w:val="20"/>
                <w:color w:val="231F20"/>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231F20"/>
              </w:rPr>
              <w:t>193</w:t>
            </w:r>
          </w:p>
        </w:tc>
        <w:tc>
          <w:tcPr>
            <w:tcW w:w="36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1160" w:type="dxa"/>
            <w:vAlign w:val="bottom"/>
          </w:tcPr>
          <w:p>
            <w:pPr>
              <w:jc w:val="right"/>
              <w:spacing w:after="0"/>
              <w:rPr>
                <w:sz w:val="20"/>
                <w:szCs w:val="20"/>
                <w:color w:val="auto"/>
              </w:rPr>
            </w:pPr>
            <w:r>
              <w:rPr>
                <w:rFonts w:ascii="Arial" w:cs="Arial" w:eastAsia="Arial" w:hAnsi="Arial"/>
                <w:sz w:val="20"/>
                <w:szCs w:val="20"/>
                <w:color w:val="231F20"/>
              </w:rPr>
              <w:t>(6)</w:t>
            </w:r>
          </w:p>
        </w:tc>
        <w:tc>
          <w:tcPr>
            <w:tcW w:w="760" w:type="dxa"/>
            <w:vAlign w:val="bottom"/>
            <w:gridSpan w:val="2"/>
          </w:tcPr>
          <w:p>
            <w:pPr>
              <w:jc w:val="right"/>
              <w:ind w:right="40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187</w:t>
            </w:r>
          </w:p>
        </w:tc>
      </w:tr>
      <w:tr>
        <w:trPr>
          <w:trHeight w:val="240"/>
        </w:trPr>
        <w:tc>
          <w:tcPr>
            <w:tcW w:w="4280" w:type="dxa"/>
            <w:vAlign w:val="bottom"/>
          </w:tcPr>
          <w:p>
            <w:pPr>
              <w:spacing w:after="0"/>
              <w:rPr>
                <w:sz w:val="20"/>
                <w:szCs w:val="20"/>
                <w:color w:val="auto"/>
              </w:rPr>
            </w:pPr>
            <w:r>
              <w:rPr>
                <w:rFonts w:ascii="Arial" w:cs="Arial" w:eastAsia="Arial" w:hAnsi="Arial"/>
                <w:sz w:val="20"/>
                <w:szCs w:val="20"/>
                <w:color w:val="231F20"/>
                <w:w w:val="97"/>
              </w:rPr>
              <w:t>Other noncurrent assets . . . . . . . . . . . . . . . . . . .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231F20"/>
              </w:rPr>
              <w:t>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101</w:t>
            </w:r>
          </w:p>
        </w:tc>
      </w:tr>
      <w:tr>
        <w:trPr>
          <w:trHeight w:val="440"/>
        </w:trPr>
        <w:tc>
          <w:tcPr>
            <w:tcW w:w="4280" w:type="dxa"/>
            <w:vAlign w:val="bottom"/>
          </w:tcPr>
          <w:p>
            <w:pPr>
              <w:spacing w:after="0"/>
              <w:rPr>
                <w:sz w:val="20"/>
                <w:szCs w:val="20"/>
                <w:color w:val="auto"/>
              </w:rPr>
            </w:pPr>
            <w:r>
              <w:rPr>
                <w:rFonts w:ascii="Arial" w:cs="Arial" w:eastAsia="Arial" w:hAnsi="Arial"/>
                <w:sz w:val="20"/>
                <w:szCs w:val="20"/>
                <w:b w:val="1"/>
                <w:bCs w:val="1"/>
                <w:color w:val="231F20"/>
              </w:rPr>
              <w:t>Liabilities: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0"/>
        </w:trPr>
        <w:tc>
          <w:tcPr>
            <w:tcW w:w="4280" w:type="dxa"/>
            <w:vAlign w:val="bottom"/>
          </w:tcPr>
          <w:p>
            <w:pPr>
              <w:spacing w:after="0"/>
              <w:rPr>
                <w:sz w:val="20"/>
                <w:szCs w:val="20"/>
                <w:color w:val="auto"/>
              </w:rPr>
            </w:pPr>
            <w:r>
              <w:rPr>
                <w:rFonts w:ascii="Arial" w:cs="Arial" w:eastAsia="Arial" w:hAnsi="Arial"/>
                <w:sz w:val="20"/>
                <w:szCs w:val="20"/>
                <w:color w:val="231F20"/>
                <w:w w:val="97"/>
              </w:rPr>
              <w:t>Current liabilities . . . . . . . . . . . . . . . . . . . . . . . . .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231F20"/>
              </w:rPr>
              <w:t>(48)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(42)</w:t>
            </w:r>
          </w:p>
        </w:tc>
      </w:tr>
      <w:tr>
        <w:trPr>
          <w:trHeight w:val="240"/>
        </w:trPr>
        <w:tc>
          <w:tcPr>
            <w:tcW w:w="4280" w:type="dxa"/>
            <w:vAlign w:val="bottom"/>
          </w:tcPr>
          <w:p>
            <w:pPr>
              <w:spacing w:after="0"/>
              <w:rPr>
                <w:sz w:val="20"/>
                <w:szCs w:val="20"/>
                <w:color w:val="auto"/>
              </w:rPr>
            </w:pPr>
            <w:r>
              <w:rPr>
                <w:rFonts w:ascii="Arial" w:cs="Arial" w:eastAsia="Arial" w:hAnsi="Arial"/>
                <w:sz w:val="20"/>
                <w:szCs w:val="20"/>
                <w:color w:val="231F20"/>
                <w:w w:val="97"/>
              </w:rPr>
              <w:t>Noncurrent liabilities . . . . . . . . . . . . . . . . . . . . . .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231F20"/>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(17)</w:t>
            </w:r>
          </w:p>
        </w:tc>
      </w:tr>
      <w:tr>
        <w:trPr>
          <w:trHeight w:val="30"/>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70"/>
        </w:trPr>
        <w:tc>
          <w:tcPr>
            <w:tcW w:w="4280" w:type="dxa"/>
            <w:vAlign w:val="bottom"/>
          </w:tcPr>
          <w:p>
            <w:pPr>
              <w:spacing w:after="0"/>
              <w:rPr>
                <w:sz w:val="23"/>
                <w:szCs w:val="23"/>
                <w:color w:val="auto"/>
              </w:rPr>
            </w:pPr>
          </w:p>
        </w:tc>
        <w:tc>
          <w:tcPr>
            <w:tcW w:w="260" w:type="dxa"/>
            <w:vAlign w:val="bottom"/>
            <w:gridSpan w:val="2"/>
          </w:tcPr>
          <w:p>
            <w:pPr>
              <w:ind w:left="140"/>
              <w:spacing w:after="0"/>
              <w:rPr>
                <w:sz w:val="20"/>
                <w:szCs w:val="20"/>
                <w:color w:val="auto"/>
              </w:rPr>
            </w:pPr>
            <w:r>
              <w:rPr>
                <w:rFonts w:ascii="Arial" w:cs="Arial" w:eastAsia="Arial" w:hAnsi="Arial"/>
                <w:sz w:val="20"/>
                <w:szCs w:val="20"/>
                <w:color w:val="231F20"/>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231F20"/>
              </w:rPr>
              <w:t>229</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1160" w:type="dxa"/>
            <w:vAlign w:val="bottom"/>
          </w:tcPr>
          <w:p>
            <w:pPr>
              <w:jc w:val="right"/>
              <w:spacing w:after="0"/>
              <w:rPr>
                <w:sz w:val="20"/>
                <w:szCs w:val="20"/>
                <w:color w:val="auto"/>
              </w:rPr>
            </w:pPr>
            <w:r>
              <w:rPr>
                <w:rFonts w:ascii="Arial" w:cs="Arial" w:eastAsia="Arial" w:hAnsi="Arial"/>
                <w:sz w:val="20"/>
                <w:szCs w:val="20"/>
                <w:color w:val="231F20"/>
              </w:rPr>
              <w:t>—</w:t>
            </w:r>
          </w:p>
        </w:tc>
        <w:tc>
          <w:tcPr>
            <w:tcW w:w="760" w:type="dxa"/>
            <w:vAlign w:val="bottom"/>
            <w:gridSpan w:val="2"/>
          </w:tcPr>
          <w:p>
            <w:pPr>
              <w:jc w:val="right"/>
              <w:ind w:right="40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229</w:t>
            </w:r>
          </w:p>
        </w:tc>
      </w:tr>
      <w:tr>
        <w:trPr>
          <w:trHeight w:val="30"/>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2"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121</w:t>
      </w:r>
    </w:p>
    <w:p>
      <w:pPr>
        <w:sectPr>
          <w:pgSz w:w="11880" w:h="15480" w:orient="portrait"/>
          <w:cols w:equalWidth="0" w:num="1">
            <w:col w:w="9120"/>
          </w:cols>
          <w:pgMar w:left="1380" w:top="1312" w:right="1380" w:bottom="66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231F20"/>
        </w:rPr>
        <w:t>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57912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456pt,1.45pt" o:allowincell="f" strokecolor="#231F20" strokeweight="1pt"/>
            </w:pict>
          </mc:Fallback>
        </mc:AlternateConten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1700" w:type="dxa"/>
            <w:vAlign w:val="bottom"/>
            <w:gridSpan w:val="6"/>
          </w:tcPr>
          <w:p>
            <w:pPr>
              <w:jc w:val="center"/>
              <w:spacing w:after="0"/>
              <w:rPr>
                <w:sz w:val="20"/>
                <w:szCs w:val="20"/>
                <w:color w:val="auto"/>
              </w:rPr>
            </w:pPr>
            <w:r>
              <w:rPr>
                <w:rFonts w:ascii="Arial" w:cs="Arial" w:eastAsia="Arial" w:hAnsi="Arial"/>
                <w:sz w:val="20"/>
                <w:szCs w:val="20"/>
                <w:b w:val="1"/>
                <w:bCs w:val="1"/>
                <w:color w:val="231F20"/>
                <w:w w:val="99"/>
              </w:rPr>
              <w:t>Gross Amounts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6"/>
        </w:trPr>
        <w:tc>
          <w:tcPr>
            <w:tcW w:w="4360" w:type="dxa"/>
            <w:vAlign w:val="bottom"/>
          </w:tcPr>
          <w:p>
            <w:pPr>
              <w:ind w:left="1520"/>
              <w:spacing w:after="0" w:line="228" w:lineRule="exact"/>
              <w:rPr>
                <w:sz w:val="20"/>
                <w:szCs w:val="20"/>
                <w:color w:val="auto"/>
              </w:rPr>
            </w:pPr>
            <w:r>
              <w:rPr>
                <w:rFonts w:ascii="Arial" w:cs="Arial" w:eastAsia="Arial" w:hAnsi="Arial"/>
                <w:sz w:val="20"/>
                <w:szCs w:val="20"/>
                <w:b w:val="1"/>
                <w:bCs w:val="1"/>
                <w:color w:val="231F20"/>
              </w:rPr>
              <w:t>Classification</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gridSpan w:val="4"/>
          </w:tcPr>
          <w:p>
            <w:pPr>
              <w:jc w:val="center"/>
              <w:ind w:right="140"/>
              <w:spacing w:after="0" w:line="228" w:lineRule="exact"/>
              <w:rPr>
                <w:sz w:val="20"/>
                <w:szCs w:val="20"/>
                <w:color w:val="auto"/>
              </w:rPr>
            </w:pPr>
            <w:r>
              <w:rPr>
                <w:rFonts w:ascii="Arial" w:cs="Arial" w:eastAsia="Arial" w:hAnsi="Arial"/>
                <w:sz w:val="20"/>
                <w:szCs w:val="20"/>
                <w:b w:val="1"/>
                <w:bCs w:val="1"/>
                <w:color w:val="231F20"/>
              </w:rPr>
              <w:t>at Fair Value</w:t>
            </w:r>
          </w:p>
        </w:tc>
        <w:tc>
          <w:tcPr>
            <w:tcW w:w="300" w:type="dxa"/>
            <w:vAlign w:val="bottom"/>
          </w:tcPr>
          <w:p>
            <w:pPr>
              <w:spacing w:after="0"/>
              <w:rPr>
                <w:sz w:val="21"/>
                <w:szCs w:val="21"/>
                <w:color w:val="auto"/>
              </w:rPr>
            </w:pPr>
          </w:p>
        </w:tc>
        <w:tc>
          <w:tcPr>
            <w:tcW w:w="1220" w:type="dxa"/>
            <w:vAlign w:val="bottom"/>
          </w:tcPr>
          <w:p>
            <w:pPr>
              <w:jc w:val="right"/>
              <w:ind w:right="323"/>
              <w:spacing w:after="0" w:line="228" w:lineRule="exact"/>
              <w:rPr>
                <w:sz w:val="20"/>
                <w:szCs w:val="20"/>
                <w:color w:val="auto"/>
              </w:rPr>
            </w:pPr>
            <w:r>
              <w:rPr>
                <w:rFonts w:ascii="Arial" w:cs="Arial" w:eastAsia="Arial" w:hAnsi="Arial"/>
                <w:sz w:val="20"/>
                <w:szCs w:val="20"/>
                <w:b w:val="1"/>
                <w:bCs w:val="1"/>
                <w:color w:val="231F20"/>
              </w:rPr>
              <w:t>Netting</w:t>
            </w:r>
          </w:p>
        </w:tc>
        <w:tc>
          <w:tcPr>
            <w:tcW w:w="100" w:type="dxa"/>
            <w:vAlign w:val="bottom"/>
          </w:tcPr>
          <w:p>
            <w:pPr>
              <w:spacing w:after="0"/>
              <w:rPr>
                <w:sz w:val="21"/>
                <w:szCs w:val="21"/>
                <w:color w:val="auto"/>
              </w:rPr>
            </w:pPr>
          </w:p>
        </w:tc>
        <w:tc>
          <w:tcPr>
            <w:tcW w:w="1440" w:type="dxa"/>
            <w:vAlign w:val="bottom"/>
            <w:gridSpan w:val="2"/>
          </w:tcPr>
          <w:p>
            <w:pPr>
              <w:ind w:left="40"/>
              <w:spacing w:after="0" w:line="228" w:lineRule="exact"/>
              <w:rPr>
                <w:sz w:val="20"/>
                <w:szCs w:val="20"/>
                <w:color w:val="auto"/>
              </w:rPr>
            </w:pPr>
            <w:r>
              <w:rPr>
                <w:rFonts w:ascii="Arial" w:cs="Arial" w:eastAsia="Arial" w:hAnsi="Arial"/>
                <w:sz w:val="20"/>
                <w:szCs w:val="20"/>
                <w:b w:val="1"/>
                <w:bCs w:val="1"/>
                <w:color w:val="231F20"/>
              </w:rPr>
              <w:t>Net Fair Value</w:t>
            </w:r>
          </w:p>
        </w:tc>
      </w:tr>
      <w:tr>
        <w:trPr>
          <w:trHeight w:val="282"/>
        </w:trPr>
        <w:tc>
          <w:tcPr>
            <w:tcW w:w="4360" w:type="dxa"/>
            <w:vAlign w:val="bottom"/>
            <w:tcBorders>
              <w:top w:val="single" w:sz="8" w:color="231F20"/>
            </w:tcBorders>
          </w:tcPr>
          <w:p>
            <w:pPr>
              <w:spacing w:after="0"/>
              <w:rPr>
                <w:sz w:val="20"/>
                <w:szCs w:val="20"/>
                <w:color w:val="auto"/>
              </w:rPr>
            </w:pPr>
            <w:r>
              <w:rPr>
                <w:rFonts w:ascii="Arial" w:cs="Arial" w:eastAsia="Arial" w:hAnsi="Arial"/>
                <w:sz w:val="20"/>
                <w:szCs w:val="20"/>
                <w:b w:val="1"/>
                <w:bCs w:val="1"/>
                <w:color w:val="231F20"/>
              </w:rPr>
              <w:t>Assets:</w:t>
            </w:r>
          </w:p>
        </w:tc>
        <w:tc>
          <w:tcPr>
            <w:tcW w:w="100" w:type="dxa"/>
            <w:vAlign w:val="bottom"/>
          </w:tcPr>
          <w:p>
            <w:pPr>
              <w:spacing w:after="0"/>
              <w:rPr>
                <w:sz w:val="24"/>
                <w:szCs w:val="24"/>
                <w:color w:val="auto"/>
              </w:rPr>
            </w:pPr>
          </w:p>
        </w:tc>
        <w:tc>
          <w:tcPr>
            <w:tcW w:w="20" w:type="dxa"/>
            <w:vAlign w:val="bottom"/>
            <w:tcBorders>
              <w:top w:val="single" w:sz="8" w:color="231F20"/>
            </w:tcBorders>
          </w:tcPr>
          <w:p>
            <w:pPr>
              <w:spacing w:after="0"/>
              <w:rPr>
                <w:sz w:val="24"/>
                <w:szCs w:val="24"/>
                <w:color w:val="auto"/>
              </w:rPr>
            </w:pPr>
          </w:p>
        </w:tc>
        <w:tc>
          <w:tcPr>
            <w:tcW w:w="620" w:type="dxa"/>
            <w:vAlign w:val="bottom"/>
            <w:tcBorders>
              <w:top w:val="single" w:sz="8" w:color="231F20"/>
            </w:tcBorders>
          </w:tcPr>
          <w:p>
            <w:pPr>
              <w:spacing w:after="0"/>
              <w:rPr>
                <w:sz w:val="24"/>
                <w:szCs w:val="24"/>
                <w:color w:val="auto"/>
              </w:rPr>
            </w:pPr>
          </w:p>
        </w:tc>
        <w:tc>
          <w:tcPr>
            <w:tcW w:w="820" w:type="dxa"/>
            <w:vAlign w:val="bottom"/>
            <w:tcBorders>
              <w:top w:val="single" w:sz="8" w:color="231F20"/>
            </w:tcBorders>
          </w:tcPr>
          <w:p>
            <w:pPr>
              <w:spacing w:after="0"/>
              <w:rPr>
                <w:sz w:val="24"/>
                <w:szCs w:val="24"/>
                <w:color w:val="auto"/>
              </w:rPr>
            </w:pPr>
          </w:p>
        </w:tc>
        <w:tc>
          <w:tcPr>
            <w:tcW w:w="40" w:type="dxa"/>
            <w:vAlign w:val="bottom"/>
            <w:tcBorders>
              <w:top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231F20"/>
            </w:tcBorders>
          </w:tcPr>
          <w:p>
            <w:pPr>
              <w:spacing w:after="0"/>
              <w:rPr>
                <w:sz w:val="24"/>
                <w:szCs w:val="24"/>
                <w:color w:val="auto"/>
              </w:rPr>
            </w:pPr>
          </w:p>
        </w:tc>
        <w:tc>
          <w:tcPr>
            <w:tcW w:w="1220" w:type="dxa"/>
            <w:vAlign w:val="bottom"/>
            <w:tcBorders>
              <w:top w:val="single" w:sz="8" w:color="231F20"/>
            </w:tcBorders>
          </w:tcPr>
          <w:p>
            <w:pPr>
              <w:jc w:val="right"/>
              <w:ind w:right="263"/>
              <w:spacing w:after="0"/>
              <w:rPr>
                <w:sz w:val="20"/>
                <w:szCs w:val="20"/>
                <w:color w:val="auto"/>
              </w:rPr>
            </w:pPr>
            <w:r>
              <w:rPr>
                <w:rFonts w:ascii="Arial" w:cs="Arial" w:eastAsia="Arial" w:hAnsi="Arial"/>
                <w:sz w:val="16"/>
                <w:szCs w:val="16"/>
                <w:color w:val="231F20"/>
              </w:rPr>
              <w:t>(in millions)</w:t>
            </w:r>
          </w:p>
        </w:tc>
        <w:tc>
          <w:tcPr>
            <w:tcW w:w="100" w:type="dxa"/>
            <w:vAlign w:val="bottom"/>
          </w:tcPr>
          <w:p>
            <w:pPr>
              <w:spacing w:after="0"/>
              <w:rPr>
                <w:sz w:val="24"/>
                <w:szCs w:val="24"/>
                <w:color w:val="auto"/>
              </w:rPr>
            </w:pPr>
          </w:p>
        </w:tc>
        <w:tc>
          <w:tcPr>
            <w:tcW w:w="620" w:type="dxa"/>
            <w:vAlign w:val="bottom"/>
            <w:tcBorders>
              <w:top w:val="single" w:sz="8" w:color="231F20"/>
            </w:tcBorders>
          </w:tcPr>
          <w:p>
            <w:pPr>
              <w:spacing w:after="0"/>
              <w:rPr>
                <w:sz w:val="24"/>
                <w:szCs w:val="24"/>
                <w:color w:val="auto"/>
              </w:rPr>
            </w:pPr>
          </w:p>
        </w:tc>
        <w:tc>
          <w:tcPr>
            <w:tcW w:w="820" w:type="dxa"/>
            <w:vAlign w:val="bottom"/>
            <w:tcBorders>
              <w:top w:val="single" w:sz="8" w:color="231F20"/>
            </w:tcBorders>
          </w:tcPr>
          <w:p>
            <w:pPr>
              <w:spacing w:after="0"/>
              <w:rPr>
                <w:sz w:val="24"/>
                <w:szCs w:val="24"/>
                <w:color w:val="auto"/>
              </w:rPr>
            </w:pPr>
          </w:p>
        </w:tc>
      </w:tr>
      <w:tr>
        <w:trPr>
          <w:trHeight w:val="240"/>
        </w:trPr>
        <w:tc>
          <w:tcPr>
            <w:tcW w:w="4360" w:type="dxa"/>
            <w:vAlign w:val="bottom"/>
          </w:tcPr>
          <w:p>
            <w:pPr>
              <w:spacing w:after="0"/>
              <w:rPr>
                <w:sz w:val="20"/>
                <w:szCs w:val="20"/>
                <w:color w:val="auto"/>
              </w:rPr>
            </w:pPr>
            <w:r>
              <w:rPr>
                <w:rFonts w:ascii="Arial" w:cs="Arial" w:eastAsia="Arial" w:hAnsi="Arial"/>
                <w:sz w:val="20"/>
                <w:szCs w:val="20"/>
                <w:color w:val="231F20"/>
                <w:w w:val="98"/>
              </w:rPr>
              <w:t>Other current assets, net . . . . . . . . . . . . . . . . . . . .</w:t>
            </w:r>
          </w:p>
        </w:tc>
        <w:tc>
          <w:tcPr>
            <w:tcW w:w="740" w:type="dxa"/>
            <w:vAlign w:val="bottom"/>
            <w:gridSpan w:val="3"/>
          </w:tcPr>
          <w:p>
            <w:pPr>
              <w:jc w:val="right"/>
              <w:ind w:right="36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26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220" w:type="dxa"/>
            <w:vAlign w:val="bottom"/>
          </w:tcPr>
          <w:p>
            <w:pPr>
              <w:jc w:val="right"/>
              <w:spacing w:after="0"/>
              <w:rPr>
                <w:sz w:val="20"/>
                <w:szCs w:val="20"/>
                <w:color w:val="auto"/>
              </w:rPr>
            </w:pPr>
            <w:r>
              <w:rPr>
                <w:rFonts w:ascii="Arial" w:cs="Arial" w:eastAsia="Arial" w:hAnsi="Arial"/>
                <w:sz w:val="20"/>
                <w:szCs w:val="20"/>
                <w:color w:val="231F20"/>
              </w:rPr>
              <w:t>(12)</w:t>
            </w:r>
          </w:p>
        </w:tc>
        <w:tc>
          <w:tcPr>
            <w:tcW w:w="720" w:type="dxa"/>
            <w:vAlign w:val="bottom"/>
            <w:gridSpan w:val="2"/>
          </w:tcPr>
          <w:p>
            <w:pPr>
              <w:ind w:left="14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14</w:t>
            </w:r>
          </w:p>
        </w:tc>
      </w:tr>
      <w:tr>
        <w:trPr>
          <w:trHeight w:val="240"/>
        </w:trPr>
        <w:tc>
          <w:tcPr>
            <w:tcW w:w="4360" w:type="dxa"/>
            <w:vAlign w:val="bottom"/>
          </w:tcPr>
          <w:p>
            <w:pPr>
              <w:spacing w:after="0"/>
              <w:rPr>
                <w:sz w:val="20"/>
                <w:szCs w:val="20"/>
                <w:color w:val="auto"/>
              </w:rPr>
            </w:pPr>
            <w:r>
              <w:rPr>
                <w:rFonts w:ascii="Arial" w:cs="Arial" w:eastAsia="Arial" w:hAnsi="Arial"/>
                <w:sz w:val="20"/>
                <w:szCs w:val="20"/>
                <w:color w:val="231F20"/>
                <w:w w:val="98"/>
              </w:rPr>
              <w:t>Other noncurrent assets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31F20"/>
              </w:rPr>
              <w:t>(16)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16</w:t>
            </w:r>
          </w:p>
        </w:tc>
      </w:tr>
      <w:tr>
        <w:trPr>
          <w:trHeight w:val="440"/>
        </w:trPr>
        <w:tc>
          <w:tcPr>
            <w:tcW w:w="4360" w:type="dxa"/>
            <w:vAlign w:val="bottom"/>
          </w:tcPr>
          <w:p>
            <w:pPr>
              <w:spacing w:after="0"/>
              <w:rPr>
                <w:sz w:val="20"/>
                <w:szCs w:val="20"/>
                <w:color w:val="auto"/>
              </w:rPr>
            </w:pPr>
            <w:r>
              <w:rPr>
                <w:rFonts w:ascii="Arial" w:cs="Arial" w:eastAsia="Arial" w:hAnsi="Arial"/>
                <w:sz w:val="20"/>
                <w:szCs w:val="20"/>
                <w:b w:val="1"/>
                <w:bCs w:val="1"/>
                <w:color w:val="231F20"/>
              </w:rPr>
              <w:t>Liabilities: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0"/>
        </w:trPr>
        <w:tc>
          <w:tcPr>
            <w:tcW w:w="4360" w:type="dxa"/>
            <w:vAlign w:val="bottom"/>
          </w:tcPr>
          <w:p>
            <w:pPr>
              <w:spacing w:after="0"/>
              <w:rPr>
                <w:sz w:val="20"/>
                <w:szCs w:val="20"/>
                <w:color w:val="auto"/>
              </w:rPr>
            </w:pPr>
            <w:r>
              <w:rPr>
                <w:rFonts w:ascii="Arial" w:cs="Arial" w:eastAsia="Arial" w:hAnsi="Arial"/>
                <w:sz w:val="20"/>
                <w:szCs w:val="20"/>
                <w:color w:val="231F20"/>
                <w:w w:val="96"/>
              </w:rPr>
              <w:t>Current liabilities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31F20"/>
              </w:rPr>
              <w:t>12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(50)</w:t>
            </w:r>
          </w:p>
        </w:tc>
      </w:tr>
      <w:tr>
        <w:trPr>
          <w:trHeight w:val="240"/>
        </w:trPr>
        <w:tc>
          <w:tcPr>
            <w:tcW w:w="4360" w:type="dxa"/>
            <w:vAlign w:val="bottom"/>
          </w:tcPr>
          <w:p>
            <w:pPr>
              <w:spacing w:after="0"/>
              <w:rPr>
                <w:sz w:val="20"/>
                <w:szCs w:val="20"/>
                <w:color w:val="auto"/>
              </w:rPr>
            </w:pPr>
            <w:r>
              <w:rPr>
                <w:rFonts w:ascii="Arial" w:cs="Arial" w:eastAsia="Arial" w:hAnsi="Arial"/>
                <w:sz w:val="20"/>
                <w:szCs w:val="20"/>
                <w:color w:val="231F20"/>
                <w:w w:val="97"/>
              </w:rPr>
              <w:t>Noncurrent liabilities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(61)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231F20"/>
              </w:rPr>
              <w:t>16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(45)</w:t>
            </w:r>
          </w:p>
        </w:tc>
      </w:tr>
      <w:tr>
        <w:trPr>
          <w:trHeight w:val="28"/>
        </w:trPr>
        <w:tc>
          <w:tcPr>
            <w:tcW w:w="4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r>
      <w:tr>
        <w:trPr>
          <w:trHeight w:val="270"/>
        </w:trPr>
        <w:tc>
          <w:tcPr>
            <w:tcW w:w="4360" w:type="dxa"/>
            <w:vAlign w:val="bottom"/>
          </w:tcPr>
          <w:p>
            <w:pPr>
              <w:spacing w:after="0"/>
              <w:rPr>
                <w:sz w:val="23"/>
                <w:szCs w:val="23"/>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(65)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231F20"/>
              </w:rPr>
              <w:t>$</w:t>
            </w:r>
          </w:p>
        </w:tc>
        <w:tc>
          <w:tcPr>
            <w:tcW w:w="1220" w:type="dxa"/>
            <w:vAlign w:val="bottom"/>
          </w:tcPr>
          <w:p>
            <w:pPr>
              <w:jc w:val="right"/>
              <w:spacing w:after="0"/>
              <w:rPr>
                <w:sz w:val="20"/>
                <w:szCs w:val="20"/>
                <w:color w:val="auto"/>
              </w:rPr>
            </w:pPr>
            <w:r>
              <w:rPr>
                <w:rFonts w:ascii="Arial" w:cs="Arial" w:eastAsia="Arial" w:hAnsi="Arial"/>
                <w:sz w:val="20"/>
                <w:szCs w:val="20"/>
                <w:color w:val="231F20"/>
              </w:rPr>
              <w:t>—</w:t>
            </w:r>
          </w:p>
        </w:tc>
        <w:tc>
          <w:tcPr>
            <w:tcW w:w="720" w:type="dxa"/>
            <w:vAlign w:val="bottom"/>
            <w:gridSpan w:val="2"/>
          </w:tcPr>
          <w:p>
            <w:pPr>
              <w:ind w:left="14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(65)</w:t>
            </w:r>
          </w:p>
        </w:tc>
      </w:tr>
      <w:tr>
        <w:trPr>
          <w:trHeight w:val="30"/>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Counterparty Credit Risk</w:t>
      </w:r>
    </w:p>
    <w:p>
      <w:pPr>
        <w:spacing w:after="0" w:line="215"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As of December 31, 2025, the majority of our credit exposure was with investment-grade counterparties. We actively evaluate the creditworthiness of our counterparties, assign credit limits and monitor exposure against those assigned limits. We believe exposure to credit-related losses was not significant for all periods presented. At December 31, 2025, and 2024, we did not have collateral posted for financial instruments.</w:t>
      </w:r>
    </w:p>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231F20"/>
        </w:rPr>
        <w:t>NOTE 8</w:t>
      </w:r>
      <w:r>
        <w:rPr>
          <w:sz w:val="20"/>
          <w:szCs w:val="20"/>
          <w:color w:val="auto"/>
        </w:rPr>
        <w:tab/>
      </w:r>
      <w:r>
        <w:rPr>
          <w:rFonts w:ascii="Arial" w:cs="Arial" w:eastAsia="Arial" w:hAnsi="Arial"/>
          <w:sz w:val="19"/>
          <w:szCs w:val="19"/>
          <w:b w:val="1"/>
          <w:bCs w:val="1"/>
          <w:color w:val="231F20"/>
        </w:rPr>
        <w:t>INCOME TAXES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Income before income taxes, for all periods presented, was generated from domestic operations.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The provision (benefit) for income taxes includes the following components: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4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3340" w:type="dxa"/>
            <w:vAlign w:val="bottom"/>
            <w:tcBorders>
              <w:bottom w:val="single" w:sz="8" w:color="231F20"/>
            </w:tcBorders>
            <w:gridSpan w:val="7"/>
          </w:tcPr>
          <w:p>
            <w:pPr>
              <w:jc w:val="right"/>
              <w:ind w:right="480"/>
              <w:spacing w:after="0"/>
              <w:rPr>
                <w:sz w:val="20"/>
                <w:szCs w:val="20"/>
                <w:color w:val="auto"/>
              </w:rPr>
            </w:pPr>
            <w:r>
              <w:rPr>
                <w:rFonts w:ascii="Arial" w:cs="Arial" w:eastAsia="Arial" w:hAnsi="Arial"/>
                <w:sz w:val="20"/>
                <w:szCs w:val="20"/>
                <w:b w:val="1"/>
                <w:bCs w:val="1"/>
                <w:color w:val="231F20"/>
              </w:rPr>
              <w:t>Year ended December 31,</w:t>
            </w:r>
          </w:p>
        </w:tc>
      </w:tr>
      <w:tr>
        <w:trPr>
          <w:trHeight w:val="260"/>
        </w:trPr>
        <w:tc>
          <w:tcPr>
            <w:tcW w:w="554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220"/>
              <w:spacing w:after="0"/>
              <w:rPr>
                <w:sz w:val="20"/>
                <w:szCs w:val="20"/>
                <w:color w:val="auto"/>
              </w:rPr>
            </w:pPr>
            <w:r>
              <w:rPr>
                <w:rFonts w:ascii="Arial" w:cs="Arial" w:eastAsia="Arial" w:hAnsi="Arial"/>
                <w:sz w:val="20"/>
                <w:szCs w:val="20"/>
                <w:b w:val="1"/>
                <w:bCs w:val="1"/>
                <w:color w:val="231F20"/>
              </w:rPr>
              <w:t>2025</w:t>
            </w:r>
          </w:p>
        </w:tc>
        <w:tc>
          <w:tcPr>
            <w:tcW w:w="10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22"/>
              <w:spacing w:after="0"/>
              <w:rPr>
                <w:sz w:val="20"/>
                <w:szCs w:val="20"/>
                <w:color w:val="auto"/>
              </w:rPr>
            </w:pPr>
            <w:r>
              <w:rPr>
                <w:rFonts w:ascii="Arial" w:cs="Arial" w:eastAsia="Arial" w:hAnsi="Arial"/>
                <w:sz w:val="20"/>
                <w:szCs w:val="20"/>
                <w:b w:val="1"/>
                <w:bCs w:val="1"/>
                <w:color w:val="231F20"/>
              </w:rPr>
              <w:t>2024</w:t>
            </w:r>
          </w:p>
        </w:tc>
        <w:tc>
          <w:tcPr>
            <w:tcW w:w="10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280"/>
              <w:spacing w:after="0"/>
              <w:rPr>
                <w:sz w:val="20"/>
                <w:szCs w:val="20"/>
                <w:color w:val="auto"/>
              </w:rPr>
            </w:pPr>
            <w:r>
              <w:rPr>
                <w:rFonts w:ascii="Arial" w:cs="Arial" w:eastAsia="Arial" w:hAnsi="Arial"/>
                <w:sz w:val="20"/>
                <w:szCs w:val="20"/>
                <w:b w:val="1"/>
                <w:bCs w:val="1"/>
                <w:color w:val="231F20"/>
              </w:rPr>
              <w:t>2023</w:t>
            </w:r>
          </w:p>
        </w:tc>
      </w:tr>
      <w:tr>
        <w:trPr>
          <w:trHeight w:val="192"/>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231F20"/>
              </w:rPr>
              <w:t>(in millions)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0"/>
        </w:trPr>
        <w:tc>
          <w:tcPr>
            <w:tcW w:w="5540" w:type="dxa"/>
            <w:vAlign w:val="bottom"/>
          </w:tcPr>
          <w:p>
            <w:pPr>
              <w:jc w:val="right"/>
              <w:spacing w:after="0"/>
              <w:rPr>
                <w:sz w:val="20"/>
                <w:szCs w:val="20"/>
                <w:color w:val="auto"/>
              </w:rPr>
            </w:pPr>
            <w:r>
              <w:rPr>
                <w:rFonts w:ascii="Arial" w:cs="Arial" w:eastAsia="Arial" w:hAnsi="Arial"/>
                <w:sz w:val="20"/>
                <w:szCs w:val="20"/>
                <w:color w:val="231F20"/>
                <w:w w:val="96"/>
              </w:rPr>
              <w:t>U.S. federal . . . . . . . . . . . . . . . . . . . . .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231F20"/>
              </w:rPr>
              <w:t>42</w:t>
            </w: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146</w:t>
            </w:r>
          </w:p>
        </w:tc>
      </w:tr>
      <w:tr>
        <w:trPr>
          <w:trHeight w:val="240"/>
        </w:trPr>
        <w:tc>
          <w:tcPr>
            <w:tcW w:w="5540" w:type="dxa"/>
            <w:vAlign w:val="bottom"/>
          </w:tcPr>
          <w:p>
            <w:pPr>
              <w:jc w:val="right"/>
              <w:spacing w:after="0"/>
              <w:rPr>
                <w:sz w:val="20"/>
                <w:szCs w:val="20"/>
                <w:color w:val="auto"/>
              </w:rPr>
            </w:pPr>
            <w:r>
              <w:rPr>
                <w:rFonts w:ascii="Arial" w:cs="Arial" w:eastAsia="Arial" w:hAnsi="Arial"/>
                <w:sz w:val="20"/>
                <w:szCs w:val="20"/>
                <w:color w:val="231F20"/>
                <w:w w:val="96"/>
              </w:rPr>
              <w:t>State and local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231F20"/>
              </w:rPr>
              <w:t>27</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3</w:t>
            </w:r>
          </w:p>
        </w:tc>
      </w:tr>
      <w:tr>
        <w:trPr>
          <w:trHeight w:val="28"/>
        </w:trPr>
        <w:tc>
          <w:tcPr>
            <w:tcW w:w="554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r>
      <w:tr>
        <w:trPr>
          <w:trHeight w:val="272"/>
        </w:trPr>
        <w:tc>
          <w:tcPr>
            <w:tcW w:w="5540" w:type="dxa"/>
            <w:vAlign w:val="bottom"/>
          </w:tcPr>
          <w:p>
            <w:pPr>
              <w:jc w:val="right"/>
              <w:spacing w:after="0"/>
              <w:rPr>
                <w:sz w:val="20"/>
                <w:szCs w:val="20"/>
                <w:color w:val="auto"/>
              </w:rPr>
            </w:pPr>
            <w:r>
              <w:rPr>
                <w:rFonts w:ascii="Arial" w:cs="Arial" w:eastAsia="Arial" w:hAnsi="Arial"/>
                <w:sz w:val="20"/>
                <w:szCs w:val="20"/>
                <w:color w:val="231F20"/>
                <w:w w:val="97"/>
              </w:rPr>
              <w:t>Current tax provision  . . . . . . . . . . . . . . . . . . . . . . . . . . . . . . . . .</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231F20"/>
              </w:rPr>
              <w:t>69</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149</w:t>
            </w:r>
          </w:p>
        </w:tc>
      </w:tr>
      <w:tr>
        <w:trPr>
          <w:trHeight w:val="28"/>
        </w:trPr>
        <w:tc>
          <w:tcPr>
            <w:tcW w:w="554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r>
      <w:tr>
        <w:trPr>
          <w:trHeight w:val="272"/>
        </w:trPr>
        <w:tc>
          <w:tcPr>
            <w:tcW w:w="5540" w:type="dxa"/>
            <w:vAlign w:val="bottom"/>
          </w:tcPr>
          <w:p>
            <w:pPr>
              <w:jc w:val="right"/>
              <w:spacing w:after="0"/>
              <w:rPr>
                <w:sz w:val="20"/>
                <w:szCs w:val="20"/>
                <w:color w:val="auto"/>
              </w:rPr>
            </w:pPr>
            <w:r>
              <w:rPr>
                <w:rFonts w:ascii="Arial" w:cs="Arial" w:eastAsia="Arial" w:hAnsi="Arial"/>
                <w:sz w:val="20"/>
                <w:szCs w:val="20"/>
                <w:color w:val="231F20"/>
                <w:w w:val="96"/>
              </w:rPr>
              <w:t>U.S. federal . . . . . . . . . . . . . . . . . . . . .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61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231F20"/>
              </w:rPr>
              <w:t>51</w:t>
            </w: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(12)</w:t>
            </w:r>
          </w:p>
        </w:tc>
      </w:tr>
      <w:tr>
        <w:trPr>
          <w:trHeight w:val="240"/>
        </w:trPr>
        <w:tc>
          <w:tcPr>
            <w:tcW w:w="5540" w:type="dxa"/>
            <w:vAlign w:val="bottom"/>
          </w:tcPr>
          <w:p>
            <w:pPr>
              <w:jc w:val="right"/>
              <w:spacing w:after="0"/>
              <w:rPr>
                <w:sz w:val="20"/>
                <w:szCs w:val="20"/>
                <w:color w:val="auto"/>
              </w:rPr>
            </w:pPr>
            <w:r>
              <w:rPr>
                <w:rFonts w:ascii="Arial" w:cs="Arial" w:eastAsia="Arial" w:hAnsi="Arial"/>
                <w:sz w:val="20"/>
                <w:szCs w:val="20"/>
                <w:color w:val="231F20"/>
                <w:w w:val="96"/>
              </w:rPr>
              <w:t>State and local  . . . . . . . . . . . . . . . . . . . . . . . . . . . . . . . . . . . . .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231F20"/>
              </w:rPr>
              <w:t>20</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47</w:t>
            </w:r>
          </w:p>
        </w:tc>
      </w:tr>
      <w:tr>
        <w:trPr>
          <w:trHeight w:val="28"/>
        </w:trPr>
        <w:tc>
          <w:tcPr>
            <w:tcW w:w="554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r>
      <w:tr>
        <w:trPr>
          <w:trHeight w:val="272"/>
        </w:trPr>
        <w:tc>
          <w:tcPr>
            <w:tcW w:w="5540" w:type="dxa"/>
            <w:vAlign w:val="bottom"/>
          </w:tcPr>
          <w:p>
            <w:pPr>
              <w:jc w:val="right"/>
              <w:spacing w:after="0"/>
              <w:rPr>
                <w:sz w:val="20"/>
                <w:szCs w:val="20"/>
                <w:color w:val="auto"/>
              </w:rPr>
            </w:pPr>
            <w:r>
              <w:rPr>
                <w:rFonts w:ascii="Arial" w:cs="Arial" w:eastAsia="Arial" w:hAnsi="Arial"/>
                <w:sz w:val="20"/>
                <w:szCs w:val="20"/>
                <w:color w:val="231F20"/>
                <w:w w:val="97"/>
              </w:rPr>
              <w:t>Deferred tax provision  . . . . . . . . . . . . . . . . . . . . . . . . . . . . . . . .</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231F20"/>
              </w:rPr>
              <w:t>71</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35</w:t>
            </w:r>
          </w:p>
        </w:tc>
      </w:tr>
      <w:tr>
        <w:trPr>
          <w:trHeight w:val="28"/>
        </w:trPr>
        <w:tc>
          <w:tcPr>
            <w:tcW w:w="554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r>
      <w:tr>
        <w:trPr>
          <w:trHeight w:val="272"/>
        </w:trPr>
        <w:tc>
          <w:tcPr>
            <w:tcW w:w="5540" w:type="dxa"/>
            <w:vAlign w:val="bottom"/>
          </w:tcPr>
          <w:p>
            <w:pPr>
              <w:jc w:val="right"/>
              <w:spacing w:after="0"/>
              <w:rPr>
                <w:sz w:val="20"/>
                <w:szCs w:val="20"/>
                <w:color w:val="auto"/>
              </w:rPr>
            </w:pPr>
            <w:r>
              <w:rPr>
                <w:rFonts w:ascii="Arial" w:cs="Arial" w:eastAsia="Arial" w:hAnsi="Arial"/>
                <w:sz w:val="20"/>
                <w:szCs w:val="20"/>
                <w:color w:val="231F20"/>
              </w:rPr>
              <w:t>Income tax provision . . . . . . . . . . . .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139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20"/>
                <w:szCs w:val="20"/>
                <w:color w:val="231F20"/>
              </w:rPr>
              <w:t>140</w:t>
            </w: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184</w:t>
            </w:r>
          </w:p>
        </w:tc>
      </w:tr>
      <w:tr>
        <w:trPr>
          <w:trHeight w:val="28"/>
        </w:trPr>
        <w:tc>
          <w:tcPr>
            <w:tcW w:w="554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r>
    </w:tbl>
    <w:p>
      <w:pPr>
        <w:spacing w:after="0" w:line="25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Income taxes paid, net of refunds, by jurisdiction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3220" w:type="dxa"/>
            <w:vAlign w:val="bottom"/>
            <w:gridSpan w:val="8"/>
          </w:tcPr>
          <w:p>
            <w:pPr>
              <w:jc w:val="center"/>
              <w:spacing w:after="0"/>
              <w:rPr>
                <w:sz w:val="20"/>
                <w:szCs w:val="20"/>
                <w:color w:val="auto"/>
              </w:rPr>
            </w:pPr>
            <w:r>
              <w:rPr>
                <w:rFonts w:ascii="Arial" w:cs="Arial" w:eastAsia="Arial" w:hAnsi="Arial"/>
                <w:sz w:val="20"/>
                <w:szCs w:val="20"/>
                <w:b w:val="1"/>
                <w:bCs w:val="1"/>
                <w:color w:val="231F20"/>
                <w:w w:val="99"/>
              </w:rPr>
              <w:t>Year ended December 31,</w:t>
            </w:r>
          </w:p>
        </w:tc>
      </w:tr>
      <w:tr>
        <w:trPr>
          <w:trHeight w:val="20"/>
        </w:trPr>
        <w:tc>
          <w:tcPr>
            <w:tcW w:w="590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r>
      <w:tr>
        <w:trPr>
          <w:trHeight w:val="260"/>
        </w:trPr>
        <w:tc>
          <w:tcPr>
            <w:tcW w:w="5900" w:type="dxa"/>
            <w:vAlign w:val="bottom"/>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240" w:type="dxa"/>
            <w:vAlign w:val="bottom"/>
            <w:tcBorders>
              <w:bottom w:val="single" w:sz="8" w:color="231F20"/>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center"/>
              <w:ind w:right="140"/>
              <w:spacing w:after="0"/>
              <w:rPr>
                <w:sz w:val="20"/>
                <w:szCs w:val="20"/>
                <w:color w:val="auto"/>
              </w:rPr>
            </w:pPr>
            <w:r>
              <w:rPr>
                <w:rFonts w:ascii="Arial" w:cs="Arial" w:eastAsia="Arial" w:hAnsi="Arial"/>
                <w:sz w:val="20"/>
                <w:szCs w:val="20"/>
                <w:b w:val="1"/>
                <w:bCs w:val="1"/>
                <w:color w:val="231F20"/>
                <w:w w:val="98"/>
              </w:rPr>
              <w:t>2024</w:t>
            </w:r>
          </w:p>
        </w:tc>
        <w:tc>
          <w:tcPr>
            <w:tcW w:w="10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ind w:right="160"/>
              <w:spacing w:after="0"/>
              <w:rPr>
                <w:sz w:val="20"/>
                <w:szCs w:val="20"/>
                <w:color w:val="auto"/>
              </w:rPr>
            </w:pPr>
            <w:r>
              <w:rPr>
                <w:rFonts w:ascii="Arial" w:cs="Arial" w:eastAsia="Arial" w:hAnsi="Arial"/>
                <w:sz w:val="20"/>
                <w:szCs w:val="20"/>
                <w:b w:val="1"/>
                <w:bCs w:val="1"/>
                <w:color w:val="231F20"/>
              </w:rPr>
              <w:t>2023</w:t>
            </w:r>
          </w:p>
        </w:tc>
      </w:tr>
      <w:tr>
        <w:trPr>
          <w:trHeight w:val="192"/>
        </w:trPr>
        <w:tc>
          <w:tcPr>
            <w:tcW w:w="5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color w:val="231F20"/>
                <w:w w:val="98"/>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0"/>
        </w:trPr>
        <w:tc>
          <w:tcPr>
            <w:tcW w:w="5900" w:type="dxa"/>
            <w:vAlign w:val="bottom"/>
          </w:tcPr>
          <w:p>
            <w:pPr>
              <w:jc w:val="right"/>
              <w:spacing w:after="0"/>
              <w:rPr>
                <w:sz w:val="20"/>
                <w:szCs w:val="20"/>
                <w:color w:val="auto"/>
              </w:rPr>
            </w:pPr>
            <w:r>
              <w:rPr>
                <w:rFonts w:ascii="Arial" w:cs="Arial" w:eastAsia="Arial" w:hAnsi="Arial"/>
                <w:sz w:val="20"/>
                <w:szCs w:val="20"/>
                <w:color w:val="231F20"/>
                <w:w w:val="96"/>
              </w:rPr>
              <w:t>Federal . . . . . . . . . . . . . . . . . . . . . . . . . . . . . . . . . . . . . . . . . . . . . . . .</w:t>
            </w:r>
          </w:p>
        </w:tc>
        <w:tc>
          <w:tcPr>
            <w:tcW w:w="720" w:type="dxa"/>
            <w:vAlign w:val="bottom"/>
          </w:tcPr>
          <w:p>
            <w:pPr>
              <w:jc w:val="right"/>
              <w:ind w:right="460"/>
              <w:spacing w:after="0"/>
              <w:rPr>
                <w:sz w:val="20"/>
                <w:szCs w:val="20"/>
                <w:color w:val="auto"/>
              </w:rPr>
            </w:pPr>
            <w:r>
              <w:rPr>
                <w:rFonts w:ascii="Arial" w:cs="Arial" w:eastAsia="Arial" w:hAnsi="Arial"/>
                <w:sz w:val="20"/>
                <w:szCs w:val="20"/>
                <w:color w:val="231F20"/>
              </w:rPr>
              <w:t>$</w:t>
            </w:r>
          </w:p>
        </w:tc>
        <w:tc>
          <w:tcPr>
            <w:tcW w:w="240" w:type="dxa"/>
            <w:vAlign w:val="bottom"/>
          </w:tcPr>
          <w:p>
            <w:pPr>
              <w:jc w:val="right"/>
              <w:spacing w:after="0"/>
              <w:rPr>
                <w:sz w:val="20"/>
                <w:szCs w:val="20"/>
                <w:color w:val="auto"/>
              </w:rPr>
            </w:pPr>
            <w:r>
              <w:rPr>
                <w:rFonts w:ascii="Arial" w:cs="Arial" w:eastAsia="Arial" w:hAnsi="Arial"/>
                <w:sz w:val="20"/>
                <w:szCs w:val="20"/>
                <w:color w:val="231F20"/>
                <w:w w:val="98"/>
              </w:rPr>
              <w:t>31</w:t>
            </w: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231F20"/>
              </w:rPr>
              <w:t>73</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760" w:type="dxa"/>
            <w:vAlign w:val="bottom"/>
          </w:tcPr>
          <w:p>
            <w:pPr>
              <w:jc w:val="right"/>
              <w:spacing w:after="0"/>
              <w:rPr>
                <w:sz w:val="20"/>
                <w:szCs w:val="20"/>
                <w:color w:val="auto"/>
              </w:rPr>
            </w:pPr>
            <w:r>
              <w:rPr>
                <w:rFonts w:ascii="Arial" w:cs="Arial" w:eastAsia="Arial" w:hAnsi="Arial"/>
                <w:sz w:val="20"/>
                <w:szCs w:val="20"/>
                <w:color w:val="231F20"/>
              </w:rPr>
              <w:t>120</w:t>
            </w:r>
          </w:p>
        </w:tc>
      </w:tr>
      <w:tr>
        <w:trPr>
          <w:trHeight w:val="240"/>
        </w:trPr>
        <w:tc>
          <w:tcPr>
            <w:tcW w:w="5900" w:type="dxa"/>
            <w:vAlign w:val="bottom"/>
          </w:tcPr>
          <w:p>
            <w:pPr>
              <w:jc w:val="right"/>
              <w:spacing w:after="0"/>
              <w:rPr>
                <w:sz w:val="20"/>
                <w:szCs w:val="20"/>
                <w:color w:val="auto"/>
              </w:rPr>
            </w:pPr>
            <w:r>
              <w:rPr>
                <w:rFonts w:ascii="Arial" w:cs="Arial" w:eastAsia="Arial" w:hAnsi="Arial"/>
                <w:sz w:val="20"/>
                <w:szCs w:val="20"/>
                <w:color w:val="231F20"/>
                <w:w w:val="96"/>
              </w:rPr>
              <w:t>State and local . . . . . . . . . . . . . . . . . . . . . . . . . . . . . . . . . . . . . . . . . .</w:t>
            </w:r>
          </w:p>
        </w:tc>
        <w:tc>
          <w:tcPr>
            <w:tcW w:w="7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231F20"/>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231F20"/>
              </w:rPr>
              <w:t>32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1</w:t>
            </w:r>
          </w:p>
        </w:tc>
      </w:tr>
      <w:tr>
        <w:trPr>
          <w:trHeight w:val="28"/>
        </w:trPr>
        <w:tc>
          <w:tcPr>
            <w:tcW w:w="59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70"/>
        </w:trPr>
        <w:tc>
          <w:tcPr>
            <w:tcW w:w="5900" w:type="dxa"/>
            <w:vAlign w:val="bottom"/>
          </w:tcPr>
          <w:p>
            <w:pPr>
              <w:jc w:val="right"/>
              <w:spacing w:after="0"/>
              <w:rPr>
                <w:sz w:val="20"/>
                <w:szCs w:val="20"/>
                <w:color w:val="auto"/>
              </w:rPr>
            </w:pPr>
            <w:r>
              <w:rPr>
                <w:rFonts w:ascii="Arial" w:cs="Arial" w:eastAsia="Arial" w:hAnsi="Arial"/>
                <w:sz w:val="20"/>
                <w:szCs w:val="20"/>
                <w:color w:val="231F20"/>
              </w:rPr>
              <w:t>Total taxes paid . . . . . . . . . . . . . . . . . . . . . . . . . . . . . . . . . . . . . . .</w:t>
            </w:r>
          </w:p>
        </w:tc>
        <w:tc>
          <w:tcPr>
            <w:tcW w:w="720" w:type="dxa"/>
            <w:vAlign w:val="bottom"/>
          </w:tcPr>
          <w:p>
            <w:pPr>
              <w:jc w:val="right"/>
              <w:ind w:right="460"/>
              <w:spacing w:after="0"/>
              <w:rPr>
                <w:sz w:val="20"/>
                <w:szCs w:val="20"/>
                <w:color w:val="auto"/>
              </w:rPr>
            </w:pPr>
            <w:r>
              <w:rPr>
                <w:rFonts w:ascii="Arial" w:cs="Arial" w:eastAsia="Arial" w:hAnsi="Arial"/>
                <w:sz w:val="20"/>
                <w:szCs w:val="20"/>
                <w:color w:val="231F20"/>
              </w:rPr>
              <w:t>$</w:t>
            </w:r>
          </w:p>
        </w:tc>
        <w:tc>
          <w:tcPr>
            <w:tcW w:w="240" w:type="dxa"/>
            <w:vAlign w:val="bottom"/>
          </w:tcPr>
          <w:p>
            <w:pPr>
              <w:jc w:val="right"/>
              <w:spacing w:after="0"/>
              <w:rPr>
                <w:sz w:val="20"/>
                <w:szCs w:val="20"/>
                <w:color w:val="auto"/>
              </w:rPr>
            </w:pPr>
            <w:r>
              <w:rPr>
                <w:rFonts w:ascii="Arial" w:cs="Arial" w:eastAsia="Arial" w:hAnsi="Arial"/>
                <w:sz w:val="20"/>
                <w:szCs w:val="20"/>
                <w:color w:val="231F20"/>
                <w:w w:val="98"/>
              </w:rPr>
              <w:t>36</w:t>
            </w:r>
          </w:p>
        </w:tc>
        <w:tc>
          <w:tcPr>
            <w:tcW w:w="1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231F20"/>
              </w:rPr>
              <w:t>105</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760" w:type="dxa"/>
            <w:vAlign w:val="bottom"/>
          </w:tcPr>
          <w:p>
            <w:pPr>
              <w:jc w:val="right"/>
              <w:spacing w:after="0"/>
              <w:rPr>
                <w:sz w:val="20"/>
                <w:szCs w:val="20"/>
                <w:color w:val="auto"/>
              </w:rPr>
            </w:pPr>
            <w:r>
              <w:rPr>
                <w:rFonts w:ascii="Arial" w:cs="Arial" w:eastAsia="Arial" w:hAnsi="Arial"/>
                <w:sz w:val="20"/>
                <w:szCs w:val="20"/>
                <w:color w:val="231F20"/>
              </w:rPr>
              <w:t>121</w:t>
            </w:r>
          </w:p>
        </w:tc>
      </w:tr>
      <w:tr>
        <w:trPr>
          <w:trHeight w:val="30"/>
        </w:trPr>
        <w:tc>
          <w:tcPr>
            <w:tcW w:w="590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270"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122</w:t>
      </w:r>
    </w:p>
    <w:p>
      <w:pPr>
        <w:sectPr>
          <w:pgSz w:w="11880" w:h="15480" w:orient="portrait"/>
          <w:cols w:equalWidth="0" w:num="1">
            <w:col w:w="9120"/>
          </w:cols>
          <w:pgMar w:left="1380" w:top="1270" w:right="1380" w:bottom="660" w:gutter="0" w:footer="0" w:header="0"/>
          <w:type w:val="continuous"/>
        </w:sectPr>
      </w:pPr>
    </w:p>
    <w:bookmarkStart w:id="126" w:name="page127"/>
    <w:bookmarkEnd w:id="126"/>
    <w:p>
      <w:pPr>
        <w:ind w:right="500" w:firstLine="300"/>
        <w:spacing w:after="0" w:line="243" w:lineRule="auto"/>
        <w:rPr>
          <w:sz w:val="20"/>
          <w:szCs w:val="20"/>
          <w:color w:val="auto"/>
        </w:rPr>
      </w:pPr>
      <w:r>
        <w:rPr>
          <w:rFonts w:ascii="Arial" w:cs="Arial" w:eastAsia="Arial" w:hAnsi="Arial"/>
          <w:sz w:val="20"/>
          <w:szCs w:val="20"/>
          <w:color w:val="231F20"/>
        </w:rPr>
        <w:t>Our effective tax rate differs from the amount computed by applying the U.S. federal income tax statutory rate to income before income taxes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2980" w:type="dxa"/>
            <w:vAlign w:val="bottom"/>
            <w:tcBorders>
              <w:bottom w:val="single" w:sz="8" w:color="231F20"/>
            </w:tcBorders>
            <w:gridSpan w:val="9"/>
          </w:tcPr>
          <w:p>
            <w:pPr>
              <w:jc w:val="right"/>
              <w:ind w:right="180"/>
              <w:spacing w:after="0"/>
              <w:rPr>
                <w:sz w:val="20"/>
                <w:szCs w:val="20"/>
                <w:color w:val="auto"/>
              </w:rPr>
            </w:pPr>
            <w:r>
              <w:rPr>
                <w:rFonts w:ascii="Arial" w:cs="Arial" w:eastAsia="Arial" w:hAnsi="Arial"/>
                <w:sz w:val="20"/>
                <w:szCs w:val="20"/>
                <w:b w:val="1"/>
                <w:bCs w:val="1"/>
                <w:color w:val="231F20"/>
              </w:rPr>
              <w:t>Year ended December 31,</w:t>
            </w:r>
          </w:p>
        </w:tc>
        <w:tc>
          <w:tcPr>
            <w:tcW w:w="54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680" w:type="dxa"/>
            <w:vAlign w:val="bottom"/>
            <w:tcBorders>
              <w:bottom w:val="single" w:sz="8" w:color="231F20"/>
            </w:tcBorders>
          </w:tcPr>
          <w:p>
            <w:pPr>
              <w:spacing w:after="0"/>
              <w:rPr>
                <w:sz w:val="21"/>
                <w:szCs w:val="21"/>
                <w:color w:val="auto"/>
              </w:rPr>
            </w:pPr>
          </w:p>
        </w:tc>
        <w:tc>
          <w:tcPr>
            <w:tcW w:w="120" w:type="dxa"/>
            <w:vAlign w:val="bottom"/>
          </w:tcPr>
          <w:p>
            <w:pPr>
              <w:spacing w:after="0"/>
              <w:rPr>
                <w:sz w:val="21"/>
                <w:szCs w:val="21"/>
                <w:color w:val="auto"/>
              </w:rPr>
            </w:pPr>
          </w:p>
        </w:tc>
      </w:tr>
      <w:tr>
        <w:trPr>
          <w:trHeight w:val="260"/>
        </w:trPr>
        <w:tc>
          <w:tcPr>
            <w:tcW w:w="33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gridSpan w:val="3"/>
          </w:tcPr>
          <w:p>
            <w:pPr>
              <w:jc w:val="right"/>
              <w:ind w:right="180"/>
              <w:spacing w:after="0"/>
              <w:rPr>
                <w:sz w:val="20"/>
                <w:szCs w:val="20"/>
                <w:color w:val="auto"/>
              </w:rPr>
            </w:pPr>
            <w:r>
              <w:rPr>
                <w:rFonts w:ascii="Arial" w:cs="Arial" w:eastAsia="Arial" w:hAnsi="Arial"/>
                <w:sz w:val="20"/>
                <w:szCs w:val="20"/>
                <w:b w:val="1"/>
                <w:bCs w:val="1"/>
                <w:color w:val="231F20"/>
              </w:rPr>
              <w:t>2025</w:t>
            </w:r>
          </w:p>
        </w:tc>
        <w:tc>
          <w:tcPr>
            <w:tcW w:w="480" w:type="dxa"/>
            <w:vAlign w:val="bottom"/>
            <w:tcBorders>
              <w:bottom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480" w:type="dxa"/>
            <w:vAlign w:val="bottom"/>
            <w:tcBorders>
              <w:bottom w:val="single" w:sz="8" w:color="231F20"/>
            </w:tcBorders>
            <w:gridSpan w:val="4"/>
          </w:tcPr>
          <w:p>
            <w:pPr>
              <w:jc w:val="right"/>
              <w:ind w:right="560"/>
              <w:spacing w:after="0"/>
              <w:rPr>
                <w:sz w:val="20"/>
                <w:szCs w:val="20"/>
                <w:color w:val="auto"/>
              </w:rPr>
            </w:pPr>
            <w:r>
              <w:rPr>
                <w:rFonts w:ascii="Arial" w:cs="Arial" w:eastAsia="Arial" w:hAnsi="Arial"/>
                <w:sz w:val="20"/>
                <w:szCs w:val="20"/>
                <w:b w:val="1"/>
                <w:bCs w:val="1"/>
                <w:color w:val="231F20"/>
              </w:rPr>
              <w:t>2024</w:t>
            </w:r>
          </w:p>
        </w:tc>
        <w:tc>
          <w:tcPr>
            <w:tcW w:w="200" w:type="dxa"/>
            <w:vAlign w:val="bottom"/>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460" w:type="dxa"/>
            <w:vAlign w:val="bottom"/>
            <w:tcBorders>
              <w:bottom w:val="single" w:sz="8" w:color="231F20"/>
            </w:tcBorders>
            <w:gridSpan w:val="4"/>
          </w:tcPr>
          <w:p>
            <w:pPr>
              <w:jc w:val="right"/>
              <w:ind w:right="560"/>
              <w:spacing w:after="0"/>
              <w:rPr>
                <w:sz w:val="20"/>
                <w:szCs w:val="20"/>
                <w:color w:val="auto"/>
              </w:rPr>
            </w:pPr>
            <w:r>
              <w:rPr>
                <w:rFonts w:ascii="Arial" w:cs="Arial" w:eastAsia="Arial" w:hAnsi="Arial"/>
                <w:sz w:val="20"/>
                <w:szCs w:val="20"/>
                <w:b w:val="1"/>
                <w:bCs w:val="1"/>
                <w:color w:val="231F20"/>
              </w:rPr>
              <w:t>2023</w:t>
            </w:r>
          </w:p>
        </w:tc>
        <w:tc>
          <w:tcPr>
            <w:tcW w:w="120" w:type="dxa"/>
            <w:vAlign w:val="bottom"/>
          </w:tcPr>
          <w:p>
            <w:pPr>
              <w:spacing w:after="0"/>
              <w:rPr>
                <w:sz w:val="22"/>
                <w:szCs w:val="22"/>
                <w:color w:val="auto"/>
              </w:rPr>
            </w:pPr>
          </w:p>
        </w:tc>
      </w:tr>
      <w:tr>
        <w:trPr>
          <w:trHeight w:val="251"/>
        </w:trPr>
        <w:tc>
          <w:tcPr>
            <w:tcW w:w="3380" w:type="dxa"/>
            <w:vAlign w:val="bottom"/>
          </w:tcPr>
          <w:p>
            <w:pPr>
              <w:spacing w:after="0"/>
              <w:rPr>
                <w:sz w:val="21"/>
                <w:szCs w:val="21"/>
                <w:color w:val="auto"/>
              </w:rPr>
            </w:pPr>
          </w:p>
        </w:tc>
        <w:tc>
          <w:tcPr>
            <w:tcW w:w="2940" w:type="dxa"/>
            <w:vAlign w:val="bottom"/>
            <w:gridSpan w:val="9"/>
          </w:tcPr>
          <w:p>
            <w:pPr>
              <w:ind w:left="60"/>
              <w:spacing w:after="0"/>
              <w:rPr>
                <w:sz w:val="20"/>
                <w:szCs w:val="20"/>
                <w:color w:val="auto"/>
              </w:rPr>
            </w:pPr>
            <w:r>
              <w:rPr>
                <w:rFonts w:ascii="Arial" w:cs="Arial" w:eastAsia="Arial" w:hAnsi="Arial"/>
                <w:sz w:val="20"/>
                <w:szCs w:val="20"/>
                <w:b w:val="1"/>
                <w:bCs w:val="1"/>
                <w:color w:val="231F20"/>
              </w:rPr>
              <w:t>Amount   Percent   Amount</w:t>
            </w:r>
          </w:p>
        </w:tc>
        <w:tc>
          <w:tcPr>
            <w:tcW w:w="1960" w:type="dxa"/>
            <w:vAlign w:val="bottom"/>
            <w:gridSpan w:val="6"/>
          </w:tcPr>
          <w:p>
            <w:pPr>
              <w:ind w:left="100"/>
              <w:spacing w:after="0"/>
              <w:rPr>
                <w:sz w:val="20"/>
                <w:szCs w:val="20"/>
                <w:color w:val="auto"/>
              </w:rPr>
            </w:pPr>
            <w:r>
              <w:rPr>
                <w:rFonts w:ascii="Arial" w:cs="Arial" w:eastAsia="Arial" w:hAnsi="Arial"/>
                <w:sz w:val="20"/>
                <w:szCs w:val="20"/>
                <w:b w:val="1"/>
                <w:bCs w:val="1"/>
                <w:color w:val="231F20"/>
              </w:rPr>
              <w:t>Percent   Amount</w:t>
            </w:r>
          </w:p>
        </w:tc>
        <w:tc>
          <w:tcPr>
            <w:tcW w:w="960" w:type="dxa"/>
            <w:vAlign w:val="bottom"/>
            <w:gridSpan w:val="3"/>
          </w:tcPr>
          <w:p>
            <w:pPr>
              <w:jc w:val="right"/>
              <w:ind w:right="120"/>
              <w:spacing w:after="0"/>
              <w:rPr>
                <w:sz w:val="20"/>
                <w:szCs w:val="20"/>
                <w:color w:val="auto"/>
              </w:rPr>
            </w:pPr>
            <w:r>
              <w:rPr>
                <w:rFonts w:ascii="Arial" w:cs="Arial" w:eastAsia="Arial" w:hAnsi="Arial"/>
                <w:sz w:val="20"/>
                <w:szCs w:val="20"/>
                <w:b w:val="1"/>
                <w:bCs w:val="1"/>
                <w:color w:val="231F20"/>
              </w:rPr>
              <w:t>Percent</w:t>
            </w:r>
          </w:p>
        </w:tc>
      </w:tr>
      <w:tr>
        <w:trPr>
          <w:trHeight w:val="29"/>
        </w:trPr>
        <w:tc>
          <w:tcPr>
            <w:tcW w:w="3380" w:type="dxa"/>
            <w:vAlign w:val="bottom"/>
          </w:tcPr>
          <w:p>
            <w:pPr>
              <w:spacing w:after="0"/>
              <w:rPr>
                <w:sz w:val="2"/>
                <w:szCs w:val="2"/>
                <w:color w:val="auto"/>
              </w:rPr>
            </w:pPr>
          </w:p>
        </w:tc>
        <w:tc>
          <w:tcPr>
            <w:tcW w:w="300" w:type="dxa"/>
            <w:vAlign w:val="bottom"/>
            <w:shd w:val="clear" w:color="auto" w:fill="231F20"/>
          </w:tcPr>
          <w:p>
            <w:pPr>
              <w:spacing w:after="0"/>
              <w:rPr>
                <w:sz w:val="2"/>
                <w:szCs w:val="2"/>
                <w:color w:val="auto"/>
              </w:rPr>
            </w:pPr>
          </w:p>
        </w:tc>
        <w:tc>
          <w:tcPr>
            <w:tcW w:w="560" w:type="dxa"/>
            <w:vAlign w:val="bottom"/>
            <w:shd w:val="clear" w:color="auto" w:fill="231F20"/>
          </w:tcPr>
          <w:p>
            <w:pPr>
              <w:spacing w:after="0"/>
              <w:rPr>
                <w:sz w:val="2"/>
                <w:szCs w:val="2"/>
                <w:color w:val="auto"/>
              </w:rPr>
            </w:pPr>
          </w:p>
        </w:tc>
        <w:tc>
          <w:tcPr>
            <w:tcW w:w="240" w:type="dxa"/>
            <w:vAlign w:val="bottom"/>
            <w:tcBorders>
              <w:right w:val="single" w:sz="8" w:color="231F20"/>
            </w:tcBorders>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480" w:type="dxa"/>
            <w:vAlign w:val="bottom"/>
            <w:tcBorders>
              <w:right w:val="single" w:sz="8" w:color="231F20"/>
            </w:tcBorders>
            <w:shd w:val="clear" w:color="auto" w:fill="231F2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231F20"/>
          </w:tcPr>
          <w:p>
            <w:pPr>
              <w:spacing w:after="0"/>
              <w:rPr>
                <w:sz w:val="2"/>
                <w:szCs w:val="2"/>
                <w:color w:val="auto"/>
              </w:rPr>
            </w:pPr>
          </w:p>
        </w:tc>
        <w:tc>
          <w:tcPr>
            <w:tcW w:w="580" w:type="dxa"/>
            <w:vAlign w:val="bottom"/>
            <w:tcBorders>
              <w:right w:val="single" w:sz="8" w:color="231F20"/>
            </w:tcBorders>
            <w:shd w:val="clear" w:color="auto" w:fill="231F2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231F20"/>
            </w:tcBorders>
          </w:tcPr>
          <w:p>
            <w:pPr>
              <w:spacing w:after="0"/>
              <w:rPr>
                <w:sz w:val="2"/>
                <w:szCs w:val="2"/>
                <w:color w:val="auto"/>
              </w:rPr>
            </w:pPr>
          </w:p>
        </w:tc>
        <w:tc>
          <w:tcPr>
            <w:tcW w:w="680" w:type="dxa"/>
            <w:vAlign w:val="bottom"/>
            <w:tcBorders>
              <w:right w:val="single" w:sz="8" w:color="231F20"/>
            </w:tcBorders>
            <w:shd w:val="clear" w:color="auto" w:fill="231F2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540" w:type="dxa"/>
            <w:vAlign w:val="bottom"/>
            <w:tcBorders>
              <w:right w:val="single" w:sz="8" w:color="231F20"/>
            </w:tcBorders>
            <w:shd w:val="clear" w:color="auto" w:fill="231F2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231F20"/>
            </w:tcBorders>
          </w:tcPr>
          <w:p>
            <w:pPr>
              <w:spacing w:after="0"/>
              <w:rPr>
                <w:sz w:val="2"/>
                <w:szCs w:val="2"/>
                <w:color w:val="auto"/>
              </w:rPr>
            </w:pPr>
          </w:p>
        </w:tc>
        <w:tc>
          <w:tcPr>
            <w:tcW w:w="680" w:type="dxa"/>
            <w:vAlign w:val="bottom"/>
            <w:tcBorders>
              <w:right w:val="single" w:sz="8" w:color="231F20"/>
            </w:tcBorders>
            <w:shd w:val="clear" w:color="auto" w:fill="231F20"/>
          </w:tcPr>
          <w:p>
            <w:pPr>
              <w:spacing w:after="0"/>
              <w:rPr>
                <w:sz w:val="2"/>
                <w:szCs w:val="2"/>
                <w:color w:val="auto"/>
              </w:rPr>
            </w:pPr>
          </w:p>
        </w:tc>
        <w:tc>
          <w:tcPr>
            <w:tcW w:w="120" w:type="dxa"/>
            <w:vAlign w:val="bottom"/>
          </w:tcPr>
          <w:p>
            <w:pPr>
              <w:spacing w:after="0"/>
              <w:rPr>
                <w:sz w:val="2"/>
                <w:szCs w:val="2"/>
                <w:color w:val="auto"/>
              </w:rPr>
            </w:pPr>
          </w:p>
        </w:tc>
      </w:tr>
      <w:tr>
        <w:trPr>
          <w:trHeight w:val="282"/>
        </w:trPr>
        <w:tc>
          <w:tcPr>
            <w:tcW w:w="3380" w:type="dxa"/>
            <w:vAlign w:val="bottom"/>
          </w:tcPr>
          <w:p>
            <w:pPr>
              <w:spacing w:after="0"/>
              <w:rPr>
                <w:sz w:val="20"/>
                <w:szCs w:val="20"/>
                <w:color w:val="auto"/>
              </w:rPr>
            </w:pPr>
            <w:r>
              <w:rPr>
                <w:rFonts w:ascii="Arial" w:cs="Arial" w:eastAsia="Arial" w:hAnsi="Arial"/>
                <w:sz w:val="20"/>
                <w:szCs w:val="20"/>
                <w:color w:val="231F20"/>
              </w:rPr>
              <w:t>U.S. federal statutory tax rate . . . . .</w:t>
            </w:r>
          </w:p>
        </w:tc>
        <w:tc>
          <w:tcPr>
            <w:tcW w:w="300" w:type="dxa"/>
            <w:vAlign w:val="bottom"/>
          </w:tcPr>
          <w:p>
            <w:pPr>
              <w:jc w:val="right"/>
              <w:ind w:right="80"/>
              <w:spacing w:after="0"/>
              <w:rPr>
                <w:sz w:val="20"/>
                <w:szCs w:val="20"/>
                <w:color w:val="auto"/>
              </w:rPr>
            </w:pPr>
            <w:r>
              <w:rPr>
                <w:rFonts w:ascii="Arial" w:cs="Arial" w:eastAsia="Arial" w:hAnsi="Arial"/>
                <w:sz w:val="20"/>
                <w:szCs w:val="20"/>
                <w:color w:val="231F20"/>
                <w:w w:val="89"/>
              </w:rPr>
              <w:t>$</w:t>
            </w:r>
          </w:p>
        </w:tc>
        <w:tc>
          <w:tcPr>
            <w:tcW w:w="560" w:type="dxa"/>
            <w:vAlign w:val="bottom"/>
          </w:tcPr>
          <w:p>
            <w:pPr>
              <w:jc w:val="right"/>
              <w:spacing w:after="0"/>
              <w:rPr>
                <w:sz w:val="20"/>
                <w:szCs w:val="20"/>
                <w:color w:val="auto"/>
              </w:rPr>
            </w:pPr>
            <w:r>
              <w:rPr>
                <w:rFonts w:ascii="Arial" w:cs="Arial" w:eastAsia="Arial" w:hAnsi="Arial"/>
                <w:sz w:val="20"/>
                <w:szCs w:val="20"/>
                <w:color w:val="231F20"/>
              </w:rPr>
              <w:t>106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20"/>
                <w:szCs w:val="20"/>
                <w:color w:val="231F20"/>
              </w:rPr>
              <w:t>21% $</w:t>
            </w: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231F20"/>
              </w:rPr>
              <w:t>108</w:t>
            </w:r>
          </w:p>
        </w:tc>
        <w:tc>
          <w:tcPr>
            <w:tcW w:w="1340" w:type="dxa"/>
            <w:vAlign w:val="bottom"/>
            <w:gridSpan w:val="4"/>
          </w:tcPr>
          <w:p>
            <w:pPr>
              <w:jc w:val="right"/>
              <w:ind w:right="200"/>
              <w:spacing w:after="0"/>
              <w:rPr>
                <w:sz w:val="20"/>
                <w:szCs w:val="20"/>
                <w:color w:val="auto"/>
              </w:rPr>
            </w:pPr>
            <w:r>
              <w:rPr>
                <w:rFonts w:ascii="Arial" w:cs="Arial" w:eastAsia="Arial" w:hAnsi="Arial"/>
                <w:sz w:val="20"/>
                <w:szCs w:val="20"/>
                <w:color w:val="231F20"/>
              </w:rPr>
              <w:t>21% $</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231F20"/>
              </w:rPr>
              <w:t>157</w:t>
            </w:r>
          </w:p>
        </w:tc>
        <w:tc>
          <w:tcPr>
            <w:tcW w:w="960" w:type="dxa"/>
            <w:vAlign w:val="bottom"/>
            <w:gridSpan w:val="3"/>
          </w:tcPr>
          <w:p>
            <w:pPr>
              <w:jc w:val="right"/>
              <w:spacing w:after="0"/>
              <w:rPr>
                <w:sz w:val="20"/>
                <w:szCs w:val="20"/>
                <w:color w:val="auto"/>
              </w:rPr>
            </w:pPr>
            <w:r>
              <w:rPr>
                <w:rFonts w:ascii="Arial" w:cs="Arial" w:eastAsia="Arial" w:hAnsi="Arial"/>
                <w:sz w:val="20"/>
                <w:szCs w:val="20"/>
                <w:color w:val="231F20"/>
              </w:rPr>
              <w:t>21%</w:t>
            </w:r>
          </w:p>
        </w:tc>
      </w:tr>
      <w:tr>
        <w:trPr>
          <w:trHeight w:val="240"/>
        </w:trPr>
        <w:tc>
          <w:tcPr>
            <w:tcW w:w="3380" w:type="dxa"/>
            <w:vAlign w:val="bottom"/>
          </w:tcPr>
          <w:p>
            <w:pPr>
              <w:spacing w:after="0"/>
              <w:rPr>
                <w:sz w:val="20"/>
                <w:szCs w:val="20"/>
                <w:color w:val="auto"/>
              </w:rPr>
            </w:pPr>
            <w:r>
              <w:rPr>
                <w:rFonts w:ascii="Arial" w:cs="Arial" w:eastAsia="Arial" w:hAnsi="Arial"/>
                <w:sz w:val="20"/>
                <w:szCs w:val="20"/>
                <w:color w:val="231F20"/>
              </w:rPr>
              <w:t>State and local income taxes, net of</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5"/>
        </w:trPr>
        <w:tc>
          <w:tcPr>
            <w:tcW w:w="3380" w:type="dxa"/>
            <w:vAlign w:val="bottom"/>
          </w:tcPr>
          <w:p>
            <w:pPr>
              <w:spacing w:after="0" w:line="255" w:lineRule="exact"/>
              <w:rPr>
                <w:sz w:val="20"/>
                <w:szCs w:val="20"/>
                <w:color w:val="auto"/>
              </w:rPr>
            </w:pPr>
            <w:r>
              <w:rPr>
                <w:rFonts w:ascii="Arial" w:cs="Arial" w:eastAsia="Arial" w:hAnsi="Arial"/>
                <w:sz w:val="20"/>
                <w:szCs w:val="20"/>
                <w:color w:val="231F20"/>
              </w:rPr>
              <w:t>federal income tax effect</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w:t>
            </w:r>
          </w:p>
        </w:tc>
        <w:tc>
          <w:tcPr>
            <w:tcW w:w="3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231F20"/>
              </w:rPr>
              <w:t>38</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231F20"/>
              </w:rPr>
              <w:t>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231F20"/>
              </w:rPr>
              <w:t>38</w:t>
            </w: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7</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231F20"/>
              </w:rPr>
              <w:t>40</w:t>
            </w:r>
          </w:p>
        </w:tc>
        <w:tc>
          <w:tcPr>
            <w:tcW w:w="840" w:type="dxa"/>
            <w:vAlign w:val="bottom"/>
            <w:gridSpan w:val="2"/>
          </w:tcPr>
          <w:p>
            <w:pPr>
              <w:jc w:val="right"/>
              <w:spacing w:after="0"/>
              <w:rPr>
                <w:sz w:val="20"/>
                <w:szCs w:val="20"/>
                <w:color w:val="auto"/>
              </w:rPr>
            </w:pPr>
            <w:r>
              <w:rPr>
                <w:rFonts w:ascii="Arial" w:cs="Arial" w:eastAsia="Arial" w:hAnsi="Arial"/>
                <w:sz w:val="20"/>
                <w:szCs w:val="20"/>
                <w:color w:val="231F20"/>
              </w:rPr>
              <w:t>5</w:t>
            </w:r>
          </w:p>
        </w:tc>
        <w:tc>
          <w:tcPr>
            <w:tcW w:w="120" w:type="dxa"/>
            <w:vAlign w:val="bottom"/>
          </w:tcPr>
          <w:p>
            <w:pPr>
              <w:spacing w:after="0"/>
              <w:rPr>
                <w:sz w:val="22"/>
                <w:szCs w:val="22"/>
                <w:color w:val="auto"/>
              </w:rPr>
            </w:pPr>
          </w:p>
        </w:tc>
      </w:tr>
      <w:tr>
        <w:trPr>
          <w:trHeight w:val="223"/>
        </w:trPr>
        <w:tc>
          <w:tcPr>
            <w:tcW w:w="3380" w:type="dxa"/>
            <w:vAlign w:val="bottom"/>
          </w:tcPr>
          <w:p>
            <w:pPr>
              <w:spacing w:after="0" w:line="223" w:lineRule="exact"/>
              <w:rPr>
                <w:sz w:val="20"/>
                <w:szCs w:val="20"/>
                <w:color w:val="auto"/>
              </w:rPr>
            </w:pPr>
            <w:r>
              <w:rPr>
                <w:rFonts w:ascii="Arial" w:cs="Arial" w:eastAsia="Arial" w:hAnsi="Arial"/>
                <w:sz w:val="20"/>
                <w:szCs w:val="20"/>
                <w:color w:val="231F20"/>
              </w:rPr>
              <w:t>Tax credits</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0"/>
        </w:trPr>
        <w:tc>
          <w:tcPr>
            <w:tcW w:w="3380" w:type="dxa"/>
            <w:vAlign w:val="bottom"/>
          </w:tcPr>
          <w:p>
            <w:pPr>
              <w:ind w:left="200"/>
              <w:spacing w:after="0"/>
              <w:rPr>
                <w:sz w:val="20"/>
                <w:szCs w:val="20"/>
                <w:color w:val="auto"/>
              </w:rPr>
            </w:pPr>
            <w:r>
              <w:rPr>
                <w:rFonts w:ascii="Arial" w:cs="Arial" w:eastAsia="Arial" w:hAnsi="Arial"/>
                <w:sz w:val="20"/>
                <w:szCs w:val="20"/>
                <w:color w:val="231F20"/>
              </w:rPr>
              <w:t>Marginal well credit . . . . . . . . . . . .</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231F20"/>
              </w:rPr>
              <w:t>(12)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231F20"/>
              </w:rPr>
              <w:t>(12)</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r>
      <w:tr>
        <w:trPr>
          <w:trHeight w:val="240"/>
        </w:trPr>
        <w:tc>
          <w:tcPr>
            <w:tcW w:w="3380" w:type="dxa"/>
            <w:vAlign w:val="bottom"/>
          </w:tcPr>
          <w:p>
            <w:pPr>
              <w:ind w:left="200"/>
              <w:spacing w:after="0"/>
              <w:rPr>
                <w:sz w:val="20"/>
                <w:szCs w:val="20"/>
                <w:color w:val="auto"/>
              </w:rPr>
            </w:pPr>
            <w:r>
              <w:rPr>
                <w:rFonts w:ascii="Arial" w:cs="Arial" w:eastAsia="Arial" w:hAnsi="Arial"/>
                <w:sz w:val="20"/>
                <w:szCs w:val="20"/>
                <w:color w:val="231F20"/>
              </w:rPr>
              <w:t>Other tax credit . . . . . . . . . . . . . . .</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231F20"/>
              </w:rPr>
              <w:t>(1)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20"/>
                <w:szCs w:val="20"/>
                <w:color w:val="231F20"/>
              </w:rPr>
              <w:t>—</w:t>
            </w: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140" w:type="dxa"/>
            <w:vAlign w:val="bottom"/>
          </w:tcPr>
          <w:p>
            <w:pPr>
              <w:spacing w:after="0"/>
              <w:rPr>
                <w:sz w:val="20"/>
                <w:szCs w:val="20"/>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20"/>
                <w:szCs w:val="20"/>
                <w:color w:val="231F20"/>
              </w:rPr>
              <w:t>—</w:t>
            </w:r>
          </w:p>
        </w:tc>
        <w:tc>
          <w:tcPr>
            <w:tcW w:w="540" w:type="dxa"/>
            <w:vAlign w:val="bottom"/>
          </w:tcPr>
          <w:p>
            <w:pPr>
              <w:jc w:val="right"/>
              <w:spacing w:after="0"/>
              <w:rPr>
                <w:sz w:val="20"/>
                <w:szCs w:val="20"/>
                <w:color w:val="auto"/>
              </w:rPr>
            </w:pPr>
            <w:r>
              <w:rPr>
                <w:rFonts w:ascii="Arial" w:cs="Arial" w:eastAsia="Arial" w:hAnsi="Arial"/>
                <w:sz w:val="20"/>
                <w:szCs w:val="20"/>
                <w:color w:val="231F20"/>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r>
      <w:tr>
        <w:trPr>
          <w:trHeight w:val="240"/>
        </w:trPr>
        <w:tc>
          <w:tcPr>
            <w:tcW w:w="3380" w:type="dxa"/>
            <w:vAlign w:val="bottom"/>
          </w:tcPr>
          <w:p>
            <w:pPr>
              <w:spacing w:after="0"/>
              <w:rPr>
                <w:sz w:val="20"/>
                <w:szCs w:val="20"/>
                <w:color w:val="auto"/>
              </w:rPr>
            </w:pPr>
            <w:r>
              <w:rPr>
                <w:rFonts w:ascii="Arial" w:cs="Arial" w:eastAsia="Arial" w:hAnsi="Arial"/>
                <w:sz w:val="20"/>
                <w:szCs w:val="20"/>
                <w:color w:val="231F20"/>
              </w:rPr>
              <w:t>Nontaxable or nondeductible</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7"/>
        </w:trPr>
        <w:tc>
          <w:tcPr>
            <w:tcW w:w="3380" w:type="dxa"/>
            <w:vAlign w:val="bottom"/>
          </w:tcPr>
          <w:p>
            <w:pPr>
              <w:spacing w:after="0" w:line="257" w:lineRule="exact"/>
              <w:rPr>
                <w:sz w:val="20"/>
                <w:szCs w:val="20"/>
                <w:color w:val="auto"/>
              </w:rPr>
            </w:pPr>
            <w:r>
              <w:rPr>
                <w:rFonts w:ascii="Arial" w:cs="Arial" w:eastAsia="Arial" w:hAnsi="Arial"/>
                <w:sz w:val="20"/>
                <w:szCs w:val="20"/>
                <w:color w:val="231F20"/>
              </w:rPr>
              <w:t>items</w:t>
            </w:r>
            <w:r>
              <w:rPr>
                <w:rFonts w:ascii="Arial" w:cs="Arial" w:eastAsia="Arial" w:hAnsi="Arial"/>
                <w:sz w:val="26"/>
                <w:szCs w:val="26"/>
                <w:color w:val="231F20"/>
                <w:vertAlign w:val="superscript"/>
              </w:rPr>
              <w:t>(b)</w:t>
            </w:r>
            <w:r>
              <w:rPr>
                <w:rFonts w:ascii="Arial" w:cs="Arial" w:eastAsia="Arial" w:hAnsi="Arial"/>
                <w:sz w:val="20"/>
                <w:szCs w:val="20"/>
                <w:color w:val="231F20"/>
              </w:rPr>
              <w:t xml:space="preserve"> . . . . . . . . . . . . . . . . . . . . . . . .</w:t>
            </w:r>
          </w:p>
        </w:tc>
        <w:tc>
          <w:tcPr>
            <w:tcW w:w="3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231F20"/>
              </w:rPr>
              <w:t>8</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231F20"/>
              </w:rPr>
              <w:t>9</w:t>
            </w: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231F20"/>
              </w:rPr>
              <w:t>6</w:t>
            </w:r>
          </w:p>
        </w:tc>
        <w:tc>
          <w:tcPr>
            <w:tcW w:w="840" w:type="dxa"/>
            <w:vAlign w:val="bottom"/>
            <w:gridSpan w:val="2"/>
          </w:tcPr>
          <w:p>
            <w:pPr>
              <w:jc w:val="right"/>
              <w:spacing w:after="0"/>
              <w:rPr>
                <w:sz w:val="20"/>
                <w:szCs w:val="20"/>
                <w:color w:val="auto"/>
              </w:rPr>
            </w:pPr>
            <w:r>
              <w:rPr>
                <w:rFonts w:ascii="Arial" w:cs="Arial" w:eastAsia="Arial" w:hAnsi="Arial"/>
                <w:sz w:val="20"/>
                <w:szCs w:val="20"/>
                <w:color w:val="231F20"/>
              </w:rPr>
              <w:t>1</w:t>
            </w:r>
          </w:p>
        </w:tc>
        <w:tc>
          <w:tcPr>
            <w:tcW w:w="120" w:type="dxa"/>
            <w:vAlign w:val="bottom"/>
          </w:tcPr>
          <w:p>
            <w:pPr>
              <w:spacing w:after="0"/>
              <w:rPr>
                <w:sz w:val="22"/>
                <w:szCs w:val="22"/>
                <w:color w:val="auto"/>
              </w:rPr>
            </w:pPr>
          </w:p>
        </w:tc>
      </w:tr>
      <w:tr>
        <w:trPr>
          <w:trHeight w:val="225"/>
        </w:trPr>
        <w:tc>
          <w:tcPr>
            <w:tcW w:w="3380" w:type="dxa"/>
            <w:vAlign w:val="bottom"/>
          </w:tcPr>
          <w:p>
            <w:pPr>
              <w:spacing w:after="0" w:line="226" w:lineRule="exact"/>
              <w:rPr>
                <w:sz w:val="20"/>
                <w:szCs w:val="20"/>
                <w:color w:val="auto"/>
              </w:rPr>
            </w:pPr>
            <w:r>
              <w:rPr>
                <w:rFonts w:ascii="Arial" w:cs="Arial" w:eastAsia="Arial" w:hAnsi="Arial"/>
                <w:sz w:val="20"/>
                <w:szCs w:val="20"/>
                <w:color w:val="231F20"/>
              </w:rPr>
              <w:t>Change in valuation allowance . . . .</w:t>
            </w:r>
          </w:p>
        </w:tc>
        <w:tc>
          <w:tcPr>
            <w:tcW w:w="300" w:type="dxa"/>
            <w:vAlign w:val="bottom"/>
          </w:tcPr>
          <w:p>
            <w:pPr>
              <w:spacing w:after="0"/>
              <w:rPr>
                <w:sz w:val="19"/>
                <w:szCs w:val="19"/>
                <w:color w:val="auto"/>
              </w:rPr>
            </w:pPr>
          </w:p>
        </w:tc>
        <w:tc>
          <w:tcPr>
            <w:tcW w:w="1000" w:type="dxa"/>
            <w:vAlign w:val="bottom"/>
            <w:gridSpan w:val="3"/>
          </w:tcPr>
          <w:p>
            <w:pPr>
              <w:jc w:val="right"/>
              <w:ind w:right="440"/>
              <w:spacing w:after="0" w:line="226" w:lineRule="exact"/>
              <w:rPr>
                <w:sz w:val="20"/>
                <w:szCs w:val="20"/>
                <w:color w:val="auto"/>
              </w:rPr>
            </w:pPr>
            <w:r>
              <w:rPr>
                <w:rFonts w:ascii="Arial" w:cs="Arial" w:eastAsia="Arial" w:hAnsi="Arial"/>
                <w:sz w:val="20"/>
                <w:szCs w:val="20"/>
                <w:color w:val="231F20"/>
              </w:rPr>
              <w:t>—</w:t>
            </w:r>
          </w:p>
        </w:tc>
        <w:tc>
          <w:tcPr>
            <w:tcW w:w="980" w:type="dxa"/>
            <w:vAlign w:val="bottom"/>
            <w:gridSpan w:val="3"/>
          </w:tcPr>
          <w:p>
            <w:pPr>
              <w:jc w:val="right"/>
              <w:ind w:right="540"/>
              <w:spacing w:after="0" w:line="226" w:lineRule="exact"/>
              <w:rPr>
                <w:sz w:val="20"/>
                <w:szCs w:val="20"/>
                <w:color w:val="auto"/>
              </w:rPr>
            </w:pPr>
            <w:r>
              <w:rPr>
                <w:rFonts w:ascii="Arial" w:cs="Arial" w:eastAsia="Arial" w:hAnsi="Arial"/>
                <w:sz w:val="20"/>
                <w:szCs w:val="20"/>
                <w:color w:val="231F20"/>
              </w:rPr>
              <w:t>—</w:t>
            </w:r>
          </w:p>
        </w:tc>
        <w:tc>
          <w:tcPr>
            <w:tcW w:w="66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w:t>
            </w:r>
          </w:p>
        </w:tc>
        <w:tc>
          <w:tcPr>
            <w:tcW w:w="140" w:type="dxa"/>
            <w:vAlign w:val="bottom"/>
          </w:tcPr>
          <w:p>
            <w:pPr>
              <w:spacing w:after="0"/>
              <w:rPr>
                <w:sz w:val="19"/>
                <w:szCs w:val="19"/>
                <w:color w:val="auto"/>
              </w:rPr>
            </w:pPr>
          </w:p>
        </w:tc>
        <w:tc>
          <w:tcPr>
            <w:tcW w:w="1200" w:type="dxa"/>
            <w:vAlign w:val="bottom"/>
            <w:gridSpan w:val="3"/>
          </w:tcPr>
          <w:p>
            <w:pPr>
              <w:jc w:val="right"/>
              <w:ind w:right="580"/>
              <w:spacing w:after="0" w:line="226" w:lineRule="exact"/>
              <w:rPr>
                <w:sz w:val="20"/>
                <w:szCs w:val="20"/>
                <w:color w:val="auto"/>
              </w:rPr>
            </w:pPr>
            <w:r>
              <w:rPr>
                <w:rFonts w:ascii="Arial" w:cs="Arial" w:eastAsia="Arial" w:hAnsi="Arial"/>
                <w:sz w:val="20"/>
                <w:szCs w:val="20"/>
                <w:color w:val="231F20"/>
              </w:rPr>
              <w:t>—</w:t>
            </w:r>
          </w:p>
        </w:tc>
        <w:tc>
          <w:tcPr>
            <w:tcW w:w="540" w:type="dxa"/>
            <w:vAlign w:val="bottom"/>
          </w:tcPr>
          <w:p>
            <w:pPr>
              <w:jc w:val="right"/>
              <w:spacing w:after="0" w:line="226" w:lineRule="exact"/>
              <w:rPr>
                <w:sz w:val="20"/>
                <w:szCs w:val="20"/>
                <w:color w:val="auto"/>
              </w:rPr>
            </w:pPr>
            <w:r>
              <w:rPr>
                <w:rFonts w:ascii="Arial" w:cs="Arial" w:eastAsia="Arial" w:hAnsi="Arial"/>
                <w:sz w:val="20"/>
                <w:szCs w:val="20"/>
                <w:color w:val="231F20"/>
              </w:rPr>
              <w:t>(17)</w:t>
            </w:r>
          </w:p>
        </w:tc>
        <w:tc>
          <w:tcPr>
            <w:tcW w:w="80" w:type="dxa"/>
            <w:vAlign w:val="bottom"/>
          </w:tcPr>
          <w:p>
            <w:pPr>
              <w:spacing w:after="0"/>
              <w:rPr>
                <w:sz w:val="19"/>
                <w:szCs w:val="19"/>
                <w:color w:val="auto"/>
              </w:rPr>
            </w:pPr>
          </w:p>
        </w:tc>
        <w:tc>
          <w:tcPr>
            <w:tcW w:w="84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(2)</w:t>
            </w:r>
          </w:p>
        </w:tc>
        <w:tc>
          <w:tcPr>
            <w:tcW w:w="120" w:type="dxa"/>
            <w:vAlign w:val="bottom"/>
          </w:tcPr>
          <w:p>
            <w:pPr>
              <w:spacing w:after="0"/>
              <w:rPr>
                <w:sz w:val="19"/>
                <w:szCs w:val="19"/>
                <w:color w:val="auto"/>
              </w:rPr>
            </w:pPr>
          </w:p>
        </w:tc>
      </w:tr>
      <w:tr>
        <w:trPr>
          <w:trHeight w:val="240"/>
        </w:trPr>
        <w:tc>
          <w:tcPr>
            <w:tcW w:w="3380" w:type="dxa"/>
            <w:vAlign w:val="bottom"/>
          </w:tcPr>
          <w:p>
            <w:pPr>
              <w:spacing w:after="0"/>
              <w:rPr>
                <w:sz w:val="20"/>
                <w:szCs w:val="20"/>
                <w:color w:val="auto"/>
              </w:rPr>
            </w:pPr>
            <w:r>
              <w:rPr>
                <w:rFonts w:ascii="Arial" w:cs="Arial" w:eastAsia="Arial" w:hAnsi="Arial"/>
                <w:sz w:val="20"/>
                <w:szCs w:val="20"/>
                <w:color w:val="231F20"/>
              </w:rPr>
              <w:t>Other adjustments  . . . . . . . . . . . . . .</w:t>
            </w:r>
          </w:p>
        </w:tc>
        <w:tc>
          <w:tcPr>
            <w:tcW w:w="300" w:type="dxa"/>
            <w:vAlign w:val="bottom"/>
          </w:tcPr>
          <w:p>
            <w:pPr>
              <w:spacing w:after="0"/>
              <w:rPr>
                <w:sz w:val="20"/>
                <w:szCs w:val="20"/>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20"/>
                <w:szCs w:val="20"/>
                <w:color w:val="231F20"/>
              </w:rPr>
              <w:t>—</w:t>
            </w:r>
          </w:p>
        </w:tc>
        <w:tc>
          <w:tcPr>
            <w:tcW w:w="980" w:type="dxa"/>
            <w:vAlign w:val="bottom"/>
            <w:gridSpan w:val="3"/>
          </w:tcPr>
          <w:p>
            <w:pPr>
              <w:jc w:val="right"/>
              <w:ind w:right="540"/>
              <w:spacing w:after="0"/>
              <w:rPr>
                <w:sz w:val="20"/>
                <w:szCs w:val="20"/>
                <w:color w:val="auto"/>
              </w:rPr>
            </w:pPr>
            <w:r>
              <w:rPr>
                <w:rFonts w:ascii="Arial" w:cs="Arial" w:eastAsia="Arial" w:hAnsi="Arial"/>
                <w:sz w:val="20"/>
                <w:szCs w:val="20"/>
                <w:color w:val="231F20"/>
              </w:rPr>
              <w:t>—</w:t>
            </w:r>
          </w:p>
        </w:tc>
        <w:tc>
          <w:tcPr>
            <w:tcW w:w="580" w:type="dxa"/>
            <w:vAlign w:val="bottom"/>
          </w:tcPr>
          <w:p>
            <w:pPr>
              <w:jc w:val="right"/>
              <w:spacing w:after="0"/>
              <w:rPr>
                <w:sz w:val="20"/>
                <w:szCs w:val="20"/>
                <w:color w:val="auto"/>
              </w:rPr>
            </w:pPr>
            <w:r>
              <w:rPr>
                <w:rFonts w:ascii="Arial" w:cs="Arial" w:eastAsia="Arial" w:hAnsi="Arial"/>
                <w:sz w:val="20"/>
                <w:szCs w:val="20"/>
                <w:color w:val="231F20"/>
              </w:rPr>
              <w:t>(3)</w:t>
            </w: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231F20"/>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r>
      <w:tr>
        <w:trPr>
          <w:trHeight w:val="28"/>
        </w:trPr>
        <w:tc>
          <w:tcPr>
            <w:tcW w:w="33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72"/>
        </w:trPr>
        <w:tc>
          <w:tcPr>
            <w:tcW w:w="3380" w:type="dxa"/>
            <w:vAlign w:val="bottom"/>
          </w:tcPr>
          <w:p>
            <w:pPr>
              <w:spacing w:after="0"/>
              <w:rPr>
                <w:sz w:val="20"/>
                <w:szCs w:val="20"/>
                <w:color w:val="auto"/>
              </w:rPr>
            </w:pPr>
            <w:r>
              <w:rPr>
                <w:rFonts w:ascii="Arial" w:cs="Arial" w:eastAsia="Arial" w:hAnsi="Arial"/>
                <w:sz w:val="20"/>
                <w:szCs w:val="20"/>
                <w:color w:val="231F20"/>
              </w:rPr>
              <w:t>Effective tax rate . . . . . . . . . . . . . . . .</w:t>
            </w:r>
          </w:p>
        </w:tc>
        <w:tc>
          <w:tcPr>
            <w:tcW w:w="300" w:type="dxa"/>
            <w:vAlign w:val="bottom"/>
          </w:tcPr>
          <w:p>
            <w:pPr>
              <w:jc w:val="right"/>
              <w:ind w:right="80"/>
              <w:spacing w:after="0"/>
              <w:rPr>
                <w:sz w:val="20"/>
                <w:szCs w:val="20"/>
                <w:color w:val="auto"/>
              </w:rPr>
            </w:pPr>
            <w:r>
              <w:rPr>
                <w:rFonts w:ascii="Arial" w:cs="Arial" w:eastAsia="Arial" w:hAnsi="Arial"/>
                <w:sz w:val="20"/>
                <w:szCs w:val="20"/>
                <w:color w:val="231F20"/>
                <w:w w:val="89"/>
              </w:rPr>
              <w:t>$</w:t>
            </w:r>
          </w:p>
        </w:tc>
        <w:tc>
          <w:tcPr>
            <w:tcW w:w="560" w:type="dxa"/>
            <w:vAlign w:val="bottom"/>
          </w:tcPr>
          <w:p>
            <w:pPr>
              <w:jc w:val="right"/>
              <w:spacing w:after="0"/>
              <w:rPr>
                <w:sz w:val="20"/>
                <w:szCs w:val="20"/>
                <w:color w:val="auto"/>
              </w:rPr>
            </w:pPr>
            <w:r>
              <w:rPr>
                <w:rFonts w:ascii="Arial" w:cs="Arial" w:eastAsia="Arial" w:hAnsi="Arial"/>
                <w:sz w:val="20"/>
                <w:szCs w:val="20"/>
                <w:color w:val="231F20"/>
              </w:rPr>
              <w:t>139</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20"/>
                <w:szCs w:val="20"/>
                <w:color w:val="231F20"/>
              </w:rPr>
              <w:t>28% $</w:t>
            </w:r>
          </w:p>
        </w:tc>
        <w:tc>
          <w:tcPr>
            <w:tcW w:w="660" w:type="dxa"/>
            <w:vAlign w:val="bottom"/>
            <w:gridSpan w:val="2"/>
          </w:tcPr>
          <w:p>
            <w:pPr>
              <w:jc w:val="right"/>
              <w:ind w:right="100"/>
              <w:spacing w:after="0"/>
              <w:rPr>
                <w:sz w:val="20"/>
                <w:szCs w:val="20"/>
                <w:color w:val="auto"/>
              </w:rPr>
            </w:pPr>
            <w:r>
              <w:rPr>
                <w:rFonts w:ascii="Arial" w:cs="Arial" w:eastAsia="Arial" w:hAnsi="Arial"/>
                <w:sz w:val="20"/>
                <w:szCs w:val="20"/>
                <w:color w:val="231F20"/>
              </w:rPr>
              <w:t>140</w:t>
            </w:r>
          </w:p>
        </w:tc>
        <w:tc>
          <w:tcPr>
            <w:tcW w:w="1340" w:type="dxa"/>
            <w:vAlign w:val="bottom"/>
            <w:gridSpan w:val="4"/>
          </w:tcPr>
          <w:p>
            <w:pPr>
              <w:jc w:val="right"/>
              <w:ind w:right="200"/>
              <w:spacing w:after="0"/>
              <w:rPr>
                <w:sz w:val="20"/>
                <w:szCs w:val="20"/>
                <w:color w:val="auto"/>
              </w:rPr>
            </w:pPr>
            <w:r>
              <w:rPr>
                <w:rFonts w:ascii="Arial" w:cs="Arial" w:eastAsia="Arial" w:hAnsi="Arial"/>
                <w:sz w:val="20"/>
                <w:szCs w:val="20"/>
                <w:color w:val="231F20"/>
              </w:rPr>
              <w:t>27% $</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231F20"/>
              </w:rPr>
              <w:t>184</w:t>
            </w:r>
          </w:p>
        </w:tc>
        <w:tc>
          <w:tcPr>
            <w:tcW w:w="960" w:type="dxa"/>
            <w:vAlign w:val="bottom"/>
            <w:gridSpan w:val="3"/>
          </w:tcPr>
          <w:p>
            <w:pPr>
              <w:jc w:val="right"/>
              <w:spacing w:after="0"/>
              <w:rPr>
                <w:sz w:val="20"/>
                <w:szCs w:val="20"/>
                <w:color w:val="auto"/>
              </w:rPr>
            </w:pPr>
            <w:r>
              <w:rPr>
                <w:rFonts w:ascii="Arial" w:cs="Arial" w:eastAsia="Arial" w:hAnsi="Arial"/>
                <w:sz w:val="20"/>
                <w:szCs w:val="20"/>
                <w:color w:val="231F20"/>
              </w:rPr>
              <w:t>25%</w:t>
            </w:r>
          </w:p>
        </w:tc>
      </w:tr>
      <w:tr>
        <w:trPr>
          <w:trHeight w:val="28"/>
        </w:trPr>
        <w:tc>
          <w:tcPr>
            <w:tcW w:w="338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8" w:lineRule="exact"/>
        <w:rPr>
          <w:sz w:val="20"/>
          <w:szCs w:val="20"/>
          <w:color w:val="auto"/>
        </w:rPr>
      </w:pPr>
    </w:p>
    <w:p>
      <w:pPr>
        <w:ind w:left="320" w:hanging="320"/>
        <w:spacing w:after="0"/>
        <w:tabs>
          <w:tab w:leader="none" w:pos="320" w:val="left"/>
        </w:tabs>
        <w:numPr>
          <w:ilvl w:val="0"/>
          <w:numId w:val="71"/>
        </w:numPr>
        <w:rPr>
          <w:rFonts w:ascii="Arial" w:cs="Arial" w:eastAsia="Arial" w:hAnsi="Arial"/>
          <w:sz w:val="16"/>
          <w:szCs w:val="16"/>
          <w:color w:val="231F20"/>
        </w:rPr>
      </w:pPr>
      <w:r>
        <w:rPr>
          <w:rFonts w:ascii="Arial" w:cs="Arial" w:eastAsia="Arial" w:hAnsi="Arial"/>
          <w:sz w:val="16"/>
          <w:szCs w:val="16"/>
          <w:color w:val="231F20"/>
        </w:rPr>
        <w:t>State and local income taxes are predominately in California and, with the closing of the Berry Merger, Utah.</w:t>
      </w:r>
    </w:p>
    <w:p>
      <w:pPr>
        <w:spacing w:after="0" w:line="21" w:lineRule="exact"/>
        <w:rPr>
          <w:rFonts w:ascii="Arial" w:cs="Arial" w:eastAsia="Arial" w:hAnsi="Arial"/>
          <w:sz w:val="16"/>
          <w:szCs w:val="16"/>
          <w:color w:val="231F20"/>
        </w:rPr>
      </w:pPr>
    </w:p>
    <w:p>
      <w:pPr>
        <w:ind w:left="320" w:right="160" w:hanging="320"/>
        <w:spacing w:after="0" w:line="286" w:lineRule="auto"/>
        <w:tabs>
          <w:tab w:leader="none" w:pos="320" w:val="left"/>
        </w:tabs>
        <w:numPr>
          <w:ilvl w:val="0"/>
          <w:numId w:val="71"/>
        </w:numPr>
        <w:rPr>
          <w:rFonts w:ascii="Arial" w:cs="Arial" w:eastAsia="Arial" w:hAnsi="Arial"/>
          <w:sz w:val="15"/>
          <w:szCs w:val="15"/>
          <w:color w:val="231F20"/>
        </w:rPr>
      </w:pPr>
      <w:r>
        <w:rPr>
          <w:rFonts w:ascii="Arial" w:cs="Arial" w:eastAsia="Arial" w:hAnsi="Arial"/>
          <w:sz w:val="15"/>
          <w:szCs w:val="15"/>
          <w:color w:val="231F20"/>
        </w:rPr>
        <w:t>Nontaxable or nondeductible items include executive compensation where the deduction is limited and transaction costs which must be capitalized. These transaction costs are generally only deductible upon the disposition on the acquired stock.</w:t>
      </w:r>
    </w:p>
    <w:p>
      <w:pPr>
        <w:spacing w:after="0" w:line="138"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During the year ended December 31, 2023, we released a valuation allowance for a portion of the tax loss on the sale of assets after we jointly agreed to amend the original tax treatment with the buyer. This valuation allowance was initially recorded during the year ended December 31, 2022 for the realizability of a capital loss on the asset sale, the deductibility of which was limited. Changes related to the valuation allowance related to state taxes is included as state and local income taxes, net of federal income tax effect in our rate reconciliation above.</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tax effects of temporary differences resulting in deferred income tax assets and liabilities at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December 31, 2025 and 2024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8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gridSpan w:val="3"/>
          </w:tcPr>
          <w:p>
            <w:pPr>
              <w:jc w:val="right"/>
              <w:spacing w:after="0"/>
              <w:rPr>
                <w:sz w:val="20"/>
                <w:szCs w:val="20"/>
                <w:color w:val="auto"/>
              </w:rPr>
            </w:pPr>
            <w:r>
              <w:rPr>
                <w:rFonts w:ascii="Arial" w:cs="Arial" w:eastAsia="Arial" w:hAnsi="Arial"/>
                <w:sz w:val="20"/>
                <w:szCs w:val="20"/>
                <w:b w:val="1"/>
                <w:bCs w:val="1"/>
                <w:color w:val="231F20"/>
              </w:rPr>
              <w:t>2025</w:t>
            </w:r>
          </w:p>
        </w:tc>
        <w:tc>
          <w:tcPr>
            <w:tcW w:w="840" w:type="dxa"/>
            <w:vAlign w:val="bottom"/>
            <w:tcBorders>
              <w:bottom w:val="single" w:sz="8" w:color="231F20"/>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gridSpan w:val="3"/>
          </w:tcPr>
          <w:p>
            <w:pPr>
              <w:jc w:val="right"/>
              <w:spacing w:after="0"/>
              <w:rPr>
                <w:sz w:val="20"/>
                <w:szCs w:val="20"/>
                <w:color w:val="auto"/>
              </w:rPr>
            </w:pPr>
            <w:r>
              <w:rPr>
                <w:rFonts w:ascii="Arial" w:cs="Arial" w:eastAsia="Arial" w:hAnsi="Arial"/>
                <w:sz w:val="20"/>
                <w:szCs w:val="20"/>
                <w:b w:val="1"/>
                <w:bCs w:val="1"/>
                <w:color w:val="231F20"/>
              </w:rPr>
              <w:t>2024</w:t>
            </w:r>
          </w:p>
        </w:tc>
        <w:tc>
          <w:tcPr>
            <w:tcW w:w="840" w:type="dxa"/>
            <w:vAlign w:val="bottom"/>
            <w:tcBorders>
              <w:bottom w:val="single" w:sz="8" w:color="231F20"/>
            </w:tcBorders>
          </w:tcPr>
          <w:p>
            <w:pPr>
              <w:spacing w:after="0"/>
              <w:rPr>
                <w:sz w:val="21"/>
                <w:szCs w:val="21"/>
                <w:color w:val="auto"/>
              </w:rPr>
            </w:pPr>
          </w:p>
        </w:tc>
      </w:tr>
      <w:tr>
        <w:trPr>
          <w:trHeight w:val="214"/>
        </w:trPr>
        <w:tc>
          <w:tcPr>
            <w:tcW w:w="4380" w:type="dxa"/>
            <w:vAlign w:val="bottom"/>
          </w:tcPr>
          <w:p>
            <w:pPr>
              <w:spacing w:after="0"/>
              <w:rPr>
                <w:sz w:val="18"/>
                <w:szCs w:val="18"/>
                <w:color w:val="auto"/>
              </w:rPr>
            </w:pPr>
          </w:p>
        </w:tc>
        <w:tc>
          <w:tcPr>
            <w:tcW w:w="1200" w:type="dxa"/>
            <w:vAlign w:val="bottom"/>
            <w:gridSpan w:val="3"/>
          </w:tcPr>
          <w:p>
            <w:pPr>
              <w:jc w:val="center"/>
              <w:ind w:right="100"/>
              <w:spacing w:after="0" w:line="214" w:lineRule="exact"/>
              <w:rPr>
                <w:sz w:val="20"/>
                <w:szCs w:val="20"/>
                <w:color w:val="auto"/>
              </w:rPr>
            </w:pPr>
            <w:r>
              <w:rPr>
                <w:rFonts w:ascii="Arial" w:cs="Arial" w:eastAsia="Arial" w:hAnsi="Arial"/>
                <w:sz w:val="20"/>
                <w:szCs w:val="20"/>
                <w:b w:val="1"/>
                <w:bCs w:val="1"/>
                <w:color w:val="231F20"/>
                <w:w w:val="99"/>
              </w:rPr>
              <w:t>Deferred</w:t>
            </w:r>
          </w:p>
        </w:tc>
        <w:tc>
          <w:tcPr>
            <w:tcW w:w="1120" w:type="dxa"/>
            <w:vAlign w:val="bottom"/>
            <w:gridSpan w:val="2"/>
          </w:tcPr>
          <w:p>
            <w:pPr>
              <w:jc w:val="center"/>
              <w:spacing w:after="0" w:line="214" w:lineRule="exact"/>
              <w:rPr>
                <w:sz w:val="20"/>
                <w:szCs w:val="20"/>
                <w:color w:val="auto"/>
              </w:rPr>
            </w:pPr>
            <w:r>
              <w:rPr>
                <w:rFonts w:ascii="Arial" w:cs="Arial" w:eastAsia="Arial" w:hAnsi="Arial"/>
                <w:sz w:val="20"/>
                <w:szCs w:val="20"/>
                <w:b w:val="1"/>
                <w:bCs w:val="1"/>
                <w:color w:val="231F20"/>
                <w:w w:val="99"/>
              </w:rPr>
              <w:t>Deferred</w:t>
            </w:r>
          </w:p>
        </w:tc>
        <w:tc>
          <w:tcPr>
            <w:tcW w:w="100" w:type="dxa"/>
            <w:vAlign w:val="bottom"/>
          </w:tcPr>
          <w:p>
            <w:pPr>
              <w:spacing w:after="0"/>
              <w:rPr>
                <w:sz w:val="18"/>
                <w:szCs w:val="18"/>
                <w:color w:val="auto"/>
              </w:rPr>
            </w:pPr>
          </w:p>
        </w:tc>
        <w:tc>
          <w:tcPr>
            <w:tcW w:w="1200" w:type="dxa"/>
            <w:vAlign w:val="bottom"/>
            <w:gridSpan w:val="3"/>
          </w:tcPr>
          <w:p>
            <w:pPr>
              <w:jc w:val="center"/>
              <w:ind w:right="100"/>
              <w:spacing w:after="0" w:line="214" w:lineRule="exact"/>
              <w:rPr>
                <w:sz w:val="20"/>
                <w:szCs w:val="20"/>
                <w:color w:val="auto"/>
              </w:rPr>
            </w:pPr>
            <w:r>
              <w:rPr>
                <w:rFonts w:ascii="Arial" w:cs="Arial" w:eastAsia="Arial" w:hAnsi="Arial"/>
                <w:sz w:val="20"/>
                <w:szCs w:val="20"/>
                <w:b w:val="1"/>
                <w:bCs w:val="1"/>
                <w:color w:val="231F20"/>
                <w:w w:val="99"/>
              </w:rPr>
              <w:t>Deferred</w:t>
            </w:r>
          </w:p>
        </w:tc>
        <w:tc>
          <w:tcPr>
            <w:tcW w:w="1120" w:type="dxa"/>
            <w:vAlign w:val="bottom"/>
            <w:gridSpan w:val="2"/>
          </w:tcPr>
          <w:p>
            <w:pPr>
              <w:jc w:val="center"/>
              <w:spacing w:after="0" w:line="214" w:lineRule="exact"/>
              <w:rPr>
                <w:sz w:val="20"/>
                <w:szCs w:val="20"/>
                <w:color w:val="auto"/>
              </w:rPr>
            </w:pPr>
            <w:r>
              <w:rPr>
                <w:rFonts w:ascii="Arial" w:cs="Arial" w:eastAsia="Arial" w:hAnsi="Arial"/>
                <w:sz w:val="20"/>
                <w:szCs w:val="20"/>
                <w:b w:val="1"/>
                <w:bCs w:val="1"/>
                <w:color w:val="231F20"/>
                <w:w w:val="99"/>
              </w:rPr>
              <w:t>Deferred</w:t>
            </w:r>
          </w:p>
        </w:tc>
      </w:tr>
      <w:tr>
        <w:trPr>
          <w:trHeight w:val="200"/>
        </w:trPr>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line="200" w:lineRule="exact"/>
              <w:rPr>
                <w:sz w:val="20"/>
                <w:szCs w:val="20"/>
                <w:color w:val="auto"/>
              </w:rPr>
            </w:pPr>
            <w:r>
              <w:rPr>
                <w:rFonts w:ascii="Arial" w:cs="Arial" w:eastAsia="Arial" w:hAnsi="Arial"/>
                <w:sz w:val="20"/>
                <w:szCs w:val="20"/>
                <w:b w:val="1"/>
                <w:bCs w:val="1"/>
                <w:color w:val="231F20"/>
                <w:w w:val="98"/>
              </w:rPr>
              <w:t>Tax</w:t>
            </w:r>
          </w:p>
        </w:tc>
        <w:tc>
          <w:tcPr>
            <w:tcW w:w="280" w:type="dxa"/>
            <w:vAlign w:val="bottom"/>
          </w:tcPr>
          <w:p>
            <w:pPr>
              <w:spacing w:after="0"/>
              <w:rPr>
                <w:sz w:val="17"/>
                <w:szCs w:val="17"/>
                <w:color w:val="auto"/>
              </w:rPr>
            </w:pPr>
          </w:p>
        </w:tc>
        <w:tc>
          <w:tcPr>
            <w:tcW w:w="840" w:type="dxa"/>
            <w:vAlign w:val="bottom"/>
          </w:tcPr>
          <w:p>
            <w:pPr>
              <w:jc w:val="center"/>
              <w:ind w:right="202"/>
              <w:spacing w:after="0" w:line="200" w:lineRule="exact"/>
              <w:rPr>
                <w:sz w:val="20"/>
                <w:szCs w:val="20"/>
                <w:color w:val="auto"/>
              </w:rPr>
            </w:pPr>
            <w:r>
              <w:rPr>
                <w:rFonts w:ascii="Arial" w:cs="Arial" w:eastAsia="Arial" w:hAnsi="Arial"/>
                <w:sz w:val="20"/>
                <w:szCs w:val="20"/>
                <w:b w:val="1"/>
                <w:bCs w:val="1"/>
                <w:color w:val="231F20"/>
                <w:w w:val="98"/>
              </w:rPr>
              <w:t>Tax</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line="200" w:lineRule="exact"/>
              <w:rPr>
                <w:sz w:val="20"/>
                <w:szCs w:val="20"/>
                <w:color w:val="auto"/>
              </w:rPr>
            </w:pPr>
            <w:r>
              <w:rPr>
                <w:rFonts w:ascii="Arial" w:cs="Arial" w:eastAsia="Arial" w:hAnsi="Arial"/>
                <w:sz w:val="20"/>
                <w:szCs w:val="20"/>
                <w:b w:val="1"/>
                <w:bCs w:val="1"/>
                <w:color w:val="231F20"/>
                <w:w w:val="98"/>
              </w:rPr>
              <w:t>Tax</w:t>
            </w:r>
          </w:p>
        </w:tc>
        <w:tc>
          <w:tcPr>
            <w:tcW w:w="280" w:type="dxa"/>
            <w:vAlign w:val="bottom"/>
          </w:tcPr>
          <w:p>
            <w:pPr>
              <w:spacing w:after="0"/>
              <w:rPr>
                <w:sz w:val="17"/>
                <w:szCs w:val="17"/>
                <w:color w:val="auto"/>
              </w:rPr>
            </w:pPr>
          </w:p>
        </w:tc>
        <w:tc>
          <w:tcPr>
            <w:tcW w:w="840" w:type="dxa"/>
            <w:vAlign w:val="bottom"/>
          </w:tcPr>
          <w:p>
            <w:pPr>
              <w:jc w:val="center"/>
              <w:ind w:right="200"/>
              <w:spacing w:after="0" w:line="200" w:lineRule="exact"/>
              <w:rPr>
                <w:sz w:val="20"/>
                <w:szCs w:val="20"/>
                <w:color w:val="auto"/>
              </w:rPr>
            </w:pPr>
            <w:r>
              <w:rPr>
                <w:rFonts w:ascii="Arial" w:cs="Arial" w:eastAsia="Arial" w:hAnsi="Arial"/>
                <w:sz w:val="20"/>
                <w:szCs w:val="20"/>
                <w:b w:val="1"/>
                <w:bCs w:val="1"/>
                <w:color w:val="231F20"/>
                <w:w w:val="98"/>
              </w:rPr>
              <w:t>Tax</w:t>
            </w:r>
          </w:p>
        </w:tc>
      </w:tr>
      <w:tr>
        <w:trPr>
          <w:trHeight w:val="246"/>
        </w:trPr>
        <w:tc>
          <w:tcPr>
            <w:tcW w:w="438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center"/>
              <w:ind w:right="80"/>
              <w:spacing w:after="0" w:line="228" w:lineRule="exact"/>
              <w:rPr>
                <w:sz w:val="20"/>
                <w:szCs w:val="20"/>
                <w:color w:val="auto"/>
              </w:rPr>
            </w:pPr>
            <w:r>
              <w:rPr>
                <w:rFonts w:ascii="Arial" w:cs="Arial" w:eastAsia="Arial" w:hAnsi="Arial"/>
                <w:sz w:val="20"/>
                <w:szCs w:val="20"/>
                <w:b w:val="1"/>
                <w:bCs w:val="1"/>
                <w:color w:val="231F20"/>
              </w:rPr>
              <w:t>Assets</w:t>
            </w:r>
          </w:p>
        </w:tc>
        <w:tc>
          <w:tcPr>
            <w:tcW w:w="100" w:type="dxa"/>
            <w:vAlign w:val="bottom"/>
          </w:tcPr>
          <w:p>
            <w:pPr>
              <w:spacing w:after="0"/>
              <w:rPr>
                <w:sz w:val="21"/>
                <w:szCs w:val="21"/>
                <w:color w:val="auto"/>
              </w:rPr>
            </w:pPr>
          </w:p>
        </w:tc>
        <w:tc>
          <w:tcPr>
            <w:tcW w:w="1120" w:type="dxa"/>
            <w:vAlign w:val="bottom"/>
            <w:tcBorders>
              <w:bottom w:val="single" w:sz="8" w:color="231F20"/>
            </w:tcBorders>
            <w:gridSpan w:val="2"/>
          </w:tcPr>
          <w:p>
            <w:pPr>
              <w:jc w:val="center"/>
              <w:spacing w:after="0" w:line="228" w:lineRule="exact"/>
              <w:rPr>
                <w:sz w:val="20"/>
                <w:szCs w:val="20"/>
                <w:color w:val="auto"/>
              </w:rPr>
            </w:pPr>
            <w:r>
              <w:rPr>
                <w:rFonts w:ascii="Arial" w:cs="Arial" w:eastAsia="Arial" w:hAnsi="Arial"/>
                <w:sz w:val="20"/>
                <w:szCs w:val="20"/>
                <w:b w:val="1"/>
                <w:bCs w:val="1"/>
                <w:color w:val="231F20"/>
                <w:w w:val="99"/>
              </w:rPr>
              <w:t>Liabilities</w:t>
            </w:r>
          </w:p>
        </w:tc>
        <w:tc>
          <w:tcPr>
            <w:tcW w:w="10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center"/>
              <w:ind w:right="80"/>
              <w:spacing w:after="0" w:line="228" w:lineRule="exact"/>
              <w:rPr>
                <w:sz w:val="20"/>
                <w:szCs w:val="20"/>
                <w:color w:val="auto"/>
              </w:rPr>
            </w:pPr>
            <w:r>
              <w:rPr>
                <w:rFonts w:ascii="Arial" w:cs="Arial" w:eastAsia="Arial" w:hAnsi="Arial"/>
                <w:sz w:val="20"/>
                <w:szCs w:val="20"/>
                <w:b w:val="1"/>
                <w:bCs w:val="1"/>
                <w:color w:val="231F20"/>
              </w:rPr>
              <w:t>Assets</w:t>
            </w:r>
          </w:p>
        </w:tc>
        <w:tc>
          <w:tcPr>
            <w:tcW w:w="100" w:type="dxa"/>
            <w:vAlign w:val="bottom"/>
          </w:tcPr>
          <w:p>
            <w:pPr>
              <w:spacing w:after="0"/>
              <w:rPr>
                <w:sz w:val="21"/>
                <w:szCs w:val="21"/>
                <w:color w:val="auto"/>
              </w:rPr>
            </w:pPr>
          </w:p>
        </w:tc>
        <w:tc>
          <w:tcPr>
            <w:tcW w:w="1120" w:type="dxa"/>
            <w:vAlign w:val="bottom"/>
            <w:tcBorders>
              <w:bottom w:val="single" w:sz="8" w:color="231F20"/>
            </w:tcBorders>
            <w:gridSpan w:val="2"/>
          </w:tcPr>
          <w:p>
            <w:pPr>
              <w:jc w:val="center"/>
              <w:spacing w:after="0" w:line="228" w:lineRule="exact"/>
              <w:rPr>
                <w:sz w:val="20"/>
                <w:szCs w:val="20"/>
                <w:color w:val="auto"/>
              </w:rPr>
            </w:pPr>
            <w:r>
              <w:rPr>
                <w:rFonts w:ascii="Arial" w:cs="Arial" w:eastAsia="Arial" w:hAnsi="Arial"/>
                <w:sz w:val="20"/>
                <w:szCs w:val="20"/>
                <w:b w:val="1"/>
                <w:bCs w:val="1"/>
                <w:color w:val="231F20"/>
                <w:w w:val="99"/>
              </w:rPr>
              <w:t>Liabilities</w:t>
            </w:r>
          </w:p>
        </w:tc>
      </w:tr>
      <w:tr>
        <w:trPr>
          <w:trHeight w:val="192"/>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5"/>
          </w:tcPr>
          <w:p>
            <w:pPr>
              <w:ind w:left="480"/>
              <w:spacing w:after="0"/>
              <w:rPr>
                <w:sz w:val="20"/>
                <w:szCs w:val="20"/>
                <w:color w:val="auto"/>
              </w:rPr>
            </w:pPr>
            <w:r>
              <w:rPr>
                <w:rFonts w:ascii="Arial" w:cs="Arial" w:eastAsia="Arial" w:hAnsi="Arial"/>
                <w:sz w:val="16"/>
                <w:szCs w:val="16"/>
                <w:color w:val="231F20"/>
              </w:rPr>
              <w:t>(in millions)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0"/>
        </w:trPr>
        <w:tc>
          <w:tcPr>
            <w:tcW w:w="4380" w:type="dxa"/>
            <w:vAlign w:val="bottom"/>
          </w:tcPr>
          <w:p>
            <w:pPr>
              <w:spacing w:after="0"/>
              <w:rPr>
                <w:sz w:val="20"/>
                <w:szCs w:val="20"/>
                <w:color w:val="auto"/>
              </w:rPr>
            </w:pPr>
            <w:r>
              <w:rPr>
                <w:rFonts w:ascii="Arial" w:cs="Arial" w:eastAsia="Arial" w:hAnsi="Arial"/>
                <w:sz w:val="20"/>
                <w:szCs w:val="20"/>
                <w:color w:val="231F20"/>
              </w:rPr>
              <w:t>Property, plant and equipment . . . . . . . . . . . . . . .</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020" w:type="dxa"/>
            <w:vAlign w:val="bottom"/>
            <w:gridSpan w:val="2"/>
          </w:tcPr>
          <w:p>
            <w:pPr>
              <w:ind w:left="640"/>
              <w:spacing w:after="0"/>
              <w:rPr>
                <w:sz w:val="20"/>
                <w:szCs w:val="20"/>
                <w:color w:val="auto"/>
              </w:rPr>
            </w:pPr>
            <w:r>
              <w:rPr>
                <w:rFonts w:ascii="Arial" w:cs="Arial" w:eastAsia="Arial" w:hAnsi="Arial"/>
                <w:sz w:val="20"/>
                <w:szCs w:val="20"/>
                <w:color w:val="231F20"/>
              </w:rPr>
              <w:t>—</w:t>
            </w: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(698)</w:t>
            </w:r>
          </w:p>
        </w:tc>
        <w:tc>
          <w:tcPr>
            <w:tcW w:w="28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02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(700)</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rPr>
              <w:t>Deferred compensation and benefits  . . . . . . . .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0"/>
                <w:szCs w:val="20"/>
                <w:color w:val="231F20"/>
              </w:rPr>
              <w:t>66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38"/>
        </w:trPr>
        <w:tc>
          <w:tcPr>
            <w:tcW w:w="4380" w:type="dxa"/>
            <w:vAlign w:val="bottom"/>
          </w:tcPr>
          <w:p>
            <w:pPr>
              <w:spacing w:after="0"/>
              <w:rPr>
                <w:sz w:val="20"/>
                <w:szCs w:val="20"/>
                <w:color w:val="auto"/>
              </w:rPr>
            </w:pPr>
            <w:r>
              <w:rPr>
                <w:rFonts w:ascii="Arial" w:cs="Arial" w:eastAsia="Arial" w:hAnsi="Arial"/>
                <w:sz w:val="20"/>
                <w:szCs w:val="20"/>
                <w:color w:val="231F20"/>
              </w:rPr>
              <w:t>Asset retirement obligations . . . . . . . . . . . . . . . .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315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0"/>
                <w:szCs w:val="20"/>
                <w:color w:val="231F20"/>
              </w:rPr>
              <w:t>342</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rPr>
              <w:t>Operating loss and tax credit carryforwards . . .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0"/>
                <w:szCs w:val="20"/>
                <w:color w:val="231F20"/>
              </w:rPr>
              <w:t>33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rPr>
              <w:t>Business interest carryforward  . . . . . . . . . . . . .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0"/>
                <w:szCs w:val="20"/>
                <w:color w:val="231F20"/>
              </w:rPr>
              <w:t>158</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231F20"/>
                <w:w w:val="99"/>
              </w:rPr>
              <w:t>All other . . . . . . . . . . . . . . . . . . . . . . . . . . . . . . . .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20"/>
                <w:szCs w:val="20"/>
                <w:color w:val="231F20"/>
              </w:rPr>
              <w:t>136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(75)</w:t>
            </w:r>
          </w:p>
        </w:tc>
      </w:tr>
      <w:tr>
        <w:trPr>
          <w:trHeight w:val="30"/>
        </w:trPr>
        <w:tc>
          <w:tcPr>
            <w:tcW w:w="43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72"/>
        </w:trPr>
        <w:tc>
          <w:tcPr>
            <w:tcW w:w="4380" w:type="dxa"/>
            <w:vAlign w:val="bottom"/>
          </w:tcPr>
          <w:p>
            <w:pPr>
              <w:spacing w:after="0"/>
              <w:rPr>
                <w:sz w:val="20"/>
                <w:szCs w:val="20"/>
                <w:color w:val="auto"/>
              </w:rPr>
            </w:pPr>
            <w:r>
              <w:rPr>
                <w:rFonts w:ascii="Arial" w:cs="Arial" w:eastAsia="Arial" w:hAnsi="Arial"/>
                <w:sz w:val="20"/>
                <w:szCs w:val="20"/>
                <w:color w:val="231F20"/>
              </w:rPr>
              <w:t>Total deferred taxes .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721</w:t>
            </w:r>
          </w:p>
        </w:tc>
        <w:tc>
          <w:tcPr>
            <w:tcW w:w="100" w:type="dxa"/>
            <w:vAlign w:val="bottom"/>
          </w:tcPr>
          <w:p>
            <w:pPr>
              <w:spacing w:after="0"/>
              <w:rPr>
                <w:sz w:val="23"/>
                <w:szCs w:val="23"/>
                <w:color w:val="auto"/>
              </w:rPr>
            </w:pP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(799)</w:t>
            </w:r>
          </w:p>
        </w:tc>
        <w:tc>
          <w:tcPr>
            <w:tcW w:w="28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020" w:type="dxa"/>
            <w:vAlign w:val="bottom"/>
            <w:gridSpan w:val="2"/>
          </w:tcPr>
          <w:p>
            <w:pPr>
              <w:jc w:val="right"/>
              <w:ind w:right="100"/>
              <w:spacing w:after="0"/>
              <w:rPr>
                <w:sz w:val="20"/>
                <w:szCs w:val="20"/>
                <w:color w:val="auto"/>
              </w:rPr>
            </w:pPr>
            <w:r>
              <w:rPr>
                <w:rFonts w:ascii="Arial" w:cs="Arial" w:eastAsia="Arial" w:hAnsi="Arial"/>
                <w:sz w:val="20"/>
                <w:szCs w:val="20"/>
                <w:color w:val="231F20"/>
              </w:rPr>
              <w:t>735</w:t>
            </w: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(775)</w:t>
            </w:r>
          </w:p>
        </w:tc>
      </w:tr>
      <w:tr>
        <w:trPr>
          <w:trHeight w:val="28"/>
        </w:trPr>
        <w:tc>
          <w:tcPr>
            <w:tcW w:w="43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203" w:lineRule="exact"/>
        <w:rPr>
          <w:sz w:val="20"/>
          <w:szCs w:val="20"/>
          <w:color w:val="auto"/>
        </w:rPr>
      </w:pPr>
    </w:p>
    <w:p>
      <w:pPr>
        <w:ind w:right="200" w:firstLine="300"/>
        <w:spacing w:after="0" w:line="247" w:lineRule="auto"/>
        <w:rPr>
          <w:sz w:val="20"/>
          <w:szCs w:val="20"/>
          <w:color w:val="auto"/>
        </w:rPr>
      </w:pPr>
      <w:r>
        <w:rPr>
          <w:rFonts w:ascii="Arial" w:cs="Arial" w:eastAsia="Arial" w:hAnsi="Arial"/>
          <w:sz w:val="20"/>
          <w:szCs w:val="20"/>
          <w:color w:val="231F20"/>
        </w:rPr>
        <w:t>We expect to realize our deferred tax assets through future operating income and reversal of taxable temporary differences. The amount of deferred tax assets considered realizable is not assured and could be adjusted if estimates change.</w:t>
      </w:r>
    </w:p>
    <w:p>
      <w:pPr>
        <w:spacing w:after="0" w:line="156" w:lineRule="exact"/>
        <w:rPr>
          <w:sz w:val="20"/>
          <w:szCs w:val="20"/>
          <w:color w:val="auto"/>
        </w:rPr>
      </w:pPr>
    </w:p>
    <w:p>
      <w:pPr>
        <w:ind w:right="360" w:firstLine="300"/>
        <w:spacing w:after="0" w:line="243" w:lineRule="auto"/>
        <w:rPr>
          <w:sz w:val="20"/>
          <w:szCs w:val="20"/>
          <w:color w:val="auto"/>
        </w:rPr>
      </w:pPr>
      <w:r>
        <w:rPr>
          <w:rFonts w:ascii="Arial" w:cs="Arial" w:eastAsia="Arial" w:hAnsi="Arial"/>
          <w:sz w:val="20"/>
          <w:szCs w:val="20"/>
          <w:color w:val="231F20"/>
        </w:rPr>
        <w:t>Changes in our deferred tax assets and liabilities in 2025 includes an increase in our deferred tax asset of $121 million related to the Berry Merger and an increase in our deferred tax liability of</w:t>
      </w:r>
    </w:p>
    <w:p>
      <w:pPr>
        <w:spacing w:after="0" w:line="12" w:lineRule="exact"/>
        <w:rPr>
          <w:sz w:val="20"/>
          <w:szCs w:val="20"/>
          <w:color w:val="auto"/>
        </w:rPr>
      </w:pPr>
    </w:p>
    <w:p>
      <w:pPr>
        <w:jc w:val="both"/>
        <w:ind w:right="560"/>
        <w:spacing w:after="0" w:line="247" w:lineRule="auto"/>
        <w:rPr>
          <w:sz w:val="20"/>
          <w:szCs w:val="20"/>
          <w:color w:val="auto"/>
        </w:rPr>
      </w:pPr>
      <w:r>
        <w:rPr>
          <w:rFonts w:ascii="Arial" w:cs="Arial" w:eastAsia="Arial" w:hAnsi="Arial"/>
          <w:sz w:val="20"/>
          <w:szCs w:val="20"/>
          <w:color w:val="231F20"/>
        </w:rPr>
        <w:t xml:space="preserve">$70 million related to finalizing the purchase accounting for the Aera Merger. See </w:t>
      </w:r>
      <w:r>
        <w:rPr>
          <w:rFonts w:ascii="Arial" w:cs="Arial" w:eastAsia="Arial" w:hAnsi="Arial"/>
          <w:sz w:val="20"/>
          <w:szCs w:val="20"/>
          <w:i w:val="1"/>
          <w:iCs w:val="1"/>
          <w:color w:val="231F20"/>
        </w:rPr>
        <w:t>Note 2 Business</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Combinations </w:t>
      </w:r>
      <w:r>
        <w:rPr>
          <w:rFonts w:ascii="Arial" w:cs="Arial" w:eastAsia="Arial" w:hAnsi="Arial"/>
          <w:sz w:val="20"/>
          <w:szCs w:val="20"/>
          <w:color w:val="231F20"/>
        </w:rPr>
        <w:t>for additional information on these transactions</w:t>
      </w:r>
      <w:r>
        <w:rPr>
          <w:rFonts w:ascii="Arial" w:cs="Arial" w:eastAsia="Arial" w:hAnsi="Arial"/>
          <w:sz w:val="20"/>
          <w:szCs w:val="20"/>
          <w:i w:val="1"/>
          <w:iCs w:val="1"/>
          <w:color w:val="231F20"/>
        </w:rPr>
        <w:t xml:space="preserve">. </w:t>
      </w:r>
      <w:r>
        <w:rPr>
          <w:rFonts w:ascii="Arial" w:cs="Arial" w:eastAsia="Arial" w:hAnsi="Arial"/>
          <w:sz w:val="20"/>
          <w:szCs w:val="20"/>
          <w:color w:val="231F20"/>
        </w:rPr>
        <w:t>Additionally, we allocated $5 million</w:t>
      </w:r>
      <w:r>
        <w:rPr>
          <w:rFonts w:ascii="Arial" w:cs="Arial" w:eastAsia="Arial" w:hAnsi="Arial"/>
          <w:sz w:val="20"/>
          <w:szCs w:val="20"/>
          <w:i w:val="1"/>
          <w:iCs w:val="1"/>
          <w:color w:val="231F20"/>
        </w:rPr>
        <w:t xml:space="preserve"> </w:t>
      </w:r>
      <w:r>
        <w:rPr>
          <w:rFonts w:ascii="Arial" w:cs="Arial" w:eastAsia="Arial" w:hAnsi="Arial"/>
          <w:sz w:val="20"/>
          <w:szCs w:val="20"/>
          <w:color w:val="231F20"/>
        </w:rPr>
        <w:t>income tax benefit to accumulated other comprehensive income during 2025.</w:t>
      </w:r>
    </w:p>
    <w:p>
      <w:pPr>
        <w:sectPr>
          <w:pgSz w:w="11880" w:h="15480" w:orient="portrait"/>
          <w:cols w:equalWidth="0" w:num="1">
            <w:col w:w="9240"/>
          </w:cols>
          <w:pgMar w:left="1380" w:top="1316" w:right="1260" w:bottom="660" w:gutter="0" w:footer="0" w:header="0"/>
        </w:sectPr>
      </w:pPr>
    </w:p>
    <w:p>
      <w:pPr>
        <w:spacing w:after="0" w:line="256"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231F20"/>
        </w:rPr>
        <w:t>123</w:t>
      </w:r>
    </w:p>
    <w:p>
      <w:pPr>
        <w:sectPr>
          <w:pgSz w:w="11880" w:h="15480" w:orient="portrait"/>
          <w:cols w:equalWidth="0" w:num="1">
            <w:col w:w="9240"/>
          </w:cols>
          <w:pgMar w:left="1380" w:top="1316" w:right="1260" w:bottom="660"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b w:val="1"/>
          <w:bCs w:val="1"/>
          <w:i w:val="1"/>
          <w:iCs w:val="1"/>
          <w:color w:val="231F20"/>
        </w:rPr>
        <w:t>Carryforwards</w:t>
      </w:r>
    </w:p>
    <w:p>
      <w:pPr>
        <w:spacing w:after="0" w:line="181" w:lineRule="exact"/>
        <w:rPr>
          <w:sz w:val="20"/>
          <w:szCs w:val="20"/>
          <w:color w:val="auto"/>
        </w:rPr>
      </w:pPr>
    </w:p>
    <w:p>
      <w:pPr>
        <w:jc w:val="both"/>
        <w:ind w:firstLine="300"/>
        <w:spacing w:after="0" w:line="246" w:lineRule="auto"/>
        <w:rPr>
          <w:sz w:val="20"/>
          <w:szCs w:val="20"/>
          <w:color w:val="auto"/>
        </w:rPr>
      </w:pPr>
      <w:r>
        <w:rPr>
          <w:rFonts w:ascii="Arial" w:cs="Arial" w:eastAsia="Arial" w:hAnsi="Arial"/>
          <w:sz w:val="20"/>
          <w:szCs w:val="20"/>
          <w:color w:val="231F20"/>
        </w:rPr>
        <w:t>As of December 31, 2025, our U.S. federal net operating loss carryforwards were $19 million, which begin to expire in 2037, and our federal tax credit carryforwards were $85 million, which begin to expire in 2037.</w:t>
      </w:r>
    </w:p>
    <w:p>
      <w:pPr>
        <w:spacing w:after="0" w:line="179"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As of December 31, 2025, our California net operating loss carryforwards were $2 billion, which begins to expire in 2029, and our tax credit carryforwards were $21 million, which begin to expire in 2038. California has suspended the use of net operating loss carryforwards for tax years 2024 through 2026 and limited the amount of tax credits that may be claimed to $5 million per year for the same period.</w:t>
      </w:r>
    </w:p>
    <w:p>
      <w:pPr>
        <w:spacing w:after="0" w:line="178" w:lineRule="exact"/>
        <w:rPr>
          <w:sz w:val="20"/>
          <w:szCs w:val="20"/>
          <w:color w:val="auto"/>
        </w:rPr>
      </w:pPr>
    </w:p>
    <w:p>
      <w:pPr>
        <w:ind w:right="500" w:firstLine="300"/>
        <w:spacing w:after="0" w:line="249" w:lineRule="auto"/>
        <w:rPr>
          <w:sz w:val="20"/>
          <w:szCs w:val="20"/>
          <w:color w:val="auto"/>
        </w:rPr>
      </w:pPr>
      <w:r>
        <w:rPr>
          <w:rFonts w:ascii="Arial" w:cs="Arial" w:eastAsia="Arial" w:hAnsi="Arial"/>
          <w:sz w:val="20"/>
          <w:szCs w:val="20"/>
          <w:color w:val="231F20"/>
        </w:rPr>
        <w:t>Our ability to utilize a portion of our net operating loss, tax credit and business interest carryforwards is subject to an annual limitation. As a result, we recognized a deferred tax asset of $3 million for U.S. federal net operating loss carryforwards (that do not expire) and $24 million for California net operating loss carryforwards. Additionally, we recognized a deferred tax asset for $28 million for U.S federal tax credit carryforwards and $8 million for our California tax credit carryforwards. We expect our remaining tax credit carryforwards will expire unused.</w:t>
      </w:r>
    </w:p>
    <w:p>
      <w:pPr>
        <w:spacing w:after="0" w:line="174" w:lineRule="exact"/>
        <w:rPr>
          <w:sz w:val="20"/>
          <w:szCs w:val="20"/>
          <w:color w:val="auto"/>
        </w:rPr>
      </w:pPr>
    </w:p>
    <w:p>
      <w:pPr>
        <w:ind w:right="220" w:firstLine="300"/>
        <w:spacing w:after="0" w:line="249" w:lineRule="auto"/>
        <w:rPr>
          <w:sz w:val="20"/>
          <w:szCs w:val="20"/>
          <w:color w:val="auto"/>
        </w:rPr>
      </w:pPr>
      <w:r>
        <w:rPr>
          <w:rFonts w:ascii="Arial" w:cs="Arial" w:eastAsia="Arial" w:hAnsi="Arial"/>
          <w:sz w:val="20"/>
          <w:szCs w:val="20"/>
          <w:color w:val="231F20"/>
        </w:rPr>
        <w:t>Our carryforward for federal disallowed business interest expense of $794 million does not expire and may be utilized in future periods to the extent we generate sufficient taxable income and interest capacity. Although our business interest carryforwards are subject to an annual limitation, we recognized a deferred tax asset of $167 million included in the accompanying consolidated balance sheet because these carryforwards do not expire.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Other</w:t>
      </w:r>
    </w:p>
    <w:p>
      <w:pPr>
        <w:spacing w:after="0" w:line="181"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231F20"/>
        </w:rPr>
        <w:t>On July 4, 2025, An Act to Provide for Reconciliation Pursuant to Title II of H. Con. Res. 14th and commonly referred to as the One Big Beautiful Bill Act was signed into law. This law contains several legislative changes including the reinstatement of full expensing for qualified assets placed in service after January 19, 2025. This law also reinstated the expensing of all domestic research and development costs, including favorable transition rules, and increases the limitation on the amount of annual business interest expense which can be deducted each year. As a result of these changes, we are able to accelerate deductions related to property, plant and equipment, research and development expenses and interest expense carryforwards resulting in a current income tax benefit, and corresponding reduction in our cash tax liability, of approximately $40 million in 2025.</w:t>
      </w:r>
    </w:p>
    <w:p>
      <w:pPr>
        <w:spacing w:after="0" w:line="179" w:lineRule="exact"/>
        <w:rPr>
          <w:sz w:val="20"/>
          <w:szCs w:val="20"/>
          <w:color w:val="auto"/>
        </w:rPr>
      </w:pPr>
    </w:p>
    <w:p>
      <w:pPr>
        <w:jc w:val="both"/>
        <w:ind w:right="140" w:firstLine="300"/>
        <w:spacing w:after="0" w:line="247" w:lineRule="auto"/>
        <w:rPr>
          <w:sz w:val="20"/>
          <w:szCs w:val="20"/>
          <w:color w:val="auto"/>
        </w:rPr>
      </w:pPr>
      <w:r>
        <w:rPr>
          <w:rFonts w:ascii="Arial" w:cs="Arial" w:eastAsia="Arial" w:hAnsi="Arial"/>
          <w:sz w:val="20"/>
          <w:szCs w:val="20"/>
          <w:color w:val="231F20"/>
        </w:rPr>
        <w:t>We did not record a liability for unrecognized tax benefits as of December 31, 2025 and 2024. We remain subject to audit by the Internal Revenue Service for calendar years 2022 through 2024 and by California for calendar years 2021 through 2024.</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231F20"/>
        </w:rPr>
        <w:t>NOTE 9</w:t>
      </w:r>
      <w:r>
        <w:rPr>
          <w:sz w:val="20"/>
          <w:szCs w:val="20"/>
          <w:color w:val="auto"/>
        </w:rPr>
        <w:tab/>
      </w:r>
      <w:r>
        <w:rPr>
          <w:rFonts w:ascii="Arial" w:cs="Arial" w:eastAsia="Arial" w:hAnsi="Arial"/>
          <w:sz w:val="19"/>
          <w:szCs w:val="19"/>
          <w:b w:val="1"/>
          <w:bCs w:val="1"/>
          <w:color w:val="231F20"/>
        </w:rPr>
        <w:t>DIVESTITURES AND ASSET ACQUISITIONS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Divestitures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Fort Apache in Huntington Beach</w:t>
      </w:r>
    </w:p>
    <w:p>
      <w:pPr>
        <w:spacing w:after="0" w:line="181" w:lineRule="exact"/>
        <w:rPr>
          <w:sz w:val="20"/>
          <w:szCs w:val="20"/>
          <w:color w:val="auto"/>
        </w:rPr>
      </w:pPr>
    </w:p>
    <w:p>
      <w:pPr>
        <w:ind w:right="760" w:firstLine="300"/>
        <w:spacing w:after="0" w:line="243" w:lineRule="auto"/>
        <w:rPr>
          <w:sz w:val="20"/>
          <w:szCs w:val="20"/>
          <w:color w:val="auto"/>
        </w:rPr>
      </w:pPr>
      <w:r>
        <w:rPr>
          <w:rFonts w:ascii="Arial" w:cs="Arial" w:eastAsia="Arial" w:hAnsi="Arial"/>
          <w:sz w:val="20"/>
          <w:szCs w:val="20"/>
          <w:color w:val="231F20"/>
        </w:rPr>
        <w:t>In March 2024, we sold our 0.9-acre Fort Apache real estate property in Huntington Beach, California for purchase price of $10 million and recognized a $6 million gain.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Ventura</w:t>
      </w:r>
    </w:p>
    <w:p>
      <w:pPr>
        <w:spacing w:after="0" w:line="181" w:lineRule="exact"/>
        <w:rPr>
          <w:sz w:val="20"/>
          <w:szCs w:val="20"/>
          <w:color w:val="auto"/>
        </w:rPr>
      </w:pPr>
    </w:p>
    <w:p>
      <w:pPr>
        <w:ind w:right="180" w:firstLine="300"/>
        <w:spacing w:after="0" w:line="265" w:lineRule="auto"/>
        <w:rPr>
          <w:sz w:val="20"/>
          <w:szCs w:val="20"/>
          <w:color w:val="auto"/>
        </w:rPr>
      </w:pPr>
      <w:r>
        <w:rPr>
          <w:rFonts w:ascii="Arial" w:cs="Arial" w:eastAsia="Arial" w:hAnsi="Arial"/>
          <w:sz w:val="19"/>
          <w:szCs w:val="19"/>
          <w:color w:val="231F20"/>
        </w:rPr>
        <w:t>During 2021, 2022 and 2024, we entered into transactions to sell our Ventura basin assets. The Ventura divestiture contemplated multiple closings that were subject to customary closing conditions. The closings that occurred in the second half of 2021 resulted in the divestiture of the vast majority of our Ventura basin assets. The transfer of the remaining assets in the Ventura basin was approved in</w:t>
      </w:r>
    </w:p>
    <w:p>
      <w:pPr>
        <w:sectPr>
          <w:pgSz w:w="11880" w:h="15480" w:orient="portrait"/>
          <w:cols w:equalWidth="0" w:num="1">
            <w:col w:w="9100"/>
          </w:cols>
          <w:pgMar w:left="1380" w:top="1312" w:right="1400" w:bottom="66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124</w:t>
      </w:r>
    </w:p>
    <w:p>
      <w:pPr>
        <w:sectPr>
          <w:pgSz w:w="11880" w:h="15480" w:orient="portrait"/>
          <w:cols w:equalWidth="0" w:num="1">
            <w:col w:w="9100"/>
          </w:cols>
          <w:pgMar w:left="1380" w:top="1312" w:right="1400" w:bottom="660" w:gutter="0" w:footer="0" w:header="0"/>
          <w:type w:val="continuous"/>
        </w:sectPr>
      </w:pPr>
    </w:p>
    <w:bookmarkStart w:id="128" w:name="page129"/>
    <w:bookmarkEnd w:id="128"/>
    <w:p>
      <w:pPr>
        <w:ind w:right="20"/>
        <w:spacing w:after="0" w:line="246" w:lineRule="auto"/>
        <w:rPr>
          <w:sz w:val="20"/>
          <w:szCs w:val="20"/>
          <w:color w:val="auto"/>
        </w:rPr>
      </w:pPr>
      <w:r>
        <w:rPr>
          <w:rFonts w:ascii="Arial" w:cs="Arial" w:eastAsia="Arial" w:hAnsi="Arial"/>
          <w:sz w:val="20"/>
          <w:szCs w:val="20"/>
          <w:color w:val="231F20"/>
        </w:rPr>
        <w:t>June 2024 by the State Lands Commission. In October 2024, we completed the sale of the Ventura basin assets and recognized a $4 million gain and during 2025, we recognized a loss related to settling purchase price adjustments of $1 million.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Round Mountain Unit</w:t>
      </w:r>
    </w:p>
    <w:p>
      <w:pPr>
        <w:spacing w:after="0" w:line="215" w:lineRule="exact"/>
        <w:rPr>
          <w:sz w:val="20"/>
          <w:szCs w:val="20"/>
          <w:color w:val="auto"/>
        </w:rPr>
      </w:pPr>
    </w:p>
    <w:p>
      <w:pPr>
        <w:ind w:right="40" w:firstLine="300"/>
        <w:spacing w:after="0"/>
        <w:rPr>
          <w:sz w:val="20"/>
          <w:szCs w:val="20"/>
          <w:color w:val="auto"/>
        </w:rPr>
      </w:pPr>
      <w:r>
        <w:rPr>
          <w:rFonts w:ascii="Arial" w:cs="Arial" w:eastAsia="Arial" w:hAnsi="Arial"/>
          <w:sz w:val="19"/>
          <w:szCs w:val="19"/>
          <w:color w:val="231F20"/>
        </w:rPr>
        <w:t>In December 2023, we entered into an agreement to sell our non-operated working interest in the Round Mountain Unit in the San Joaquin basin, recognizing a gain of $25 million. We retained an option to capture, transport and store CO</w:t>
      </w:r>
      <w:r>
        <w:rPr>
          <w:rFonts w:ascii="Arial" w:cs="Arial" w:eastAsia="Arial" w:hAnsi="Arial"/>
          <w:sz w:val="25"/>
          <w:szCs w:val="25"/>
          <w:color w:val="231F20"/>
          <w:vertAlign w:val="subscript"/>
        </w:rPr>
        <w:t>2</w:t>
      </w:r>
      <w:r>
        <w:rPr>
          <w:rFonts w:ascii="Arial" w:cs="Arial" w:eastAsia="Arial" w:hAnsi="Arial"/>
          <w:sz w:val="19"/>
          <w:szCs w:val="19"/>
          <w:color w:val="231F20"/>
        </w:rPr>
        <w:t xml:space="preserve"> emissions from the production at Round Mountain Unit for future carbon management projects. This option can be terminated by the buyer after January 1, 2028.</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Other Divestitures</w:t>
      </w:r>
    </w:p>
    <w:p>
      <w:pPr>
        <w:spacing w:after="0" w:line="217" w:lineRule="exact"/>
        <w:rPr>
          <w:sz w:val="20"/>
          <w:szCs w:val="20"/>
          <w:color w:val="auto"/>
        </w:rPr>
      </w:pPr>
    </w:p>
    <w:p>
      <w:pPr>
        <w:ind w:right="220" w:firstLine="300"/>
        <w:spacing w:after="0" w:line="243" w:lineRule="auto"/>
        <w:rPr>
          <w:sz w:val="20"/>
          <w:szCs w:val="20"/>
          <w:color w:val="auto"/>
        </w:rPr>
      </w:pPr>
      <w:r>
        <w:rPr>
          <w:rFonts w:ascii="Arial" w:cs="Arial" w:eastAsia="Arial" w:hAnsi="Arial"/>
          <w:sz w:val="20"/>
          <w:szCs w:val="20"/>
          <w:color w:val="231F20"/>
        </w:rPr>
        <w:t>In 2024, we sold non-core assets recognizing a $1 million gain. In 2023, we sold a non-producing asset in exchange for the assumption of liabilities recognizing a $7 million gain.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Carbon Management Assets</w:t>
      </w:r>
    </w:p>
    <w:p>
      <w:pPr>
        <w:spacing w:after="0" w:line="215"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231F20"/>
        </w:rPr>
        <w:t>In 2022, we acquired properties for carbon management activities with the intent to divest a portion of these assets. In 2024, we reduced the carrying value of the surface acreage to fair value and recognized an impairment charge of $1 million. In May 2025, we sold a portion of these properties for $1 million and did not recognize a gain or loss on this transaction.</w:t>
      </w:r>
    </w:p>
    <w:p>
      <w:pPr>
        <w:spacing w:after="0" w:line="209"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In September 2025, we reduced the carrying value of the remainder of these properties classified as held for sale to fair value and recognized an impairment charge of $2 million. The remaining assets were sold in December 2025 for $6 million and we did not recognize a gain or loss on this transaction. The fair value measurement was determined, using Level 3 inputs in the fair value hierarchy and, declined due to market conditions, resulting in an impairment.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Asset Acquisitions</w:t>
      </w:r>
    </w:p>
    <w:p>
      <w:pPr>
        <w:spacing w:after="0" w:line="215" w:lineRule="exact"/>
        <w:rPr>
          <w:sz w:val="20"/>
          <w:szCs w:val="20"/>
          <w:color w:val="auto"/>
        </w:rPr>
      </w:pPr>
    </w:p>
    <w:p>
      <w:pPr>
        <w:ind w:right="400" w:firstLine="300"/>
        <w:spacing w:after="0" w:line="245" w:lineRule="auto"/>
        <w:rPr>
          <w:sz w:val="20"/>
          <w:szCs w:val="20"/>
          <w:color w:val="auto"/>
        </w:rPr>
      </w:pPr>
      <w:r>
        <w:rPr>
          <w:rFonts w:ascii="Arial" w:cs="Arial" w:eastAsia="Arial" w:hAnsi="Arial"/>
          <w:sz w:val="20"/>
          <w:szCs w:val="20"/>
          <w:color w:val="231F20"/>
        </w:rPr>
        <w:t>In 2024, we acquired land for our carbon management segment for approximately $6 million. In 2023, we acquired land for our carbon management segment for approximately $5 million.</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231F20"/>
        </w:rPr>
        <w:t>NOTE 10</w:t>
      </w:r>
      <w:r>
        <w:rPr>
          <w:sz w:val="20"/>
          <w:szCs w:val="20"/>
          <w:color w:val="auto"/>
        </w:rPr>
        <w:tab/>
      </w:r>
      <w:r>
        <w:rPr>
          <w:rFonts w:ascii="Arial" w:cs="Arial" w:eastAsia="Arial" w:hAnsi="Arial"/>
          <w:sz w:val="19"/>
          <w:szCs w:val="19"/>
          <w:b w:val="1"/>
          <w:bCs w:val="1"/>
          <w:color w:val="231F20"/>
        </w:rPr>
        <w:t>STOCK-BASED COMPENSATION</w:t>
      </w:r>
    </w:p>
    <w:p>
      <w:pPr>
        <w:spacing w:after="0" w:line="215"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On January 18, 2021, our Board of Directors approved the California Resources Corporation 2021 Long Term Incentive Plan (Long Term Incentive Plan). The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w:t>
      </w:r>
    </w:p>
    <w:p>
      <w:pPr>
        <w:spacing w:after="0" w:line="208"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The Long Term Incentive Plan provides for the reservation of 9,257,740 shares of common stock for future issuances, subject to adjustment as provided in the Long Term Incentive Plan. Shares of stock subject to an award under the Long Term Incentive Plan that expires or is cancelled, forfeited, exchanged, settled in cash or otherwise terminated without the actual delivery of shares (restricted stock awards are not considered “delivered shares” for this purpose) will again be available for new awards under the Long Term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Long Term Incentive Plan.</w:t>
      </w:r>
    </w:p>
    <w:p>
      <w:pPr>
        <w:sectPr>
          <w:pgSz w:w="11880" w:h="15480" w:orient="portrait"/>
          <w:cols w:equalWidth="0" w:num="1">
            <w:col w:w="9100"/>
          </w:cols>
          <w:pgMar w:left="1380" w:top="1316" w:right="1400" w:bottom="660"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125</w:t>
      </w:r>
    </w:p>
    <w:p>
      <w:pPr>
        <w:sectPr>
          <w:pgSz w:w="11880" w:h="15480" w:orient="portrait"/>
          <w:cols w:equalWidth="0" w:num="1">
            <w:col w:w="9100"/>
          </w:cols>
          <w:pgMar w:left="1380" w:top="1316" w:right="1400" w:bottom="660" w:gutter="0" w:footer="0" w:header="0"/>
          <w:type w:val="continuous"/>
        </w:sectPr>
      </w:pPr>
    </w:p>
    <w:bookmarkStart w:id="129" w:name="page130"/>
    <w:bookmarkEnd w:id="129"/>
    <w:p>
      <w:pPr>
        <w:ind w:right="360" w:firstLine="300"/>
        <w:spacing w:after="0" w:line="243" w:lineRule="auto"/>
        <w:rPr>
          <w:sz w:val="20"/>
          <w:szCs w:val="20"/>
          <w:color w:val="auto"/>
        </w:rPr>
      </w:pPr>
      <w:r>
        <w:rPr>
          <w:rFonts w:ascii="Arial" w:cs="Arial" w:eastAsia="Arial" w:hAnsi="Arial"/>
          <w:sz w:val="20"/>
          <w:szCs w:val="20"/>
          <w:color w:val="231F20"/>
        </w:rPr>
        <w:t>Shares of our common stock may be withheld by us in satisfaction of tax withholding obligations arising upon the vesting of restricted stock units (RSUs) and performance stock units (PSUs).</w:t>
      </w:r>
    </w:p>
    <w:p>
      <w:pPr>
        <w:spacing w:after="0" w:line="190" w:lineRule="exact"/>
        <w:rPr>
          <w:sz w:val="20"/>
          <w:szCs w:val="20"/>
          <w:color w:val="auto"/>
        </w:rPr>
      </w:pPr>
    </w:p>
    <w:p>
      <w:pPr>
        <w:ind w:right="500" w:firstLine="300"/>
        <w:spacing w:after="0" w:line="243" w:lineRule="auto"/>
        <w:rPr>
          <w:sz w:val="20"/>
          <w:szCs w:val="20"/>
          <w:color w:val="auto"/>
        </w:rPr>
      </w:pPr>
      <w:r>
        <w:rPr>
          <w:rFonts w:ascii="Arial" w:cs="Arial" w:eastAsia="Arial" w:hAnsi="Arial"/>
          <w:sz w:val="20"/>
          <w:szCs w:val="20"/>
          <w:color w:val="231F20"/>
        </w:rPr>
        <w:t>Stock-based compensation expense is recorded on our consolidated statements of operations based on job function of the employees receiving the grants as shown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80" w:type="dxa"/>
            <w:vAlign w:val="bottom"/>
          </w:tcPr>
          <w:p>
            <w:pPr>
              <w:spacing w:after="0"/>
              <w:rPr>
                <w:sz w:val="21"/>
                <w:szCs w:val="21"/>
                <w:color w:val="auto"/>
              </w:rPr>
            </w:pPr>
          </w:p>
        </w:tc>
        <w:tc>
          <w:tcPr>
            <w:tcW w:w="3440" w:type="dxa"/>
            <w:vAlign w:val="bottom"/>
            <w:tcBorders>
              <w:bottom w:val="single" w:sz="8" w:color="231F20"/>
            </w:tcBorders>
            <w:gridSpan w:val="8"/>
          </w:tcPr>
          <w:p>
            <w:pPr>
              <w:jc w:val="center"/>
              <w:spacing w:after="0"/>
              <w:rPr>
                <w:sz w:val="20"/>
                <w:szCs w:val="20"/>
                <w:color w:val="auto"/>
              </w:rPr>
            </w:pPr>
            <w:r>
              <w:rPr>
                <w:rFonts w:ascii="Arial" w:cs="Arial" w:eastAsia="Arial" w:hAnsi="Arial"/>
                <w:sz w:val="20"/>
                <w:szCs w:val="20"/>
                <w:b w:val="1"/>
                <w:bCs w:val="1"/>
                <w:color w:val="231F20"/>
              </w:rPr>
              <w:t>Year ended December 31,</w:t>
            </w:r>
          </w:p>
        </w:tc>
      </w:tr>
      <w:tr>
        <w:trPr>
          <w:trHeight w:val="260"/>
        </w:trPr>
        <w:tc>
          <w:tcPr>
            <w:tcW w:w="5680" w:type="dxa"/>
            <w:vAlign w:val="bottom"/>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280" w:type="dxa"/>
            <w:vAlign w:val="bottom"/>
            <w:tcBorders>
              <w:bottom w:val="single" w:sz="8" w:color="231F20"/>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center"/>
              <w:ind w:right="140"/>
              <w:spacing w:after="0"/>
              <w:rPr>
                <w:sz w:val="20"/>
                <w:szCs w:val="20"/>
                <w:color w:val="auto"/>
              </w:rPr>
            </w:pPr>
            <w:r>
              <w:rPr>
                <w:rFonts w:ascii="Arial" w:cs="Arial" w:eastAsia="Arial" w:hAnsi="Arial"/>
                <w:sz w:val="20"/>
                <w:szCs w:val="20"/>
                <w:b w:val="1"/>
                <w:bCs w:val="1"/>
                <w:color w:val="231F20"/>
                <w:w w:val="98"/>
              </w:rPr>
              <w:t>2024</w:t>
            </w:r>
          </w:p>
        </w:tc>
        <w:tc>
          <w:tcPr>
            <w:tcW w:w="1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220"/>
              <w:spacing w:after="0"/>
              <w:rPr>
                <w:sz w:val="20"/>
                <w:szCs w:val="20"/>
                <w:color w:val="auto"/>
              </w:rPr>
            </w:pPr>
            <w:r>
              <w:rPr>
                <w:rFonts w:ascii="Arial" w:cs="Arial" w:eastAsia="Arial" w:hAnsi="Arial"/>
                <w:sz w:val="20"/>
                <w:szCs w:val="20"/>
                <w:b w:val="1"/>
                <w:bCs w:val="1"/>
                <w:color w:val="231F20"/>
              </w:rPr>
              <w:t>2023</w:t>
            </w:r>
          </w:p>
        </w:tc>
      </w:tr>
      <w:tr>
        <w:trPr>
          <w:trHeight w:val="192"/>
        </w:trPr>
        <w:tc>
          <w:tcPr>
            <w:tcW w:w="5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color w:val="231F20"/>
                <w:w w:val="98"/>
              </w:rPr>
              <w:t>(in millions)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7"/>
        </w:trPr>
        <w:tc>
          <w:tcPr>
            <w:tcW w:w="5680" w:type="dxa"/>
            <w:vAlign w:val="bottom"/>
          </w:tcPr>
          <w:p>
            <w:pPr>
              <w:jc w:val="right"/>
              <w:spacing w:after="0" w:line="217" w:lineRule="exact"/>
              <w:rPr>
                <w:sz w:val="20"/>
                <w:szCs w:val="20"/>
                <w:color w:val="auto"/>
              </w:rPr>
            </w:pPr>
            <w:r>
              <w:rPr>
                <w:rFonts w:ascii="Arial" w:cs="Arial" w:eastAsia="Arial" w:hAnsi="Arial"/>
                <w:sz w:val="20"/>
                <w:szCs w:val="20"/>
                <w:color w:val="231F20"/>
                <w:w w:val="98"/>
              </w:rPr>
              <w:t>General and administrative expenses . . . . . . . . . . . . . . . . . . . . .</w:t>
            </w:r>
          </w:p>
        </w:tc>
        <w:tc>
          <w:tcPr>
            <w:tcW w:w="800" w:type="dxa"/>
            <w:vAlign w:val="bottom"/>
          </w:tcPr>
          <w:p>
            <w:pPr>
              <w:jc w:val="right"/>
              <w:ind w:right="540"/>
              <w:spacing w:after="0" w:line="217" w:lineRule="exact"/>
              <w:rPr>
                <w:sz w:val="20"/>
                <w:szCs w:val="20"/>
                <w:color w:val="auto"/>
              </w:rPr>
            </w:pPr>
            <w:r>
              <w:rPr>
                <w:rFonts w:ascii="Arial" w:cs="Arial" w:eastAsia="Arial" w:hAnsi="Arial"/>
                <w:sz w:val="20"/>
                <w:szCs w:val="20"/>
                <w:color w:val="231F20"/>
              </w:rPr>
              <w:t>$</w:t>
            </w:r>
          </w:p>
        </w:tc>
        <w:tc>
          <w:tcPr>
            <w:tcW w:w="38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231F20"/>
              </w:rPr>
              <w:t>30</w:t>
            </w:r>
          </w:p>
        </w:tc>
        <w:tc>
          <w:tcPr>
            <w:tcW w:w="240" w:type="dxa"/>
            <w:vAlign w:val="bottom"/>
          </w:tcPr>
          <w:p>
            <w:pPr>
              <w:jc w:val="right"/>
              <w:spacing w:after="0" w:line="217" w:lineRule="exact"/>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00"/>
              <w:spacing w:after="0" w:line="217" w:lineRule="exact"/>
              <w:rPr>
                <w:sz w:val="20"/>
                <w:szCs w:val="20"/>
                <w:color w:val="auto"/>
              </w:rPr>
            </w:pPr>
            <w:r>
              <w:rPr>
                <w:rFonts w:ascii="Arial" w:cs="Arial" w:eastAsia="Arial" w:hAnsi="Arial"/>
                <w:sz w:val="20"/>
                <w:szCs w:val="20"/>
                <w:color w:val="231F20"/>
              </w:rPr>
              <w:t>32</w:t>
            </w:r>
          </w:p>
        </w:tc>
        <w:tc>
          <w:tcPr>
            <w:tcW w:w="240" w:type="dxa"/>
            <w:vAlign w:val="bottom"/>
          </w:tcPr>
          <w:p>
            <w:pPr>
              <w:jc w:val="right"/>
              <w:spacing w:after="0" w:line="217" w:lineRule="exact"/>
              <w:rPr>
                <w:sz w:val="20"/>
                <w:szCs w:val="20"/>
                <w:color w:val="auto"/>
              </w:rPr>
            </w:pPr>
            <w:r>
              <w:rPr>
                <w:rFonts w:ascii="Arial" w:cs="Arial" w:eastAsia="Arial" w:hAnsi="Arial"/>
                <w:sz w:val="20"/>
                <w:szCs w:val="20"/>
                <w:color w:val="231F20"/>
              </w:rPr>
              <w:t>$</w:t>
            </w:r>
          </w:p>
        </w:tc>
        <w:tc>
          <w:tcPr>
            <w:tcW w:w="840" w:type="dxa"/>
            <w:vAlign w:val="bottom"/>
          </w:tcPr>
          <w:p>
            <w:pPr>
              <w:jc w:val="right"/>
              <w:spacing w:after="0" w:line="217" w:lineRule="exact"/>
              <w:rPr>
                <w:sz w:val="20"/>
                <w:szCs w:val="20"/>
                <w:color w:val="auto"/>
              </w:rPr>
            </w:pPr>
            <w:r>
              <w:rPr>
                <w:rFonts w:ascii="Arial" w:cs="Arial" w:eastAsia="Arial" w:hAnsi="Arial"/>
                <w:sz w:val="20"/>
                <w:szCs w:val="20"/>
                <w:color w:val="231F20"/>
              </w:rPr>
              <w:t>40</w:t>
            </w:r>
          </w:p>
        </w:tc>
      </w:tr>
      <w:tr>
        <w:trPr>
          <w:trHeight w:val="216"/>
        </w:trPr>
        <w:tc>
          <w:tcPr>
            <w:tcW w:w="5680" w:type="dxa"/>
            <w:vAlign w:val="bottom"/>
          </w:tcPr>
          <w:p>
            <w:pPr>
              <w:jc w:val="right"/>
              <w:spacing w:after="0" w:line="216" w:lineRule="exact"/>
              <w:rPr>
                <w:sz w:val="20"/>
                <w:szCs w:val="20"/>
                <w:color w:val="auto"/>
              </w:rPr>
            </w:pPr>
            <w:r>
              <w:rPr>
                <w:rFonts w:ascii="Arial" w:cs="Arial" w:eastAsia="Arial" w:hAnsi="Arial"/>
                <w:sz w:val="20"/>
                <w:szCs w:val="20"/>
                <w:color w:val="231F20"/>
                <w:w w:val="96"/>
              </w:rPr>
              <w:t>Operating costs . . . . . . . . . . . . . . . . . . . . . . . . . . . . . . . . . . . . . . .</w:t>
            </w:r>
          </w:p>
        </w:tc>
        <w:tc>
          <w:tcPr>
            <w:tcW w:w="800" w:type="dxa"/>
            <w:vAlign w:val="bottom"/>
          </w:tcPr>
          <w:p>
            <w:pPr>
              <w:spacing w:after="0"/>
              <w:rPr>
                <w:sz w:val="18"/>
                <w:szCs w:val="18"/>
                <w:color w:val="auto"/>
              </w:rPr>
            </w:pPr>
          </w:p>
        </w:tc>
        <w:tc>
          <w:tcPr>
            <w:tcW w:w="280" w:type="dxa"/>
            <w:vAlign w:val="bottom"/>
          </w:tcPr>
          <w:p>
            <w:pPr>
              <w:jc w:val="right"/>
              <w:spacing w:after="0" w:line="216" w:lineRule="exact"/>
              <w:rPr>
                <w:sz w:val="20"/>
                <w:szCs w:val="20"/>
                <w:color w:val="auto"/>
              </w:rPr>
            </w:pPr>
            <w:r>
              <w:rPr>
                <w:rFonts w:ascii="Arial" w:cs="Arial" w:eastAsia="Arial" w:hAnsi="Arial"/>
                <w:sz w:val="20"/>
                <w:szCs w:val="20"/>
                <w:color w:val="231F20"/>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231F20"/>
              </w:rPr>
              <w:t>6</w:t>
            </w:r>
          </w:p>
        </w:tc>
        <w:tc>
          <w:tcPr>
            <w:tcW w:w="2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7</w:t>
            </w:r>
          </w:p>
        </w:tc>
      </w:tr>
      <w:tr>
        <w:trPr>
          <w:trHeight w:val="223"/>
        </w:trPr>
        <w:tc>
          <w:tcPr>
            <w:tcW w:w="5680" w:type="dxa"/>
            <w:vAlign w:val="bottom"/>
          </w:tcPr>
          <w:p>
            <w:pPr>
              <w:jc w:val="right"/>
              <w:spacing w:after="0" w:line="223" w:lineRule="exact"/>
              <w:rPr>
                <w:sz w:val="20"/>
                <w:szCs w:val="20"/>
                <w:color w:val="auto"/>
              </w:rPr>
            </w:pPr>
            <w:r>
              <w:rPr>
                <w:rFonts w:ascii="Arial" w:cs="Arial" w:eastAsia="Arial" w:hAnsi="Arial"/>
                <w:sz w:val="20"/>
                <w:szCs w:val="20"/>
                <w:color w:val="231F20"/>
                <w:w w:val="97"/>
              </w:rPr>
              <w:t>Other operating expenses, net . . . . . . . . . . . . . . . . . . . . . . . . . . .</w:t>
            </w:r>
          </w:p>
        </w:tc>
        <w:tc>
          <w:tcPr>
            <w:tcW w:w="800" w:type="dxa"/>
            <w:vAlign w:val="bottom"/>
          </w:tcPr>
          <w:p>
            <w:pPr>
              <w:spacing w:after="0"/>
              <w:rPr>
                <w:sz w:val="19"/>
                <w:szCs w:val="19"/>
                <w:color w:val="auto"/>
              </w:rPr>
            </w:pPr>
          </w:p>
        </w:tc>
        <w:tc>
          <w:tcPr>
            <w:tcW w:w="280" w:type="dxa"/>
            <w:vAlign w:val="bottom"/>
          </w:tcPr>
          <w:p>
            <w:pPr>
              <w:jc w:val="right"/>
              <w:spacing w:after="0" w:line="223" w:lineRule="exact"/>
              <w:rPr>
                <w:sz w:val="20"/>
                <w:szCs w:val="20"/>
                <w:color w:val="auto"/>
              </w:rPr>
            </w:pPr>
            <w:r>
              <w:rPr>
                <w:rFonts w:ascii="Arial" w:cs="Arial" w:eastAsia="Arial" w:hAnsi="Arial"/>
                <w:sz w:val="20"/>
                <w:szCs w:val="20"/>
                <w:color w:val="231F20"/>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231F20"/>
              </w:rPr>
              <w:t>2</w:t>
            </w:r>
          </w:p>
        </w:tc>
        <w:tc>
          <w:tcPr>
            <w:tcW w:w="240" w:type="dxa"/>
            <w:vAlign w:val="bottom"/>
          </w:tcPr>
          <w:p>
            <w:pPr>
              <w:spacing w:after="0"/>
              <w:rPr>
                <w:sz w:val="19"/>
                <w:szCs w:val="19"/>
                <w:color w:val="auto"/>
              </w:rPr>
            </w:pPr>
          </w:p>
        </w:tc>
        <w:tc>
          <w:tcPr>
            <w:tcW w:w="840" w:type="dxa"/>
            <w:vAlign w:val="bottom"/>
          </w:tcPr>
          <w:p>
            <w:pPr>
              <w:jc w:val="right"/>
              <w:spacing w:after="0" w:line="223" w:lineRule="exact"/>
              <w:rPr>
                <w:sz w:val="20"/>
                <w:szCs w:val="20"/>
                <w:color w:val="auto"/>
              </w:rPr>
            </w:pPr>
            <w:r>
              <w:rPr>
                <w:rFonts w:ascii="Arial" w:cs="Arial" w:eastAsia="Arial" w:hAnsi="Arial"/>
                <w:sz w:val="20"/>
                <w:szCs w:val="20"/>
                <w:color w:val="231F20"/>
              </w:rPr>
              <w:t>1</w:t>
            </w:r>
          </w:p>
        </w:tc>
      </w:tr>
      <w:tr>
        <w:trPr>
          <w:trHeight w:val="30"/>
        </w:trPr>
        <w:tc>
          <w:tcPr>
            <w:tcW w:w="56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46"/>
        </w:trPr>
        <w:tc>
          <w:tcPr>
            <w:tcW w:w="5680" w:type="dxa"/>
            <w:vAlign w:val="bottom"/>
          </w:tcPr>
          <w:p>
            <w:pPr>
              <w:jc w:val="right"/>
              <w:spacing w:after="0"/>
              <w:rPr>
                <w:sz w:val="20"/>
                <w:szCs w:val="20"/>
                <w:color w:val="auto"/>
              </w:rPr>
            </w:pPr>
            <w:r>
              <w:rPr>
                <w:rFonts w:ascii="Arial" w:cs="Arial" w:eastAsia="Arial" w:hAnsi="Arial"/>
                <w:sz w:val="20"/>
                <w:szCs w:val="20"/>
                <w:color w:val="231F20"/>
              </w:rPr>
              <w:t>Total stock-based compensation expense  . . . . . . . . . . . . . . .</w:t>
            </w:r>
          </w:p>
        </w:tc>
        <w:tc>
          <w:tcPr>
            <w:tcW w:w="800" w:type="dxa"/>
            <w:vAlign w:val="bottom"/>
          </w:tcPr>
          <w:p>
            <w:pPr>
              <w:jc w:val="right"/>
              <w:ind w:right="540"/>
              <w:spacing w:after="0"/>
              <w:rPr>
                <w:sz w:val="20"/>
                <w:szCs w:val="20"/>
                <w:color w:val="auto"/>
              </w:rPr>
            </w:pPr>
            <w:r>
              <w:rPr>
                <w:rFonts w:ascii="Arial" w:cs="Arial" w:eastAsia="Arial" w:hAnsi="Arial"/>
                <w:sz w:val="20"/>
                <w:szCs w:val="20"/>
                <w:color w:val="231F20"/>
              </w:rPr>
              <w:t>$</w:t>
            </w: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231F20"/>
              </w:rPr>
              <w:t>39</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231F20"/>
              </w:rPr>
              <w:t>40</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48</w:t>
            </w:r>
          </w:p>
        </w:tc>
      </w:tr>
      <w:tr>
        <w:trPr>
          <w:trHeight w:val="30"/>
        </w:trPr>
        <w:tc>
          <w:tcPr>
            <w:tcW w:w="56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r>
        <w:trPr>
          <w:trHeight w:val="276"/>
        </w:trPr>
        <w:tc>
          <w:tcPr>
            <w:tcW w:w="5680" w:type="dxa"/>
            <w:vAlign w:val="bottom"/>
          </w:tcPr>
          <w:p>
            <w:pPr>
              <w:spacing w:after="0"/>
              <w:rPr>
                <w:sz w:val="24"/>
                <w:szCs w:val="24"/>
                <w:color w:val="auto"/>
              </w:rPr>
            </w:pPr>
          </w:p>
        </w:tc>
        <w:tc>
          <w:tcPr>
            <w:tcW w:w="800" w:type="dxa"/>
            <w:vAlign w:val="bottom"/>
            <w:tcBorders>
              <w:bottom w:val="single" w:sz="8" w:color="231F20"/>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spacing w:after="0"/>
              <w:rPr>
                <w:sz w:val="24"/>
                <w:szCs w:val="24"/>
                <w:color w:val="auto"/>
              </w:rPr>
            </w:pPr>
          </w:p>
        </w:tc>
      </w:tr>
      <w:tr>
        <w:trPr>
          <w:trHeight w:val="246"/>
        </w:trPr>
        <w:tc>
          <w:tcPr>
            <w:tcW w:w="5680" w:type="dxa"/>
            <w:vAlign w:val="bottom"/>
          </w:tcPr>
          <w:p>
            <w:pPr>
              <w:jc w:val="right"/>
              <w:spacing w:after="0"/>
              <w:rPr>
                <w:sz w:val="20"/>
                <w:szCs w:val="20"/>
                <w:color w:val="auto"/>
              </w:rPr>
            </w:pPr>
            <w:r>
              <w:rPr>
                <w:rFonts w:ascii="Arial" w:cs="Arial" w:eastAsia="Arial" w:hAnsi="Arial"/>
                <w:sz w:val="20"/>
                <w:szCs w:val="20"/>
                <w:color w:val="231F20"/>
                <w:w w:val="96"/>
              </w:rPr>
              <w:t>Income tax benefit . . . . . . . . . . . . . . . . . . . . . . . . . . . . . . . . . . . . .</w:t>
            </w:r>
          </w:p>
        </w:tc>
        <w:tc>
          <w:tcPr>
            <w:tcW w:w="800" w:type="dxa"/>
            <w:vAlign w:val="bottom"/>
          </w:tcPr>
          <w:p>
            <w:pPr>
              <w:jc w:val="right"/>
              <w:ind w:right="540"/>
              <w:spacing w:after="0"/>
              <w:rPr>
                <w:sz w:val="20"/>
                <w:szCs w:val="20"/>
                <w:color w:val="auto"/>
              </w:rPr>
            </w:pPr>
            <w:r>
              <w:rPr>
                <w:rFonts w:ascii="Arial" w:cs="Arial" w:eastAsia="Arial" w:hAnsi="Arial"/>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7</w:t>
            </w:r>
          </w:p>
        </w:tc>
        <w:tc>
          <w:tcPr>
            <w:tcW w:w="1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00"/>
              <w:spacing w:after="0"/>
              <w:rPr>
                <w:sz w:val="20"/>
                <w:szCs w:val="20"/>
                <w:color w:val="auto"/>
              </w:rPr>
            </w:pPr>
            <w:r>
              <w:rPr>
                <w:rFonts w:ascii="Arial" w:cs="Arial" w:eastAsia="Arial" w:hAnsi="Arial"/>
                <w:sz w:val="20"/>
                <w:szCs w:val="20"/>
                <w:color w:val="231F20"/>
              </w:rPr>
              <w:t>8</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9</w:t>
            </w:r>
          </w:p>
        </w:tc>
      </w:tr>
      <w:tr>
        <w:trPr>
          <w:trHeight w:val="30"/>
        </w:trPr>
        <w:tc>
          <w:tcPr>
            <w:tcW w:w="568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233" w:lineRule="exact"/>
        <w:rPr>
          <w:sz w:val="20"/>
          <w:szCs w:val="20"/>
          <w:color w:val="auto"/>
        </w:rPr>
      </w:pPr>
    </w:p>
    <w:p>
      <w:pPr>
        <w:ind w:right="380" w:firstLine="300"/>
        <w:spacing w:after="0" w:line="245" w:lineRule="auto"/>
        <w:rPr>
          <w:sz w:val="20"/>
          <w:szCs w:val="20"/>
          <w:color w:val="auto"/>
        </w:rPr>
      </w:pPr>
      <w:r>
        <w:rPr>
          <w:rFonts w:ascii="Arial" w:cs="Arial" w:eastAsia="Arial" w:hAnsi="Arial"/>
          <w:sz w:val="20"/>
          <w:szCs w:val="20"/>
          <w:color w:val="231F20"/>
        </w:rPr>
        <w:t>We paid $21 million, $18 million, and $11 million for our long-term cash incentive awards for the years ended December 31, 2025, December 31, 2024, and December 31, 2023,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Stock Settled Awards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Berry Merger</w:t>
      </w:r>
    </w:p>
    <w:p>
      <w:pPr>
        <w:spacing w:after="0" w:line="138" w:lineRule="exact"/>
        <w:rPr>
          <w:sz w:val="20"/>
          <w:szCs w:val="20"/>
          <w:color w:val="auto"/>
        </w:rPr>
      </w:pPr>
    </w:p>
    <w:p>
      <w:pPr>
        <w:ind w:right="80" w:firstLine="300"/>
        <w:spacing w:after="0" w:line="264" w:lineRule="auto"/>
        <w:rPr>
          <w:sz w:val="20"/>
          <w:szCs w:val="20"/>
          <w:color w:val="auto"/>
        </w:rPr>
      </w:pPr>
      <w:r>
        <w:rPr>
          <w:rFonts w:ascii="Arial" w:cs="Arial" w:eastAsia="Arial" w:hAnsi="Arial"/>
          <w:sz w:val="19"/>
          <w:szCs w:val="19"/>
          <w:color w:val="231F20"/>
        </w:rPr>
        <w:t>Certain Berry restricted and performance stock unit awards included a single-trigger change in control provision which accelerated the vesting of such awards on the closing date of the Berry Merger. We settled these awards in cash and the amounts were accounted for as consideration transferred. Other Berry performance and restricted stock unit awards included a change in control provision as well as a subjective acceleration clause, which did not automatically accelerate the vesting of the awards on the closing date of the Berry Merger. In connection with the Berry Merger, we granted 203,873 RSUs as a replacement for such Berry restricted and performance stock units that did not automatically accelerate. The fair value of these replacement units was $9 million, $4 million of which was related to pre-combination services and included in consideration transferred. The remaining $5 million will be recognized as a post-combination expense over the employee service period of which, $3 million relates to Berry executives who separated from service upon the closing of the Berry Merger and is included in other operating expenses, net on our consolidated statement of operations for the year ended December 31, 2025.</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Restricted Stock Units</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9"/>
          <w:szCs w:val="19"/>
          <w:color w:val="231F20"/>
        </w:rPr>
        <w:t>Executives and non-employee directors were granted RSUs, which are in the form of, or equivalent in</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9"/>
          <w:szCs w:val="19"/>
          <w:color w:val="231F20"/>
        </w:rPr>
        <w:t>value to, actual shares of our common stock. The awards generally vest over three years following the grant date, with the exception of the RSUs granted on November 4, 2025 that generally vest over the five years following the grant date. Dividend equivalents are accumulated and paid when the shares are issued.</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following table sets forth RSU activity for the year ended December 31,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00"/>
              <w:spacing w:after="0"/>
              <w:rPr>
                <w:sz w:val="20"/>
                <w:szCs w:val="20"/>
                <w:color w:val="auto"/>
              </w:rPr>
            </w:pPr>
            <w:r>
              <w:rPr>
                <w:rFonts w:ascii="Arial" w:cs="Arial" w:eastAsia="Arial" w:hAnsi="Arial"/>
                <w:sz w:val="20"/>
                <w:szCs w:val="20"/>
                <w:b w:val="1"/>
                <w:bCs w:val="1"/>
                <w:color w:val="231F20"/>
                <w:w w:val="99"/>
              </w:rPr>
              <w:t>Weighted-</w:t>
            </w:r>
          </w:p>
        </w:tc>
        <w:tc>
          <w:tcPr>
            <w:tcW w:w="0" w:type="dxa"/>
            <w:vAlign w:val="bottom"/>
          </w:tcPr>
          <w:p>
            <w:pPr>
              <w:spacing w:after="0"/>
              <w:rPr>
                <w:sz w:val="1"/>
                <w:szCs w:val="1"/>
                <w:color w:val="auto"/>
              </w:rPr>
            </w:pPr>
          </w:p>
        </w:tc>
      </w:tr>
      <w:tr>
        <w:trPr>
          <w:trHeight w:val="200"/>
        </w:trPr>
        <w:tc>
          <w:tcPr>
            <w:tcW w:w="5660" w:type="dxa"/>
            <w:vAlign w:val="bottom"/>
          </w:tcPr>
          <w:p>
            <w:pPr>
              <w:spacing w:after="0"/>
              <w:rPr>
                <w:sz w:val="17"/>
                <w:szCs w:val="17"/>
                <w:color w:val="auto"/>
              </w:rPr>
            </w:pPr>
          </w:p>
        </w:tc>
        <w:tc>
          <w:tcPr>
            <w:tcW w:w="1740" w:type="dxa"/>
            <w:vAlign w:val="bottom"/>
            <w:gridSpan w:val="3"/>
            <w:vMerge w:val="restart"/>
          </w:tcPr>
          <w:p>
            <w:pPr>
              <w:jc w:val="center"/>
              <w:spacing w:after="0"/>
              <w:rPr>
                <w:sz w:val="20"/>
                <w:szCs w:val="20"/>
                <w:color w:val="auto"/>
              </w:rPr>
            </w:pPr>
            <w:r>
              <w:rPr>
                <w:rFonts w:ascii="Arial" w:cs="Arial" w:eastAsia="Arial" w:hAnsi="Arial"/>
                <w:sz w:val="20"/>
                <w:szCs w:val="20"/>
                <w:b w:val="1"/>
                <w:bCs w:val="1"/>
                <w:color w:val="231F20"/>
                <w:w w:val="98"/>
              </w:rPr>
              <w:t>Number of Units</w:t>
            </w:r>
          </w:p>
        </w:tc>
        <w:tc>
          <w:tcPr>
            <w:tcW w:w="100" w:type="dxa"/>
            <w:vAlign w:val="bottom"/>
          </w:tcPr>
          <w:p>
            <w:pPr>
              <w:spacing w:after="0"/>
              <w:rPr>
                <w:sz w:val="17"/>
                <w:szCs w:val="17"/>
                <w:color w:val="auto"/>
              </w:rPr>
            </w:pPr>
          </w:p>
        </w:tc>
        <w:tc>
          <w:tcPr>
            <w:tcW w:w="1620" w:type="dxa"/>
            <w:vAlign w:val="bottom"/>
            <w:gridSpan w:val="2"/>
          </w:tcPr>
          <w:p>
            <w:pPr>
              <w:jc w:val="center"/>
              <w:spacing w:after="0" w:line="200" w:lineRule="exact"/>
              <w:rPr>
                <w:sz w:val="20"/>
                <w:szCs w:val="20"/>
                <w:color w:val="auto"/>
              </w:rPr>
            </w:pPr>
            <w:r>
              <w:rPr>
                <w:rFonts w:ascii="Arial" w:cs="Arial" w:eastAsia="Arial" w:hAnsi="Arial"/>
                <w:sz w:val="20"/>
                <w:szCs w:val="20"/>
                <w:b w:val="1"/>
                <w:bCs w:val="1"/>
                <w:color w:val="231F20"/>
                <w:w w:val="99"/>
              </w:rPr>
              <w:t>Average Grant-</w:t>
            </w:r>
          </w:p>
        </w:tc>
        <w:tc>
          <w:tcPr>
            <w:tcW w:w="0" w:type="dxa"/>
            <w:vAlign w:val="bottom"/>
          </w:tcPr>
          <w:p>
            <w:pPr>
              <w:spacing w:after="0"/>
              <w:rPr>
                <w:sz w:val="1"/>
                <w:szCs w:val="1"/>
                <w:color w:val="auto"/>
              </w:rPr>
            </w:pPr>
          </w:p>
        </w:tc>
      </w:tr>
      <w:tr>
        <w:trPr>
          <w:trHeight w:val="246"/>
        </w:trPr>
        <w:tc>
          <w:tcPr>
            <w:tcW w:w="5660" w:type="dxa"/>
            <w:vAlign w:val="bottom"/>
          </w:tcPr>
          <w:p>
            <w:pPr>
              <w:spacing w:after="0"/>
              <w:rPr>
                <w:sz w:val="21"/>
                <w:szCs w:val="21"/>
                <w:color w:val="auto"/>
              </w:rPr>
            </w:pPr>
          </w:p>
        </w:tc>
        <w:tc>
          <w:tcPr>
            <w:tcW w:w="1740" w:type="dxa"/>
            <w:vAlign w:val="bottom"/>
            <w:tcBorders>
              <w:bottom w:val="single" w:sz="8" w:color="231F20"/>
            </w:tcBorders>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bottom w:val="single" w:sz="8" w:color="231F20"/>
            </w:tcBorders>
            <w:gridSpan w:val="2"/>
          </w:tcPr>
          <w:p>
            <w:pPr>
              <w:jc w:val="center"/>
              <w:spacing w:after="0" w:line="228" w:lineRule="exact"/>
              <w:rPr>
                <w:sz w:val="20"/>
                <w:szCs w:val="20"/>
                <w:color w:val="auto"/>
              </w:rPr>
            </w:pPr>
            <w:r>
              <w:rPr>
                <w:rFonts w:ascii="Arial" w:cs="Arial" w:eastAsia="Arial" w:hAnsi="Arial"/>
                <w:sz w:val="20"/>
                <w:szCs w:val="20"/>
                <w:b w:val="1"/>
                <w:bCs w:val="1"/>
                <w:color w:val="231F20"/>
                <w:w w:val="99"/>
              </w:rPr>
              <w:t>Date Fair Value</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231F20"/>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60" w:type="dxa"/>
            <w:vAlign w:val="bottom"/>
          </w:tcPr>
          <w:p>
            <w:pPr>
              <w:jc w:val="right"/>
              <w:ind w:right="1"/>
              <w:spacing w:after="0" w:line="216" w:lineRule="exact"/>
              <w:rPr>
                <w:sz w:val="20"/>
                <w:szCs w:val="20"/>
                <w:color w:val="auto"/>
              </w:rPr>
            </w:pPr>
            <w:r>
              <w:rPr>
                <w:rFonts w:ascii="Arial" w:cs="Arial" w:eastAsia="Arial" w:hAnsi="Arial"/>
                <w:sz w:val="19"/>
                <w:szCs w:val="19"/>
                <w:color w:val="231F20"/>
              </w:rPr>
              <w:t>Unvested at December 31, 2024</w:t>
            </w:r>
            <w:r>
              <w:rPr>
                <w:rFonts w:ascii="Arial" w:cs="Arial" w:eastAsia="Arial" w:hAnsi="Arial"/>
                <w:sz w:val="25"/>
                <w:szCs w:val="25"/>
                <w:color w:val="231F20"/>
                <w:vertAlign w:val="superscript"/>
              </w:rPr>
              <w:t>(a)</w:t>
            </w:r>
            <w:r>
              <w:rPr>
                <w:rFonts w:ascii="Arial" w:cs="Arial" w:eastAsia="Arial" w:hAnsi="Arial"/>
                <w:sz w:val="19"/>
                <w:szCs w:val="19"/>
                <w:color w:val="231F20"/>
              </w:rPr>
              <w:t xml:space="preserve">  . . . . . . . . . . . . . . . . . . . . . . .</w:t>
            </w:r>
          </w:p>
        </w:tc>
        <w:tc>
          <w:tcPr>
            <w:tcW w:w="1620" w:type="dxa"/>
            <w:vAlign w:val="bottom"/>
            <w:gridSpan w:val="2"/>
          </w:tcPr>
          <w:p>
            <w:pPr>
              <w:jc w:val="right"/>
              <w:spacing w:after="0" w:line="217" w:lineRule="exact"/>
              <w:rPr>
                <w:sz w:val="20"/>
                <w:szCs w:val="20"/>
                <w:color w:val="auto"/>
              </w:rPr>
            </w:pPr>
            <w:r>
              <w:rPr>
                <w:rFonts w:ascii="Arial" w:cs="Arial" w:eastAsia="Arial" w:hAnsi="Arial"/>
                <w:sz w:val="20"/>
                <w:szCs w:val="20"/>
                <w:color w:val="231F20"/>
              </w:rPr>
              <w:t>650</w:t>
            </w:r>
          </w:p>
        </w:tc>
        <w:tc>
          <w:tcPr>
            <w:tcW w:w="120" w:type="dxa"/>
            <w:vAlign w:val="bottom"/>
          </w:tcPr>
          <w:p>
            <w:pPr>
              <w:spacing w:after="0"/>
              <w:rPr>
                <w:sz w:val="18"/>
                <w:szCs w:val="18"/>
                <w:color w:val="auto"/>
              </w:rPr>
            </w:pPr>
          </w:p>
        </w:tc>
        <w:tc>
          <w:tcPr>
            <w:tcW w:w="320" w:type="dxa"/>
            <w:vAlign w:val="bottom"/>
            <w:gridSpan w:val="2"/>
          </w:tcPr>
          <w:p>
            <w:pPr>
              <w:jc w:val="right"/>
              <w:spacing w:after="0" w:line="217" w:lineRule="exact"/>
              <w:rPr>
                <w:sz w:val="20"/>
                <w:szCs w:val="20"/>
                <w:color w:val="auto"/>
              </w:rPr>
            </w:pPr>
            <w:r>
              <w:rPr>
                <w:rFonts w:ascii="Arial" w:cs="Arial" w:eastAsia="Arial" w:hAnsi="Arial"/>
                <w:sz w:val="20"/>
                <w:szCs w:val="20"/>
                <w:color w:val="231F20"/>
              </w:rPr>
              <w:t>$</w:t>
            </w:r>
          </w:p>
        </w:tc>
        <w:tc>
          <w:tcPr>
            <w:tcW w:w="1400" w:type="dxa"/>
            <w:vAlign w:val="bottom"/>
          </w:tcPr>
          <w:p>
            <w:pPr>
              <w:jc w:val="right"/>
              <w:spacing w:after="0" w:line="217" w:lineRule="exact"/>
              <w:rPr>
                <w:sz w:val="20"/>
                <w:szCs w:val="20"/>
                <w:color w:val="auto"/>
              </w:rPr>
            </w:pPr>
            <w:r>
              <w:rPr>
                <w:rFonts w:ascii="Arial" w:cs="Arial" w:eastAsia="Arial" w:hAnsi="Arial"/>
                <w:sz w:val="20"/>
                <w:szCs w:val="20"/>
                <w:color w:val="231F20"/>
              </w:rPr>
              <w:t>40.49</w:t>
            </w:r>
          </w:p>
        </w:tc>
        <w:tc>
          <w:tcPr>
            <w:tcW w:w="0" w:type="dxa"/>
            <w:vAlign w:val="bottom"/>
          </w:tcPr>
          <w:p>
            <w:pPr>
              <w:spacing w:after="0"/>
              <w:rPr>
                <w:sz w:val="1"/>
                <w:szCs w:val="1"/>
                <w:color w:val="auto"/>
              </w:rPr>
            </w:pPr>
          </w:p>
        </w:tc>
      </w:tr>
      <w:tr>
        <w:trPr>
          <w:trHeight w:val="216"/>
        </w:trPr>
        <w:tc>
          <w:tcPr>
            <w:tcW w:w="5660" w:type="dxa"/>
            <w:vAlign w:val="bottom"/>
          </w:tcPr>
          <w:p>
            <w:pPr>
              <w:jc w:val="right"/>
              <w:ind w:right="1"/>
              <w:spacing w:after="0" w:line="216" w:lineRule="exact"/>
              <w:rPr>
                <w:sz w:val="20"/>
                <w:szCs w:val="20"/>
                <w:color w:val="auto"/>
              </w:rPr>
            </w:pPr>
            <w:r>
              <w:rPr>
                <w:rFonts w:ascii="Arial" w:cs="Arial" w:eastAsia="Arial" w:hAnsi="Arial"/>
                <w:sz w:val="20"/>
                <w:szCs w:val="20"/>
                <w:color w:val="231F20"/>
                <w:w w:val="99"/>
              </w:rPr>
              <w:t>Granted  . . . . . . . . . . . . . . . . . . . . . . . . . . . . . . . . . . . . . . . . . . .</w:t>
            </w:r>
          </w:p>
        </w:tc>
        <w:tc>
          <w:tcPr>
            <w:tcW w:w="1620" w:type="dxa"/>
            <w:vAlign w:val="bottom"/>
            <w:gridSpan w:val="2"/>
          </w:tcPr>
          <w:p>
            <w:pPr>
              <w:jc w:val="right"/>
              <w:spacing w:after="0" w:line="216" w:lineRule="exact"/>
              <w:rPr>
                <w:sz w:val="20"/>
                <w:szCs w:val="20"/>
                <w:color w:val="auto"/>
              </w:rPr>
            </w:pPr>
            <w:r>
              <w:rPr>
                <w:rFonts w:ascii="Arial" w:cs="Arial" w:eastAsia="Arial" w:hAnsi="Arial"/>
                <w:sz w:val="20"/>
                <w:szCs w:val="20"/>
                <w:color w:val="231F20"/>
              </w:rPr>
              <w:t>585</w:t>
            </w:r>
          </w:p>
        </w:tc>
        <w:tc>
          <w:tcPr>
            <w:tcW w:w="120" w:type="dxa"/>
            <w:vAlign w:val="bottom"/>
          </w:tcPr>
          <w:p>
            <w:pPr>
              <w:spacing w:after="0"/>
              <w:rPr>
                <w:sz w:val="18"/>
                <w:szCs w:val="18"/>
                <w:color w:val="auto"/>
              </w:rPr>
            </w:pPr>
          </w:p>
        </w:tc>
        <w:tc>
          <w:tcPr>
            <w:tcW w:w="320" w:type="dxa"/>
            <w:vAlign w:val="bottom"/>
            <w:gridSpan w:val="2"/>
          </w:tcPr>
          <w:p>
            <w:pPr>
              <w:jc w:val="right"/>
              <w:spacing w:after="0" w:line="216" w:lineRule="exact"/>
              <w:rPr>
                <w:sz w:val="20"/>
                <w:szCs w:val="20"/>
                <w:color w:val="auto"/>
              </w:rPr>
            </w:pPr>
            <w:r>
              <w:rPr>
                <w:rFonts w:ascii="Arial" w:cs="Arial" w:eastAsia="Arial" w:hAnsi="Arial"/>
                <w:sz w:val="20"/>
                <w:szCs w:val="20"/>
                <w:color w:val="231F20"/>
              </w:rPr>
              <w:t>$</w:t>
            </w:r>
          </w:p>
        </w:tc>
        <w:tc>
          <w:tcPr>
            <w:tcW w:w="1400" w:type="dxa"/>
            <w:vAlign w:val="bottom"/>
          </w:tcPr>
          <w:p>
            <w:pPr>
              <w:jc w:val="right"/>
              <w:spacing w:after="0" w:line="216" w:lineRule="exact"/>
              <w:rPr>
                <w:sz w:val="20"/>
                <w:szCs w:val="20"/>
                <w:color w:val="auto"/>
              </w:rPr>
            </w:pPr>
            <w:r>
              <w:rPr>
                <w:rFonts w:ascii="Arial" w:cs="Arial" w:eastAsia="Arial" w:hAnsi="Arial"/>
                <w:sz w:val="20"/>
                <w:szCs w:val="20"/>
                <w:color w:val="231F20"/>
              </w:rPr>
              <w:t>45.46</w:t>
            </w:r>
          </w:p>
        </w:tc>
        <w:tc>
          <w:tcPr>
            <w:tcW w:w="0" w:type="dxa"/>
            <w:vAlign w:val="bottom"/>
          </w:tcPr>
          <w:p>
            <w:pPr>
              <w:spacing w:after="0"/>
              <w:rPr>
                <w:sz w:val="1"/>
                <w:szCs w:val="1"/>
                <w:color w:val="auto"/>
              </w:rPr>
            </w:pPr>
          </w:p>
        </w:tc>
      </w:tr>
      <w:tr>
        <w:trPr>
          <w:trHeight w:val="216"/>
        </w:trPr>
        <w:tc>
          <w:tcPr>
            <w:tcW w:w="5660" w:type="dxa"/>
            <w:vAlign w:val="bottom"/>
          </w:tcPr>
          <w:p>
            <w:pPr>
              <w:jc w:val="right"/>
              <w:ind w:right="1"/>
              <w:spacing w:after="0" w:line="216" w:lineRule="exact"/>
              <w:rPr>
                <w:sz w:val="20"/>
                <w:szCs w:val="20"/>
                <w:color w:val="auto"/>
              </w:rPr>
            </w:pPr>
            <w:r>
              <w:rPr>
                <w:rFonts w:ascii="Arial" w:cs="Arial" w:eastAsia="Arial" w:hAnsi="Arial"/>
                <w:sz w:val="20"/>
                <w:szCs w:val="20"/>
                <w:color w:val="231F20"/>
                <w:w w:val="99"/>
              </w:rPr>
              <w:t>Vested  . . . . . . . . . . . . . . . . . . . . . . . . . . . . . . . . . . . . . . . . . . . .</w:t>
            </w:r>
          </w:p>
        </w:tc>
        <w:tc>
          <w:tcPr>
            <w:tcW w:w="1620" w:type="dxa"/>
            <w:vAlign w:val="bottom"/>
            <w:gridSpan w:val="2"/>
          </w:tcPr>
          <w:p>
            <w:pPr>
              <w:jc w:val="right"/>
              <w:spacing w:after="0" w:line="216" w:lineRule="exact"/>
              <w:rPr>
                <w:sz w:val="20"/>
                <w:szCs w:val="20"/>
                <w:color w:val="auto"/>
              </w:rPr>
            </w:pPr>
            <w:r>
              <w:rPr>
                <w:rFonts w:ascii="Arial" w:cs="Arial" w:eastAsia="Arial" w:hAnsi="Arial"/>
                <w:sz w:val="20"/>
                <w:szCs w:val="20"/>
                <w:color w:val="231F20"/>
              </w:rPr>
              <w:t>(206)</w:t>
            </w:r>
          </w:p>
        </w:tc>
        <w:tc>
          <w:tcPr>
            <w:tcW w:w="120" w:type="dxa"/>
            <w:vAlign w:val="bottom"/>
          </w:tcPr>
          <w:p>
            <w:pPr>
              <w:spacing w:after="0"/>
              <w:rPr>
                <w:sz w:val="18"/>
                <w:szCs w:val="18"/>
                <w:color w:val="auto"/>
              </w:rPr>
            </w:pPr>
          </w:p>
        </w:tc>
        <w:tc>
          <w:tcPr>
            <w:tcW w:w="320" w:type="dxa"/>
            <w:vAlign w:val="bottom"/>
            <w:gridSpan w:val="2"/>
          </w:tcPr>
          <w:p>
            <w:pPr>
              <w:jc w:val="right"/>
              <w:spacing w:after="0" w:line="216" w:lineRule="exact"/>
              <w:rPr>
                <w:sz w:val="20"/>
                <w:szCs w:val="20"/>
                <w:color w:val="auto"/>
              </w:rPr>
            </w:pPr>
            <w:r>
              <w:rPr>
                <w:rFonts w:ascii="Arial" w:cs="Arial" w:eastAsia="Arial" w:hAnsi="Arial"/>
                <w:sz w:val="20"/>
                <w:szCs w:val="20"/>
                <w:color w:val="231F20"/>
              </w:rPr>
              <w:t>$</w:t>
            </w:r>
          </w:p>
        </w:tc>
        <w:tc>
          <w:tcPr>
            <w:tcW w:w="1400" w:type="dxa"/>
            <w:vAlign w:val="bottom"/>
          </w:tcPr>
          <w:p>
            <w:pPr>
              <w:jc w:val="right"/>
              <w:spacing w:after="0" w:line="216" w:lineRule="exact"/>
              <w:rPr>
                <w:sz w:val="20"/>
                <w:szCs w:val="20"/>
                <w:color w:val="auto"/>
              </w:rPr>
            </w:pPr>
            <w:r>
              <w:rPr>
                <w:rFonts w:ascii="Arial" w:cs="Arial" w:eastAsia="Arial" w:hAnsi="Arial"/>
                <w:sz w:val="20"/>
                <w:szCs w:val="20"/>
                <w:color w:val="231F20"/>
              </w:rPr>
              <w:t>44.27</w:t>
            </w:r>
          </w:p>
        </w:tc>
        <w:tc>
          <w:tcPr>
            <w:tcW w:w="0" w:type="dxa"/>
            <w:vAlign w:val="bottom"/>
          </w:tcPr>
          <w:p>
            <w:pPr>
              <w:spacing w:after="0"/>
              <w:rPr>
                <w:sz w:val="1"/>
                <w:szCs w:val="1"/>
                <w:color w:val="auto"/>
              </w:rPr>
            </w:pPr>
          </w:p>
        </w:tc>
      </w:tr>
      <w:tr>
        <w:trPr>
          <w:trHeight w:val="225"/>
        </w:trPr>
        <w:tc>
          <w:tcPr>
            <w:tcW w:w="5660" w:type="dxa"/>
            <w:vAlign w:val="bottom"/>
          </w:tcPr>
          <w:p>
            <w:pPr>
              <w:jc w:val="right"/>
              <w:ind w:right="1"/>
              <w:spacing w:after="0" w:line="226" w:lineRule="exact"/>
              <w:rPr>
                <w:sz w:val="20"/>
                <w:szCs w:val="20"/>
                <w:color w:val="auto"/>
              </w:rPr>
            </w:pPr>
            <w:r>
              <w:rPr>
                <w:rFonts w:ascii="Arial" w:cs="Arial" w:eastAsia="Arial" w:hAnsi="Arial"/>
                <w:sz w:val="20"/>
                <w:szCs w:val="20"/>
                <w:color w:val="231F20"/>
              </w:rPr>
              <w:t>Forfeited or cancelled . . . . . . . . . . . . . . . . . . . . . . . . . . . . . . . .</w:t>
            </w:r>
          </w:p>
        </w:tc>
        <w:tc>
          <w:tcPr>
            <w:tcW w:w="162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(36)</w:t>
            </w:r>
          </w:p>
        </w:tc>
        <w:tc>
          <w:tcPr>
            <w:tcW w:w="120" w:type="dxa"/>
            <w:vAlign w:val="bottom"/>
          </w:tcPr>
          <w:p>
            <w:pPr>
              <w:spacing w:after="0"/>
              <w:rPr>
                <w:sz w:val="19"/>
                <w:szCs w:val="19"/>
                <w:color w:val="auto"/>
              </w:rPr>
            </w:pPr>
          </w:p>
        </w:tc>
        <w:tc>
          <w:tcPr>
            <w:tcW w:w="32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w:t>
            </w:r>
          </w:p>
        </w:tc>
        <w:tc>
          <w:tcPr>
            <w:tcW w:w="1400" w:type="dxa"/>
            <w:vAlign w:val="bottom"/>
          </w:tcPr>
          <w:p>
            <w:pPr>
              <w:jc w:val="right"/>
              <w:spacing w:after="0" w:line="226" w:lineRule="exact"/>
              <w:rPr>
                <w:sz w:val="20"/>
                <w:szCs w:val="20"/>
                <w:color w:val="auto"/>
              </w:rPr>
            </w:pPr>
            <w:r>
              <w:rPr>
                <w:rFonts w:ascii="Arial" w:cs="Arial" w:eastAsia="Arial" w:hAnsi="Arial"/>
                <w:sz w:val="20"/>
                <w:szCs w:val="20"/>
                <w:color w:val="231F20"/>
              </w:rPr>
              <w:t>47.74</w:t>
            </w:r>
          </w:p>
        </w:tc>
        <w:tc>
          <w:tcPr>
            <w:tcW w:w="0" w:type="dxa"/>
            <w:vAlign w:val="bottom"/>
          </w:tcPr>
          <w:p>
            <w:pPr>
              <w:spacing w:after="0"/>
              <w:rPr>
                <w:sz w:val="1"/>
                <w:szCs w:val="1"/>
                <w:color w:val="auto"/>
              </w:rPr>
            </w:pPr>
          </w:p>
        </w:tc>
      </w:tr>
      <w:tr>
        <w:trPr>
          <w:trHeight w:val="28"/>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660" w:type="dxa"/>
            <w:vAlign w:val="bottom"/>
          </w:tcPr>
          <w:p>
            <w:pPr>
              <w:jc w:val="right"/>
              <w:ind w:right="1"/>
              <w:spacing w:after="0"/>
              <w:rPr>
                <w:sz w:val="20"/>
                <w:szCs w:val="20"/>
                <w:color w:val="auto"/>
              </w:rPr>
            </w:pPr>
            <w:r>
              <w:rPr>
                <w:rFonts w:ascii="Arial" w:cs="Arial" w:eastAsia="Arial" w:hAnsi="Arial"/>
                <w:sz w:val="20"/>
                <w:szCs w:val="20"/>
                <w:color w:val="231F20"/>
                <w:w w:val="97"/>
              </w:rPr>
              <w:t>Unvested at December 31, 2025 . . . . . . . . . . . . . . . . . . . . . . . . .</w:t>
            </w:r>
          </w:p>
        </w:tc>
        <w:tc>
          <w:tcPr>
            <w:tcW w:w="1620" w:type="dxa"/>
            <w:vAlign w:val="bottom"/>
            <w:gridSpan w:val="2"/>
          </w:tcPr>
          <w:p>
            <w:pPr>
              <w:jc w:val="right"/>
              <w:spacing w:after="0"/>
              <w:rPr>
                <w:sz w:val="20"/>
                <w:szCs w:val="20"/>
                <w:color w:val="auto"/>
              </w:rPr>
            </w:pPr>
            <w:r>
              <w:rPr>
                <w:rFonts w:ascii="Arial" w:cs="Arial" w:eastAsia="Arial" w:hAnsi="Arial"/>
                <w:sz w:val="20"/>
                <w:szCs w:val="20"/>
                <w:color w:val="231F20"/>
              </w:rPr>
              <w:t>993</w:t>
            </w: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400" w:type="dxa"/>
            <w:vAlign w:val="bottom"/>
          </w:tcPr>
          <w:p>
            <w:pPr>
              <w:jc w:val="right"/>
              <w:spacing w:after="0"/>
              <w:rPr>
                <w:sz w:val="20"/>
                <w:szCs w:val="20"/>
                <w:color w:val="auto"/>
              </w:rPr>
            </w:pPr>
            <w:r>
              <w:rPr>
                <w:rFonts w:ascii="Arial" w:cs="Arial" w:eastAsia="Arial" w:hAnsi="Arial"/>
                <w:sz w:val="20"/>
                <w:szCs w:val="20"/>
                <w:color w:val="231F20"/>
              </w:rPr>
              <w:t>42.37</w:t>
            </w:r>
          </w:p>
        </w:tc>
        <w:tc>
          <w:tcPr>
            <w:tcW w:w="0" w:type="dxa"/>
            <w:vAlign w:val="bottom"/>
          </w:tcPr>
          <w:p>
            <w:pPr>
              <w:spacing w:after="0"/>
              <w:rPr>
                <w:sz w:val="1"/>
                <w:szCs w:val="1"/>
                <w:color w:val="auto"/>
              </w:rPr>
            </w:pPr>
          </w:p>
        </w:tc>
      </w:tr>
      <w:tr>
        <w:trPr>
          <w:trHeight w:val="30"/>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231F20"/>
        </w:rPr>
        <w:t>(a)</w:t>
      </w:r>
      <w:r>
        <w:rPr>
          <w:sz w:val="20"/>
          <w:szCs w:val="20"/>
          <w:color w:val="auto"/>
        </w:rPr>
        <w:tab/>
      </w:r>
      <w:r>
        <w:rPr>
          <w:rFonts w:ascii="Arial" w:cs="Arial" w:eastAsia="Arial" w:hAnsi="Arial"/>
          <w:sz w:val="15"/>
          <w:szCs w:val="15"/>
          <w:color w:val="231F20"/>
        </w:rPr>
        <w:t>Includes additional 6,730 RSUs granted in 2024 at $52.54 per unit.</w:t>
      </w:r>
    </w:p>
    <w:p>
      <w:pPr>
        <w:sectPr>
          <w:pgSz w:w="11880" w:h="15480" w:orient="portrait"/>
          <w:cols w:equalWidth="0" w:num="1">
            <w:col w:w="9120"/>
          </w:cols>
          <w:pgMar w:left="1380" w:top="1316" w:right="1380" w:bottom="66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126</w:t>
      </w:r>
    </w:p>
    <w:p>
      <w:pPr>
        <w:sectPr>
          <w:pgSz w:w="11880" w:h="15480" w:orient="portrait"/>
          <w:cols w:equalWidth="0" w:num="1">
            <w:col w:w="9120"/>
          </w:cols>
          <w:pgMar w:left="1380" w:top="1316" w:right="1380" w:bottom="660" w:gutter="0" w:footer="0" w:header="0"/>
          <w:type w:val="continuous"/>
        </w:sectPr>
      </w:pPr>
    </w:p>
    <w:bookmarkStart w:id="130" w:name="page131"/>
    <w:bookmarkEnd w:id="130"/>
    <w:p>
      <w:pPr>
        <w:jc w:val="both"/>
        <w:ind w:right="320" w:firstLine="300"/>
        <w:spacing w:after="0" w:line="246" w:lineRule="auto"/>
        <w:rPr>
          <w:sz w:val="20"/>
          <w:szCs w:val="20"/>
          <w:color w:val="auto"/>
        </w:rPr>
      </w:pPr>
      <w:r>
        <w:rPr>
          <w:rFonts w:ascii="Arial" w:cs="Arial" w:eastAsia="Arial" w:hAnsi="Arial"/>
          <w:sz w:val="20"/>
          <w:szCs w:val="20"/>
          <w:color w:val="231F20"/>
        </w:rPr>
        <w:t>Compensation expense was measured on the date of grant using the quoted market price of our common stock and is primarily recognized on a straight-line basis over the requisite service periods adjusted for actual forfeitures, if any.</w:t>
      </w:r>
    </w:p>
    <w:p>
      <w:pPr>
        <w:spacing w:after="0" w:line="217" w:lineRule="exact"/>
        <w:rPr>
          <w:sz w:val="20"/>
          <w:szCs w:val="20"/>
          <w:color w:val="auto"/>
        </w:rPr>
      </w:pPr>
    </w:p>
    <w:p>
      <w:pPr>
        <w:ind w:right="300" w:firstLine="300"/>
        <w:spacing w:after="0" w:line="247" w:lineRule="auto"/>
        <w:rPr>
          <w:sz w:val="20"/>
          <w:szCs w:val="20"/>
          <w:color w:val="auto"/>
        </w:rPr>
      </w:pPr>
      <w:r>
        <w:rPr>
          <w:rFonts w:ascii="Arial" w:cs="Arial" w:eastAsia="Arial" w:hAnsi="Arial"/>
          <w:sz w:val="20"/>
          <w:szCs w:val="20"/>
          <w:color w:val="231F20"/>
        </w:rPr>
        <w:t>As of December 31, 2025, the unrecognized compensation expense for our unvested RSUs was approximately $25 million and is expected to be recognized over a weighted-average remaining service period of approximately three years.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Performance Stock Units</w:t>
      </w:r>
    </w:p>
    <w:p>
      <w:pPr>
        <w:spacing w:after="0" w:line="221"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In 2025, 2024 and 2023, executives were granted PSUs which are earned based on our absolute total shareholder return and total shareholder return relative to the SPDR S&amp;P Oil and Gas Exploration and Production Exchange-Traded Fund listed on the New York Stock Exchange. The PSUs have payouts that range from 0% to 200% of the target award and settle in common shares once certified. Dividend equivalents for these awards are accumulated and paid out upon certification of the award. The grant date fair value and associated equity compensation expense was measured using a Monte Carlo simulation model which runs a probabilistic assessment of the number of units that will be earned based on a projection of our stock price during the three-year service period. Although certain events may accelerate vesting, earned PSUs generally vest on the third anniversary of the grant date, and are settled in shares of our common stock at the three-year anniversary of the grant date.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following table sets forth PSU activity for the year ended December 31,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00"/>
              <w:spacing w:after="0"/>
              <w:rPr>
                <w:sz w:val="20"/>
                <w:szCs w:val="20"/>
                <w:color w:val="auto"/>
              </w:rPr>
            </w:pPr>
            <w:r>
              <w:rPr>
                <w:rFonts w:ascii="Arial" w:cs="Arial" w:eastAsia="Arial" w:hAnsi="Arial"/>
                <w:sz w:val="20"/>
                <w:szCs w:val="20"/>
                <w:b w:val="1"/>
                <w:bCs w:val="1"/>
                <w:color w:val="231F20"/>
                <w:w w:val="99"/>
              </w:rPr>
              <w:t>Weighted-</w:t>
            </w:r>
          </w:p>
        </w:tc>
        <w:tc>
          <w:tcPr>
            <w:tcW w:w="0" w:type="dxa"/>
            <w:vAlign w:val="bottom"/>
          </w:tcPr>
          <w:p>
            <w:pPr>
              <w:spacing w:after="0"/>
              <w:rPr>
                <w:sz w:val="1"/>
                <w:szCs w:val="1"/>
                <w:color w:val="auto"/>
              </w:rPr>
            </w:pPr>
          </w:p>
        </w:tc>
      </w:tr>
      <w:tr>
        <w:trPr>
          <w:trHeight w:val="200"/>
        </w:trPr>
        <w:tc>
          <w:tcPr>
            <w:tcW w:w="5660" w:type="dxa"/>
            <w:vAlign w:val="bottom"/>
          </w:tcPr>
          <w:p>
            <w:pPr>
              <w:spacing w:after="0"/>
              <w:rPr>
                <w:sz w:val="17"/>
                <w:szCs w:val="17"/>
                <w:color w:val="auto"/>
              </w:rPr>
            </w:pPr>
          </w:p>
        </w:tc>
        <w:tc>
          <w:tcPr>
            <w:tcW w:w="1740" w:type="dxa"/>
            <w:vAlign w:val="bottom"/>
            <w:gridSpan w:val="3"/>
            <w:vMerge w:val="restart"/>
          </w:tcPr>
          <w:p>
            <w:pPr>
              <w:jc w:val="center"/>
              <w:spacing w:after="0"/>
              <w:rPr>
                <w:sz w:val="20"/>
                <w:szCs w:val="20"/>
                <w:color w:val="auto"/>
              </w:rPr>
            </w:pPr>
            <w:r>
              <w:rPr>
                <w:rFonts w:ascii="Arial" w:cs="Arial" w:eastAsia="Arial" w:hAnsi="Arial"/>
                <w:sz w:val="20"/>
                <w:szCs w:val="20"/>
                <w:b w:val="1"/>
                <w:bCs w:val="1"/>
                <w:color w:val="231F20"/>
                <w:w w:val="98"/>
              </w:rPr>
              <w:t>Number of Units</w:t>
            </w:r>
          </w:p>
        </w:tc>
        <w:tc>
          <w:tcPr>
            <w:tcW w:w="100" w:type="dxa"/>
            <w:vAlign w:val="bottom"/>
          </w:tcPr>
          <w:p>
            <w:pPr>
              <w:spacing w:after="0"/>
              <w:rPr>
                <w:sz w:val="17"/>
                <w:szCs w:val="17"/>
                <w:color w:val="auto"/>
              </w:rPr>
            </w:pPr>
          </w:p>
        </w:tc>
        <w:tc>
          <w:tcPr>
            <w:tcW w:w="1620" w:type="dxa"/>
            <w:vAlign w:val="bottom"/>
            <w:gridSpan w:val="2"/>
          </w:tcPr>
          <w:p>
            <w:pPr>
              <w:jc w:val="center"/>
              <w:spacing w:after="0" w:line="200" w:lineRule="exact"/>
              <w:rPr>
                <w:sz w:val="20"/>
                <w:szCs w:val="20"/>
                <w:color w:val="auto"/>
              </w:rPr>
            </w:pPr>
            <w:r>
              <w:rPr>
                <w:rFonts w:ascii="Arial" w:cs="Arial" w:eastAsia="Arial" w:hAnsi="Arial"/>
                <w:sz w:val="20"/>
                <w:szCs w:val="20"/>
                <w:b w:val="1"/>
                <w:bCs w:val="1"/>
                <w:color w:val="231F20"/>
                <w:w w:val="99"/>
              </w:rPr>
              <w:t>Average Grant-</w:t>
            </w:r>
          </w:p>
        </w:tc>
        <w:tc>
          <w:tcPr>
            <w:tcW w:w="0" w:type="dxa"/>
            <w:vAlign w:val="bottom"/>
          </w:tcPr>
          <w:p>
            <w:pPr>
              <w:spacing w:after="0"/>
              <w:rPr>
                <w:sz w:val="1"/>
                <w:szCs w:val="1"/>
                <w:color w:val="auto"/>
              </w:rPr>
            </w:pPr>
          </w:p>
        </w:tc>
      </w:tr>
      <w:tr>
        <w:trPr>
          <w:trHeight w:val="248"/>
        </w:trPr>
        <w:tc>
          <w:tcPr>
            <w:tcW w:w="5660" w:type="dxa"/>
            <w:vAlign w:val="bottom"/>
          </w:tcPr>
          <w:p>
            <w:pPr>
              <w:spacing w:after="0"/>
              <w:rPr>
                <w:sz w:val="21"/>
                <w:szCs w:val="21"/>
                <w:color w:val="auto"/>
              </w:rPr>
            </w:pPr>
          </w:p>
        </w:tc>
        <w:tc>
          <w:tcPr>
            <w:tcW w:w="1740" w:type="dxa"/>
            <w:vAlign w:val="bottom"/>
            <w:tcBorders>
              <w:bottom w:val="single" w:sz="8" w:color="231F20"/>
            </w:tcBorders>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bottom w:val="single" w:sz="8" w:color="231F20"/>
            </w:tcBorders>
            <w:gridSpan w:val="2"/>
          </w:tcPr>
          <w:p>
            <w:pPr>
              <w:jc w:val="center"/>
              <w:spacing w:after="0"/>
              <w:rPr>
                <w:sz w:val="20"/>
                <w:szCs w:val="20"/>
                <w:color w:val="auto"/>
              </w:rPr>
            </w:pPr>
            <w:r>
              <w:rPr>
                <w:rFonts w:ascii="Arial" w:cs="Arial" w:eastAsia="Arial" w:hAnsi="Arial"/>
                <w:sz w:val="20"/>
                <w:szCs w:val="20"/>
                <w:b w:val="1"/>
                <w:bCs w:val="1"/>
                <w:color w:val="231F20"/>
                <w:w w:val="99"/>
              </w:rPr>
              <w:t>Date Fair Value</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231F20"/>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60" w:type="dxa"/>
            <w:vAlign w:val="bottom"/>
          </w:tcPr>
          <w:p>
            <w:pPr>
              <w:jc w:val="right"/>
              <w:spacing w:after="0"/>
              <w:rPr>
                <w:sz w:val="20"/>
                <w:szCs w:val="20"/>
                <w:color w:val="auto"/>
              </w:rPr>
            </w:pPr>
            <w:r>
              <w:rPr>
                <w:rFonts w:ascii="Arial" w:cs="Arial" w:eastAsia="Arial" w:hAnsi="Arial"/>
                <w:sz w:val="20"/>
                <w:szCs w:val="20"/>
                <w:color w:val="231F20"/>
                <w:w w:val="97"/>
              </w:rPr>
              <w:t>Unvested at December 31, 2024 . . . . . . . . . . . . . . . . . . . . . . . . .</w:t>
            </w:r>
          </w:p>
        </w:tc>
        <w:tc>
          <w:tcPr>
            <w:tcW w:w="1620" w:type="dxa"/>
            <w:vAlign w:val="bottom"/>
            <w:gridSpan w:val="2"/>
          </w:tcPr>
          <w:p>
            <w:pPr>
              <w:jc w:val="right"/>
              <w:spacing w:after="0"/>
              <w:rPr>
                <w:sz w:val="20"/>
                <w:szCs w:val="20"/>
                <w:color w:val="auto"/>
              </w:rPr>
            </w:pPr>
            <w:r>
              <w:rPr>
                <w:rFonts w:ascii="Arial" w:cs="Arial" w:eastAsia="Arial" w:hAnsi="Arial"/>
                <w:sz w:val="20"/>
                <w:szCs w:val="20"/>
                <w:color w:val="231F20"/>
              </w:rPr>
              <w:t>764</w:t>
            </w: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400" w:type="dxa"/>
            <w:vAlign w:val="bottom"/>
          </w:tcPr>
          <w:p>
            <w:pPr>
              <w:jc w:val="right"/>
              <w:spacing w:after="0"/>
              <w:rPr>
                <w:sz w:val="20"/>
                <w:szCs w:val="20"/>
                <w:color w:val="auto"/>
              </w:rPr>
            </w:pPr>
            <w:r>
              <w:rPr>
                <w:rFonts w:ascii="Arial" w:cs="Arial" w:eastAsia="Arial" w:hAnsi="Arial"/>
                <w:sz w:val="20"/>
                <w:szCs w:val="20"/>
                <w:color w:val="231F20"/>
              </w:rPr>
              <w:t>48.83</w:t>
            </w:r>
          </w:p>
        </w:tc>
        <w:tc>
          <w:tcPr>
            <w:tcW w:w="0" w:type="dxa"/>
            <w:vAlign w:val="bottom"/>
          </w:tcPr>
          <w:p>
            <w:pPr>
              <w:spacing w:after="0"/>
              <w:rPr>
                <w:sz w:val="1"/>
                <w:szCs w:val="1"/>
                <w:color w:val="auto"/>
              </w:rPr>
            </w:pPr>
          </w:p>
        </w:tc>
      </w:tr>
      <w:tr>
        <w:trPr>
          <w:trHeight w:val="240"/>
        </w:trPr>
        <w:tc>
          <w:tcPr>
            <w:tcW w:w="5660" w:type="dxa"/>
            <w:vAlign w:val="bottom"/>
          </w:tcPr>
          <w:p>
            <w:pPr>
              <w:jc w:val="right"/>
              <w:spacing w:after="0"/>
              <w:rPr>
                <w:sz w:val="20"/>
                <w:szCs w:val="20"/>
                <w:color w:val="auto"/>
              </w:rPr>
            </w:pPr>
            <w:r>
              <w:rPr>
                <w:rFonts w:ascii="Arial" w:cs="Arial" w:eastAsia="Arial" w:hAnsi="Arial"/>
                <w:sz w:val="20"/>
                <w:szCs w:val="20"/>
                <w:color w:val="231F20"/>
                <w:w w:val="99"/>
              </w:rPr>
              <w:t>Granted  . . . . . . . . . . . . . . . . . . . . . . . . . . . . . . . . . . . . . . . . . . .</w:t>
            </w:r>
          </w:p>
        </w:tc>
        <w:tc>
          <w:tcPr>
            <w:tcW w:w="1620" w:type="dxa"/>
            <w:vAlign w:val="bottom"/>
            <w:gridSpan w:val="2"/>
          </w:tcPr>
          <w:p>
            <w:pPr>
              <w:jc w:val="right"/>
              <w:spacing w:after="0"/>
              <w:rPr>
                <w:sz w:val="20"/>
                <w:szCs w:val="20"/>
                <w:color w:val="auto"/>
              </w:rPr>
            </w:pPr>
            <w:r>
              <w:rPr>
                <w:rFonts w:ascii="Arial" w:cs="Arial" w:eastAsia="Arial" w:hAnsi="Arial"/>
                <w:sz w:val="20"/>
                <w:szCs w:val="20"/>
                <w:color w:val="231F20"/>
              </w:rPr>
              <w:t>351</w:t>
            </w:r>
          </w:p>
        </w:tc>
        <w:tc>
          <w:tcPr>
            <w:tcW w:w="1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400" w:type="dxa"/>
            <w:vAlign w:val="bottom"/>
          </w:tcPr>
          <w:p>
            <w:pPr>
              <w:jc w:val="right"/>
              <w:spacing w:after="0"/>
              <w:rPr>
                <w:sz w:val="20"/>
                <w:szCs w:val="20"/>
                <w:color w:val="auto"/>
              </w:rPr>
            </w:pPr>
            <w:r>
              <w:rPr>
                <w:rFonts w:ascii="Arial" w:cs="Arial" w:eastAsia="Arial" w:hAnsi="Arial"/>
                <w:sz w:val="20"/>
                <w:szCs w:val="20"/>
                <w:color w:val="231F20"/>
              </w:rPr>
              <w:t>35.53</w:t>
            </w:r>
          </w:p>
        </w:tc>
        <w:tc>
          <w:tcPr>
            <w:tcW w:w="0" w:type="dxa"/>
            <w:vAlign w:val="bottom"/>
          </w:tcPr>
          <w:p>
            <w:pPr>
              <w:spacing w:after="0"/>
              <w:rPr>
                <w:sz w:val="1"/>
                <w:szCs w:val="1"/>
                <w:color w:val="auto"/>
              </w:rPr>
            </w:pPr>
          </w:p>
        </w:tc>
      </w:tr>
      <w:tr>
        <w:trPr>
          <w:trHeight w:val="255"/>
        </w:trPr>
        <w:tc>
          <w:tcPr>
            <w:tcW w:w="5660" w:type="dxa"/>
            <w:vAlign w:val="bottom"/>
          </w:tcPr>
          <w:p>
            <w:pPr>
              <w:jc w:val="right"/>
              <w:spacing w:after="0" w:line="255" w:lineRule="exact"/>
              <w:rPr>
                <w:sz w:val="20"/>
                <w:szCs w:val="20"/>
                <w:color w:val="auto"/>
              </w:rPr>
            </w:pPr>
            <w:r>
              <w:rPr>
                <w:rFonts w:ascii="Arial" w:cs="Arial" w:eastAsia="Arial" w:hAnsi="Arial"/>
                <w:sz w:val="20"/>
                <w:szCs w:val="20"/>
                <w:color w:val="231F20"/>
                <w:w w:val="98"/>
              </w:rPr>
              <w:t>Vested</w:t>
            </w:r>
            <w:r>
              <w:rPr>
                <w:rFonts w:ascii="Arial" w:cs="Arial" w:eastAsia="Arial" w:hAnsi="Arial"/>
                <w:sz w:val="26"/>
                <w:szCs w:val="26"/>
                <w:color w:val="231F20"/>
                <w:w w:val="98"/>
                <w:vertAlign w:val="superscript"/>
              </w:rPr>
              <w:t>(a)</w:t>
            </w:r>
            <w:r>
              <w:rPr>
                <w:rFonts w:ascii="Arial" w:cs="Arial" w:eastAsia="Arial" w:hAnsi="Arial"/>
                <w:sz w:val="20"/>
                <w:szCs w:val="20"/>
                <w:color w:val="231F20"/>
                <w:w w:val="98"/>
              </w:rPr>
              <w:t xml:space="preserve"> . . . . . . . . . . . . . . . . . . . . . . . . . . . . . . . . . . . . . . . . . . .</w:t>
            </w:r>
          </w:p>
        </w:tc>
        <w:tc>
          <w:tcPr>
            <w:tcW w:w="1620" w:type="dxa"/>
            <w:vAlign w:val="bottom"/>
            <w:gridSpan w:val="2"/>
          </w:tcPr>
          <w:p>
            <w:pPr>
              <w:jc w:val="right"/>
              <w:spacing w:after="0"/>
              <w:rPr>
                <w:sz w:val="20"/>
                <w:szCs w:val="20"/>
                <w:color w:val="auto"/>
              </w:rPr>
            </w:pPr>
            <w:r>
              <w:rPr>
                <w:rFonts w:ascii="Arial" w:cs="Arial" w:eastAsia="Arial" w:hAnsi="Arial"/>
                <w:sz w:val="20"/>
                <w:szCs w:val="20"/>
                <w:color w:val="231F20"/>
              </w:rPr>
              <w:t>(284)</w:t>
            </w:r>
          </w:p>
        </w:tc>
        <w:tc>
          <w:tcPr>
            <w:tcW w:w="1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400" w:type="dxa"/>
            <w:vAlign w:val="bottom"/>
          </w:tcPr>
          <w:p>
            <w:pPr>
              <w:jc w:val="right"/>
              <w:spacing w:after="0"/>
              <w:rPr>
                <w:sz w:val="20"/>
                <w:szCs w:val="20"/>
                <w:color w:val="auto"/>
              </w:rPr>
            </w:pPr>
            <w:r>
              <w:rPr>
                <w:rFonts w:ascii="Arial" w:cs="Arial" w:eastAsia="Arial" w:hAnsi="Arial"/>
                <w:sz w:val="20"/>
                <w:szCs w:val="20"/>
                <w:color w:val="231F20"/>
              </w:rPr>
              <w:t>39.35</w:t>
            </w:r>
          </w:p>
        </w:tc>
        <w:tc>
          <w:tcPr>
            <w:tcW w:w="0" w:type="dxa"/>
            <w:vAlign w:val="bottom"/>
          </w:tcPr>
          <w:p>
            <w:pPr>
              <w:spacing w:after="0"/>
              <w:rPr>
                <w:sz w:val="1"/>
                <w:szCs w:val="1"/>
                <w:color w:val="auto"/>
              </w:rPr>
            </w:pPr>
          </w:p>
        </w:tc>
      </w:tr>
      <w:tr>
        <w:trPr>
          <w:trHeight w:val="225"/>
        </w:trPr>
        <w:tc>
          <w:tcPr>
            <w:tcW w:w="5660" w:type="dxa"/>
            <w:vAlign w:val="bottom"/>
          </w:tcPr>
          <w:p>
            <w:pPr>
              <w:jc w:val="right"/>
              <w:spacing w:after="0" w:line="226" w:lineRule="exact"/>
              <w:rPr>
                <w:sz w:val="20"/>
                <w:szCs w:val="20"/>
                <w:color w:val="auto"/>
              </w:rPr>
            </w:pPr>
            <w:r>
              <w:rPr>
                <w:rFonts w:ascii="Arial" w:cs="Arial" w:eastAsia="Arial" w:hAnsi="Arial"/>
                <w:sz w:val="20"/>
                <w:szCs w:val="20"/>
                <w:color w:val="231F20"/>
              </w:rPr>
              <w:t>Forfeited or Cancelled  . . . . . . . . . . . . . . . . . . . . . . . . . . . . . . .</w:t>
            </w:r>
          </w:p>
        </w:tc>
        <w:tc>
          <w:tcPr>
            <w:tcW w:w="162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(53)</w:t>
            </w:r>
          </w:p>
        </w:tc>
        <w:tc>
          <w:tcPr>
            <w:tcW w:w="120" w:type="dxa"/>
            <w:vAlign w:val="bottom"/>
          </w:tcPr>
          <w:p>
            <w:pPr>
              <w:spacing w:after="0"/>
              <w:rPr>
                <w:sz w:val="19"/>
                <w:szCs w:val="19"/>
                <w:color w:val="auto"/>
              </w:rPr>
            </w:pPr>
          </w:p>
        </w:tc>
        <w:tc>
          <w:tcPr>
            <w:tcW w:w="32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w:t>
            </w:r>
          </w:p>
        </w:tc>
        <w:tc>
          <w:tcPr>
            <w:tcW w:w="1400" w:type="dxa"/>
            <w:vAlign w:val="bottom"/>
          </w:tcPr>
          <w:p>
            <w:pPr>
              <w:jc w:val="right"/>
              <w:spacing w:after="0" w:line="226" w:lineRule="exact"/>
              <w:rPr>
                <w:sz w:val="20"/>
                <w:szCs w:val="20"/>
                <w:color w:val="auto"/>
              </w:rPr>
            </w:pPr>
            <w:r>
              <w:rPr>
                <w:rFonts w:ascii="Arial" w:cs="Arial" w:eastAsia="Arial" w:hAnsi="Arial"/>
                <w:sz w:val="20"/>
                <w:szCs w:val="20"/>
                <w:color w:val="231F20"/>
              </w:rPr>
              <w:t>47.74</w:t>
            </w:r>
          </w:p>
        </w:tc>
        <w:tc>
          <w:tcPr>
            <w:tcW w:w="0" w:type="dxa"/>
            <w:vAlign w:val="bottom"/>
          </w:tcPr>
          <w:p>
            <w:pPr>
              <w:spacing w:after="0"/>
              <w:rPr>
                <w:sz w:val="1"/>
                <w:szCs w:val="1"/>
                <w:color w:val="auto"/>
              </w:rPr>
            </w:pPr>
          </w:p>
        </w:tc>
      </w:tr>
      <w:tr>
        <w:trPr>
          <w:trHeight w:val="28"/>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60" w:type="dxa"/>
            <w:vAlign w:val="bottom"/>
          </w:tcPr>
          <w:p>
            <w:pPr>
              <w:jc w:val="right"/>
              <w:spacing w:after="0"/>
              <w:rPr>
                <w:sz w:val="20"/>
                <w:szCs w:val="20"/>
                <w:color w:val="auto"/>
              </w:rPr>
            </w:pPr>
            <w:r>
              <w:rPr>
                <w:rFonts w:ascii="Arial" w:cs="Arial" w:eastAsia="Arial" w:hAnsi="Arial"/>
                <w:sz w:val="20"/>
                <w:szCs w:val="20"/>
                <w:color w:val="231F20"/>
                <w:w w:val="97"/>
              </w:rPr>
              <w:t>Unvested at December 31, 2025 . . . . . . . . . . . . . . . . . . . . . . . . .</w:t>
            </w:r>
          </w:p>
        </w:tc>
        <w:tc>
          <w:tcPr>
            <w:tcW w:w="1620" w:type="dxa"/>
            <w:vAlign w:val="bottom"/>
            <w:gridSpan w:val="2"/>
          </w:tcPr>
          <w:p>
            <w:pPr>
              <w:jc w:val="right"/>
              <w:spacing w:after="0"/>
              <w:rPr>
                <w:sz w:val="20"/>
                <w:szCs w:val="20"/>
                <w:color w:val="auto"/>
              </w:rPr>
            </w:pPr>
            <w:r>
              <w:rPr>
                <w:rFonts w:ascii="Arial" w:cs="Arial" w:eastAsia="Arial" w:hAnsi="Arial"/>
                <w:sz w:val="20"/>
                <w:szCs w:val="20"/>
                <w:color w:val="231F20"/>
              </w:rPr>
              <w:t>878</w:t>
            </w:r>
          </w:p>
        </w:tc>
        <w:tc>
          <w:tcPr>
            <w:tcW w:w="12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1400" w:type="dxa"/>
            <w:vAlign w:val="bottom"/>
          </w:tcPr>
          <w:p>
            <w:pPr>
              <w:jc w:val="right"/>
              <w:spacing w:after="0"/>
              <w:rPr>
                <w:sz w:val="20"/>
                <w:szCs w:val="20"/>
                <w:color w:val="auto"/>
              </w:rPr>
            </w:pPr>
            <w:r>
              <w:rPr>
                <w:rFonts w:ascii="Arial" w:cs="Arial" w:eastAsia="Arial" w:hAnsi="Arial"/>
                <w:sz w:val="20"/>
                <w:szCs w:val="20"/>
                <w:color w:val="231F20"/>
              </w:rPr>
              <w:t>45.57</w:t>
            </w:r>
          </w:p>
        </w:tc>
        <w:tc>
          <w:tcPr>
            <w:tcW w:w="0" w:type="dxa"/>
            <w:vAlign w:val="bottom"/>
          </w:tcPr>
          <w:p>
            <w:pPr>
              <w:spacing w:after="0"/>
              <w:rPr>
                <w:sz w:val="1"/>
                <w:szCs w:val="1"/>
                <w:color w:val="auto"/>
              </w:rPr>
            </w:pPr>
          </w:p>
        </w:tc>
      </w:tr>
      <w:tr>
        <w:trPr>
          <w:trHeight w:val="28"/>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231F20"/>
        </w:rPr>
        <w:t>(a)</w:t>
      </w:r>
      <w:r>
        <w:rPr>
          <w:sz w:val="20"/>
          <w:szCs w:val="20"/>
          <w:color w:val="auto"/>
        </w:rPr>
        <w:tab/>
      </w:r>
      <w:r>
        <w:rPr>
          <w:rFonts w:ascii="Arial" w:cs="Arial" w:eastAsia="Arial" w:hAnsi="Arial"/>
          <w:sz w:val="15"/>
          <w:szCs w:val="15"/>
          <w:color w:val="231F20"/>
        </w:rPr>
        <w:t>Includes additional net 100,314 PSUs earned based on achievement of specified performance metrics.</w:t>
      </w:r>
    </w:p>
    <w:p>
      <w:pPr>
        <w:spacing w:after="0" w:line="229" w:lineRule="exact"/>
        <w:rPr>
          <w:sz w:val="20"/>
          <w:szCs w:val="20"/>
          <w:color w:val="auto"/>
        </w:rPr>
      </w:pPr>
    </w:p>
    <w:p>
      <w:pPr>
        <w:ind w:right="60" w:firstLine="300"/>
        <w:spacing w:after="0" w:line="245" w:lineRule="auto"/>
        <w:rPr>
          <w:sz w:val="20"/>
          <w:szCs w:val="20"/>
          <w:color w:val="auto"/>
        </w:rPr>
      </w:pPr>
      <w:r>
        <w:rPr>
          <w:rFonts w:ascii="Arial" w:cs="Arial" w:eastAsia="Arial" w:hAnsi="Arial"/>
          <w:sz w:val="20"/>
          <w:szCs w:val="20"/>
          <w:color w:val="231F20"/>
        </w:rPr>
        <w:t>The range of assumptions used in the valuation of PSUs granted during 2025, 2024 and 2023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20" w:type="dxa"/>
            <w:vAlign w:val="bottom"/>
          </w:tcPr>
          <w:p>
            <w:pPr>
              <w:spacing w:after="0"/>
              <w:rPr>
                <w:sz w:val="21"/>
                <w:szCs w:val="21"/>
                <w:color w:val="auto"/>
              </w:rPr>
            </w:pPr>
          </w:p>
        </w:tc>
        <w:tc>
          <w:tcPr>
            <w:tcW w:w="1740" w:type="dxa"/>
            <w:vAlign w:val="bottom"/>
            <w:tcBorders>
              <w:bottom w:val="single" w:sz="8" w:color="231F20"/>
            </w:tcBorders>
          </w:tcPr>
          <w:p>
            <w:pPr>
              <w:jc w:val="right"/>
              <w:ind w:right="560"/>
              <w:spacing w:after="0"/>
              <w:rPr>
                <w:sz w:val="20"/>
                <w:szCs w:val="20"/>
                <w:color w:val="auto"/>
              </w:rPr>
            </w:pPr>
            <w:r>
              <w:rPr>
                <w:rFonts w:ascii="Arial" w:cs="Arial" w:eastAsia="Arial" w:hAnsi="Arial"/>
                <w:sz w:val="20"/>
                <w:szCs w:val="20"/>
                <w:b w:val="1"/>
                <w:bCs w:val="1"/>
                <w:color w:val="231F20"/>
              </w:rPr>
              <w:t>2025</w:t>
            </w:r>
          </w:p>
        </w:tc>
        <w:tc>
          <w:tcPr>
            <w:tcW w:w="100" w:type="dxa"/>
            <w:vAlign w:val="bottom"/>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2024</w:t>
            </w:r>
          </w:p>
        </w:tc>
        <w:tc>
          <w:tcPr>
            <w:tcW w:w="640" w:type="dxa"/>
            <w:vAlign w:val="bottom"/>
            <w:tcBorders>
              <w:bottom w:val="single" w:sz="8" w:color="231F20"/>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2023</w:t>
            </w:r>
          </w:p>
        </w:tc>
        <w:tc>
          <w:tcPr>
            <w:tcW w:w="640" w:type="dxa"/>
            <w:vAlign w:val="bottom"/>
            <w:tcBorders>
              <w:bottom w:val="single" w:sz="8" w:color="231F20"/>
            </w:tcBorders>
          </w:tcPr>
          <w:p>
            <w:pPr>
              <w:spacing w:after="0"/>
              <w:rPr>
                <w:sz w:val="21"/>
                <w:szCs w:val="21"/>
                <w:color w:val="auto"/>
              </w:rPr>
            </w:pPr>
          </w:p>
        </w:tc>
      </w:tr>
      <w:tr>
        <w:trPr>
          <w:trHeight w:val="297"/>
        </w:trPr>
        <w:tc>
          <w:tcPr>
            <w:tcW w:w="3620" w:type="dxa"/>
            <w:vAlign w:val="bottom"/>
          </w:tcPr>
          <w:p>
            <w:pPr>
              <w:spacing w:after="0" w:line="297" w:lineRule="exact"/>
              <w:rPr>
                <w:sz w:val="20"/>
                <w:szCs w:val="20"/>
                <w:color w:val="auto"/>
              </w:rPr>
            </w:pPr>
            <w:r>
              <w:rPr>
                <w:rFonts w:ascii="Arial" w:cs="Arial" w:eastAsia="Arial" w:hAnsi="Arial"/>
                <w:sz w:val="20"/>
                <w:szCs w:val="20"/>
                <w:color w:val="231F20"/>
                <w:w w:val="98"/>
              </w:rPr>
              <w:t>Expected volatility</w:t>
            </w:r>
            <w:r>
              <w:rPr>
                <w:rFonts w:ascii="Arial" w:cs="Arial" w:eastAsia="Arial" w:hAnsi="Arial"/>
                <w:sz w:val="26"/>
                <w:szCs w:val="26"/>
                <w:color w:val="231F20"/>
                <w:w w:val="98"/>
                <w:vertAlign w:val="superscript"/>
              </w:rPr>
              <w:t>(a)</w:t>
            </w:r>
            <w:r>
              <w:rPr>
                <w:rFonts w:ascii="Arial" w:cs="Arial" w:eastAsia="Arial" w:hAnsi="Arial"/>
                <w:sz w:val="20"/>
                <w:szCs w:val="20"/>
                <w:color w:val="231F20"/>
                <w:w w:val="98"/>
              </w:rPr>
              <w:t xml:space="preserve">  . . . . . . . . . . . . . . . .</w:t>
            </w:r>
          </w:p>
        </w:tc>
        <w:tc>
          <w:tcPr>
            <w:tcW w:w="1740" w:type="dxa"/>
            <w:vAlign w:val="bottom"/>
          </w:tcPr>
          <w:p>
            <w:pPr>
              <w:jc w:val="right"/>
              <w:spacing w:after="0"/>
              <w:rPr>
                <w:sz w:val="20"/>
                <w:szCs w:val="20"/>
                <w:color w:val="auto"/>
              </w:rPr>
            </w:pPr>
            <w:r>
              <w:rPr>
                <w:rFonts w:ascii="Arial" w:cs="Arial" w:eastAsia="Arial" w:hAnsi="Arial"/>
                <w:sz w:val="20"/>
                <w:szCs w:val="20"/>
                <w:color w:val="231F20"/>
              </w:rPr>
              <w:t>34.20%</w:t>
            </w:r>
          </w:p>
        </w:tc>
        <w:tc>
          <w:tcPr>
            <w:tcW w:w="1880" w:type="dxa"/>
            <w:vAlign w:val="bottom"/>
            <w:gridSpan w:val="3"/>
          </w:tcPr>
          <w:p>
            <w:pPr>
              <w:jc w:val="right"/>
              <w:spacing w:after="0"/>
              <w:rPr>
                <w:sz w:val="20"/>
                <w:szCs w:val="20"/>
                <w:color w:val="auto"/>
              </w:rPr>
            </w:pPr>
            <w:r>
              <w:rPr>
                <w:rFonts w:ascii="Arial" w:cs="Arial" w:eastAsia="Arial" w:hAnsi="Arial"/>
                <w:sz w:val="20"/>
                <w:szCs w:val="20"/>
                <w:color w:val="231F20"/>
              </w:rPr>
              <w:t>38.58% - 40.30%</w:t>
            </w:r>
          </w:p>
        </w:tc>
        <w:tc>
          <w:tcPr>
            <w:tcW w:w="1880" w:type="dxa"/>
            <w:vAlign w:val="bottom"/>
            <w:gridSpan w:val="3"/>
          </w:tcPr>
          <w:p>
            <w:pPr>
              <w:jc w:val="right"/>
              <w:spacing w:after="0"/>
              <w:rPr>
                <w:sz w:val="20"/>
                <w:szCs w:val="20"/>
                <w:color w:val="auto"/>
              </w:rPr>
            </w:pPr>
            <w:r>
              <w:rPr>
                <w:rFonts w:ascii="Arial" w:cs="Arial" w:eastAsia="Arial" w:hAnsi="Arial"/>
                <w:sz w:val="20"/>
                <w:szCs w:val="20"/>
                <w:color w:val="231F20"/>
              </w:rPr>
              <w:t>42.36% - 55.00%</w:t>
            </w:r>
          </w:p>
        </w:tc>
      </w:tr>
      <w:tr>
        <w:trPr>
          <w:trHeight w:val="240"/>
        </w:trPr>
        <w:tc>
          <w:tcPr>
            <w:tcW w:w="3620" w:type="dxa"/>
            <w:vAlign w:val="bottom"/>
          </w:tcPr>
          <w:p>
            <w:pPr>
              <w:spacing w:after="0" w:line="240" w:lineRule="exact"/>
              <w:rPr>
                <w:sz w:val="20"/>
                <w:szCs w:val="20"/>
                <w:color w:val="auto"/>
              </w:rPr>
            </w:pPr>
            <w:r>
              <w:rPr>
                <w:rFonts w:ascii="Arial" w:cs="Arial" w:eastAsia="Arial" w:hAnsi="Arial"/>
                <w:sz w:val="20"/>
                <w:szCs w:val="20"/>
                <w:color w:val="231F20"/>
                <w:w w:val="99"/>
              </w:rPr>
              <w:t>Risk-free interest rate</w:t>
            </w:r>
            <w:r>
              <w:rPr>
                <w:rFonts w:ascii="Arial" w:cs="Arial" w:eastAsia="Arial" w:hAnsi="Arial"/>
                <w:sz w:val="26"/>
                <w:szCs w:val="26"/>
                <w:color w:val="231F20"/>
                <w:w w:val="99"/>
                <w:vertAlign w:val="superscript"/>
              </w:rPr>
              <w:t>(b)</w:t>
            </w:r>
            <w:r>
              <w:rPr>
                <w:rFonts w:ascii="Arial" w:cs="Arial" w:eastAsia="Arial" w:hAnsi="Arial"/>
                <w:sz w:val="20"/>
                <w:szCs w:val="20"/>
                <w:color w:val="231F20"/>
                <w:w w:val="99"/>
              </w:rPr>
              <w:t xml:space="preserve">  . . . . . . . . . . . . .</w:t>
            </w:r>
          </w:p>
        </w:tc>
        <w:tc>
          <w:tcPr>
            <w:tcW w:w="1740" w:type="dxa"/>
            <w:vAlign w:val="bottom"/>
          </w:tcPr>
          <w:p>
            <w:pPr>
              <w:jc w:val="right"/>
              <w:spacing w:after="0" w:line="226" w:lineRule="exact"/>
              <w:rPr>
                <w:sz w:val="20"/>
                <w:szCs w:val="20"/>
                <w:color w:val="auto"/>
              </w:rPr>
            </w:pPr>
            <w:r>
              <w:rPr>
                <w:rFonts w:ascii="Arial" w:cs="Arial" w:eastAsia="Arial" w:hAnsi="Arial"/>
                <w:sz w:val="20"/>
                <w:szCs w:val="20"/>
                <w:color w:val="231F20"/>
              </w:rPr>
              <w:t>4.08%</w:t>
            </w:r>
          </w:p>
        </w:tc>
        <w:tc>
          <w:tcPr>
            <w:tcW w:w="124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4.52% -</w:t>
            </w: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231F20"/>
                <w:w w:val="98"/>
              </w:rPr>
              <w:t>4.86%</w:t>
            </w:r>
          </w:p>
        </w:tc>
        <w:tc>
          <w:tcPr>
            <w:tcW w:w="124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3.81% -</w:t>
            </w: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231F20"/>
              </w:rPr>
              <w:t>4.95%</w:t>
            </w:r>
          </w:p>
        </w:tc>
      </w:tr>
      <w:tr>
        <w:trPr>
          <w:trHeight w:val="240"/>
        </w:trPr>
        <w:tc>
          <w:tcPr>
            <w:tcW w:w="3620" w:type="dxa"/>
            <w:vAlign w:val="bottom"/>
          </w:tcPr>
          <w:p>
            <w:pPr>
              <w:spacing w:after="0" w:line="240" w:lineRule="exact"/>
              <w:rPr>
                <w:sz w:val="20"/>
                <w:szCs w:val="20"/>
                <w:color w:val="auto"/>
              </w:rPr>
            </w:pPr>
            <w:r>
              <w:rPr>
                <w:rFonts w:ascii="Arial" w:cs="Arial" w:eastAsia="Arial" w:hAnsi="Arial"/>
                <w:sz w:val="20"/>
                <w:szCs w:val="20"/>
                <w:color w:val="231F20"/>
                <w:w w:val="98"/>
              </w:rPr>
              <w:t>Dividend yield</w:t>
            </w:r>
            <w:r>
              <w:rPr>
                <w:rFonts w:ascii="Arial" w:cs="Arial" w:eastAsia="Arial" w:hAnsi="Arial"/>
                <w:sz w:val="26"/>
                <w:szCs w:val="26"/>
                <w:color w:val="231F20"/>
                <w:w w:val="98"/>
                <w:vertAlign w:val="superscript"/>
              </w:rPr>
              <w:t>(c)</w:t>
            </w:r>
            <w:r>
              <w:rPr>
                <w:rFonts w:ascii="Arial" w:cs="Arial" w:eastAsia="Arial" w:hAnsi="Arial"/>
                <w:sz w:val="20"/>
                <w:szCs w:val="20"/>
                <w:color w:val="231F20"/>
                <w:w w:val="98"/>
              </w:rPr>
              <w:t xml:space="preserve"> . . . . . . . . . . . . . . . . . . . .</w:t>
            </w:r>
          </w:p>
        </w:tc>
        <w:tc>
          <w:tcPr>
            <w:tcW w:w="1740" w:type="dxa"/>
            <w:vAlign w:val="bottom"/>
          </w:tcPr>
          <w:p>
            <w:pPr>
              <w:jc w:val="right"/>
              <w:spacing w:after="0" w:line="226" w:lineRule="exact"/>
              <w:rPr>
                <w:sz w:val="20"/>
                <w:szCs w:val="20"/>
                <w:color w:val="auto"/>
              </w:rPr>
            </w:pPr>
            <w:r>
              <w:rPr>
                <w:rFonts w:ascii="Arial" w:cs="Arial" w:eastAsia="Arial" w:hAnsi="Arial"/>
                <w:sz w:val="20"/>
                <w:szCs w:val="20"/>
                <w:color w:val="231F20"/>
              </w:rPr>
              <w:t>—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231F20"/>
              </w:rPr>
              <w:t>—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231F20"/>
              </w:rPr>
              <w:t>— %</w:t>
            </w:r>
          </w:p>
        </w:tc>
      </w:tr>
      <w:tr>
        <w:trPr>
          <w:trHeight w:val="225"/>
        </w:trPr>
        <w:tc>
          <w:tcPr>
            <w:tcW w:w="3620" w:type="dxa"/>
            <w:vAlign w:val="bottom"/>
          </w:tcPr>
          <w:p>
            <w:pPr>
              <w:spacing w:after="0" w:line="226" w:lineRule="exact"/>
              <w:rPr>
                <w:sz w:val="20"/>
                <w:szCs w:val="20"/>
                <w:color w:val="auto"/>
              </w:rPr>
            </w:pPr>
            <w:r>
              <w:rPr>
                <w:rFonts w:ascii="Arial" w:cs="Arial" w:eastAsia="Arial" w:hAnsi="Arial"/>
                <w:sz w:val="20"/>
                <w:szCs w:val="20"/>
                <w:color w:val="231F20"/>
              </w:rPr>
              <w:t>Forecast period (in years)  . . . . . . . . . . .</w:t>
            </w:r>
          </w:p>
        </w:tc>
        <w:tc>
          <w:tcPr>
            <w:tcW w:w="1740" w:type="dxa"/>
            <w:vAlign w:val="bottom"/>
          </w:tcPr>
          <w:p>
            <w:pPr>
              <w:jc w:val="right"/>
              <w:spacing w:after="0" w:line="226" w:lineRule="exact"/>
              <w:rPr>
                <w:sz w:val="20"/>
                <w:szCs w:val="20"/>
                <w:color w:val="auto"/>
              </w:rPr>
            </w:pPr>
            <w:r>
              <w:rPr>
                <w:rFonts w:ascii="Arial" w:cs="Arial" w:eastAsia="Arial" w:hAnsi="Arial"/>
                <w:sz w:val="20"/>
                <w:szCs w:val="20"/>
                <w:color w:val="231F20"/>
              </w:rPr>
              <w:t>2.85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231F20"/>
                <w:w w:val="98"/>
              </w:rPr>
              <w:t>2.5 - 3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231F20"/>
              </w:rPr>
              <w:t>1.5 - 3</w:t>
            </w:r>
          </w:p>
        </w:tc>
      </w:tr>
    </w:tbl>
    <w:p>
      <w:pPr>
        <w:spacing w:after="0" w:line="67" w:lineRule="exact"/>
        <w:rPr>
          <w:sz w:val="20"/>
          <w:szCs w:val="20"/>
          <w:color w:val="auto"/>
        </w:rPr>
      </w:pPr>
    </w:p>
    <w:p>
      <w:pPr>
        <w:ind w:left="320" w:hanging="320"/>
        <w:spacing w:after="0"/>
        <w:tabs>
          <w:tab w:leader="none" w:pos="320"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Expected volatility was calculated using the historic volatility of our stock.</w:t>
      </w:r>
    </w:p>
    <w:p>
      <w:pPr>
        <w:spacing w:after="0" w:line="16" w:lineRule="exact"/>
        <w:rPr>
          <w:rFonts w:ascii="Arial" w:cs="Arial" w:eastAsia="Arial" w:hAnsi="Arial"/>
          <w:sz w:val="16"/>
          <w:szCs w:val="16"/>
          <w:color w:val="231F20"/>
        </w:rPr>
      </w:pPr>
    </w:p>
    <w:p>
      <w:pPr>
        <w:ind w:left="320" w:hanging="320"/>
        <w:spacing w:after="0"/>
        <w:tabs>
          <w:tab w:leader="none" w:pos="320"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Based on the U.S. Treasury yield for a three-year term at the grant date, as applicable.</w:t>
      </w:r>
    </w:p>
    <w:p>
      <w:pPr>
        <w:spacing w:after="0" w:line="16" w:lineRule="exact"/>
        <w:rPr>
          <w:rFonts w:ascii="Arial" w:cs="Arial" w:eastAsia="Arial" w:hAnsi="Arial"/>
          <w:sz w:val="16"/>
          <w:szCs w:val="16"/>
          <w:color w:val="231F20"/>
        </w:rPr>
      </w:pPr>
    </w:p>
    <w:p>
      <w:pPr>
        <w:ind w:left="320" w:hanging="320"/>
        <w:spacing w:after="0"/>
        <w:tabs>
          <w:tab w:leader="none" w:pos="320"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A dividend adjusted stock price (assumed reinvestment of dividends during the performance period) was used.</w:t>
      </w:r>
    </w:p>
    <w:p>
      <w:pPr>
        <w:spacing w:after="0" w:line="229" w:lineRule="exact"/>
        <w:rPr>
          <w:sz w:val="20"/>
          <w:szCs w:val="20"/>
          <w:color w:val="auto"/>
        </w:rPr>
      </w:pPr>
    </w:p>
    <w:p>
      <w:pPr>
        <w:ind w:right="140" w:firstLine="300"/>
        <w:spacing w:after="0" w:line="246" w:lineRule="auto"/>
        <w:rPr>
          <w:sz w:val="20"/>
          <w:szCs w:val="20"/>
          <w:color w:val="auto"/>
        </w:rPr>
      </w:pPr>
      <w:r>
        <w:rPr>
          <w:rFonts w:ascii="Arial" w:cs="Arial" w:eastAsia="Arial" w:hAnsi="Arial"/>
          <w:sz w:val="20"/>
          <w:szCs w:val="20"/>
          <w:color w:val="231F20"/>
        </w:rPr>
        <w:t>Compensation expense is recognized on a straight-line basis over the requisite service periods adjusted for actual forfeitures, if any. Events that accelerate the vesting of an award have no effect on the requisite service period until such an event becomes probable.</w:t>
      </w:r>
    </w:p>
    <w:p>
      <w:pPr>
        <w:spacing w:after="0" w:line="217" w:lineRule="exact"/>
        <w:rPr>
          <w:sz w:val="20"/>
          <w:szCs w:val="20"/>
          <w:color w:val="auto"/>
        </w:rPr>
      </w:pPr>
    </w:p>
    <w:p>
      <w:pPr>
        <w:ind w:right="320" w:firstLine="300"/>
        <w:spacing w:after="0" w:line="246" w:lineRule="auto"/>
        <w:rPr>
          <w:sz w:val="20"/>
          <w:szCs w:val="20"/>
          <w:color w:val="auto"/>
        </w:rPr>
      </w:pPr>
      <w:r>
        <w:rPr>
          <w:rFonts w:ascii="Arial" w:cs="Arial" w:eastAsia="Arial" w:hAnsi="Arial"/>
          <w:sz w:val="20"/>
          <w:szCs w:val="20"/>
          <w:color w:val="231F20"/>
        </w:rPr>
        <w:t>As of December 31, 2025, the unrecognized compensation expense for our unvested PSUs was approximately $15 million and is expected to be recognized over a weighted-average remaining service period of approximately two years.</w:t>
      </w:r>
    </w:p>
    <w:p>
      <w:pPr>
        <w:sectPr>
          <w:pgSz w:w="11880" w:h="15480" w:orient="portrait"/>
          <w:cols w:equalWidth="0" w:num="1">
            <w:col w:w="9120"/>
          </w:cols>
          <w:pgMar w:left="1380" w:top="1316" w:right="1380" w:bottom="66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127</w:t>
      </w:r>
    </w:p>
    <w:p>
      <w:pPr>
        <w:sectPr>
          <w:pgSz w:w="11880" w:h="15480" w:orient="portrait"/>
          <w:cols w:equalWidth="0" w:num="1">
            <w:col w:w="9120"/>
          </w:cols>
          <w:pgMar w:left="1380" w:top="1316" w:right="1380" w:bottom="660" w:gutter="0" w:footer="0" w:header="0"/>
          <w:type w:val="continuous"/>
        </w:sectPr>
      </w:pPr>
    </w:p>
    <w:bookmarkStart w:id="131" w:name="page132"/>
    <w:bookmarkEnd w:id="131"/>
    <w:p>
      <w:pPr>
        <w:spacing w:after="0"/>
        <w:rPr>
          <w:sz w:val="20"/>
          <w:szCs w:val="20"/>
          <w:color w:val="auto"/>
        </w:rPr>
      </w:pPr>
      <w:r>
        <w:rPr>
          <w:rFonts w:ascii="Arial" w:cs="Arial" w:eastAsia="Arial" w:hAnsi="Arial"/>
          <w:sz w:val="20"/>
          <w:szCs w:val="20"/>
          <w:b w:val="1"/>
          <w:bCs w:val="1"/>
          <w:i w:val="1"/>
          <w:iCs w:val="1"/>
          <w:color w:val="231F20"/>
        </w:rPr>
        <w:t>Cash Incentive Awards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In each of the years of 2025, 2024 and 2023, we granted performance cash-settled awards to approximately 800 non-executive employees where half of the award is variable with payouts ranging from 75% to 150% of the grant value. The variable portion of the award is determined based upon the attainment of specified 60-trading day volume weighted average prices for shares of our common stock preceding each vesting date. These awards vest ratably over a three-year service period, with one third of the grants vesting on each of the first three anniversaries of the grant date. The fair value of the awards is adjusted on a quarterly basis for the cumulative change in the value determined using a Monte Carlo simulation model which runs a probabilistic assessment of our stock price for each of the three-year service periods.</w:t>
      </w:r>
    </w:p>
    <w:p>
      <w:pPr>
        <w:spacing w:after="0" w:line="213" w:lineRule="exact"/>
        <w:rPr>
          <w:sz w:val="20"/>
          <w:szCs w:val="20"/>
          <w:color w:val="auto"/>
        </w:rPr>
      </w:pPr>
    </w:p>
    <w:p>
      <w:pPr>
        <w:ind w:right="600" w:firstLine="300"/>
        <w:spacing w:after="0" w:line="243" w:lineRule="auto"/>
        <w:rPr>
          <w:sz w:val="20"/>
          <w:szCs w:val="20"/>
          <w:color w:val="auto"/>
        </w:rPr>
      </w:pPr>
      <w:r>
        <w:rPr>
          <w:rFonts w:ascii="Arial" w:cs="Arial" w:eastAsia="Arial" w:hAnsi="Arial"/>
          <w:sz w:val="20"/>
          <w:szCs w:val="20"/>
          <w:color w:val="231F20"/>
        </w:rPr>
        <w:t>The assumptions used in the valuation of our cash awards as of December 31, 2025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60" w:type="dxa"/>
            <w:vAlign w:val="bottom"/>
          </w:tcPr>
          <w:p>
            <w:pPr>
              <w:spacing w:after="0"/>
              <w:rPr>
                <w:sz w:val="21"/>
                <w:szCs w:val="21"/>
                <w:color w:val="auto"/>
              </w:rPr>
            </w:pPr>
          </w:p>
        </w:tc>
        <w:tc>
          <w:tcPr>
            <w:tcW w:w="1700" w:type="dxa"/>
            <w:vAlign w:val="bottom"/>
            <w:tcBorders>
              <w:bottom w:val="single" w:sz="8" w:color="231F20"/>
            </w:tcBorders>
          </w:tcPr>
          <w:p>
            <w:pPr>
              <w:jc w:val="right"/>
              <w:ind w:right="140"/>
              <w:spacing w:after="0"/>
              <w:rPr>
                <w:sz w:val="20"/>
                <w:szCs w:val="20"/>
                <w:color w:val="auto"/>
              </w:rPr>
            </w:pPr>
            <w:r>
              <w:rPr>
                <w:rFonts w:ascii="Arial" w:cs="Arial" w:eastAsia="Arial" w:hAnsi="Arial"/>
                <w:sz w:val="20"/>
                <w:szCs w:val="20"/>
                <w:b w:val="1"/>
                <w:bCs w:val="1"/>
                <w:color w:val="231F20"/>
              </w:rPr>
              <w:t>2025 Awards</w:t>
            </w:r>
          </w:p>
        </w:tc>
        <w:tc>
          <w:tcPr>
            <w:tcW w:w="100" w:type="dxa"/>
            <w:vAlign w:val="bottom"/>
          </w:tcPr>
          <w:p>
            <w:pPr>
              <w:spacing w:after="0"/>
              <w:rPr>
                <w:sz w:val="21"/>
                <w:szCs w:val="21"/>
                <w:color w:val="auto"/>
              </w:rPr>
            </w:pPr>
          </w:p>
        </w:tc>
        <w:tc>
          <w:tcPr>
            <w:tcW w:w="1680" w:type="dxa"/>
            <w:vAlign w:val="bottom"/>
            <w:tcBorders>
              <w:bottom w:val="single" w:sz="8" w:color="231F20"/>
            </w:tcBorders>
          </w:tcPr>
          <w:p>
            <w:pPr>
              <w:jc w:val="right"/>
              <w:ind w:right="140"/>
              <w:spacing w:after="0"/>
              <w:rPr>
                <w:sz w:val="20"/>
                <w:szCs w:val="20"/>
                <w:color w:val="auto"/>
              </w:rPr>
            </w:pPr>
            <w:r>
              <w:rPr>
                <w:rFonts w:ascii="Arial" w:cs="Arial" w:eastAsia="Arial" w:hAnsi="Arial"/>
                <w:sz w:val="20"/>
                <w:szCs w:val="20"/>
                <w:b w:val="1"/>
                <w:bCs w:val="1"/>
                <w:color w:val="231F20"/>
              </w:rPr>
              <w:t>2024 Awards</w:t>
            </w:r>
          </w:p>
        </w:tc>
        <w:tc>
          <w:tcPr>
            <w:tcW w:w="100" w:type="dxa"/>
            <w:vAlign w:val="bottom"/>
          </w:tcPr>
          <w:p>
            <w:pPr>
              <w:spacing w:after="0"/>
              <w:rPr>
                <w:sz w:val="21"/>
                <w:szCs w:val="21"/>
                <w:color w:val="auto"/>
              </w:rPr>
            </w:pPr>
          </w:p>
        </w:tc>
        <w:tc>
          <w:tcPr>
            <w:tcW w:w="1680" w:type="dxa"/>
            <w:vAlign w:val="bottom"/>
            <w:tcBorders>
              <w:bottom w:val="single" w:sz="8" w:color="231F20"/>
            </w:tcBorders>
          </w:tcPr>
          <w:p>
            <w:pPr>
              <w:jc w:val="right"/>
              <w:ind w:right="140"/>
              <w:spacing w:after="0"/>
              <w:rPr>
                <w:sz w:val="20"/>
                <w:szCs w:val="20"/>
                <w:color w:val="auto"/>
              </w:rPr>
            </w:pPr>
            <w:r>
              <w:rPr>
                <w:rFonts w:ascii="Arial" w:cs="Arial" w:eastAsia="Arial" w:hAnsi="Arial"/>
                <w:sz w:val="20"/>
                <w:szCs w:val="20"/>
                <w:b w:val="1"/>
                <w:bCs w:val="1"/>
                <w:color w:val="231F20"/>
              </w:rPr>
              <w:t>2023 Awards</w:t>
            </w:r>
          </w:p>
        </w:tc>
      </w:tr>
      <w:tr>
        <w:trPr>
          <w:trHeight w:val="297"/>
        </w:trPr>
        <w:tc>
          <w:tcPr>
            <w:tcW w:w="3860" w:type="dxa"/>
            <w:vAlign w:val="bottom"/>
          </w:tcPr>
          <w:p>
            <w:pPr>
              <w:spacing w:after="0" w:line="297" w:lineRule="exact"/>
              <w:rPr>
                <w:sz w:val="20"/>
                <w:szCs w:val="20"/>
                <w:color w:val="auto"/>
              </w:rPr>
            </w:pPr>
            <w:r>
              <w:rPr>
                <w:rFonts w:ascii="Arial" w:cs="Arial" w:eastAsia="Arial" w:hAnsi="Arial"/>
                <w:sz w:val="20"/>
                <w:szCs w:val="20"/>
                <w:color w:val="231F20"/>
                <w:w w:val="97"/>
              </w:rPr>
              <w:t>Expected volatility</w:t>
            </w:r>
            <w:r>
              <w:rPr>
                <w:rFonts w:ascii="Arial" w:cs="Arial" w:eastAsia="Arial" w:hAnsi="Arial"/>
                <w:sz w:val="26"/>
                <w:szCs w:val="26"/>
                <w:color w:val="231F20"/>
                <w:w w:val="97"/>
                <w:vertAlign w:val="superscript"/>
              </w:rPr>
              <w:t>(a)</w:t>
            </w:r>
            <w:r>
              <w:rPr>
                <w:rFonts w:ascii="Arial" w:cs="Arial" w:eastAsia="Arial" w:hAnsi="Arial"/>
                <w:sz w:val="20"/>
                <w:szCs w:val="20"/>
                <w:color w:val="231F20"/>
                <w:w w:val="97"/>
              </w:rPr>
              <w:t xml:space="preserve">   . . . . . . . . . . . . . . . . . .</w:t>
            </w:r>
          </w:p>
        </w:tc>
        <w:tc>
          <w:tcPr>
            <w:tcW w:w="1700" w:type="dxa"/>
            <w:vAlign w:val="bottom"/>
          </w:tcPr>
          <w:p>
            <w:pPr>
              <w:jc w:val="right"/>
              <w:spacing w:after="0"/>
              <w:rPr>
                <w:sz w:val="20"/>
                <w:szCs w:val="20"/>
                <w:color w:val="auto"/>
              </w:rPr>
            </w:pPr>
            <w:r>
              <w:rPr>
                <w:rFonts w:ascii="Arial" w:cs="Arial" w:eastAsia="Arial" w:hAnsi="Arial"/>
                <w:sz w:val="20"/>
                <w:szCs w:val="20"/>
                <w:color w:val="231F20"/>
              </w:rPr>
              <w:t>39 %</w:t>
            </w:r>
          </w:p>
        </w:tc>
        <w:tc>
          <w:tcPr>
            <w:tcW w:w="1780" w:type="dxa"/>
            <w:vAlign w:val="bottom"/>
            <w:gridSpan w:val="2"/>
          </w:tcPr>
          <w:p>
            <w:pPr>
              <w:jc w:val="right"/>
              <w:spacing w:after="0"/>
              <w:rPr>
                <w:sz w:val="20"/>
                <w:szCs w:val="20"/>
                <w:color w:val="auto"/>
              </w:rPr>
            </w:pPr>
            <w:r>
              <w:rPr>
                <w:rFonts w:ascii="Arial" w:cs="Arial" w:eastAsia="Arial" w:hAnsi="Arial"/>
                <w:sz w:val="20"/>
                <w:szCs w:val="20"/>
                <w:color w:val="231F20"/>
              </w:rPr>
              <w:t>41 %</w:t>
            </w:r>
          </w:p>
        </w:tc>
        <w:tc>
          <w:tcPr>
            <w:tcW w:w="1780" w:type="dxa"/>
            <w:vAlign w:val="bottom"/>
            <w:gridSpan w:val="2"/>
          </w:tcPr>
          <w:p>
            <w:pPr>
              <w:jc w:val="right"/>
              <w:spacing w:after="0"/>
              <w:rPr>
                <w:sz w:val="20"/>
                <w:szCs w:val="20"/>
                <w:color w:val="auto"/>
              </w:rPr>
            </w:pPr>
            <w:r>
              <w:rPr>
                <w:rFonts w:ascii="Arial" w:cs="Arial" w:eastAsia="Arial" w:hAnsi="Arial"/>
                <w:sz w:val="20"/>
                <w:szCs w:val="20"/>
                <w:color w:val="231F20"/>
              </w:rPr>
              <w:t>25 %</w:t>
            </w:r>
          </w:p>
        </w:tc>
      </w:tr>
      <w:tr>
        <w:trPr>
          <w:trHeight w:val="240"/>
        </w:trPr>
        <w:tc>
          <w:tcPr>
            <w:tcW w:w="3860" w:type="dxa"/>
            <w:vAlign w:val="bottom"/>
          </w:tcPr>
          <w:p>
            <w:pPr>
              <w:spacing w:after="0" w:line="240" w:lineRule="exact"/>
              <w:rPr>
                <w:sz w:val="20"/>
                <w:szCs w:val="20"/>
                <w:color w:val="auto"/>
              </w:rPr>
            </w:pPr>
            <w:r>
              <w:rPr>
                <w:rFonts w:ascii="Arial" w:cs="Arial" w:eastAsia="Arial" w:hAnsi="Arial"/>
                <w:sz w:val="20"/>
                <w:szCs w:val="20"/>
                <w:color w:val="231F20"/>
                <w:w w:val="98"/>
              </w:rPr>
              <w:t>Risk-free interest rate</w:t>
            </w:r>
            <w:r>
              <w:rPr>
                <w:rFonts w:ascii="Arial" w:cs="Arial" w:eastAsia="Arial" w:hAnsi="Arial"/>
                <w:sz w:val="26"/>
                <w:szCs w:val="26"/>
                <w:color w:val="231F20"/>
                <w:w w:val="98"/>
                <w:vertAlign w:val="superscript"/>
              </w:rPr>
              <w:t>(b)</w:t>
            </w:r>
            <w:r>
              <w:rPr>
                <w:rFonts w:ascii="Arial" w:cs="Arial" w:eastAsia="Arial" w:hAnsi="Arial"/>
                <w:sz w:val="20"/>
                <w:szCs w:val="20"/>
                <w:color w:val="231F20"/>
                <w:w w:val="98"/>
              </w:rPr>
              <w:t xml:space="preserve"> . . . . . . . . . . . . . . . .</w:t>
            </w:r>
          </w:p>
        </w:tc>
        <w:tc>
          <w:tcPr>
            <w:tcW w:w="1700" w:type="dxa"/>
            <w:vAlign w:val="bottom"/>
          </w:tcPr>
          <w:p>
            <w:pPr>
              <w:jc w:val="right"/>
              <w:spacing w:after="0" w:line="226" w:lineRule="exact"/>
              <w:rPr>
                <w:sz w:val="20"/>
                <w:szCs w:val="20"/>
                <w:color w:val="auto"/>
              </w:rPr>
            </w:pPr>
            <w:r>
              <w:rPr>
                <w:rFonts w:ascii="Arial" w:cs="Arial" w:eastAsia="Arial" w:hAnsi="Arial"/>
                <w:sz w:val="20"/>
                <w:szCs w:val="20"/>
                <w:color w:val="231F20"/>
              </w:rPr>
              <w:t>3.60 %</w:t>
            </w:r>
          </w:p>
        </w:tc>
        <w:tc>
          <w:tcPr>
            <w:tcW w:w="178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3.65 %</w:t>
            </w:r>
          </w:p>
        </w:tc>
        <w:tc>
          <w:tcPr>
            <w:tcW w:w="178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3.71 %</w:t>
            </w:r>
          </w:p>
        </w:tc>
      </w:tr>
      <w:tr>
        <w:trPr>
          <w:trHeight w:val="240"/>
        </w:trPr>
        <w:tc>
          <w:tcPr>
            <w:tcW w:w="3860" w:type="dxa"/>
            <w:vAlign w:val="bottom"/>
          </w:tcPr>
          <w:p>
            <w:pPr>
              <w:spacing w:after="0" w:line="240" w:lineRule="exact"/>
              <w:rPr>
                <w:sz w:val="20"/>
                <w:szCs w:val="20"/>
                <w:color w:val="auto"/>
              </w:rPr>
            </w:pPr>
            <w:r>
              <w:rPr>
                <w:rFonts w:ascii="Arial" w:cs="Arial" w:eastAsia="Arial" w:hAnsi="Arial"/>
                <w:sz w:val="20"/>
                <w:szCs w:val="20"/>
                <w:color w:val="231F20"/>
                <w:w w:val="97"/>
              </w:rPr>
              <w:t>Dividend yield</w:t>
            </w:r>
            <w:r>
              <w:rPr>
                <w:rFonts w:ascii="Arial" w:cs="Arial" w:eastAsia="Arial" w:hAnsi="Arial"/>
                <w:sz w:val="26"/>
                <w:szCs w:val="26"/>
                <w:color w:val="231F20"/>
                <w:w w:val="97"/>
                <w:vertAlign w:val="superscript"/>
              </w:rPr>
              <w:t>(c)</w:t>
            </w:r>
            <w:r>
              <w:rPr>
                <w:rFonts w:ascii="Arial" w:cs="Arial" w:eastAsia="Arial" w:hAnsi="Arial"/>
                <w:sz w:val="20"/>
                <w:szCs w:val="20"/>
                <w:color w:val="231F20"/>
                <w:w w:val="97"/>
              </w:rPr>
              <w:t xml:space="preserve">  . . . . . . . . . . . . . . . . . . . . . .</w:t>
            </w:r>
          </w:p>
        </w:tc>
        <w:tc>
          <w:tcPr>
            <w:tcW w:w="1700" w:type="dxa"/>
            <w:vAlign w:val="bottom"/>
          </w:tcPr>
          <w:p>
            <w:pPr>
              <w:jc w:val="right"/>
              <w:spacing w:after="0" w:line="226" w:lineRule="exact"/>
              <w:rPr>
                <w:sz w:val="20"/>
                <w:szCs w:val="20"/>
                <w:color w:val="auto"/>
              </w:rPr>
            </w:pPr>
            <w:r>
              <w:rPr>
                <w:rFonts w:ascii="Arial" w:cs="Arial" w:eastAsia="Arial" w:hAnsi="Arial"/>
                <w:sz w:val="20"/>
                <w:szCs w:val="20"/>
                <w:color w:val="231F20"/>
              </w:rPr>
              <w:t>— %</w:t>
            </w:r>
          </w:p>
        </w:tc>
        <w:tc>
          <w:tcPr>
            <w:tcW w:w="100" w:type="dxa"/>
            <w:vAlign w:val="bottom"/>
          </w:tcPr>
          <w:p>
            <w:pPr>
              <w:spacing w:after="0"/>
              <w:rPr>
                <w:sz w:val="20"/>
                <w:szCs w:val="20"/>
                <w:color w:val="auto"/>
              </w:rPr>
            </w:pPr>
          </w:p>
        </w:tc>
        <w:tc>
          <w:tcPr>
            <w:tcW w:w="1680" w:type="dxa"/>
            <w:vAlign w:val="bottom"/>
          </w:tcPr>
          <w:p>
            <w:pPr>
              <w:jc w:val="right"/>
              <w:spacing w:after="0" w:line="226" w:lineRule="exact"/>
              <w:rPr>
                <w:sz w:val="20"/>
                <w:szCs w:val="20"/>
                <w:color w:val="auto"/>
              </w:rPr>
            </w:pPr>
            <w:r>
              <w:rPr>
                <w:rFonts w:ascii="Arial" w:cs="Arial" w:eastAsia="Arial" w:hAnsi="Arial"/>
                <w:sz w:val="20"/>
                <w:szCs w:val="20"/>
                <w:color w:val="231F20"/>
              </w:rPr>
              <w:t>— %</w:t>
            </w:r>
          </w:p>
        </w:tc>
        <w:tc>
          <w:tcPr>
            <w:tcW w:w="100" w:type="dxa"/>
            <w:vAlign w:val="bottom"/>
          </w:tcPr>
          <w:p>
            <w:pPr>
              <w:spacing w:after="0"/>
              <w:rPr>
                <w:sz w:val="20"/>
                <w:szCs w:val="20"/>
                <w:color w:val="auto"/>
              </w:rPr>
            </w:pPr>
          </w:p>
        </w:tc>
        <w:tc>
          <w:tcPr>
            <w:tcW w:w="1680" w:type="dxa"/>
            <w:vAlign w:val="bottom"/>
          </w:tcPr>
          <w:p>
            <w:pPr>
              <w:jc w:val="right"/>
              <w:spacing w:after="0" w:line="226" w:lineRule="exact"/>
              <w:rPr>
                <w:sz w:val="20"/>
                <w:szCs w:val="20"/>
                <w:color w:val="auto"/>
              </w:rPr>
            </w:pPr>
            <w:r>
              <w:rPr>
                <w:rFonts w:ascii="Arial" w:cs="Arial" w:eastAsia="Arial" w:hAnsi="Arial"/>
                <w:sz w:val="20"/>
                <w:szCs w:val="20"/>
                <w:color w:val="231F20"/>
              </w:rPr>
              <w:t>— %</w:t>
            </w:r>
          </w:p>
        </w:tc>
      </w:tr>
      <w:tr>
        <w:trPr>
          <w:trHeight w:val="225"/>
        </w:trPr>
        <w:tc>
          <w:tcPr>
            <w:tcW w:w="3860" w:type="dxa"/>
            <w:vAlign w:val="bottom"/>
          </w:tcPr>
          <w:p>
            <w:pPr>
              <w:spacing w:after="0" w:line="226" w:lineRule="exact"/>
              <w:rPr>
                <w:sz w:val="20"/>
                <w:szCs w:val="20"/>
                <w:color w:val="auto"/>
              </w:rPr>
            </w:pPr>
            <w:r>
              <w:rPr>
                <w:rFonts w:ascii="Arial" w:cs="Arial" w:eastAsia="Arial" w:hAnsi="Arial"/>
                <w:sz w:val="20"/>
                <w:szCs w:val="20"/>
                <w:color w:val="231F20"/>
              </w:rPr>
              <w:t>Forecast period (in years) . . . . . . . . . . . . . .</w:t>
            </w:r>
          </w:p>
        </w:tc>
        <w:tc>
          <w:tcPr>
            <w:tcW w:w="1700" w:type="dxa"/>
            <w:vAlign w:val="bottom"/>
          </w:tcPr>
          <w:p>
            <w:pPr>
              <w:jc w:val="right"/>
              <w:spacing w:after="0" w:line="226" w:lineRule="exact"/>
              <w:rPr>
                <w:sz w:val="20"/>
                <w:szCs w:val="20"/>
                <w:color w:val="auto"/>
              </w:rPr>
            </w:pPr>
            <w:r>
              <w:rPr>
                <w:rFonts w:ascii="Arial" w:cs="Arial" w:eastAsia="Arial" w:hAnsi="Arial"/>
                <w:sz w:val="20"/>
                <w:szCs w:val="20"/>
                <w:color w:val="231F20"/>
              </w:rPr>
              <w:t>2.15</w:t>
            </w:r>
          </w:p>
        </w:tc>
        <w:tc>
          <w:tcPr>
            <w:tcW w:w="178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1.15</w:t>
            </w:r>
          </w:p>
        </w:tc>
        <w:tc>
          <w:tcPr>
            <w:tcW w:w="1780" w:type="dxa"/>
            <w:vAlign w:val="bottom"/>
            <w:gridSpan w:val="2"/>
          </w:tcPr>
          <w:p>
            <w:pPr>
              <w:jc w:val="right"/>
              <w:spacing w:after="0" w:line="226" w:lineRule="exact"/>
              <w:rPr>
                <w:sz w:val="20"/>
                <w:szCs w:val="20"/>
                <w:color w:val="auto"/>
              </w:rPr>
            </w:pPr>
            <w:r>
              <w:rPr>
                <w:rFonts w:ascii="Arial" w:cs="Arial" w:eastAsia="Arial" w:hAnsi="Arial"/>
                <w:sz w:val="20"/>
                <w:szCs w:val="20"/>
                <w:color w:val="231F20"/>
              </w:rPr>
              <w:t>0.15</w:t>
            </w:r>
          </w:p>
        </w:tc>
      </w:tr>
    </w:tbl>
    <w:p>
      <w:pPr>
        <w:spacing w:after="0" w:line="66" w:lineRule="exact"/>
        <w:rPr>
          <w:sz w:val="20"/>
          <w:szCs w:val="20"/>
          <w:color w:val="auto"/>
        </w:rPr>
      </w:pPr>
    </w:p>
    <w:p>
      <w:pPr>
        <w:ind w:left="320" w:hanging="320"/>
        <w:spacing w:after="0"/>
        <w:tabs>
          <w:tab w:leader="none" w:pos="320" w:val="left"/>
        </w:tabs>
        <w:numPr>
          <w:ilvl w:val="0"/>
          <w:numId w:val="73"/>
        </w:numPr>
        <w:rPr>
          <w:rFonts w:ascii="Arial" w:cs="Arial" w:eastAsia="Arial" w:hAnsi="Arial"/>
          <w:sz w:val="16"/>
          <w:szCs w:val="16"/>
          <w:color w:val="231F20"/>
        </w:rPr>
      </w:pPr>
      <w:r>
        <w:rPr>
          <w:rFonts w:ascii="Arial" w:cs="Arial" w:eastAsia="Arial" w:hAnsi="Arial"/>
          <w:sz w:val="16"/>
          <w:szCs w:val="16"/>
          <w:color w:val="231F20"/>
        </w:rPr>
        <w:t>Expected volatility was calculated using the historical volatility of our stock.</w:t>
      </w:r>
    </w:p>
    <w:p>
      <w:pPr>
        <w:spacing w:after="0" w:line="16" w:lineRule="exact"/>
        <w:rPr>
          <w:rFonts w:ascii="Arial" w:cs="Arial" w:eastAsia="Arial" w:hAnsi="Arial"/>
          <w:sz w:val="16"/>
          <w:szCs w:val="16"/>
          <w:color w:val="231F20"/>
        </w:rPr>
      </w:pPr>
    </w:p>
    <w:p>
      <w:pPr>
        <w:ind w:left="320" w:hanging="320"/>
        <w:spacing w:after="0"/>
        <w:tabs>
          <w:tab w:leader="none" w:pos="320" w:val="left"/>
        </w:tabs>
        <w:numPr>
          <w:ilvl w:val="0"/>
          <w:numId w:val="73"/>
        </w:numPr>
        <w:rPr>
          <w:rFonts w:ascii="Arial" w:cs="Arial" w:eastAsia="Arial" w:hAnsi="Arial"/>
          <w:sz w:val="16"/>
          <w:szCs w:val="16"/>
          <w:color w:val="231F20"/>
        </w:rPr>
      </w:pPr>
      <w:r>
        <w:rPr>
          <w:rFonts w:ascii="Arial" w:cs="Arial" w:eastAsia="Arial" w:hAnsi="Arial"/>
          <w:sz w:val="16"/>
          <w:szCs w:val="16"/>
          <w:color w:val="231F20"/>
        </w:rPr>
        <w:t>Based on the U.S. Treasury yield for the remaining terms.</w:t>
      </w:r>
    </w:p>
    <w:p>
      <w:pPr>
        <w:spacing w:after="0" w:line="16" w:lineRule="exact"/>
        <w:rPr>
          <w:rFonts w:ascii="Arial" w:cs="Arial" w:eastAsia="Arial" w:hAnsi="Arial"/>
          <w:sz w:val="16"/>
          <w:szCs w:val="16"/>
          <w:color w:val="231F20"/>
        </w:rPr>
      </w:pPr>
    </w:p>
    <w:p>
      <w:pPr>
        <w:ind w:left="320" w:hanging="320"/>
        <w:spacing w:after="0"/>
        <w:tabs>
          <w:tab w:leader="none" w:pos="320" w:val="left"/>
        </w:tabs>
        <w:numPr>
          <w:ilvl w:val="0"/>
          <w:numId w:val="73"/>
        </w:numPr>
        <w:rPr>
          <w:rFonts w:ascii="Arial" w:cs="Arial" w:eastAsia="Arial" w:hAnsi="Arial"/>
          <w:sz w:val="16"/>
          <w:szCs w:val="16"/>
          <w:color w:val="231F20"/>
        </w:rPr>
      </w:pPr>
      <w:r>
        <w:rPr>
          <w:rFonts w:ascii="Arial" w:cs="Arial" w:eastAsia="Arial" w:hAnsi="Arial"/>
          <w:sz w:val="16"/>
          <w:szCs w:val="16"/>
          <w:color w:val="231F20"/>
        </w:rPr>
        <w:t>A dividend adjusted stock price (assumed reinvestment of dividends during the performance period) was used.</w:t>
      </w:r>
    </w:p>
    <w:p>
      <w:pPr>
        <w:spacing w:after="0" w:line="225" w:lineRule="exact"/>
        <w:rPr>
          <w:sz w:val="20"/>
          <w:szCs w:val="20"/>
          <w:color w:val="auto"/>
        </w:rPr>
      </w:pPr>
    </w:p>
    <w:p>
      <w:pPr>
        <w:ind w:right="220" w:firstLine="300"/>
        <w:spacing w:after="0" w:line="248" w:lineRule="auto"/>
        <w:rPr>
          <w:sz w:val="20"/>
          <w:szCs w:val="20"/>
          <w:color w:val="auto"/>
        </w:rPr>
      </w:pPr>
      <w:r>
        <w:rPr>
          <w:rFonts w:ascii="Arial" w:cs="Arial" w:eastAsia="Arial" w:hAnsi="Arial"/>
          <w:sz w:val="20"/>
          <w:szCs w:val="20"/>
          <w:color w:val="231F20"/>
        </w:rPr>
        <w:t>As of December 31, 2025, the unrecognized compensation expense for all of our unvested cash-settled awards was $14 million and is expected to be recognized over a weighted-average remaining service period of approximately two years. The value of awards forfeited during the year ended December 31, 2025 was approximately $3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Aera Incentive Awards</w:t>
      </w:r>
    </w:p>
    <w:p>
      <w:pPr>
        <w:spacing w:after="0" w:line="215"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231F20"/>
        </w:rPr>
        <w:t>Upon closing of the Aera Merger we assumed cash-settled incentive awards that had been granted to certain Aera employees. The awards were granted by Aera in 2022, 2023, and 2024 and vest ratably over periods between two to three years. Awards that vested prior to July 1, 2024 were earned based on the performance metrics of Aera and we assumed a liability of $8 million for the vested awards. Following July 1, 2024, the unvested awards will be earned based on our absolute total shareholder return and total shareholder return relative to the SPDR S&amp;P Oil and Gas Exploration and Production Exchange-Traded Fund listed on the New York Stock Exchange. The awards pay out between 0% to 200%.</w:t>
      </w:r>
    </w:p>
    <w:p>
      <w:pPr>
        <w:spacing w:after="0" w:line="164" w:lineRule="exact"/>
        <w:rPr>
          <w:sz w:val="20"/>
          <w:szCs w:val="20"/>
          <w:color w:val="auto"/>
        </w:rPr>
      </w:pPr>
    </w:p>
    <w:p>
      <w:pPr>
        <w:ind w:left="7760"/>
        <w:spacing w:after="0"/>
        <w:rPr>
          <w:sz w:val="20"/>
          <w:szCs w:val="20"/>
          <w:color w:val="auto"/>
        </w:rPr>
      </w:pPr>
      <w:r>
        <w:rPr>
          <w:rFonts w:ascii="Arial" w:cs="Arial" w:eastAsia="Arial" w:hAnsi="Arial"/>
          <w:sz w:val="20"/>
          <w:szCs w:val="20"/>
          <w:b w:val="1"/>
          <w:bCs w:val="1"/>
          <w:color w:val="231F20"/>
        </w:rPr>
        <w:t>2024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4848860</wp:posOffset>
                </wp:positionH>
                <wp:positionV relativeFrom="paragraph">
                  <wp:posOffset>19050</wp:posOffset>
                </wp:positionV>
                <wp:extent cx="94234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3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8pt,1.5pt" to="456pt,1.5pt" o:allowincell="f" strokecolor="#231F20" strokeweight="1pt"/>
            </w:pict>
          </mc:Fallback>
        </mc:AlternateContent>
      </w:r>
    </w:p>
    <w:p>
      <w:pPr>
        <w:spacing w:after="0" w:line="58" w:lineRule="exact"/>
        <w:rPr>
          <w:sz w:val="20"/>
          <w:szCs w:val="20"/>
          <w:color w:val="auto"/>
        </w:rPr>
      </w:pPr>
    </w:p>
    <w:p>
      <w:pPr>
        <w:spacing w:after="0"/>
        <w:tabs>
          <w:tab w:leader="none" w:pos="8300" w:val="left"/>
        </w:tabs>
        <w:rPr>
          <w:sz w:val="20"/>
          <w:szCs w:val="20"/>
          <w:color w:val="auto"/>
        </w:rPr>
      </w:pPr>
      <w:r>
        <w:rPr>
          <w:rFonts w:ascii="Arial" w:cs="Arial" w:eastAsia="Arial" w:hAnsi="Arial"/>
          <w:sz w:val="20"/>
          <w:szCs w:val="20"/>
          <w:color w:val="231F20"/>
        </w:rPr>
        <w:t>Expected volatility</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 . . . . . . . . . . . . . . . . . . . . . . . . . . . . . . . . . . . . . . . . . .</w:t>
      </w:r>
      <w:r>
        <w:rPr>
          <w:sz w:val="20"/>
          <w:szCs w:val="20"/>
          <w:color w:val="auto"/>
        </w:rPr>
        <w:tab/>
      </w:r>
      <w:r>
        <w:rPr>
          <w:rFonts w:ascii="Arial" w:cs="Arial" w:eastAsia="Arial" w:hAnsi="Arial"/>
          <w:sz w:val="20"/>
          <w:szCs w:val="20"/>
          <w:color w:val="231F20"/>
        </w:rPr>
        <w:t>41.94 %</w:t>
      </w:r>
    </w:p>
    <w:p>
      <w:pPr>
        <w:spacing w:after="0" w:line="203" w:lineRule="auto"/>
        <w:tabs>
          <w:tab w:leader="none" w:pos="8420" w:val="left"/>
        </w:tabs>
        <w:rPr>
          <w:sz w:val="20"/>
          <w:szCs w:val="20"/>
          <w:color w:val="auto"/>
        </w:rPr>
      </w:pPr>
      <w:r>
        <w:rPr>
          <w:rFonts w:ascii="Arial" w:cs="Arial" w:eastAsia="Arial" w:hAnsi="Arial"/>
          <w:sz w:val="20"/>
          <w:szCs w:val="20"/>
          <w:color w:val="231F20"/>
        </w:rPr>
        <w:t>Risk-free interest rate</w:t>
      </w:r>
      <w:r>
        <w:rPr>
          <w:rFonts w:ascii="Arial" w:cs="Arial" w:eastAsia="Arial" w:hAnsi="Arial"/>
          <w:sz w:val="26"/>
          <w:szCs w:val="26"/>
          <w:color w:val="231F20"/>
          <w:vertAlign w:val="superscript"/>
        </w:rPr>
        <w:t>(b)</w:t>
      </w:r>
      <w:r>
        <w:rPr>
          <w:rFonts w:ascii="Arial" w:cs="Arial" w:eastAsia="Arial" w:hAnsi="Arial"/>
          <w:sz w:val="20"/>
          <w:szCs w:val="20"/>
          <w:color w:val="231F20"/>
        </w:rPr>
        <w:t xml:space="preserve">  . . . . . . . . . . . . . . . . . . . . . . . . . . . . . . . . . . . . . . . . . . . . . . . . . .</w:t>
      </w:r>
      <w:r>
        <w:rPr>
          <w:sz w:val="20"/>
          <w:szCs w:val="20"/>
          <w:color w:val="auto"/>
        </w:rPr>
        <w:tab/>
      </w:r>
      <w:r>
        <w:rPr>
          <w:rFonts w:ascii="Arial" w:cs="Arial" w:eastAsia="Arial" w:hAnsi="Arial"/>
          <w:sz w:val="19"/>
          <w:szCs w:val="19"/>
          <w:color w:val="231F20"/>
        </w:rPr>
        <w:t>3.48 %</w:t>
      </w:r>
    </w:p>
    <w:p>
      <w:pPr>
        <w:spacing w:after="0" w:line="194" w:lineRule="auto"/>
        <w:tabs>
          <w:tab w:leader="none" w:pos="8600" w:val="left"/>
        </w:tabs>
        <w:rPr>
          <w:sz w:val="20"/>
          <w:szCs w:val="20"/>
          <w:color w:val="auto"/>
        </w:rPr>
      </w:pPr>
      <w:r>
        <w:rPr>
          <w:rFonts w:ascii="Arial" w:cs="Arial" w:eastAsia="Arial" w:hAnsi="Arial"/>
          <w:sz w:val="20"/>
          <w:szCs w:val="20"/>
          <w:color w:val="231F20"/>
        </w:rPr>
        <w:t>Dividend yield</w:t>
      </w:r>
      <w:r>
        <w:rPr>
          <w:rFonts w:ascii="Arial" w:cs="Arial" w:eastAsia="Arial" w:hAnsi="Arial"/>
          <w:sz w:val="26"/>
          <w:szCs w:val="26"/>
          <w:color w:val="231F20"/>
          <w:vertAlign w:val="superscript"/>
        </w:rPr>
        <w:t>(c)</w:t>
      </w:r>
      <w:r>
        <w:rPr>
          <w:rFonts w:ascii="Arial" w:cs="Arial" w:eastAsia="Arial" w:hAnsi="Arial"/>
          <w:sz w:val="20"/>
          <w:szCs w:val="20"/>
          <w:color w:val="231F20"/>
        </w:rPr>
        <w:t xml:space="preserve"> . . . . . . . . . . . . . . . . . . . . . . . . . . . . . . . . . . . . . . . . . . . . . . . . . . . . . . . . .</w:t>
      </w:r>
      <w:r>
        <w:rPr>
          <w:sz w:val="20"/>
          <w:szCs w:val="20"/>
          <w:color w:val="auto"/>
        </w:rPr>
        <w:tab/>
      </w:r>
      <w:r>
        <w:rPr>
          <w:rFonts w:ascii="Arial" w:cs="Arial" w:eastAsia="Arial" w:hAnsi="Arial"/>
          <w:sz w:val="20"/>
          <w:szCs w:val="20"/>
          <w:color w:val="231F20"/>
        </w:rPr>
        <w:t>— %</w:t>
      </w:r>
    </w:p>
    <w:p>
      <w:pPr>
        <w:spacing w:after="0" w:line="193" w:lineRule="auto"/>
        <w:tabs>
          <w:tab w:leader="none" w:pos="8940" w:val="left"/>
        </w:tabs>
        <w:rPr>
          <w:sz w:val="20"/>
          <w:szCs w:val="20"/>
          <w:color w:val="auto"/>
        </w:rPr>
      </w:pPr>
      <w:r>
        <w:rPr>
          <w:rFonts w:ascii="Arial" w:cs="Arial" w:eastAsia="Arial" w:hAnsi="Arial"/>
          <w:sz w:val="20"/>
          <w:szCs w:val="20"/>
          <w:color w:val="231F20"/>
        </w:rPr>
        <w:t>Forecast period (in years)  . . . . . . . . . . . . . . . . . . . . . . . . . . . . . . . . . . . . . . . . . . . . . . . .</w:t>
      </w:r>
      <w:r>
        <w:rPr>
          <w:sz w:val="20"/>
          <w:szCs w:val="20"/>
          <w:color w:val="auto"/>
        </w:rPr>
        <w:tab/>
      </w:r>
      <w:r>
        <w:rPr>
          <w:rFonts w:ascii="Arial" w:cs="Arial" w:eastAsia="Arial" w:hAnsi="Arial"/>
          <w:sz w:val="20"/>
          <w:szCs w:val="20"/>
          <w:color w:val="231F20"/>
        </w:rPr>
        <w:t>1</w:t>
      </w:r>
    </w:p>
    <w:p>
      <w:pPr>
        <w:spacing w:after="0" w:line="67" w:lineRule="exact"/>
        <w:rPr>
          <w:sz w:val="20"/>
          <w:szCs w:val="20"/>
          <w:color w:val="auto"/>
        </w:rPr>
      </w:pPr>
    </w:p>
    <w:p>
      <w:pPr>
        <w:ind w:left="320" w:hanging="320"/>
        <w:spacing w:after="0"/>
        <w:tabs>
          <w:tab w:leader="none" w:pos="320" w:val="left"/>
        </w:tabs>
        <w:numPr>
          <w:ilvl w:val="0"/>
          <w:numId w:val="74"/>
        </w:numPr>
        <w:rPr>
          <w:rFonts w:ascii="Arial" w:cs="Arial" w:eastAsia="Arial" w:hAnsi="Arial"/>
          <w:sz w:val="16"/>
          <w:szCs w:val="16"/>
          <w:color w:val="231F20"/>
        </w:rPr>
      </w:pPr>
      <w:r>
        <w:rPr>
          <w:rFonts w:ascii="Arial" w:cs="Arial" w:eastAsia="Arial" w:hAnsi="Arial"/>
          <w:sz w:val="16"/>
          <w:szCs w:val="16"/>
          <w:color w:val="231F20"/>
        </w:rPr>
        <w:t>Expected volatility was calculated using the historical volatility of our stock.</w:t>
      </w:r>
    </w:p>
    <w:p>
      <w:pPr>
        <w:spacing w:after="0" w:line="16" w:lineRule="exact"/>
        <w:rPr>
          <w:rFonts w:ascii="Arial" w:cs="Arial" w:eastAsia="Arial" w:hAnsi="Arial"/>
          <w:sz w:val="16"/>
          <w:szCs w:val="16"/>
          <w:color w:val="231F20"/>
        </w:rPr>
      </w:pPr>
    </w:p>
    <w:p>
      <w:pPr>
        <w:ind w:left="320" w:hanging="320"/>
        <w:spacing w:after="0"/>
        <w:tabs>
          <w:tab w:leader="none" w:pos="320" w:val="left"/>
        </w:tabs>
        <w:numPr>
          <w:ilvl w:val="0"/>
          <w:numId w:val="74"/>
        </w:numPr>
        <w:rPr>
          <w:rFonts w:ascii="Arial" w:cs="Arial" w:eastAsia="Arial" w:hAnsi="Arial"/>
          <w:sz w:val="16"/>
          <w:szCs w:val="16"/>
          <w:color w:val="231F20"/>
        </w:rPr>
      </w:pPr>
      <w:r>
        <w:rPr>
          <w:rFonts w:ascii="Arial" w:cs="Arial" w:eastAsia="Arial" w:hAnsi="Arial"/>
          <w:sz w:val="16"/>
          <w:szCs w:val="16"/>
          <w:color w:val="231F20"/>
        </w:rPr>
        <w:t>Based on the U.S. Treasury yield for the remaining terms.</w:t>
      </w:r>
    </w:p>
    <w:p>
      <w:pPr>
        <w:spacing w:after="0" w:line="16" w:lineRule="exact"/>
        <w:rPr>
          <w:rFonts w:ascii="Arial" w:cs="Arial" w:eastAsia="Arial" w:hAnsi="Arial"/>
          <w:sz w:val="16"/>
          <w:szCs w:val="16"/>
          <w:color w:val="231F20"/>
        </w:rPr>
      </w:pPr>
    </w:p>
    <w:p>
      <w:pPr>
        <w:ind w:left="320" w:hanging="320"/>
        <w:spacing w:after="0"/>
        <w:tabs>
          <w:tab w:leader="none" w:pos="320" w:val="left"/>
        </w:tabs>
        <w:numPr>
          <w:ilvl w:val="0"/>
          <w:numId w:val="74"/>
        </w:numPr>
        <w:rPr>
          <w:rFonts w:ascii="Arial" w:cs="Arial" w:eastAsia="Arial" w:hAnsi="Arial"/>
          <w:sz w:val="16"/>
          <w:szCs w:val="16"/>
          <w:color w:val="231F20"/>
        </w:rPr>
      </w:pPr>
      <w:r>
        <w:rPr>
          <w:rFonts w:ascii="Arial" w:cs="Arial" w:eastAsia="Arial" w:hAnsi="Arial"/>
          <w:sz w:val="16"/>
          <w:szCs w:val="16"/>
          <w:color w:val="231F20"/>
        </w:rPr>
        <w:t>A dividend adjusted stock price (assumed reinvestment of dividends during the performance period) was used.</w:t>
      </w:r>
    </w:p>
    <w:p>
      <w:pPr>
        <w:spacing w:after="0" w:line="225" w:lineRule="exact"/>
        <w:rPr>
          <w:sz w:val="20"/>
          <w:szCs w:val="20"/>
          <w:color w:val="auto"/>
        </w:rPr>
      </w:pPr>
    </w:p>
    <w:p>
      <w:pPr>
        <w:ind w:right="120" w:firstLine="300"/>
        <w:spacing w:after="0" w:line="247" w:lineRule="auto"/>
        <w:rPr>
          <w:sz w:val="20"/>
          <w:szCs w:val="20"/>
          <w:color w:val="auto"/>
        </w:rPr>
      </w:pPr>
      <w:r>
        <w:rPr>
          <w:rFonts w:ascii="Arial" w:cs="Arial" w:eastAsia="Arial" w:hAnsi="Arial"/>
          <w:sz w:val="20"/>
          <w:szCs w:val="20"/>
          <w:color w:val="231F20"/>
        </w:rPr>
        <w:t>As of December 31, 2025, the unrecognized compensation expense for these cash-settled awards was approximately $1 million and is expected to be recognized over a weighted-average remaining service period of one year.</w:t>
      </w:r>
    </w:p>
    <w:p>
      <w:pPr>
        <w:sectPr>
          <w:pgSz w:w="11880" w:h="15480" w:orient="portrait"/>
          <w:cols w:equalWidth="0" w:num="1">
            <w:col w:w="9120"/>
          </w:cols>
          <w:pgMar w:left="1380" w:top="1312"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128</w:t>
      </w:r>
    </w:p>
    <w:p>
      <w:pPr>
        <w:sectPr>
          <w:pgSz w:w="11880" w:h="15480" w:orient="portrait"/>
          <w:cols w:equalWidth="0" w:num="1">
            <w:col w:w="9120"/>
          </w:cols>
          <w:pgMar w:left="1380" w:top="1312" w:right="1380" w:bottom="660"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b w:val="1"/>
          <w:bCs w:val="1"/>
          <w:i w:val="1"/>
          <w:iCs w:val="1"/>
          <w:color w:val="231F20"/>
        </w:rPr>
        <w:t>Employee Stock Purchase Plan</w:t>
      </w:r>
    </w:p>
    <w:p>
      <w:pPr>
        <w:spacing w:after="0" w:line="250"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In May 2022, our shareholders approved a new California Resources Corporation Employee Stock Purchase Plan (ESPP), which took effect in July 2022. The ESPP provides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As of December 31, 2025, a total of 60,128 common shares were issued under our ESPP.</w:t>
      </w:r>
    </w:p>
    <w:p>
      <w:pPr>
        <w:sectPr>
          <w:pgSz w:w="11880" w:h="15480" w:orient="portrait"/>
          <w:cols w:equalWidth="0" w:num="1">
            <w:col w:w="9120"/>
          </w:cols>
          <w:pgMar w:left="1380" w:top="1312" w:right="1380" w:bottom="660" w:gutter="0" w:footer="0" w:header="0"/>
        </w:sectPr>
      </w:pPr>
    </w:p>
    <w:p>
      <w:pPr>
        <w:spacing w:after="0" w:line="24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231F20"/>
        </w:rPr>
        <w:t>NOTE 11</w:t>
        <w:tab/>
        <w:t>STOCKHOLDERS’ EQUITY</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following is a summary of changes in our common shares outstanding: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231F20"/>
        </w:rPr>
        <w:t>Balance, December 31, 2023 . . . . . . . . . . . . . . . . . . . . . . . . . . . . . . . . . . . . . . . . . .</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color w:val="231F20"/>
        </w:rPr>
        <w:t>Issued as part of the Aera Merger . . . . . . . . . . . . . . . . . . . . . . . . . . . . . . . . . . . .</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231F20"/>
        </w:rPr>
        <w:t>Shares issued for warrant exercises  . . . . . . . . . . . . . . . . . . . . . . . . . . . . . . . . . .</w:t>
      </w:r>
    </w:p>
    <w:p>
      <w:pPr>
        <w:spacing w:after="0" w:line="10" w:lineRule="exact"/>
        <w:rPr>
          <w:sz w:val="20"/>
          <w:szCs w:val="20"/>
          <w:color w:val="auto"/>
        </w:rPr>
      </w:pPr>
    </w:p>
    <w:p>
      <w:pPr>
        <w:jc w:val="right"/>
        <w:spacing w:after="0"/>
        <w:tabs>
          <w:tab w:leader="none" w:pos="4280" w:val="left"/>
        </w:tabs>
        <w:rPr>
          <w:sz w:val="20"/>
          <w:szCs w:val="20"/>
          <w:color w:val="auto"/>
        </w:rPr>
      </w:pPr>
      <w:r>
        <w:rPr>
          <w:rFonts w:ascii="Arial" w:cs="Arial" w:eastAsia="Arial" w:hAnsi="Arial"/>
          <w:sz w:val="20"/>
          <w:szCs w:val="20"/>
          <w:color w:val="231F20"/>
        </w:rPr>
        <w:t>Shares issued under ESPP</w:t>
      </w:r>
      <w:r>
        <w:rPr>
          <w:sz w:val="20"/>
          <w:szCs w:val="20"/>
          <w:color w:val="auto"/>
        </w:rPr>
        <w:tab/>
      </w:r>
      <w:r>
        <w:rPr>
          <w:rFonts w:ascii="Arial" w:cs="Arial" w:eastAsia="Arial" w:hAnsi="Arial"/>
          <w:sz w:val="19"/>
          <w:szCs w:val="19"/>
          <w:color w:val="231F20"/>
        </w:rPr>
        <w:t>. . . . . . . . . . . . . . . . . . . . . . . . . . . . . . . . . . . . . . . . .</w:t>
      </w:r>
    </w:p>
    <w:p>
      <w:pPr>
        <w:jc w:val="right"/>
        <w:spacing w:after="0" w:line="236" w:lineRule="auto"/>
        <w:rPr>
          <w:sz w:val="20"/>
          <w:szCs w:val="20"/>
          <w:color w:val="auto"/>
        </w:rPr>
      </w:pPr>
      <w:r>
        <w:rPr>
          <w:rFonts w:ascii="Arial" w:cs="Arial" w:eastAsia="Arial" w:hAnsi="Arial"/>
          <w:sz w:val="20"/>
          <w:szCs w:val="20"/>
          <w:color w:val="231F20"/>
        </w:rPr>
        <w:t>Shares issued under stock-based compensation arrangements</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w:t>
      </w:r>
    </w:p>
    <w:p>
      <w:pPr>
        <w:jc w:val="right"/>
        <w:spacing w:after="0" w:line="194" w:lineRule="auto"/>
        <w:rPr>
          <w:sz w:val="20"/>
          <w:szCs w:val="20"/>
          <w:color w:val="auto"/>
        </w:rPr>
      </w:pPr>
      <w:r>
        <w:rPr>
          <w:rFonts w:ascii="Arial" w:cs="Arial" w:eastAsia="Arial" w:hAnsi="Arial"/>
          <w:sz w:val="20"/>
          <w:szCs w:val="20"/>
          <w:color w:val="231F20"/>
        </w:rPr>
        <w:t>Repurchased shares held as treasury stock . . . . . . . . . . . . . . . . . . . . . . . . . . . .</w:t>
      </w:r>
    </w:p>
    <w:p>
      <w:pPr>
        <w:spacing w:after="0" w:line="15" w:lineRule="exact"/>
        <w:rPr>
          <w:sz w:val="20"/>
          <w:szCs w:val="20"/>
          <w:color w:val="auto"/>
        </w:rPr>
      </w:pPr>
    </w:p>
    <w:p>
      <w:pPr>
        <w:jc w:val="right"/>
        <w:spacing w:after="0"/>
        <w:tabs>
          <w:tab w:leader="none" w:pos="4180" w:val="left"/>
        </w:tabs>
        <w:rPr>
          <w:sz w:val="20"/>
          <w:szCs w:val="20"/>
          <w:color w:val="auto"/>
        </w:rPr>
      </w:pPr>
      <w:r>
        <w:rPr>
          <w:rFonts w:ascii="Arial" w:cs="Arial" w:eastAsia="Arial" w:hAnsi="Arial"/>
          <w:sz w:val="20"/>
          <w:szCs w:val="20"/>
          <w:color w:val="231F20"/>
        </w:rPr>
        <w:t>Shares cancelled for taxes</w:t>
      </w:r>
      <w:r>
        <w:rPr>
          <w:rFonts w:ascii="Arial" w:cs="Arial" w:eastAsia="Arial" w:hAnsi="Arial"/>
          <w:sz w:val="26"/>
          <w:szCs w:val="26"/>
          <w:color w:val="231F20"/>
          <w:vertAlign w:val="superscript"/>
        </w:rPr>
        <w:t>(b)</w:t>
      </w:r>
      <w:r>
        <w:rPr>
          <w:sz w:val="20"/>
          <w:szCs w:val="20"/>
          <w:color w:val="auto"/>
        </w:rPr>
        <w:tab/>
      </w:r>
      <w:r>
        <w:rPr>
          <w:rFonts w:ascii="Arial" w:cs="Arial" w:eastAsia="Arial" w:hAnsi="Arial"/>
          <w:sz w:val="19"/>
          <w:szCs w:val="19"/>
          <w:color w:val="231F20"/>
        </w:rPr>
        <w:t>. . . . . . . . . . . . . . . . . . . . . . . . . . . . . . . . . . . . . . . .</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231F20"/>
        </w:rPr>
        <w:t>Balance, December 31, 2024 . . . . . . . . . . . . . . . . . . . . . . . . . . . . . . . . . . . . . . . . . .</w:t>
      </w:r>
    </w:p>
    <w:p>
      <w:pPr>
        <w:spacing w:after="0" w:line="97" w:lineRule="exact"/>
        <w:rPr>
          <w:sz w:val="20"/>
          <w:szCs w:val="20"/>
          <w:color w:val="auto"/>
        </w:rPr>
      </w:pPr>
    </w:p>
    <w:p>
      <w:pPr>
        <w:ind w:left="200"/>
        <w:spacing w:after="0"/>
        <w:tabs>
          <w:tab w:leader="none" w:pos="3380" w:val="left"/>
        </w:tabs>
        <w:rPr>
          <w:sz w:val="20"/>
          <w:szCs w:val="20"/>
          <w:color w:val="auto"/>
        </w:rPr>
      </w:pPr>
      <w:r>
        <w:rPr>
          <w:rFonts w:ascii="Arial" w:cs="Arial" w:eastAsia="Arial" w:hAnsi="Arial"/>
          <w:sz w:val="20"/>
          <w:szCs w:val="20"/>
          <w:color w:val="231F20"/>
        </w:rPr>
        <w:t>Issued as part of the Berry Merger</w:t>
      </w:r>
      <w:r>
        <w:rPr>
          <w:sz w:val="20"/>
          <w:szCs w:val="20"/>
          <w:color w:val="auto"/>
        </w:rPr>
        <w:tab/>
      </w:r>
      <w:r>
        <w:rPr>
          <w:rFonts w:ascii="Arial" w:cs="Arial" w:eastAsia="Arial" w:hAnsi="Arial"/>
          <w:sz w:val="19"/>
          <w:szCs w:val="19"/>
          <w:color w:val="231F20"/>
        </w:rPr>
        <w:t>. . . . . . . . . . . . . . . . . . . . . . . . . . . . . . . . . . .</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Additional shares issued as part of the Aera Merger  . . . . . . . . . . . . . . . . . . . . .</w:t>
      </w:r>
    </w:p>
    <w:p>
      <w:pPr>
        <w:spacing w:after="0" w:line="17" w:lineRule="exact"/>
        <w:rPr>
          <w:sz w:val="20"/>
          <w:szCs w:val="20"/>
          <w:color w:val="auto"/>
        </w:rPr>
      </w:pPr>
    </w:p>
    <w:p>
      <w:pPr>
        <w:ind w:left="200"/>
        <w:spacing w:after="0"/>
        <w:tabs>
          <w:tab w:leader="none" w:pos="2740" w:val="left"/>
        </w:tabs>
        <w:rPr>
          <w:sz w:val="20"/>
          <w:szCs w:val="20"/>
          <w:color w:val="auto"/>
        </w:rPr>
      </w:pPr>
      <w:r>
        <w:rPr>
          <w:rFonts w:ascii="Arial" w:cs="Arial" w:eastAsia="Arial" w:hAnsi="Arial"/>
          <w:sz w:val="20"/>
          <w:szCs w:val="20"/>
          <w:color w:val="231F20"/>
        </w:rPr>
        <w:t>Shares issued under ESPP</w:t>
      </w:r>
      <w:r>
        <w:rPr>
          <w:sz w:val="20"/>
          <w:szCs w:val="20"/>
          <w:color w:val="auto"/>
        </w:rPr>
        <w:tab/>
      </w:r>
      <w:r>
        <w:rPr>
          <w:rFonts w:ascii="Arial" w:cs="Arial" w:eastAsia="Arial" w:hAnsi="Arial"/>
          <w:sz w:val="19"/>
          <w:szCs w:val="19"/>
          <w:color w:val="231F20"/>
        </w:rPr>
        <w:t>. . . . . . . . . . . . . . . . . . . . . . . . . . . . . . . . . . . . . . . . .</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Shares issued under stock-based compensation arrangements . . . . . . . . . . . .</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Repurchased shares held as treasury stock . . . . . . . . . . . . . . . . . . . . . . . . . . . .</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Repurchased shares cancelled  . . . . . . . . . . . . . . . . . . . . . . . . . . . . . . . . . . . . . .</w:t>
      </w:r>
    </w:p>
    <w:p>
      <w:pPr>
        <w:spacing w:after="0" w:line="21"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20"/>
          <w:szCs w:val="20"/>
          <w:color w:val="231F20"/>
        </w:rPr>
        <w:t>Shares cancelled for taxes</w:t>
      </w:r>
      <w:r>
        <w:rPr>
          <w:rFonts w:ascii="Arial" w:cs="Arial" w:eastAsia="Arial" w:hAnsi="Arial"/>
          <w:sz w:val="26"/>
          <w:szCs w:val="26"/>
          <w:color w:val="231F20"/>
          <w:vertAlign w:val="superscript"/>
        </w:rPr>
        <w:t>(b)</w:t>
      </w:r>
      <w:r>
        <w:rPr>
          <w:sz w:val="20"/>
          <w:szCs w:val="20"/>
          <w:color w:val="auto"/>
        </w:rPr>
        <w:tab/>
      </w:r>
      <w:r>
        <w:rPr>
          <w:rFonts w:ascii="Arial" w:cs="Arial" w:eastAsia="Arial" w:hAnsi="Arial"/>
          <w:sz w:val="19"/>
          <w:szCs w:val="19"/>
          <w:color w:val="231F20"/>
        </w:rPr>
        <w:t>. . . . . . . . . . . . . . . . . . . . . . . . . . . . . . . . . . . . . . . .</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231F20"/>
        </w:rPr>
        <w:t>Balance at December 31, 2025 . . . . . . . . . . . . . . . . . . . . . . . . .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231F20"/>
        </w:rPr>
        <w:t>Common Shares</w:t>
      </w:r>
    </w:p>
    <w:p>
      <w:pPr>
        <w:jc w:val="center"/>
        <w:ind w:right="140"/>
        <w:spacing w:after="0" w:line="218" w:lineRule="auto"/>
        <w:rPr>
          <w:sz w:val="20"/>
          <w:szCs w:val="20"/>
          <w:color w:val="auto"/>
        </w:rPr>
      </w:pPr>
      <w:r>
        <w:rPr>
          <w:rFonts w:ascii="Arial" w:cs="Arial" w:eastAsia="Arial" w:hAnsi="Arial"/>
          <w:sz w:val="20"/>
          <w:szCs w:val="20"/>
          <w:b w:val="1"/>
          <w:bCs w:val="1"/>
          <w:color w:val="231F20"/>
        </w:rPr>
        <w:t>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-92710</wp:posOffset>
                </wp:positionH>
                <wp:positionV relativeFrom="paragraph">
                  <wp:posOffset>19050</wp:posOffset>
                </wp:positionV>
                <wp:extent cx="118491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91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999pt,1.5pt" to="86pt,1.5pt" o:allowincell="f" strokecolor="#231F20" strokeweight="1pt"/>
            </w:pict>
          </mc:Fallback>
        </mc:AlternateConten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68,693,885</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21,315,707</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20"/>
          <w:szCs w:val="20"/>
          <w:color w:val="231F20"/>
        </w:rPr>
        <w:t>3,769,703</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20"/>
          <w:szCs w:val="20"/>
          <w:color w:val="231F20"/>
        </w:rPr>
        <w:t>38,257</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20"/>
          <w:szCs w:val="20"/>
          <w:color w:val="231F20"/>
        </w:rPr>
        <w:t>1,740,189</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9"/>
          <w:szCs w:val="19"/>
          <w:color w:val="231F20"/>
        </w:rPr>
        <w:t>(3,649,348)</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color w:val="231F20"/>
        </w:rPr>
        <w:t>(808,071)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-92710</wp:posOffset>
                </wp:positionH>
                <wp:positionV relativeFrom="paragraph">
                  <wp:posOffset>20955</wp:posOffset>
                </wp:positionV>
                <wp:extent cx="118491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91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999pt,1.65pt" to="86pt,1.65pt" o:allowincell="f" strokecolor="#231F20" strokeweight="0.5pt"/>
            </w:pict>
          </mc:Fallback>
        </mc:AlternateConten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91,100,322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-92710</wp:posOffset>
                </wp:positionH>
                <wp:positionV relativeFrom="paragraph">
                  <wp:posOffset>20955</wp:posOffset>
                </wp:positionV>
                <wp:extent cx="118491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91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999pt,1.65pt" to="86pt,1.65pt" o:allowincell="f" strokecolor="#231F20" strokeweight="0.5pt"/>
            </w:pict>
          </mc:Fallback>
        </mc:AlternateConten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20"/>
          <w:szCs w:val="20"/>
          <w:color w:val="231F20"/>
        </w:rPr>
        <w:t>5,572,115</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231F20"/>
        </w:rPr>
        <w:t>107,265</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231F20"/>
        </w:rPr>
        <w:t>60,128</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231F20"/>
        </w:rPr>
        <w:t>478,609</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9"/>
          <w:szCs w:val="19"/>
          <w:color w:val="231F20"/>
        </w:rPr>
        <w:t>(3,378,263)</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9"/>
          <w:szCs w:val="19"/>
          <w:color w:val="231F20"/>
        </w:rPr>
        <w:t>(4,950,000)</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color w:val="231F20"/>
        </w:rPr>
        <w:t>(236,011)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-92710</wp:posOffset>
                </wp:positionH>
                <wp:positionV relativeFrom="paragraph">
                  <wp:posOffset>20955</wp:posOffset>
                </wp:positionV>
                <wp:extent cx="118491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91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999pt,1.65pt" to="86pt,1.65pt" o:allowincell="f" strokecolor="#231F20" strokeweight="0.5pt"/>
            </w:pict>
          </mc:Fallback>
        </mc:AlternateConten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88,754,165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-92710</wp:posOffset>
                </wp:positionH>
                <wp:positionV relativeFrom="paragraph">
                  <wp:posOffset>20955</wp:posOffset>
                </wp:positionV>
                <wp:extent cx="118491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91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999pt,1.65pt" to="86pt,1.6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-92710</wp:posOffset>
                </wp:positionH>
                <wp:positionV relativeFrom="paragraph">
                  <wp:posOffset>46355</wp:posOffset>
                </wp:positionV>
                <wp:extent cx="118491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91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999pt,3.65pt" to="86pt,3.65pt" o:allowincell="f" strokecolor="#231F20" strokeweight="0.5pt"/>
            </w:pict>
          </mc:Fallback>
        </mc:AlternateContent>
      </w:r>
    </w:p>
    <w:p>
      <w:pPr>
        <w:spacing w:after="0" w:line="200" w:lineRule="exact"/>
        <w:rPr>
          <w:sz w:val="20"/>
          <w:szCs w:val="20"/>
          <w:color w:val="auto"/>
        </w:rPr>
      </w:pPr>
    </w:p>
    <w:p>
      <w:pPr>
        <w:sectPr>
          <w:pgSz w:w="11880" w:h="15480" w:orient="portrait"/>
          <w:cols w:equalWidth="0" w:num="2">
            <w:col w:w="7060" w:space="340"/>
            <w:col w:w="1720"/>
          </w:cols>
          <w:pgMar w:left="1380" w:top="1312" w:right="1380" w:bottom="660" w:gutter="0" w:footer="0" w:header="0"/>
          <w:type w:val="continuous"/>
        </w:sectPr>
      </w:pPr>
    </w:p>
    <w:p>
      <w:pPr>
        <w:spacing w:after="0" w:line="1" w:lineRule="exact"/>
        <w:rPr>
          <w:sz w:val="20"/>
          <w:szCs w:val="20"/>
          <w:color w:val="auto"/>
        </w:rPr>
      </w:pPr>
    </w:p>
    <w:p>
      <w:pPr>
        <w:ind w:left="320" w:right="420" w:hanging="320"/>
        <w:spacing w:after="0" w:line="253" w:lineRule="auto"/>
        <w:tabs>
          <w:tab w:leader="none" w:pos="320" w:val="left"/>
        </w:tabs>
        <w:numPr>
          <w:ilvl w:val="0"/>
          <w:numId w:val="75"/>
        </w:numPr>
        <w:rPr>
          <w:rFonts w:ascii="Arial" w:cs="Arial" w:eastAsia="Arial" w:hAnsi="Arial"/>
          <w:sz w:val="16"/>
          <w:szCs w:val="16"/>
          <w:color w:val="231F20"/>
        </w:rPr>
      </w:pPr>
      <w:r>
        <w:rPr>
          <w:rFonts w:ascii="Arial" w:cs="Arial" w:eastAsia="Arial" w:hAnsi="Arial"/>
          <w:sz w:val="16"/>
          <w:szCs w:val="16"/>
          <w:color w:val="231F20"/>
        </w:rPr>
        <w:t>A significant number of stock-based compensation awards were settled in the first quarter of 2024. These awards were primarily granted in January 2021 following our emergence from bankruptcy.</w:t>
      </w:r>
    </w:p>
    <w:p>
      <w:pPr>
        <w:spacing w:after="0" w:line="12" w:lineRule="exact"/>
        <w:rPr>
          <w:rFonts w:ascii="Arial" w:cs="Arial" w:eastAsia="Arial" w:hAnsi="Arial"/>
          <w:sz w:val="16"/>
          <w:szCs w:val="16"/>
          <w:color w:val="231F20"/>
        </w:rPr>
      </w:pPr>
    </w:p>
    <w:p>
      <w:pPr>
        <w:ind w:left="320" w:right="460" w:hanging="320"/>
        <w:spacing w:after="0" w:line="253" w:lineRule="auto"/>
        <w:tabs>
          <w:tab w:leader="none" w:pos="320" w:val="left"/>
        </w:tabs>
        <w:numPr>
          <w:ilvl w:val="0"/>
          <w:numId w:val="75"/>
        </w:numPr>
        <w:rPr>
          <w:rFonts w:ascii="Arial" w:cs="Arial" w:eastAsia="Arial" w:hAnsi="Arial"/>
          <w:sz w:val="16"/>
          <w:szCs w:val="16"/>
          <w:color w:val="231F20"/>
        </w:rPr>
      </w:pPr>
      <w:r>
        <w:rPr>
          <w:rFonts w:ascii="Arial" w:cs="Arial" w:eastAsia="Arial" w:hAnsi="Arial"/>
          <w:sz w:val="16"/>
          <w:szCs w:val="16"/>
          <w:color w:val="231F20"/>
        </w:rPr>
        <w:t>In connection with the vesting of equity awards, we withheld and cancelled shares to satisfy applicable tax-withholding requirements.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Share Repurchase Program</w:t>
      </w:r>
    </w:p>
    <w:p>
      <w:pPr>
        <w:spacing w:after="0" w:line="250"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 xml:space="preserve">Our Board of Directors authorized a Share Repurchase Program to acquire up to $1.35 billion of our common stock through June 30, 2026. Refer to </w:t>
      </w:r>
      <w:r>
        <w:rPr>
          <w:rFonts w:ascii="Arial" w:cs="Arial" w:eastAsia="Arial" w:hAnsi="Arial"/>
          <w:sz w:val="20"/>
          <w:szCs w:val="20"/>
          <w:i w:val="1"/>
          <w:iCs w:val="1"/>
          <w:color w:val="231F20"/>
        </w:rPr>
        <w:t>Note 19 Subsequent Events</w:t>
      </w:r>
      <w:r>
        <w:rPr>
          <w:rFonts w:ascii="Arial" w:cs="Arial" w:eastAsia="Arial" w:hAnsi="Arial"/>
          <w:sz w:val="20"/>
          <w:szCs w:val="20"/>
          <w:color w:val="231F20"/>
        </w:rPr>
        <w:t xml:space="preserve"> for additional information on a recent increase and extension to our Share Repurchase Program. Since the inception of the Share Repurchase Program through December 31, 2025, we acquired 26,841,526 shares of our common stock for $1,173 million.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ectPr>
          <w:pgSz w:w="11880" w:h="15480" w:orient="portrait"/>
          <w:cols w:equalWidth="0" w:num="1">
            <w:col w:w="9120"/>
          </w:cols>
          <w:pgMar w:left="1380" w:top="1312" w:right="1380" w:bottom="660" w:gutter="0" w:footer="0" w:header="0"/>
          <w:type w:val="continuous"/>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129</w:t>
      </w:r>
    </w:p>
    <w:p>
      <w:pPr>
        <w:sectPr>
          <w:pgSz w:w="11880" w:h="15480" w:orient="portrait"/>
          <w:cols w:equalWidth="0" w:num="1">
            <w:col w:w="9120"/>
          </w:cols>
          <w:pgMar w:left="1380" w:top="1312" w:right="1380" w:bottom="66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20"/>
                <w:szCs w:val="20"/>
                <w:b w:val="1"/>
                <w:bCs w:val="1"/>
                <w:color w:val="231F20"/>
              </w:rPr>
              <w:t>Total Number of</w:t>
            </w:r>
          </w:p>
        </w:tc>
        <w:tc>
          <w:tcPr>
            <w:tcW w:w="100" w:type="dxa"/>
            <w:vAlign w:val="bottom"/>
          </w:tcPr>
          <w:p>
            <w:pPr>
              <w:spacing w:after="0"/>
              <w:rPr>
                <w:sz w:val="19"/>
                <w:szCs w:val="19"/>
                <w:color w:val="auto"/>
              </w:rPr>
            </w:pPr>
          </w:p>
        </w:tc>
        <w:tc>
          <w:tcPr>
            <w:tcW w:w="1840" w:type="dxa"/>
            <w:vAlign w:val="bottom"/>
            <w:gridSpan w:val="4"/>
          </w:tcPr>
          <w:p>
            <w:pPr>
              <w:jc w:val="center"/>
              <w:ind w:right="80"/>
              <w:spacing w:after="0"/>
              <w:rPr>
                <w:sz w:val="20"/>
                <w:szCs w:val="20"/>
                <w:color w:val="auto"/>
              </w:rPr>
            </w:pPr>
            <w:r>
              <w:rPr>
                <w:rFonts w:ascii="Arial" w:cs="Arial" w:eastAsia="Arial" w:hAnsi="Arial"/>
                <w:sz w:val="20"/>
                <w:szCs w:val="20"/>
                <w:b w:val="1"/>
                <w:bCs w:val="1"/>
                <w:color w:val="231F20"/>
                <w:w w:val="99"/>
              </w:rPr>
              <w:t>Dollar Value of</w:t>
            </w:r>
          </w:p>
        </w:tc>
        <w:tc>
          <w:tcPr>
            <w:tcW w:w="1920" w:type="dxa"/>
            <w:vAlign w:val="bottom"/>
            <w:gridSpan w:val="4"/>
          </w:tcPr>
          <w:p>
            <w:pPr>
              <w:jc w:val="center"/>
              <w:spacing w:after="0"/>
              <w:rPr>
                <w:sz w:val="20"/>
                <w:szCs w:val="20"/>
                <w:color w:val="auto"/>
              </w:rPr>
            </w:pPr>
            <w:r>
              <w:rPr>
                <w:rFonts w:ascii="Arial" w:cs="Arial" w:eastAsia="Arial" w:hAnsi="Arial"/>
                <w:sz w:val="20"/>
                <w:szCs w:val="20"/>
                <w:b w:val="1"/>
                <w:bCs w:val="1"/>
                <w:color w:val="231F20"/>
              </w:rPr>
              <w:t>Average Price Paid</w:t>
            </w:r>
          </w:p>
        </w:tc>
      </w:tr>
      <w:tr>
        <w:trPr>
          <w:trHeight w:val="248"/>
        </w:trPr>
        <w:tc>
          <w:tcPr>
            <w:tcW w:w="3420" w:type="dxa"/>
            <w:vAlign w:val="bottom"/>
          </w:tcPr>
          <w:p>
            <w:pPr>
              <w:spacing w:after="0"/>
              <w:rPr>
                <w:sz w:val="21"/>
                <w:szCs w:val="21"/>
                <w:color w:val="auto"/>
              </w:rPr>
            </w:pPr>
          </w:p>
        </w:tc>
        <w:tc>
          <w:tcPr>
            <w:tcW w:w="1840" w:type="dxa"/>
            <w:vAlign w:val="bottom"/>
            <w:gridSpan w:val="4"/>
          </w:tcPr>
          <w:p>
            <w:pPr>
              <w:jc w:val="center"/>
              <w:ind w:right="100"/>
              <w:spacing w:after="0" w:line="228" w:lineRule="exact"/>
              <w:rPr>
                <w:sz w:val="20"/>
                <w:szCs w:val="20"/>
                <w:color w:val="auto"/>
              </w:rPr>
            </w:pPr>
            <w:r>
              <w:rPr>
                <w:rFonts w:ascii="Arial" w:cs="Arial" w:eastAsia="Arial" w:hAnsi="Arial"/>
                <w:sz w:val="20"/>
                <w:szCs w:val="20"/>
                <w:b w:val="1"/>
                <w:bCs w:val="1"/>
                <w:color w:val="231F20"/>
                <w:w w:val="99"/>
              </w:rPr>
              <w:t>Shares Purchased</w:t>
            </w:r>
          </w:p>
        </w:tc>
        <w:tc>
          <w:tcPr>
            <w:tcW w:w="1940" w:type="dxa"/>
            <w:vAlign w:val="bottom"/>
            <w:gridSpan w:val="5"/>
          </w:tcPr>
          <w:p>
            <w:pPr>
              <w:jc w:val="center"/>
              <w:spacing w:after="0" w:line="228" w:lineRule="exact"/>
              <w:rPr>
                <w:sz w:val="20"/>
                <w:szCs w:val="20"/>
                <w:color w:val="auto"/>
              </w:rPr>
            </w:pPr>
            <w:r>
              <w:rPr>
                <w:rFonts w:ascii="Arial" w:cs="Arial" w:eastAsia="Arial" w:hAnsi="Arial"/>
                <w:sz w:val="20"/>
                <w:szCs w:val="20"/>
                <w:b w:val="1"/>
                <w:bCs w:val="1"/>
                <w:color w:val="231F20"/>
              </w:rPr>
              <w:t>Shares Purchased</w:t>
            </w:r>
          </w:p>
        </w:tc>
        <w:tc>
          <w:tcPr>
            <w:tcW w:w="100" w:type="dxa"/>
            <w:vAlign w:val="bottom"/>
          </w:tcPr>
          <w:p>
            <w:pPr>
              <w:spacing w:after="0"/>
              <w:rPr>
                <w:sz w:val="21"/>
                <w:szCs w:val="21"/>
                <w:color w:val="auto"/>
              </w:rPr>
            </w:pPr>
          </w:p>
        </w:tc>
        <w:tc>
          <w:tcPr>
            <w:tcW w:w="1820" w:type="dxa"/>
            <w:vAlign w:val="bottom"/>
            <w:gridSpan w:val="3"/>
          </w:tcPr>
          <w:p>
            <w:pPr>
              <w:jc w:val="center"/>
              <w:spacing w:after="0" w:line="228" w:lineRule="exact"/>
              <w:rPr>
                <w:sz w:val="20"/>
                <w:szCs w:val="20"/>
                <w:color w:val="auto"/>
              </w:rPr>
            </w:pPr>
            <w:r>
              <w:rPr>
                <w:rFonts w:ascii="Arial" w:cs="Arial" w:eastAsia="Arial" w:hAnsi="Arial"/>
                <w:sz w:val="20"/>
                <w:szCs w:val="20"/>
                <w:b w:val="1"/>
                <w:bCs w:val="1"/>
                <w:color w:val="231F20"/>
                <w:w w:val="99"/>
              </w:rPr>
              <w:t>per Share</w:t>
            </w:r>
          </w:p>
        </w:tc>
      </w:tr>
      <w:tr>
        <w:trPr>
          <w:trHeight w:val="192"/>
        </w:trPr>
        <w:tc>
          <w:tcPr>
            <w:tcW w:w="3420" w:type="dxa"/>
            <w:vAlign w:val="bottom"/>
          </w:tcPr>
          <w:p>
            <w:pPr>
              <w:spacing w:after="0"/>
              <w:rPr>
                <w:sz w:val="16"/>
                <w:szCs w:val="16"/>
                <w:color w:val="auto"/>
              </w:rPr>
            </w:pPr>
          </w:p>
        </w:tc>
        <w:tc>
          <w:tcPr>
            <w:tcW w:w="1740" w:type="dxa"/>
            <w:vAlign w:val="bottom"/>
            <w:tcBorders>
              <w:top w:val="single" w:sz="8" w:color="231F20"/>
            </w:tcBorders>
            <w:gridSpan w:val="3"/>
          </w:tcPr>
          <w:p>
            <w:pPr>
              <w:jc w:val="center"/>
              <w:spacing w:after="0"/>
              <w:rPr>
                <w:sz w:val="20"/>
                <w:szCs w:val="20"/>
                <w:color w:val="auto"/>
              </w:rPr>
            </w:pPr>
            <w:r>
              <w:rPr>
                <w:rFonts w:ascii="Arial" w:cs="Arial" w:eastAsia="Arial" w:hAnsi="Arial"/>
                <w:sz w:val="16"/>
                <w:szCs w:val="16"/>
                <w:color w:val="231F20"/>
                <w:w w:val="99"/>
              </w:rPr>
              <w:t>(number of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top w:val="single" w:sz="8" w:color="231F20"/>
            </w:tcBorders>
            <w:gridSpan w:val="3"/>
          </w:tcPr>
          <w:p>
            <w:pPr>
              <w:jc w:val="center"/>
              <w:spacing w:after="0"/>
              <w:rPr>
                <w:sz w:val="20"/>
                <w:szCs w:val="20"/>
                <w:color w:val="auto"/>
              </w:rPr>
            </w:pPr>
            <w:r>
              <w:rPr>
                <w:rFonts w:ascii="Arial" w:cs="Arial" w:eastAsia="Arial" w:hAnsi="Arial"/>
                <w:sz w:val="16"/>
                <w:szCs w:val="16"/>
                <w:color w:val="231F20"/>
                <w:w w:val="98"/>
              </w:rPr>
              <w:t>(in millions)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231F20"/>
            </w:tcBorders>
            <w:gridSpan w:val="3"/>
          </w:tcPr>
          <w:p>
            <w:pPr>
              <w:jc w:val="center"/>
              <w:spacing w:after="0"/>
              <w:rPr>
                <w:sz w:val="20"/>
                <w:szCs w:val="20"/>
                <w:color w:val="auto"/>
              </w:rPr>
            </w:pPr>
            <w:r>
              <w:rPr>
                <w:rFonts w:ascii="Arial" w:cs="Arial" w:eastAsia="Arial" w:hAnsi="Arial"/>
                <w:sz w:val="16"/>
                <w:szCs w:val="16"/>
                <w:color w:val="231F20"/>
              </w:rPr>
              <w:t>($ per share)</w:t>
            </w:r>
          </w:p>
        </w:tc>
      </w:tr>
      <w:tr>
        <w:trPr>
          <w:trHeight w:val="250"/>
        </w:trPr>
        <w:tc>
          <w:tcPr>
            <w:tcW w:w="3420" w:type="dxa"/>
            <w:vAlign w:val="bottom"/>
          </w:tcPr>
          <w:p>
            <w:pPr>
              <w:spacing w:after="0"/>
              <w:rPr>
                <w:sz w:val="20"/>
                <w:szCs w:val="20"/>
                <w:color w:val="auto"/>
              </w:rPr>
            </w:pPr>
            <w:r>
              <w:rPr>
                <w:rFonts w:ascii="Arial" w:cs="Arial" w:eastAsia="Arial" w:hAnsi="Arial"/>
                <w:sz w:val="20"/>
                <w:szCs w:val="20"/>
                <w:color w:val="231F20"/>
              </w:rPr>
              <w:t>Year ended December 31, 2023 . . .</w:t>
            </w:r>
          </w:p>
        </w:tc>
        <w:tc>
          <w:tcPr>
            <w:tcW w:w="1320" w:type="dxa"/>
            <w:vAlign w:val="bottom"/>
            <w:gridSpan w:val="2"/>
          </w:tcPr>
          <w:p>
            <w:pPr>
              <w:jc w:val="center"/>
              <w:ind w:left="343"/>
              <w:spacing w:after="0"/>
              <w:rPr>
                <w:sz w:val="20"/>
                <w:szCs w:val="20"/>
                <w:color w:val="auto"/>
              </w:rPr>
            </w:pPr>
            <w:r>
              <w:rPr>
                <w:rFonts w:ascii="Arial" w:cs="Arial" w:eastAsia="Arial" w:hAnsi="Arial"/>
                <w:sz w:val="20"/>
                <w:szCs w:val="20"/>
                <w:color w:val="231F20"/>
                <w:w w:val="98"/>
              </w:rPr>
              <w:t>3,407,655</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4"/>
          </w:tcPr>
          <w:p>
            <w:pPr>
              <w:jc w:val="center"/>
              <w:ind w:left="20"/>
              <w:spacing w:after="0"/>
              <w:rPr>
                <w:sz w:val="20"/>
                <w:szCs w:val="20"/>
                <w:color w:val="auto"/>
              </w:rPr>
            </w:pPr>
            <w:r>
              <w:rPr>
                <w:rFonts w:ascii="Arial" w:cs="Arial" w:eastAsia="Arial" w:hAnsi="Arial"/>
                <w:sz w:val="20"/>
                <w:szCs w:val="20"/>
                <w:color w:val="231F20"/>
                <w:w w:val="98"/>
              </w:rPr>
              <w:t>$143</w:t>
            </w:r>
          </w:p>
        </w:tc>
        <w:tc>
          <w:tcPr>
            <w:tcW w:w="100" w:type="dxa"/>
            <w:vAlign w:val="bottom"/>
          </w:tcPr>
          <w:p>
            <w:pPr>
              <w:spacing w:after="0"/>
              <w:rPr>
                <w:sz w:val="21"/>
                <w:szCs w:val="21"/>
                <w:color w:val="auto"/>
              </w:rPr>
            </w:pPr>
          </w:p>
        </w:tc>
        <w:tc>
          <w:tcPr>
            <w:tcW w:w="1920" w:type="dxa"/>
            <w:vAlign w:val="bottom"/>
            <w:gridSpan w:val="4"/>
          </w:tcPr>
          <w:p>
            <w:pPr>
              <w:jc w:val="center"/>
              <w:spacing w:after="0"/>
              <w:rPr>
                <w:sz w:val="20"/>
                <w:szCs w:val="20"/>
                <w:color w:val="auto"/>
              </w:rPr>
            </w:pPr>
            <w:r>
              <w:rPr>
                <w:rFonts w:ascii="Arial" w:cs="Arial" w:eastAsia="Arial" w:hAnsi="Arial"/>
                <w:sz w:val="20"/>
                <w:szCs w:val="20"/>
                <w:color w:val="231F20"/>
              </w:rPr>
              <w:t>$41.69</w:t>
            </w:r>
          </w:p>
        </w:tc>
      </w:tr>
      <w:tr>
        <w:trPr>
          <w:trHeight w:val="240"/>
        </w:trPr>
        <w:tc>
          <w:tcPr>
            <w:tcW w:w="3420" w:type="dxa"/>
            <w:vAlign w:val="bottom"/>
          </w:tcPr>
          <w:p>
            <w:pPr>
              <w:spacing w:after="0"/>
              <w:rPr>
                <w:sz w:val="20"/>
                <w:szCs w:val="20"/>
                <w:color w:val="auto"/>
              </w:rPr>
            </w:pPr>
            <w:r>
              <w:rPr>
                <w:rFonts w:ascii="Arial" w:cs="Arial" w:eastAsia="Arial" w:hAnsi="Arial"/>
                <w:sz w:val="20"/>
                <w:szCs w:val="20"/>
                <w:color w:val="231F20"/>
              </w:rPr>
              <w:t>Year ended December 31, 2024 . . .</w:t>
            </w:r>
          </w:p>
        </w:tc>
        <w:tc>
          <w:tcPr>
            <w:tcW w:w="1320" w:type="dxa"/>
            <w:vAlign w:val="bottom"/>
            <w:gridSpan w:val="2"/>
          </w:tcPr>
          <w:p>
            <w:pPr>
              <w:jc w:val="center"/>
              <w:ind w:left="343"/>
              <w:spacing w:after="0"/>
              <w:rPr>
                <w:sz w:val="20"/>
                <w:szCs w:val="20"/>
                <w:color w:val="auto"/>
              </w:rPr>
            </w:pPr>
            <w:r>
              <w:rPr>
                <w:rFonts w:ascii="Arial" w:cs="Arial" w:eastAsia="Arial" w:hAnsi="Arial"/>
                <w:sz w:val="20"/>
                <w:szCs w:val="20"/>
                <w:color w:val="231F20"/>
                <w:w w:val="98"/>
              </w:rPr>
              <w:t>3,649,348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4"/>
          </w:tcPr>
          <w:p>
            <w:pPr>
              <w:jc w:val="center"/>
              <w:ind w:left="20"/>
              <w:spacing w:after="0"/>
              <w:rPr>
                <w:sz w:val="20"/>
                <w:szCs w:val="20"/>
                <w:color w:val="auto"/>
              </w:rPr>
            </w:pPr>
            <w:r>
              <w:rPr>
                <w:rFonts w:ascii="Arial" w:cs="Arial" w:eastAsia="Arial" w:hAnsi="Arial"/>
                <w:sz w:val="20"/>
                <w:szCs w:val="20"/>
                <w:color w:val="231F20"/>
                <w:w w:val="98"/>
              </w:rPr>
              <w:t>$192</w:t>
            </w:r>
          </w:p>
        </w:tc>
        <w:tc>
          <w:tcPr>
            <w:tcW w:w="100" w:type="dxa"/>
            <w:vAlign w:val="bottom"/>
          </w:tcPr>
          <w:p>
            <w:pPr>
              <w:spacing w:after="0"/>
              <w:rPr>
                <w:sz w:val="20"/>
                <w:szCs w:val="20"/>
                <w:color w:val="auto"/>
              </w:rPr>
            </w:pPr>
          </w:p>
        </w:tc>
        <w:tc>
          <w:tcPr>
            <w:tcW w:w="1920" w:type="dxa"/>
            <w:vAlign w:val="bottom"/>
            <w:gridSpan w:val="4"/>
          </w:tcPr>
          <w:p>
            <w:pPr>
              <w:jc w:val="center"/>
              <w:spacing w:after="0"/>
              <w:rPr>
                <w:sz w:val="20"/>
                <w:szCs w:val="20"/>
                <w:color w:val="auto"/>
              </w:rPr>
            </w:pPr>
            <w:r>
              <w:rPr>
                <w:rFonts w:ascii="Arial" w:cs="Arial" w:eastAsia="Arial" w:hAnsi="Arial"/>
                <w:sz w:val="20"/>
                <w:szCs w:val="20"/>
                <w:color w:val="231F20"/>
              </w:rPr>
              <w:t>$52.12</w:t>
            </w:r>
          </w:p>
        </w:tc>
      </w:tr>
      <w:tr>
        <w:trPr>
          <w:trHeight w:val="28"/>
        </w:trPr>
        <w:tc>
          <w:tcPr>
            <w:tcW w:w="3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20"/>
                <w:szCs w:val="20"/>
                <w:color w:val="231F20"/>
              </w:rPr>
              <w:t>Year ended December 31, 2025 . . .</w:t>
            </w:r>
          </w:p>
        </w:tc>
        <w:tc>
          <w:tcPr>
            <w:tcW w:w="1320" w:type="dxa"/>
            <w:vAlign w:val="bottom"/>
            <w:gridSpan w:val="2"/>
          </w:tcPr>
          <w:p>
            <w:pPr>
              <w:jc w:val="center"/>
              <w:ind w:left="343"/>
              <w:spacing w:after="0"/>
              <w:rPr>
                <w:sz w:val="20"/>
                <w:szCs w:val="20"/>
                <w:color w:val="auto"/>
              </w:rPr>
            </w:pPr>
            <w:r>
              <w:rPr>
                <w:rFonts w:ascii="Arial" w:cs="Arial" w:eastAsia="Arial" w:hAnsi="Arial"/>
                <w:sz w:val="20"/>
                <w:szCs w:val="20"/>
                <w:color w:val="231F20"/>
                <w:w w:val="98"/>
              </w:rPr>
              <w:t>8,328,263</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gridSpan w:val="4"/>
          </w:tcPr>
          <w:p>
            <w:pPr>
              <w:jc w:val="center"/>
              <w:ind w:left="20"/>
              <w:spacing w:after="0"/>
              <w:rPr>
                <w:sz w:val="20"/>
                <w:szCs w:val="20"/>
                <w:color w:val="auto"/>
              </w:rPr>
            </w:pPr>
            <w:r>
              <w:rPr>
                <w:rFonts w:ascii="Arial" w:cs="Arial" w:eastAsia="Arial" w:hAnsi="Arial"/>
                <w:sz w:val="20"/>
                <w:szCs w:val="20"/>
                <w:color w:val="231F20"/>
                <w:w w:val="98"/>
              </w:rPr>
              <w:t>$377</w:t>
            </w:r>
          </w:p>
        </w:tc>
        <w:tc>
          <w:tcPr>
            <w:tcW w:w="100" w:type="dxa"/>
            <w:vAlign w:val="bottom"/>
          </w:tcPr>
          <w:p>
            <w:pPr>
              <w:spacing w:after="0"/>
              <w:rPr>
                <w:sz w:val="23"/>
                <w:szCs w:val="23"/>
                <w:color w:val="auto"/>
              </w:rPr>
            </w:pPr>
          </w:p>
        </w:tc>
        <w:tc>
          <w:tcPr>
            <w:tcW w:w="1920" w:type="dxa"/>
            <w:vAlign w:val="bottom"/>
            <w:gridSpan w:val="4"/>
          </w:tcPr>
          <w:p>
            <w:pPr>
              <w:jc w:val="center"/>
              <w:spacing w:after="0"/>
              <w:rPr>
                <w:sz w:val="20"/>
                <w:szCs w:val="20"/>
                <w:color w:val="auto"/>
              </w:rPr>
            </w:pPr>
            <w:r>
              <w:rPr>
                <w:rFonts w:ascii="Arial" w:cs="Arial" w:eastAsia="Arial" w:hAnsi="Arial"/>
                <w:sz w:val="20"/>
                <w:szCs w:val="20"/>
                <w:color w:val="231F20"/>
              </w:rPr>
              <w:t>$45.29</w:t>
            </w:r>
          </w:p>
        </w:tc>
      </w:tr>
      <w:tr>
        <w:trPr>
          <w:trHeight w:val="30"/>
        </w:trPr>
        <w:tc>
          <w:tcPr>
            <w:tcW w:w="3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0" w:type="dxa"/>
            <w:vAlign w:val="bottom"/>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231F20"/>
        </w:rPr>
        <w:t>Note: The total value of shares purchased includes approximately, $2 million and $1 million in the years ended December 31, 2024 and 2023 related to excise taxes on share repurchases. Excise taxes in 2025 were insignificant and include a reversal for 2024 excise taxes that were no longer due. Commissions paid were not significant in all periods presented.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Dividends</w:t>
      </w:r>
    </w:p>
    <w:p>
      <w:pPr>
        <w:spacing w:after="0" w:line="21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 xml:space="preserve">Dividends are payable to shareholders in quarterly increments, subject to the quarterly approval of our Board of Directors. The actual declaration of future cash dividends, and the establishment of record and payment dates, is subject to final determination by our Board of Directors each quarter after reviewing our financial performance. See </w:t>
      </w:r>
      <w:r>
        <w:rPr>
          <w:rFonts w:ascii="Arial" w:cs="Arial" w:eastAsia="Arial" w:hAnsi="Arial"/>
          <w:sz w:val="20"/>
          <w:szCs w:val="20"/>
          <w:i w:val="1"/>
          <w:iCs w:val="1"/>
          <w:color w:val="231F20"/>
        </w:rPr>
        <w:t>Note 19 Subsequent Events</w:t>
      </w:r>
      <w:r>
        <w:rPr>
          <w:rFonts w:ascii="Arial" w:cs="Arial" w:eastAsia="Arial" w:hAnsi="Arial"/>
          <w:sz w:val="20"/>
          <w:szCs w:val="20"/>
          <w:color w:val="231F20"/>
        </w:rPr>
        <w:t xml:space="preserve"> for information on future cash dividends.</w:t>
      </w:r>
    </w:p>
    <w:p>
      <w:pPr>
        <w:spacing w:after="0" w:line="207"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Our Board of Directors declared quarterly cash dividends of $0.2825 per share of common stock for each of the first three quarters of 2023. On November 1, 2023, our Board of Directors increased our dividend policy to an expected total annual dividend of $1.24 per share. On August 2, 2024, our Board of Directors increased the cash dividend policy to anticipate a total annual dividend of $1.55 per share. On November 4, 2025, our Board of Directors increased the cash dividend policy to anticipate a total annual dividend of $1.62 per share.</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Our Board of Directors declared the following cash dividends for each of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231F20"/>
              </w:rPr>
              <w:t>Total Dividend</w:t>
            </w:r>
          </w:p>
        </w:tc>
        <w:tc>
          <w:tcPr>
            <w:tcW w:w="1740" w:type="dxa"/>
            <w:vAlign w:val="bottom"/>
            <w:gridSpan w:val="3"/>
          </w:tcPr>
          <w:p>
            <w:pPr>
              <w:ind w:left="200"/>
              <w:spacing w:after="0"/>
              <w:rPr>
                <w:sz w:val="20"/>
                <w:szCs w:val="20"/>
                <w:color w:val="auto"/>
              </w:rPr>
            </w:pPr>
            <w:r>
              <w:rPr>
                <w:rFonts w:ascii="Arial" w:cs="Arial" w:eastAsia="Arial" w:hAnsi="Arial"/>
                <w:sz w:val="20"/>
                <w:szCs w:val="20"/>
                <w:b w:val="1"/>
                <w:bCs w:val="1"/>
                <w:color w:val="231F20"/>
                <w:w w:val="98"/>
              </w:rPr>
              <w:t>Annual Rate Per</w:t>
            </w:r>
          </w:p>
        </w:tc>
        <w:tc>
          <w:tcPr>
            <w:tcW w:w="0" w:type="dxa"/>
            <w:vAlign w:val="bottom"/>
          </w:tcPr>
          <w:p>
            <w:pPr>
              <w:spacing w:after="0"/>
              <w:rPr>
                <w:sz w:val="1"/>
                <w:szCs w:val="1"/>
                <w:color w:val="auto"/>
              </w:rPr>
            </w:pPr>
          </w:p>
        </w:tc>
      </w:tr>
      <w:tr>
        <w:trPr>
          <w:trHeight w:val="246"/>
        </w:trPr>
        <w:tc>
          <w:tcPr>
            <w:tcW w:w="5940" w:type="dxa"/>
            <w:vAlign w:val="bottom"/>
          </w:tcPr>
          <w:p>
            <w:pPr>
              <w:spacing w:after="0"/>
              <w:rPr>
                <w:sz w:val="21"/>
                <w:szCs w:val="21"/>
                <w:color w:val="auto"/>
              </w:rPr>
            </w:pPr>
          </w:p>
        </w:tc>
        <w:tc>
          <w:tcPr>
            <w:tcW w:w="1440" w:type="dxa"/>
            <w:vAlign w:val="bottom"/>
            <w:tcBorders>
              <w:bottom w:val="single" w:sz="8" w:color="231F20"/>
            </w:tcBorders>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04"/>
              <w:spacing w:after="0" w:line="228" w:lineRule="exact"/>
              <w:rPr>
                <w:sz w:val="20"/>
                <w:szCs w:val="20"/>
                <w:color w:val="auto"/>
              </w:rPr>
            </w:pPr>
            <w:r>
              <w:rPr>
                <w:rFonts w:ascii="Arial" w:cs="Arial" w:eastAsia="Arial" w:hAnsi="Arial"/>
                <w:sz w:val="20"/>
                <w:szCs w:val="20"/>
                <w:b w:val="1"/>
                <w:bCs w:val="1"/>
                <w:color w:val="231F20"/>
                <w:w w:val="97"/>
              </w:rPr>
              <w:t>Share</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24"/>
              <w:spacing w:after="0"/>
              <w:rPr>
                <w:sz w:val="20"/>
                <w:szCs w:val="20"/>
                <w:color w:val="auto"/>
              </w:rPr>
            </w:pPr>
            <w:r>
              <w:rPr>
                <w:rFonts w:ascii="Arial" w:cs="Arial" w:eastAsia="Arial" w:hAnsi="Arial"/>
                <w:sz w:val="16"/>
                <w:szCs w:val="16"/>
                <w:color w:val="231F20"/>
              </w:rPr>
              <w:t>(in millions)</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231F20"/>
              </w:rPr>
              <w:t>($</w:t>
            </w:r>
          </w:p>
        </w:tc>
        <w:tc>
          <w:tcPr>
            <w:tcW w:w="1060" w:type="dxa"/>
            <w:vAlign w:val="bottom"/>
          </w:tcPr>
          <w:p>
            <w:pPr>
              <w:jc w:val="right"/>
              <w:ind w:right="224"/>
              <w:spacing w:after="0"/>
              <w:rPr>
                <w:sz w:val="20"/>
                <w:szCs w:val="20"/>
                <w:color w:val="auto"/>
              </w:rPr>
            </w:pPr>
            <w:r>
              <w:rPr>
                <w:rFonts w:ascii="Arial" w:cs="Arial" w:eastAsia="Arial" w:hAnsi="Arial"/>
                <w:sz w:val="16"/>
                <w:szCs w:val="16"/>
                <w:color w:val="231F20"/>
                <w:w w:val="98"/>
              </w:rPr>
              <w:t>per share)</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0"/>
                <w:szCs w:val="20"/>
                <w:color w:val="auto"/>
              </w:rPr>
            </w:pPr>
            <w:r>
              <w:rPr>
                <w:rFonts w:ascii="Arial" w:cs="Arial" w:eastAsia="Arial" w:hAnsi="Arial"/>
                <w:sz w:val="20"/>
                <w:szCs w:val="20"/>
                <w:color w:val="231F20"/>
              </w:rPr>
              <w:t>Year ended December 31, 2023 . . . . . . . . . . . . . . . . . . . . . . . . . . .</w:t>
            </w:r>
          </w:p>
        </w:tc>
        <w:tc>
          <w:tcPr>
            <w:tcW w:w="200" w:type="dxa"/>
            <w:vAlign w:val="bottom"/>
          </w:tcPr>
          <w:p>
            <w:pPr>
              <w:spacing w:after="0"/>
              <w:rPr>
                <w:sz w:val="20"/>
                <w:szCs w:val="20"/>
                <w:color w:val="auto"/>
              </w:rPr>
            </w:pPr>
            <w:r>
              <w:rPr>
                <w:rFonts w:ascii="Arial" w:cs="Arial" w:eastAsia="Arial" w:hAnsi="Arial"/>
                <w:sz w:val="20"/>
                <w:szCs w:val="20"/>
                <w:color w:val="231F20"/>
              </w:rPr>
              <w:t>$</w:t>
            </w:r>
          </w:p>
        </w:tc>
        <w:tc>
          <w:tcPr>
            <w:tcW w:w="1240" w:type="dxa"/>
            <w:vAlign w:val="bottom"/>
          </w:tcPr>
          <w:p>
            <w:pPr>
              <w:jc w:val="right"/>
              <w:spacing w:after="0"/>
              <w:rPr>
                <w:sz w:val="20"/>
                <w:szCs w:val="20"/>
                <w:color w:val="auto"/>
              </w:rPr>
            </w:pPr>
            <w:r>
              <w:rPr>
                <w:rFonts w:ascii="Arial" w:cs="Arial" w:eastAsia="Arial" w:hAnsi="Arial"/>
                <w:sz w:val="20"/>
                <w:szCs w:val="20"/>
                <w:color w:val="231F20"/>
              </w:rPr>
              <w:t>81</w:t>
            </w:r>
          </w:p>
        </w:tc>
        <w:tc>
          <w:tcPr>
            <w:tcW w:w="680" w:type="dxa"/>
            <w:vAlign w:val="bottom"/>
            <w:gridSpan w:val="2"/>
          </w:tcPr>
          <w:p>
            <w:pPr>
              <w:ind w:left="200"/>
              <w:spacing w:after="0"/>
              <w:rPr>
                <w:sz w:val="20"/>
                <w:szCs w:val="20"/>
                <w:color w:val="auto"/>
              </w:rPr>
            </w:pPr>
            <w:r>
              <w:rPr>
                <w:rFonts w:ascii="Arial" w:cs="Arial" w:eastAsia="Arial" w:hAnsi="Arial"/>
                <w:sz w:val="20"/>
                <w:szCs w:val="20"/>
                <w:color w:val="231F20"/>
              </w:rPr>
              <w:t>$</w:t>
            </w:r>
          </w:p>
        </w:tc>
        <w:tc>
          <w:tcPr>
            <w:tcW w:w="1060" w:type="dxa"/>
            <w:vAlign w:val="bottom"/>
          </w:tcPr>
          <w:p>
            <w:pPr>
              <w:jc w:val="right"/>
              <w:spacing w:after="0"/>
              <w:rPr>
                <w:sz w:val="20"/>
                <w:szCs w:val="20"/>
                <w:color w:val="auto"/>
              </w:rPr>
            </w:pPr>
            <w:r>
              <w:rPr>
                <w:rFonts w:ascii="Arial" w:cs="Arial" w:eastAsia="Arial" w:hAnsi="Arial"/>
                <w:sz w:val="20"/>
                <w:szCs w:val="20"/>
                <w:color w:val="231F20"/>
              </w:rPr>
              <w:t>1.1575</w:t>
            </w:r>
          </w:p>
        </w:tc>
        <w:tc>
          <w:tcPr>
            <w:tcW w:w="0" w:type="dxa"/>
            <w:vAlign w:val="bottom"/>
          </w:tcPr>
          <w:p>
            <w:pPr>
              <w:spacing w:after="0"/>
              <w:rPr>
                <w:sz w:val="1"/>
                <w:szCs w:val="1"/>
                <w:color w:val="auto"/>
              </w:rPr>
            </w:pPr>
          </w:p>
        </w:tc>
      </w:tr>
      <w:tr>
        <w:trPr>
          <w:trHeight w:val="240"/>
        </w:trPr>
        <w:tc>
          <w:tcPr>
            <w:tcW w:w="5940" w:type="dxa"/>
            <w:vAlign w:val="bottom"/>
          </w:tcPr>
          <w:p>
            <w:pPr>
              <w:spacing w:after="0"/>
              <w:rPr>
                <w:sz w:val="20"/>
                <w:szCs w:val="20"/>
                <w:color w:val="auto"/>
              </w:rPr>
            </w:pPr>
            <w:r>
              <w:rPr>
                <w:rFonts w:ascii="Arial" w:cs="Arial" w:eastAsia="Arial" w:hAnsi="Arial"/>
                <w:sz w:val="20"/>
                <w:szCs w:val="20"/>
                <w:color w:val="231F20"/>
              </w:rPr>
              <w:t>Year ended December 31, 2024 . . . . . . . . . . . . . . . . . . . . . . . . . . .</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113</w:t>
            </w:r>
          </w:p>
        </w:tc>
        <w:tc>
          <w:tcPr>
            <w:tcW w:w="680" w:type="dxa"/>
            <w:vAlign w:val="bottom"/>
            <w:gridSpan w:val="2"/>
          </w:tcPr>
          <w:p>
            <w:pPr>
              <w:ind w:left="200"/>
              <w:spacing w:after="0"/>
              <w:rPr>
                <w:sz w:val="20"/>
                <w:szCs w:val="20"/>
                <w:color w:val="auto"/>
              </w:rPr>
            </w:pPr>
            <w:r>
              <w:rPr>
                <w:rFonts w:ascii="Arial" w:cs="Arial" w:eastAsia="Arial" w:hAnsi="Arial"/>
                <w:sz w:val="20"/>
                <w:szCs w:val="20"/>
                <w:color w:val="231F20"/>
              </w:rPr>
              <w:t>$</w:t>
            </w:r>
          </w:p>
        </w:tc>
        <w:tc>
          <w:tcPr>
            <w:tcW w:w="1060" w:type="dxa"/>
            <w:vAlign w:val="bottom"/>
          </w:tcPr>
          <w:p>
            <w:pPr>
              <w:jc w:val="right"/>
              <w:spacing w:after="0"/>
              <w:rPr>
                <w:sz w:val="20"/>
                <w:szCs w:val="20"/>
                <w:color w:val="auto"/>
              </w:rPr>
            </w:pPr>
            <w:r>
              <w:rPr>
                <w:rFonts w:ascii="Arial" w:cs="Arial" w:eastAsia="Arial" w:hAnsi="Arial"/>
                <w:sz w:val="20"/>
                <w:szCs w:val="20"/>
                <w:color w:val="231F20"/>
              </w:rPr>
              <w:t>1.3950</w:t>
            </w:r>
          </w:p>
        </w:tc>
        <w:tc>
          <w:tcPr>
            <w:tcW w:w="0" w:type="dxa"/>
            <w:vAlign w:val="bottom"/>
          </w:tcPr>
          <w:p>
            <w:pPr>
              <w:spacing w:after="0"/>
              <w:rPr>
                <w:sz w:val="1"/>
                <w:szCs w:val="1"/>
                <w:color w:val="auto"/>
              </w:rPr>
            </w:pPr>
          </w:p>
        </w:tc>
      </w:tr>
      <w:tr>
        <w:trPr>
          <w:trHeight w:val="240"/>
        </w:trPr>
        <w:tc>
          <w:tcPr>
            <w:tcW w:w="5940" w:type="dxa"/>
            <w:vAlign w:val="bottom"/>
          </w:tcPr>
          <w:p>
            <w:pPr>
              <w:spacing w:after="0"/>
              <w:rPr>
                <w:sz w:val="20"/>
                <w:szCs w:val="20"/>
                <w:color w:val="auto"/>
              </w:rPr>
            </w:pPr>
            <w:r>
              <w:rPr>
                <w:rFonts w:ascii="Arial" w:cs="Arial" w:eastAsia="Arial" w:hAnsi="Arial"/>
                <w:sz w:val="20"/>
                <w:szCs w:val="20"/>
                <w:color w:val="231F20"/>
              </w:rPr>
              <w:t>Year ended December 31, 2025 . . . . . . . . . . . . . . . . . . . . . . . . . . .</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136</w:t>
            </w:r>
          </w:p>
        </w:tc>
        <w:tc>
          <w:tcPr>
            <w:tcW w:w="680" w:type="dxa"/>
            <w:vAlign w:val="bottom"/>
            <w:gridSpan w:val="2"/>
          </w:tcPr>
          <w:p>
            <w:pPr>
              <w:ind w:left="200"/>
              <w:spacing w:after="0"/>
              <w:rPr>
                <w:sz w:val="20"/>
                <w:szCs w:val="20"/>
                <w:color w:val="auto"/>
              </w:rPr>
            </w:pPr>
            <w:r>
              <w:rPr>
                <w:rFonts w:ascii="Arial" w:cs="Arial" w:eastAsia="Arial" w:hAnsi="Arial"/>
                <w:sz w:val="20"/>
                <w:szCs w:val="20"/>
                <w:color w:val="231F20"/>
              </w:rPr>
              <w:t>$</w:t>
            </w:r>
          </w:p>
        </w:tc>
        <w:tc>
          <w:tcPr>
            <w:tcW w:w="1060" w:type="dxa"/>
            <w:vAlign w:val="bottom"/>
          </w:tcPr>
          <w:p>
            <w:pPr>
              <w:jc w:val="right"/>
              <w:spacing w:after="0"/>
              <w:rPr>
                <w:sz w:val="20"/>
                <w:szCs w:val="20"/>
                <w:color w:val="auto"/>
              </w:rPr>
            </w:pPr>
            <w:r>
              <w:rPr>
                <w:rFonts w:ascii="Arial" w:cs="Arial" w:eastAsia="Arial" w:hAnsi="Arial"/>
                <w:sz w:val="20"/>
                <w:szCs w:val="20"/>
                <w:color w:val="231F20"/>
              </w:rPr>
              <w:t>1.5675</w:t>
            </w:r>
          </w:p>
        </w:tc>
        <w:tc>
          <w:tcPr>
            <w:tcW w:w="0" w:type="dxa"/>
            <w:vAlign w:val="bottom"/>
          </w:tcPr>
          <w:p>
            <w:pPr>
              <w:spacing w:after="0"/>
              <w:rPr>
                <w:sz w:val="1"/>
                <w:szCs w:val="1"/>
                <w:color w:val="auto"/>
              </w:rPr>
            </w:pPr>
          </w:p>
        </w:tc>
      </w:tr>
      <w:tr>
        <w:trPr>
          <w:trHeight w:val="28"/>
        </w:trPr>
        <w:tc>
          <w:tcPr>
            <w:tcW w:w="59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4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20"/>
                <w:szCs w:val="20"/>
                <w:color w:val="231F20"/>
              </w:rPr>
              <w:t>$</w:t>
            </w:r>
          </w:p>
        </w:tc>
        <w:tc>
          <w:tcPr>
            <w:tcW w:w="1240" w:type="dxa"/>
            <w:vAlign w:val="bottom"/>
          </w:tcPr>
          <w:p>
            <w:pPr>
              <w:jc w:val="right"/>
              <w:spacing w:after="0"/>
              <w:rPr>
                <w:sz w:val="20"/>
                <w:szCs w:val="20"/>
                <w:color w:val="auto"/>
              </w:rPr>
            </w:pPr>
            <w:r>
              <w:rPr>
                <w:rFonts w:ascii="Arial" w:cs="Arial" w:eastAsia="Arial" w:hAnsi="Arial"/>
                <w:sz w:val="20"/>
                <w:szCs w:val="20"/>
                <w:color w:val="231F20"/>
              </w:rPr>
              <w:t>330</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59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Warrants</w:t>
      </w:r>
    </w:p>
    <w:p>
      <w:pPr>
        <w:spacing w:after="0" w:line="215" w:lineRule="exact"/>
        <w:rPr>
          <w:sz w:val="20"/>
          <w:szCs w:val="20"/>
          <w:color w:val="auto"/>
        </w:rPr>
      </w:pPr>
    </w:p>
    <w:p>
      <w:pPr>
        <w:ind w:right="120" w:firstLine="300"/>
        <w:spacing w:after="0" w:line="246" w:lineRule="auto"/>
        <w:rPr>
          <w:sz w:val="20"/>
          <w:szCs w:val="20"/>
          <w:color w:val="auto"/>
        </w:rPr>
      </w:pPr>
      <w:r>
        <w:rPr>
          <w:rFonts w:ascii="Arial" w:cs="Arial" w:eastAsia="Arial" w:hAnsi="Arial"/>
          <w:sz w:val="20"/>
          <w:szCs w:val="20"/>
          <w:color w:val="231F20"/>
        </w:rPr>
        <w:t>In October 2020, we reserved an aggregate 4,384,182 shares of our common stock for issuance upon the exercise of warrants, which were exercisable at $36 per share through October 28, 2024. As of December 31, 2025, we had no outstanding warrants.</w:t>
      </w:r>
    </w:p>
    <w:p>
      <w:pPr>
        <w:sectPr>
          <w:pgSz w:w="11880" w:h="15480" w:orient="portrait"/>
          <w:cols w:equalWidth="0" w:num="1">
            <w:col w:w="9120"/>
          </w:cols>
          <w:pgMar w:left="1380" w:top="1242"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130</w:t>
      </w:r>
    </w:p>
    <w:p>
      <w:pPr>
        <w:sectPr>
          <w:pgSz w:w="11880" w:h="15480" w:orient="portrait"/>
          <w:cols w:equalWidth="0" w:num="1">
            <w:col w:w="9120"/>
          </w:cols>
          <w:pgMar w:left="1380" w:top="1242" w:right="1380" w:bottom="660"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b w:val="1"/>
          <w:bCs w:val="1"/>
          <w:i w:val="1"/>
          <w:iCs w:val="1"/>
          <w:color w:val="231F20"/>
        </w:rPr>
        <w:t>Accumulated Other Comprehensive Income</w:t>
      </w:r>
    </w:p>
    <w:p>
      <w:pPr>
        <w:spacing w:after="0" w:line="215" w:lineRule="exact"/>
        <w:rPr>
          <w:sz w:val="20"/>
          <w:szCs w:val="20"/>
          <w:color w:val="auto"/>
        </w:rPr>
      </w:pPr>
    </w:p>
    <w:p>
      <w:pPr>
        <w:ind w:right="700" w:firstLine="300"/>
        <w:spacing w:after="0" w:line="246" w:lineRule="auto"/>
        <w:rPr>
          <w:sz w:val="20"/>
          <w:szCs w:val="20"/>
          <w:color w:val="auto"/>
        </w:rPr>
      </w:pPr>
      <w:r>
        <w:rPr>
          <w:rFonts w:ascii="Arial" w:cs="Arial" w:eastAsia="Arial" w:hAnsi="Arial"/>
          <w:sz w:val="20"/>
          <w:szCs w:val="20"/>
          <w:color w:val="231F20"/>
        </w:rPr>
        <w:t xml:space="preserve">Accumulated other comprehensive income consists of after-tax amounts for our pension and postretirement benefit plans. See </w:t>
      </w:r>
      <w:r>
        <w:rPr>
          <w:rFonts w:ascii="Arial" w:cs="Arial" w:eastAsia="Arial" w:hAnsi="Arial"/>
          <w:sz w:val="20"/>
          <w:szCs w:val="20"/>
          <w:i w:val="1"/>
          <w:iCs w:val="1"/>
          <w:color w:val="231F20"/>
        </w:rPr>
        <w:t>Note 14 Pension and Postretirement Benefit Plans</w:t>
      </w:r>
      <w:r>
        <w:rPr>
          <w:rFonts w:ascii="Arial" w:cs="Arial" w:eastAsia="Arial" w:hAnsi="Arial"/>
          <w:sz w:val="20"/>
          <w:szCs w:val="20"/>
          <w:color w:val="231F20"/>
        </w:rPr>
        <w:t xml:space="preserve"> for further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80" w:type="dxa"/>
            <w:vAlign w:val="bottom"/>
          </w:tcPr>
          <w:p>
            <w:pPr>
              <w:spacing w:after="0"/>
              <w:rPr>
                <w:sz w:val="21"/>
                <w:szCs w:val="21"/>
                <w:color w:val="auto"/>
              </w:rPr>
            </w:pPr>
          </w:p>
        </w:tc>
        <w:tc>
          <w:tcPr>
            <w:tcW w:w="980" w:type="dxa"/>
            <w:vAlign w:val="bottom"/>
            <w:tcBorders>
              <w:bottom w:val="single" w:sz="8" w:color="231F20"/>
            </w:tcBorders>
          </w:tcPr>
          <w:p>
            <w:pPr>
              <w:spacing w:after="0"/>
              <w:rPr>
                <w:sz w:val="21"/>
                <w:szCs w:val="21"/>
                <w:color w:val="auto"/>
              </w:rPr>
            </w:pPr>
          </w:p>
        </w:tc>
        <w:tc>
          <w:tcPr>
            <w:tcW w:w="2580" w:type="dxa"/>
            <w:vAlign w:val="bottom"/>
            <w:tcBorders>
              <w:bottom w:val="single" w:sz="8" w:color="231F20"/>
            </w:tcBorders>
            <w:gridSpan w:val="6"/>
          </w:tcPr>
          <w:p>
            <w:pPr>
              <w:jc w:val="center"/>
              <w:spacing w:after="0"/>
              <w:rPr>
                <w:sz w:val="20"/>
                <w:szCs w:val="20"/>
                <w:color w:val="auto"/>
              </w:rPr>
            </w:pPr>
            <w:r>
              <w:rPr>
                <w:rFonts w:ascii="Arial" w:cs="Arial" w:eastAsia="Arial" w:hAnsi="Arial"/>
                <w:sz w:val="20"/>
                <w:szCs w:val="20"/>
                <w:b w:val="1"/>
                <w:bCs w:val="1"/>
                <w:color w:val="231F20"/>
              </w:rPr>
              <w:t>Year ended December 31,</w:t>
            </w:r>
          </w:p>
        </w:tc>
        <w:tc>
          <w:tcPr>
            <w:tcW w:w="98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80" w:type="dxa"/>
            <w:vAlign w:val="bottom"/>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400" w:type="dxa"/>
            <w:vAlign w:val="bottom"/>
            <w:tcBorders>
              <w:bottom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center"/>
              <w:ind w:right="141"/>
              <w:spacing w:after="0"/>
              <w:rPr>
                <w:sz w:val="20"/>
                <w:szCs w:val="20"/>
                <w:color w:val="auto"/>
              </w:rPr>
            </w:pPr>
            <w:r>
              <w:rPr>
                <w:rFonts w:ascii="Arial" w:cs="Arial" w:eastAsia="Arial" w:hAnsi="Arial"/>
                <w:sz w:val="20"/>
                <w:szCs w:val="20"/>
                <w:b w:val="1"/>
                <w:bCs w:val="1"/>
                <w:color w:val="231F20"/>
                <w:w w:val="98"/>
              </w:rPr>
              <w:t>2024</w:t>
            </w:r>
          </w:p>
        </w:tc>
        <w:tc>
          <w:tcPr>
            <w:tcW w:w="200" w:type="dxa"/>
            <w:vAlign w:val="bottom"/>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360"/>
              <w:spacing w:after="0"/>
              <w:rPr>
                <w:sz w:val="20"/>
                <w:szCs w:val="20"/>
                <w:color w:val="auto"/>
              </w:rPr>
            </w:pPr>
            <w:r>
              <w:rPr>
                <w:rFonts w:ascii="Arial" w:cs="Arial" w:eastAsia="Arial" w:hAnsi="Arial"/>
                <w:sz w:val="20"/>
                <w:szCs w:val="20"/>
                <w:b w:val="1"/>
                <w:bCs w:val="1"/>
                <w:color w:val="231F20"/>
              </w:rPr>
              <w:t>2023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color w:val="231F20"/>
                <w:w w:val="98"/>
              </w:rPr>
              <w:t>(in millions)</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580" w:type="dxa"/>
            <w:vAlign w:val="bottom"/>
          </w:tcPr>
          <w:p>
            <w:pPr>
              <w:spacing w:after="0"/>
              <w:rPr>
                <w:sz w:val="20"/>
                <w:szCs w:val="20"/>
                <w:color w:val="auto"/>
              </w:rPr>
            </w:pPr>
            <w:r>
              <w:rPr>
                <w:rFonts w:ascii="Arial" w:cs="Arial" w:eastAsia="Arial" w:hAnsi="Arial"/>
                <w:sz w:val="20"/>
                <w:szCs w:val="20"/>
                <w:color w:val="231F20"/>
              </w:rPr>
              <w:t>Beginning accumulated other comprehensive</w:t>
            </w: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income . . . . . . . . . . . . . . . . . . . . . . . . . . . . . . . . . . .</w:t>
            </w:r>
          </w:p>
        </w:tc>
        <w:tc>
          <w:tcPr>
            <w:tcW w:w="980" w:type="dxa"/>
            <w:vAlign w:val="bottom"/>
          </w:tcPr>
          <w:p>
            <w:pPr>
              <w:jc w:val="right"/>
              <w:ind w:right="720"/>
              <w:spacing w:after="0"/>
              <w:rPr>
                <w:sz w:val="20"/>
                <w:szCs w:val="20"/>
                <w:color w:val="auto"/>
              </w:rPr>
            </w:pPr>
            <w:r>
              <w:rPr>
                <w:rFonts w:ascii="Arial" w:cs="Arial" w:eastAsia="Arial" w:hAnsi="Arial"/>
                <w:sz w:val="20"/>
                <w:szCs w:val="20"/>
                <w:color w:val="231F20"/>
              </w:rPr>
              <w:t>$</w:t>
            </w:r>
          </w:p>
        </w:tc>
        <w:tc>
          <w:tcPr>
            <w:tcW w:w="400" w:type="dxa"/>
            <w:vAlign w:val="bottom"/>
          </w:tcPr>
          <w:p>
            <w:pPr>
              <w:jc w:val="right"/>
              <w:spacing w:after="0"/>
              <w:rPr>
                <w:sz w:val="20"/>
                <w:szCs w:val="20"/>
                <w:color w:val="auto"/>
              </w:rPr>
            </w:pPr>
            <w:r>
              <w:rPr>
                <w:rFonts w:ascii="Arial" w:cs="Arial" w:eastAsia="Arial" w:hAnsi="Arial"/>
                <w:sz w:val="20"/>
                <w:szCs w:val="20"/>
                <w:color w:val="231F20"/>
              </w:rPr>
              <w:t>75</w:t>
            </w: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74</w:t>
            </w:r>
          </w:p>
        </w:tc>
        <w:tc>
          <w:tcPr>
            <w:tcW w:w="400" w:type="dxa"/>
            <w:vAlign w:val="bottom"/>
          </w:tcPr>
          <w:p>
            <w:pPr>
              <w:jc w:val="right"/>
              <w:ind w:right="140"/>
              <w:spacing w:after="0"/>
              <w:rPr>
                <w:sz w:val="20"/>
                <w:szCs w:val="20"/>
                <w:color w:val="auto"/>
              </w:rPr>
            </w:pPr>
            <w:r>
              <w:rPr>
                <w:rFonts w:ascii="Arial" w:cs="Arial" w:eastAsia="Arial" w:hAnsi="Arial"/>
                <w:sz w:val="20"/>
                <w:szCs w:val="20"/>
                <w:color w:val="231F20"/>
              </w:rPr>
              <w:t>$</w:t>
            </w: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231F20"/>
              </w:rPr>
              <w:t>81</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Actuarial gain (loss) associated with pension and</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postretirement . . . . . . . . . . . . . . . . . . . . . . . . . . . . .</w:t>
            </w: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231F20"/>
              </w:rPr>
              <w:t>26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4</w:t>
            </w: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231F20"/>
              </w:rPr>
              <w:t>(2)</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Prior service credit  . . . . . . . . . . . . . . . . . . . . . . . . .</w:t>
            </w:r>
          </w:p>
        </w:tc>
        <w:tc>
          <w:tcPr>
            <w:tcW w:w="9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3</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Recognition of prior service credit due to</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curtailment . . . . . . . . . . . . . . . . . . . . . . . . . . . . . . . .</w:t>
            </w:r>
          </w:p>
        </w:tc>
        <w:tc>
          <w:tcPr>
            <w:tcW w:w="9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231F20"/>
              </w:rPr>
              <w:t>(3)</w:t>
            </w:r>
          </w:p>
        </w:tc>
        <w:tc>
          <w:tcPr>
            <w:tcW w:w="0" w:type="dxa"/>
            <w:vAlign w:val="bottom"/>
          </w:tcPr>
          <w:p>
            <w:pPr>
              <w:spacing w:after="0"/>
              <w:rPr>
                <w:sz w:val="1"/>
                <w:szCs w:val="1"/>
                <w:color w:val="auto"/>
              </w:rPr>
            </w:pPr>
          </w:p>
        </w:tc>
      </w:tr>
      <w:tr>
        <w:trPr>
          <w:trHeight w:val="242"/>
        </w:trPr>
        <w:tc>
          <w:tcPr>
            <w:tcW w:w="4580" w:type="dxa"/>
            <w:vAlign w:val="bottom"/>
          </w:tcPr>
          <w:p>
            <w:pPr>
              <w:spacing w:after="0"/>
              <w:rPr>
                <w:sz w:val="20"/>
                <w:szCs w:val="20"/>
                <w:color w:val="auto"/>
              </w:rPr>
            </w:pPr>
            <w:r>
              <w:rPr>
                <w:rFonts w:ascii="Arial" w:cs="Arial" w:eastAsia="Arial" w:hAnsi="Arial"/>
                <w:sz w:val="20"/>
                <w:szCs w:val="20"/>
                <w:color w:val="231F20"/>
              </w:rPr>
              <w:t>Recognition of net actuarial loss due to</w:t>
            </w: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settlement . . . . . . . . . . . . . . . . . . . . . . . . . . . . . . . .</w:t>
            </w:r>
          </w:p>
        </w:tc>
        <w:tc>
          <w:tcPr>
            <w:tcW w:w="9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20"/>
                <w:szCs w:val="20"/>
                <w:color w:val="231F20"/>
              </w:rPr>
              <w:t>(2)</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Recognition of net actuarial loss due to</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curtailment . . . . . . . . . . . . . . . . . . . . . . . . . . . . . . . .</w:t>
            </w:r>
          </w:p>
        </w:tc>
        <w:tc>
          <w:tcPr>
            <w:tcW w:w="9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2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231F20"/>
              </w:rPr>
              <w:t>(4)</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Recognition of net actuarial gain due to special</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termination benefits  . . . . . . . . . . . . . . . . . . . . . . . .</w:t>
            </w:r>
          </w:p>
        </w:tc>
        <w:tc>
          <w:tcPr>
            <w:tcW w:w="9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4</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Amortization of prior service credit  . . . . . . . . . . . .</w:t>
            </w:r>
          </w:p>
        </w:tc>
        <w:tc>
          <w:tcPr>
            <w:tcW w:w="9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20"/>
                <w:szCs w:val="20"/>
                <w:color w:val="231F20"/>
              </w:rPr>
              <w:t>(5)</w:t>
            </w:r>
          </w:p>
        </w:tc>
        <w:tc>
          <w:tcPr>
            <w:tcW w:w="2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231F20"/>
              </w:rPr>
              <w:t>(5)</w:t>
            </w:r>
          </w:p>
        </w:tc>
        <w:tc>
          <w:tcPr>
            <w:tcW w:w="4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231F20"/>
              </w:rPr>
              <w:t>(5)</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Amortization of net actuarial gain  . . . . . . . . . . . . .</w:t>
            </w:r>
          </w:p>
        </w:tc>
        <w:tc>
          <w:tcPr>
            <w:tcW w:w="9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20"/>
                <w:szCs w:val="20"/>
                <w:color w:val="231F20"/>
              </w:rPr>
              <w:t>(2)</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580" w:type="dxa"/>
            <w:vAlign w:val="bottom"/>
          </w:tcPr>
          <w:p>
            <w:pPr>
              <w:spacing w:after="0"/>
              <w:rPr>
                <w:sz w:val="20"/>
                <w:szCs w:val="20"/>
                <w:color w:val="auto"/>
              </w:rPr>
            </w:pPr>
            <w:r>
              <w:rPr>
                <w:rFonts w:ascii="Arial" w:cs="Arial" w:eastAsia="Arial" w:hAnsi="Arial"/>
                <w:sz w:val="20"/>
                <w:szCs w:val="20"/>
                <w:color w:val="231F20"/>
              </w:rPr>
              <w:t>Other comprehensive income (loss) . . . . . . . . . . .</w:t>
            </w:r>
          </w:p>
        </w:tc>
        <w:tc>
          <w:tcPr>
            <w:tcW w:w="9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231F20"/>
              </w:rPr>
              <w:t>17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2</w:t>
            </w:r>
          </w:p>
        </w:tc>
        <w:tc>
          <w:tcPr>
            <w:tcW w:w="4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231F20"/>
              </w:rPr>
              <w:t>(10)</w:t>
            </w:r>
          </w:p>
        </w:tc>
        <w:tc>
          <w:tcPr>
            <w:tcW w:w="0" w:type="dxa"/>
            <w:vAlign w:val="bottom"/>
          </w:tcPr>
          <w:p>
            <w:pPr>
              <w:spacing w:after="0"/>
              <w:rPr>
                <w:sz w:val="1"/>
                <w:szCs w:val="1"/>
                <w:color w:val="auto"/>
              </w:rPr>
            </w:pPr>
          </w:p>
        </w:tc>
      </w:tr>
      <w:tr>
        <w:trPr>
          <w:trHeight w:val="28"/>
        </w:trPr>
        <w:tc>
          <w:tcPr>
            <w:tcW w:w="4580" w:type="dxa"/>
            <w:vAlign w:val="bottom"/>
            <w:vMerge w:val="restart"/>
          </w:tcPr>
          <w:p>
            <w:pPr>
              <w:spacing w:after="0"/>
              <w:rPr>
                <w:sz w:val="20"/>
                <w:szCs w:val="20"/>
                <w:color w:val="auto"/>
              </w:rPr>
            </w:pPr>
            <w:r>
              <w:rPr>
                <w:rFonts w:ascii="Arial" w:cs="Arial" w:eastAsia="Arial" w:hAnsi="Arial"/>
                <w:sz w:val="20"/>
                <w:szCs w:val="20"/>
                <w:color w:val="231F20"/>
              </w:rPr>
              <w:t>Total recorded in accumulated other</w:t>
            </w:r>
          </w:p>
        </w:tc>
        <w:tc>
          <w:tcPr>
            <w:tcW w:w="9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580" w:type="dxa"/>
            <w:vAlign w:val="bottom"/>
            <w:vMerge w:val="continue"/>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comprehensive income, before tax . . . . . . . . . . . .</w:t>
            </w: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231F20"/>
              </w:rPr>
              <w:t>92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76</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231F20"/>
              </w:rPr>
              <w:t>71</w:t>
            </w: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Income tax (provision) benefit . . . . . . . . . . . . . . . .</w:t>
            </w:r>
          </w:p>
        </w:tc>
        <w:tc>
          <w:tcPr>
            <w:tcW w:w="9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20"/>
                <w:szCs w:val="20"/>
                <w:color w:val="231F20"/>
              </w:rPr>
              <w:t>(5)</w:t>
            </w:r>
          </w:p>
        </w:tc>
        <w:tc>
          <w:tcPr>
            <w:tcW w:w="2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231F20"/>
              </w:rPr>
              <w:t>(1)</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231F20"/>
              </w:rPr>
              <w:t>3</w:t>
            </w:r>
          </w:p>
        </w:tc>
        <w:tc>
          <w:tcPr>
            <w:tcW w:w="0" w:type="dxa"/>
            <w:vAlign w:val="bottom"/>
          </w:tcPr>
          <w:p>
            <w:pPr>
              <w:spacing w:after="0"/>
              <w:rPr>
                <w:sz w:val="1"/>
                <w:szCs w:val="1"/>
                <w:color w:val="auto"/>
              </w:rPr>
            </w:pPr>
          </w:p>
        </w:tc>
      </w:tr>
      <w:tr>
        <w:trPr>
          <w:trHeight w:val="28"/>
        </w:trPr>
        <w:tc>
          <w:tcPr>
            <w:tcW w:w="4580" w:type="dxa"/>
            <w:vAlign w:val="bottom"/>
            <w:vMerge w:val="restart"/>
          </w:tcPr>
          <w:p>
            <w:pPr>
              <w:spacing w:after="0"/>
              <w:rPr>
                <w:sz w:val="20"/>
                <w:szCs w:val="20"/>
                <w:color w:val="auto"/>
              </w:rPr>
            </w:pPr>
            <w:r>
              <w:rPr>
                <w:rFonts w:ascii="Arial" w:cs="Arial" w:eastAsia="Arial" w:hAnsi="Arial"/>
                <w:sz w:val="20"/>
                <w:szCs w:val="20"/>
                <w:color w:val="231F20"/>
              </w:rPr>
              <w:t>Total recorded in accumulated other</w:t>
            </w:r>
          </w:p>
        </w:tc>
        <w:tc>
          <w:tcPr>
            <w:tcW w:w="9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580" w:type="dxa"/>
            <w:vAlign w:val="bottom"/>
            <w:vMerge w:val="continue"/>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20"/>
                <w:szCs w:val="20"/>
                <w:color w:val="231F20"/>
              </w:rPr>
              <w:t>comprehensive income, net of tax . . . . . . . . . . . . .</w:t>
            </w:r>
          </w:p>
        </w:tc>
        <w:tc>
          <w:tcPr>
            <w:tcW w:w="980" w:type="dxa"/>
            <w:vAlign w:val="bottom"/>
          </w:tcPr>
          <w:p>
            <w:pPr>
              <w:jc w:val="right"/>
              <w:ind w:right="720"/>
              <w:spacing w:after="0"/>
              <w:rPr>
                <w:sz w:val="20"/>
                <w:szCs w:val="20"/>
                <w:color w:val="auto"/>
              </w:rPr>
            </w:pPr>
            <w:r>
              <w:rPr>
                <w:rFonts w:ascii="Arial" w:cs="Arial" w:eastAsia="Arial" w:hAnsi="Arial"/>
                <w:sz w:val="20"/>
                <w:szCs w:val="20"/>
                <w:color w:val="231F20"/>
              </w:rPr>
              <w:t>$</w:t>
            </w:r>
          </w:p>
        </w:tc>
        <w:tc>
          <w:tcPr>
            <w:tcW w:w="400" w:type="dxa"/>
            <w:vAlign w:val="bottom"/>
          </w:tcPr>
          <w:p>
            <w:pPr>
              <w:jc w:val="right"/>
              <w:spacing w:after="0"/>
              <w:rPr>
                <w:sz w:val="20"/>
                <w:szCs w:val="20"/>
                <w:color w:val="auto"/>
              </w:rPr>
            </w:pPr>
            <w:r>
              <w:rPr>
                <w:rFonts w:ascii="Arial" w:cs="Arial" w:eastAsia="Arial" w:hAnsi="Arial"/>
                <w:sz w:val="20"/>
                <w:szCs w:val="20"/>
                <w:color w:val="231F20"/>
              </w:rPr>
              <w:t>87</w:t>
            </w: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1360" w:type="dxa"/>
            <w:vAlign w:val="bottom"/>
            <w:gridSpan w:val="2"/>
          </w:tcPr>
          <w:p>
            <w:pPr>
              <w:jc w:val="right"/>
              <w:ind w:right="200"/>
              <w:spacing w:after="0"/>
              <w:rPr>
                <w:sz w:val="20"/>
                <w:szCs w:val="20"/>
                <w:color w:val="auto"/>
              </w:rPr>
            </w:pPr>
            <w:r>
              <w:rPr>
                <w:rFonts w:ascii="Arial" w:cs="Arial" w:eastAsia="Arial" w:hAnsi="Arial"/>
                <w:sz w:val="20"/>
                <w:szCs w:val="20"/>
                <w:color w:val="231F20"/>
              </w:rPr>
              <w:t>75</w:t>
            </w:r>
          </w:p>
        </w:tc>
        <w:tc>
          <w:tcPr>
            <w:tcW w:w="400" w:type="dxa"/>
            <w:vAlign w:val="bottom"/>
          </w:tcPr>
          <w:p>
            <w:pPr>
              <w:jc w:val="right"/>
              <w:ind w:right="140"/>
              <w:spacing w:after="0"/>
              <w:rPr>
                <w:sz w:val="20"/>
                <w:szCs w:val="20"/>
                <w:color w:val="auto"/>
              </w:rPr>
            </w:pPr>
            <w:r>
              <w:rPr>
                <w:rFonts w:ascii="Arial" w:cs="Arial" w:eastAsia="Arial" w:hAnsi="Arial"/>
                <w:sz w:val="20"/>
                <w:szCs w:val="20"/>
                <w:color w:val="231F20"/>
              </w:rPr>
              <w:t>$</w:t>
            </w: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231F20"/>
              </w:rPr>
              <w:t>74</w:t>
            </w:r>
          </w:p>
        </w:tc>
        <w:tc>
          <w:tcPr>
            <w:tcW w:w="0" w:type="dxa"/>
            <w:vAlign w:val="bottom"/>
          </w:tcPr>
          <w:p>
            <w:pPr>
              <w:spacing w:after="0"/>
              <w:rPr>
                <w:sz w:val="1"/>
                <w:szCs w:val="1"/>
                <w:color w:val="auto"/>
              </w:rPr>
            </w:pPr>
          </w:p>
        </w:tc>
      </w:tr>
      <w:tr>
        <w:trPr>
          <w:trHeight w:val="28"/>
        </w:trPr>
        <w:tc>
          <w:tcPr>
            <w:tcW w:w="45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231F20"/>
        </w:rPr>
        <w:t>NOTE 12</w:t>
      </w:r>
      <w:r>
        <w:rPr>
          <w:sz w:val="20"/>
          <w:szCs w:val="20"/>
          <w:color w:val="auto"/>
        </w:rPr>
        <w:tab/>
      </w:r>
      <w:r>
        <w:rPr>
          <w:rFonts w:ascii="Arial" w:cs="Arial" w:eastAsia="Arial" w:hAnsi="Arial"/>
          <w:sz w:val="19"/>
          <w:szCs w:val="19"/>
          <w:b w:val="1"/>
          <w:bCs w:val="1"/>
          <w:color w:val="231F20"/>
        </w:rPr>
        <w:t>EARNINGS PER SHARE</w:t>
      </w:r>
    </w:p>
    <w:p>
      <w:pPr>
        <w:spacing w:after="0" w:line="215" w:lineRule="exact"/>
        <w:rPr>
          <w:sz w:val="20"/>
          <w:szCs w:val="20"/>
          <w:color w:val="auto"/>
        </w:rPr>
      </w:pPr>
    </w:p>
    <w:p>
      <w:pPr>
        <w:ind w:right="160" w:firstLine="300"/>
        <w:spacing w:after="0" w:line="267" w:lineRule="auto"/>
        <w:rPr>
          <w:sz w:val="20"/>
          <w:szCs w:val="20"/>
          <w:color w:val="auto"/>
        </w:rPr>
      </w:pPr>
      <w:r>
        <w:rPr>
          <w:rFonts w:ascii="Arial" w:cs="Arial" w:eastAsia="Arial" w:hAnsi="Arial"/>
          <w:sz w:val="19"/>
          <w:szCs w:val="19"/>
          <w:color w:val="231F20"/>
        </w:rPr>
        <w:t xml:space="preserve">Basic and diluted earnings per share (EPS) were calculated using the treasury stock method. Our restricted and performance stock unit awards, as described in </w:t>
      </w:r>
      <w:r>
        <w:rPr>
          <w:rFonts w:ascii="Arial" w:cs="Arial" w:eastAsia="Arial" w:hAnsi="Arial"/>
          <w:sz w:val="19"/>
          <w:szCs w:val="19"/>
          <w:i w:val="1"/>
          <w:iCs w:val="1"/>
          <w:color w:val="231F20"/>
        </w:rPr>
        <w:t>Note 10 Stock-Based Compensation</w:t>
      </w:r>
      <w:r>
        <w:rPr>
          <w:rFonts w:ascii="Arial" w:cs="Arial" w:eastAsia="Arial" w:hAnsi="Arial"/>
          <w:sz w:val="19"/>
          <w:szCs w:val="19"/>
          <w:color w:val="231F20"/>
        </w:rPr>
        <w:t>, are not considered participating securities since the dividend rights on unvested shares are forfeitable.</w:t>
      </w:r>
    </w:p>
    <w:p>
      <w:pPr>
        <w:spacing w:after="0" w:line="191"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For basic EPS, the weighted-average number of common shares outstanding excludes underlying shares related to equity-settled awards and warrants. For diluted EPS, the basic shares outstanding are adjusted by adding potential common shares, if dilutive. Under the treasury stock method, we assume that proceeds from the exercise of options, warrants and similar instruments are used to purchase common stock at average market price of our stock each period. For PSUs, we measure the performance of our common stock against certain market conditions to determine the percentage earned for each period and the number of potential common shares included in diluted EPS. An insignificant number of potential common shares were not earned, and therefore were not treated as issued in our diluted EPS calculation for the year ended December 31, 2025.</w:t>
      </w:r>
    </w:p>
    <w:p>
      <w:pPr>
        <w:sectPr>
          <w:pgSz w:w="11880" w:h="15480" w:orient="portrait"/>
          <w:cols w:equalWidth="0" w:num="1">
            <w:col w:w="9180"/>
          </w:cols>
          <w:pgMar w:left="1380" w:top="1312" w:right="132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231F20"/>
        </w:rPr>
        <w:t>131</w:t>
      </w:r>
    </w:p>
    <w:p>
      <w:pPr>
        <w:sectPr>
          <w:pgSz w:w="11880" w:h="15480" w:orient="portrait"/>
          <w:cols w:equalWidth="0" w:num="1">
            <w:col w:w="9180"/>
          </w:cols>
          <w:pgMar w:left="1380" w:top="1312" w:right="1320" w:bottom="660" w:gutter="0" w:footer="0" w:header="0"/>
          <w:type w:val="continuous"/>
        </w:sectPr>
      </w:pPr>
    </w:p>
    <w:bookmarkStart w:id="135" w:name="page136"/>
    <w:bookmarkEnd w:id="135"/>
    <w:p>
      <w:pPr>
        <w:ind w:left="300"/>
        <w:spacing w:after="0"/>
        <w:rPr>
          <w:sz w:val="20"/>
          <w:szCs w:val="20"/>
          <w:color w:val="auto"/>
        </w:rPr>
      </w:pPr>
      <w:r>
        <w:rPr>
          <w:rFonts w:ascii="Arial" w:cs="Arial" w:eastAsia="Arial" w:hAnsi="Arial"/>
          <w:sz w:val="20"/>
          <w:szCs w:val="20"/>
          <w:color w:val="231F20"/>
        </w:rPr>
        <w:t>The following table presents the calculation of basic and diluted EPS.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80" w:type="dxa"/>
            <w:vAlign w:val="bottom"/>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2560" w:type="dxa"/>
            <w:vAlign w:val="bottom"/>
            <w:tcBorders>
              <w:bottom w:val="single" w:sz="8" w:color="231F20"/>
            </w:tcBorders>
            <w:gridSpan w:val="6"/>
          </w:tcPr>
          <w:p>
            <w:pPr>
              <w:jc w:val="center"/>
              <w:spacing w:after="0"/>
              <w:rPr>
                <w:sz w:val="20"/>
                <w:szCs w:val="20"/>
                <w:color w:val="auto"/>
              </w:rPr>
            </w:pPr>
            <w:r>
              <w:rPr>
                <w:rFonts w:ascii="Arial" w:cs="Arial" w:eastAsia="Arial" w:hAnsi="Arial"/>
                <w:sz w:val="20"/>
                <w:szCs w:val="20"/>
                <w:b w:val="1"/>
                <w:bCs w:val="1"/>
                <w:color w:val="231F20"/>
              </w:rPr>
              <w:t>Year ended December 31,</w:t>
            </w:r>
          </w:p>
        </w:tc>
        <w:tc>
          <w:tcPr>
            <w:tcW w:w="9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680" w:type="dxa"/>
            <w:vAlign w:val="bottom"/>
          </w:tcPr>
          <w:p>
            <w:pPr>
              <w:spacing w:after="0"/>
              <w:rPr>
                <w:sz w:val="22"/>
                <w:szCs w:val="22"/>
                <w:color w:val="auto"/>
              </w:rPr>
            </w:pPr>
          </w:p>
        </w:tc>
        <w:tc>
          <w:tcPr>
            <w:tcW w:w="92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420" w:type="dxa"/>
            <w:vAlign w:val="bottom"/>
            <w:tcBorders>
              <w:bottom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center"/>
              <w:ind w:right="200"/>
              <w:spacing w:after="0"/>
              <w:rPr>
                <w:sz w:val="20"/>
                <w:szCs w:val="20"/>
                <w:color w:val="auto"/>
              </w:rPr>
            </w:pPr>
            <w:r>
              <w:rPr>
                <w:rFonts w:ascii="Arial" w:cs="Arial" w:eastAsia="Arial" w:hAnsi="Arial"/>
                <w:sz w:val="20"/>
                <w:szCs w:val="20"/>
                <w:b w:val="1"/>
                <w:bCs w:val="1"/>
                <w:color w:val="231F20"/>
                <w:w w:val="98"/>
              </w:rPr>
              <w:t>2024</w:t>
            </w:r>
          </w:p>
        </w:tc>
        <w:tc>
          <w:tcPr>
            <w:tcW w:w="200" w:type="dxa"/>
            <w:vAlign w:val="bottom"/>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360"/>
              <w:spacing w:after="0"/>
              <w:rPr>
                <w:sz w:val="20"/>
                <w:szCs w:val="20"/>
                <w:color w:val="auto"/>
              </w:rPr>
            </w:pPr>
            <w:r>
              <w:rPr>
                <w:rFonts w:ascii="Arial" w:cs="Arial" w:eastAsia="Arial" w:hAnsi="Arial"/>
                <w:sz w:val="20"/>
                <w:szCs w:val="20"/>
                <w:b w:val="1"/>
                <w:bCs w:val="1"/>
                <w:color w:val="231F20"/>
              </w:rPr>
              <w:t>2023</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4440" w:type="dxa"/>
            <w:vAlign w:val="bottom"/>
            <w:gridSpan w:val="8"/>
          </w:tcPr>
          <w:p>
            <w:pPr>
              <w:jc w:val="center"/>
              <w:spacing w:after="0"/>
              <w:rPr>
                <w:sz w:val="20"/>
                <w:szCs w:val="20"/>
                <w:color w:val="auto"/>
              </w:rPr>
            </w:pPr>
            <w:r>
              <w:rPr>
                <w:rFonts w:ascii="Arial" w:cs="Arial" w:eastAsia="Arial" w:hAnsi="Arial"/>
                <w:sz w:val="16"/>
                <w:szCs w:val="16"/>
                <w:color w:val="231F20"/>
                <w:w w:val="99"/>
              </w:rPr>
              <w:t>(in millions, except per share amounts)</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20"/>
                <w:szCs w:val="20"/>
                <w:b w:val="1"/>
                <w:bCs w:val="1"/>
                <w:color w:val="231F20"/>
              </w:rPr>
              <w:t>Numerator for Basic and Diluted EPS</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680" w:type="dxa"/>
            <w:vAlign w:val="bottom"/>
          </w:tcPr>
          <w:p>
            <w:pPr>
              <w:ind w:left="200"/>
              <w:spacing w:after="0"/>
              <w:rPr>
                <w:sz w:val="20"/>
                <w:szCs w:val="20"/>
                <w:color w:val="auto"/>
              </w:rPr>
            </w:pPr>
            <w:r>
              <w:rPr>
                <w:rFonts w:ascii="Arial" w:cs="Arial" w:eastAsia="Arial" w:hAnsi="Arial"/>
                <w:sz w:val="20"/>
                <w:szCs w:val="20"/>
                <w:color w:val="231F20"/>
              </w:rPr>
              <w:t>Net income  . . . . . . . . . . . . . . . . . . . . . . . . . . . . . .</w:t>
            </w:r>
          </w:p>
        </w:tc>
        <w:tc>
          <w:tcPr>
            <w:tcW w:w="920" w:type="dxa"/>
            <w:vAlign w:val="bottom"/>
          </w:tcPr>
          <w:p>
            <w:pPr>
              <w:jc w:val="right"/>
              <w:ind w:right="664"/>
              <w:spacing w:after="0"/>
              <w:rPr>
                <w:sz w:val="20"/>
                <w:szCs w:val="20"/>
                <w:color w:val="auto"/>
              </w:rPr>
            </w:pPr>
            <w:r>
              <w:rPr>
                <w:rFonts w:ascii="Arial" w:cs="Arial" w:eastAsia="Arial" w:hAnsi="Arial"/>
                <w:sz w:val="20"/>
                <w:szCs w:val="20"/>
                <w:color w:val="231F20"/>
              </w:rPr>
              <w:t>$</w:t>
            </w:r>
          </w:p>
        </w:tc>
        <w:tc>
          <w:tcPr>
            <w:tcW w:w="620" w:type="dxa"/>
            <w:vAlign w:val="bottom"/>
            <w:gridSpan w:val="2"/>
          </w:tcPr>
          <w:p>
            <w:pPr>
              <w:jc w:val="right"/>
              <w:ind w:right="200"/>
              <w:spacing w:after="0"/>
              <w:rPr>
                <w:sz w:val="20"/>
                <w:szCs w:val="20"/>
                <w:color w:val="auto"/>
              </w:rPr>
            </w:pPr>
            <w:r>
              <w:rPr>
                <w:rFonts w:ascii="Arial" w:cs="Arial" w:eastAsia="Arial" w:hAnsi="Arial"/>
                <w:sz w:val="20"/>
                <w:szCs w:val="20"/>
                <w:color w:val="231F20"/>
              </w:rPr>
              <w:t>363</w:t>
            </w:r>
          </w:p>
        </w:tc>
        <w:tc>
          <w:tcPr>
            <w:tcW w:w="30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376</w:t>
            </w:r>
          </w:p>
        </w:tc>
        <w:tc>
          <w:tcPr>
            <w:tcW w:w="380" w:type="dxa"/>
            <w:vAlign w:val="bottom"/>
          </w:tcPr>
          <w:p>
            <w:pPr>
              <w:jc w:val="right"/>
              <w:ind w:right="12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564</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r>
              <w:rPr>
                <w:rFonts w:ascii="Arial" w:cs="Arial" w:eastAsia="Arial" w:hAnsi="Arial"/>
                <w:sz w:val="20"/>
                <w:szCs w:val="20"/>
                <w:b w:val="1"/>
                <w:bCs w:val="1"/>
                <w:color w:val="231F20"/>
              </w:rPr>
              <w:t>Denominator for Basic EPS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80" w:type="dxa"/>
            <w:vAlign w:val="bottom"/>
          </w:tcPr>
          <w:p>
            <w:pPr>
              <w:ind w:left="200"/>
              <w:spacing w:after="0"/>
              <w:rPr>
                <w:sz w:val="20"/>
                <w:szCs w:val="20"/>
                <w:color w:val="auto"/>
              </w:rPr>
            </w:pPr>
            <w:r>
              <w:rPr>
                <w:rFonts w:ascii="Arial" w:cs="Arial" w:eastAsia="Arial" w:hAnsi="Arial"/>
                <w:sz w:val="20"/>
                <w:szCs w:val="20"/>
                <w:color w:val="231F20"/>
              </w:rPr>
              <w:t>Weighted-average shares  . . . . . . . . . . . . . . . . . .</w:t>
            </w:r>
          </w:p>
        </w:tc>
        <w:tc>
          <w:tcPr>
            <w:tcW w:w="9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20"/>
                <w:szCs w:val="20"/>
                <w:color w:val="231F20"/>
              </w:rPr>
              <w:t>87.0</w:t>
            </w:r>
          </w:p>
        </w:tc>
        <w:tc>
          <w:tcPr>
            <w:tcW w:w="3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79.3</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69.6</w:t>
            </w:r>
          </w:p>
        </w:tc>
        <w:tc>
          <w:tcPr>
            <w:tcW w:w="0" w:type="dxa"/>
            <w:vAlign w:val="bottom"/>
          </w:tcPr>
          <w:p>
            <w:pPr>
              <w:spacing w:after="0"/>
              <w:rPr>
                <w:sz w:val="1"/>
                <w:szCs w:val="1"/>
                <w:color w:val="auto"/>
              </w:rPr>
            </w:pPr>
          </w:p>
        </w:tc>
      </w:tr>
      <w:tr>
        <w:trPr>
          <w:trHeight w:val="28"/>
        </w:trPr>
        <w:tc>
          <w:tcPr>
            <w:tcW w:w="4680" w:type="dxa"/>
            <w:vAlign w:val="bottom"/>
            <w:vMerge w:val="restart"/>
          </w:tcPr>
          <w:p>
            <w:pPr>
              <w:spacing w:after="0"/>
              <w:rPr>
                <w:sz w:val="20"/>
                <w:szCs w:val="20"/>
                <w:color w:val="auto"/>
              </w:rPr>
            </w:pPr>
            <w:r>
              <w:rPr>
                <w:rFonts w:ascii="Arial" w:cs="Arial" w:eastAsia="Arial" w:hAnsi="Arial"/>
                <w:sz w:val="20"/>
                <w:szCs w:val="20"/>
                <w:color w:val="231F20"/>
              </w:rPr>
              <w:t>Potential common shares, if dilutive:</w:t>
            </w:r>
          </w:p>
        </w:tc>
        <w:tc>
          <w:tcPr>
            <w:tcW w:w="9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80" w:type="dxa"/>
            <w:vAlign w:val="bottom"/>
            <w:vMerge w:val="continue"/>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680" w:type="dxa"/>
            <w:vAlign w:val="bottom"/>
          </w:tcPr>
          <w:p>
            <w:pPr>
              <w:ind w:left="200"/>
              <w:spacing w:after="0"/>
              <w:rPr>
                <w:sz w:val="20"/>
                <w:szCs w:val="20"/>
                <w:color w:val="auto"/>
              </w:rPr>
            </w:pPr>
            <w:r>
              <w:rPr>
                <w:rFonts w:ascii="Arial" w:cs="Arial" w:eastAsia="Arial" w:hAnsi="Arial"/>
                <w:sz w:val="20"/>
                <w:szCs w:val="20"/>
                <w:color w:val="231F20"/>
              </w:rPr>
              <w:t>Warrants  . . . . . . . . . . . . . . . . . . . . . . . . . . . . . . . .</w:t>
            </w:r>
          </w:p>
        </w:tc>
        <w:tc>
          <w:tcPr>
            <w:tcW w:w="92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1.0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1.0</w:t>
            </w:r>
          </w:p>
        </w:tc>
        <w:tc>
          <w:tcPr>
            <w:tcW w:w="0" w:type="dxa"/>
            <w:vAlign w:val="bottom"/>
          </w:tcPr>
          <w:p>
            <w:pPr>
              <w:spacing w:after="0"/>
              <w:rPr>
                <w:sz w:val="1"/>
                <w:szCs w:val="1"/>
                <w:color w:val="auto"/>
              </w:rPr>
            </w:pPr>
          </w:p>
        </w:tc>
      </w:tr>
      <w:tr>
        <w:trPr>
          <w:trHeight w:val="240"/>
        </w:trPr>
        <w:tc>
          <w:tcPr>
            <w:tcW w:w="4680" w:type="dxa"/>
            <w:vAlign w:val="bottom"/>
          </w:tcPr>
          <w:p>
            <w:pPr>
              <w:ind w:left="200"/>
              <w:spacing w:after="0"/>
              <w:rPr>
                <w:sz w:val="20"/>
                <w:szCs w:val="20"/>
                <w:color w:val="auto"/>
              </w:rPr>
            </w:pPr>
            <w:r>
              <w:rPr>
                <w:rFonts w:ascii="Arial" w:cs="Arial" w:eastAsia="Arial" w:hAnsi="Arial"/>
                <w:sz w:val="20"/>
                <w:szCs w:val="20"/>
                <w:color w:val="231F20"/>
              </w:rPr>
              <w:t>Restricted stock units . . . . . . . . . . . . . . . . . . . . . .</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31F20"/>
              </w:rPr>
              <w:t>0.3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0.5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1.0</w:t>
            </w:r>
          </w:p>
        </w:tc>
        <w:tc>
          <w:tcPr>
            <w:tcW w:w="0" w:type="dxa"/>
            <w:vAlign w:val="bottom"/>
          </w:tcPr>
          <w:p>
            <w:pPr>
              <w:spacing w:after="0"/>
              <w:rPr>
                <w:sz w:val="1"/>
                <w:szCs w:val="1"/>
                <w:color w:val="auto"/>
              </w:rPr>
            </w:pPr>
          </w:p>
        </w:tc>
      </w:tr>
      <w:tr>
        <w:trPr>
          <w:trHeight w:val="240"/>
        </w:trPr>
        <w:tc>
          <w:tcPr>
            <w:tcW w:w="4680" w:type="dxa"/>
            <w:vAlign w:val="bottom"/>
          </w:tcPr>
          <w:p>
            <w:pPr>
              <w:ind w:left="200"/>
              <w:spacing w:after="0"/>
              <w:rPr>
                <w:sz w:val="20"/>
                <w:szCs w:val="20"/>
                <w:color w:val="auto"/>
              </w:rPr>
            </w:pPr>
            <w:r>
              <w:rPr>
                <w:rFonts w:ascii="Arial" w:cs="Arial" w:eastAsia="Arial" w:hAnsi="Arial"/>
                <w:sz w:val="20"/>
                <w:szCs w:val="20"/>
                <w:color w:val="231F20"/>
              </w:rPr>
              <w:t>Performance stock units . . . . . . . . . . . . . . . . . . . .</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31F20"/>
              </w:rPr>
              <w:t>0.1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0.5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0.9</w:t>
            </w:r>
          </w:p>
        </w:tc>
        <w:tc>
          <w:tcPr>
            <w:tcW w:w="0" w:type="dxa"/>
            <w:vAlign w:val="bottom"/>
          </w:tcPr>
          <w:p>
            <w:pPr>
              <w:spacing w:after="0"/>
              <w:rPr>
                <w:sz w:val="1"/>
                <w:szCs w:val="1"/>
                <w:color w:val="auto"/>
              </w:rPr>
            </w:pPr>
          </w:p>
        </w:tc>
      </w:tr>
      <w:tr>
        <w:trPr>
          <w:trHeight w:val="240"/>
        </w:trPr>
        <w:tc>
          <w:tcPr>
            <w:tcW w:w="4680" w:type="dxa"/>
            <w:vAlign w:val="bottom"/>
          </w:tcPr>
          <w:p>
            <w:pPr>
              <w:ind w:left="200"/>
              <w:spacing w:after="0"/>
              <w:rPr>
                <w:sz w:val="20"/>
                <w:szCs w:val="20"/>
                <w:color w:val="auto"/>
              </w:rPr>
            </w:pPr>
            <w:r>
              <w:rPr>
                <w:rFonts w:ascii="Arial" w:cs="Arial" w:eastAsia="Arial" w:hAnsi="Arial"/>
                <w:sz w:val="20"/>
                <w:szCs w:val="20"/>
                <w:color w:val="231F20"/>
              </w:rPr>
              <w:t>Deferred Consideration Obligation (related to</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680" w:type="dxa"/>
            <w:vAlign w:val="bottom"/>
          </w:tcPr>
          <w:p>
            <w:pPr>
              <w:ind w:left="200"/>
              <w:spacing w:after="0"/>
              <w:rPr>
                <w:sz w:val="20"/>
                <w:szCs w:val="20"/>
                <w:color w:val="auto"/>
              </w:rPr>
            </w:pPr>
            <w:r>
              <w:rPr>
                <w:rFonts w:ascii="Arial" w:cs="Arial" w:eastAsia="Arial" w:hAnsi="Arial"/>
                <w:sz w:val="20"/>
                <w:szCs w:val="20"/>
                <w:color w:val="231F20"/>
              </w:rPr>
              <w:t>the Aera Merger) . . . . . . . . . . . . . . . . . . . . . . . . . .</w:t>
            </w:r>
          </w:p>
        </w:tc>
        <w:tc>
          <w:tcPr>
            <w:tcW w:w="92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0.1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2"/>
        </w:trPr>
        <w:tc>
          <w:tcPr>
            <w:tcW w:w="4680" w:type="dxa"/>
            <w:vAlign w:val="bottom"/>
          </w:tcPr>
          <w:p>
            <w:pPr>
              <w:spacing w:after="0"/>
              <w:rPr>
                <w:sz w:val="20"/>
                <w:szCs w:val="20"/>
                <w:color w:val="auto"/>
              </w:rPr>
            </w:pPr>
            <w:r>
              <w:rPr>
                <w:rFonts w:ascii="Arial" w:cs="Arial" w:eastAsia="Arial" w:hAnsi="Arial"/>
                <w:sz w:val="20"/>
                <w:szCs w:val="20"/>
                <w:b w:val="1"/>
                <w:bCs w:val="1"/>
                <w:color w:val="231F20"/>
              </w:rPr>
              <w:t>Denominator for Diluted EPS</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80" w:type="dxa"/>
            <w:vAlign w:val="bottom"/>
          </w:tcPr>
          <w:p>
            <w:pPr>
              <w:ind w:left="200"/>
              <w:spacing w:after="0"/>
              <w:rPr>
                <w:sz w:val="20"/>
                <w:szCs w:val="20"/>
                <w:color w:val="auto"/>
              </w:rPr>
            </w:pPr>
            <w:r>
              <w:rPr>
                <w:rFonts w:ascii="Arial" w:cs="Arial" w:eastAsia="Arial" w:hAnsi="Arial"/>
                <w:sz w:val="20"/>
                <w:szCs w:val="20"/>
                <w:color w:val="231F20"/>
              </w:rPr>
              <w:t>Weighted-average shares  . . . . . . . . . . . . . . . . . .</w:t>
            </w:r>
          </w:p>
        </w:tc>
        <w:tc>
          <w:tcPr>
            <w:tcW w:w="9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20"/>
                <w:szCs w:val="20"/>
                <w:color w:val="231F20"/>
              </w:rPr>
              <w:t>87.4</w:t>
            </w:r>
          </w:p>
        </w:tc>
        <w:tc>
          <w:tcPr>
            <w:tcW w:w="3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81.4</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72.5</w:t>
            </w:r>
          </w:p>
        </w:tc>
        <w:tc>
          <w:tcPr>
            <w:tcW w:w="0" w:type="dxa"/>
            <w:vAlign w:val="bottom"/>
          </w:tcPr>
          <w:p>
            <w:pPr>
              <w:spacing w:after="0"/>
              <w:rPr>
                <w:sz w:val="1"/>
                <w:szCs w:val="1"/>
                <w:color w:val="auto"/>
              </w:rPr>
            </w:pPr>
          </w:p>
        </w:tc>
      </w:tr>
      <w:tr>
        <w:trPr>
          <w:trHeight w:val="28"/>
        </w:trPr>
        <w:tc>
          <w:tcPr>
            <w:tcW w:w="4680" w:type="dxa"/>
            <w:vAlign w:val="bottom"/>
            <w:vMerge w:val="restart"/>
          </w:tcPr>
          <w:p>
            <w:pPr>
              <w:spacing w:after="0"/>
              <w:rPr>
                <w:sz w:val="20"/>
                <w:szCs w:val="20"/>
                <w:color w:val="auto"/>
              </w:rPr>
            </w:pPr>
            <w:r>
              <w:rPr>
                <w:rFonts w:ascii="Arial" w:cs="Arial" w:eastAsia="Arial" w:hAnsi="Arial"/>
                <w:sz w:val="20"/>
                <w:szCs w:val="20"/>
                <w:b w:val="1"/>
                <w:bCs w:val="1"/>
                <w:color w:val="231F20"/>
              </w:rPr>
              <w:t>EPS</w:t>
            </w:r>
          </w:p>
        </w:tc>
        <w:tc>
          <w:tcPr>
            <w:tcW w:w="9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80" w:type="dxa"/>
            <w:vAlign w:val="bottom"/>
            <w:vMerge w:val="continue"/>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680" w:type="dxa"/>
            <w:vAlign w:val="bottom"/>
          </w:tcPr>
          <w:p>
            <w:pPr>
              <w:ind w:left="200"/>
              <w:spacing w:after="0"/>
              <w:rPr>
                <w:sz w:val="20"/>
                <w:szCs w:val="20"/>
                <w:color w:val="auto"/>
              </w:rPr>
            </w:pPr>
            <w:r>
              <w:rPr>
                <w:rFonts w:ascii="Arial" w:cs="Arial" w:eastAsia="Arial" w:hAnsi="Arial"/>
                <w:sz w:val="20"/>
                <w:szCs w:val="20"/>
                <w:color w:val="231F20"/>
              </w:rPr>
              <w:t>Basic  . . . . . . . . . . . . . . . . . . . . . . . . . . . . . . . . . . .</w:t>
            </w:r>
          </w:p>
        </w:tc>
        <w:tc>
          <w:tcPr>
            <w:tcW w:w="920" w:type="dxa"/>
            <w:vAlign w:val="bottom"/>
          </w:tcPr>
          <w:p>
            <w:pPr>
              <w:jc w:val="right"/>
              <w:ind w:right="664"/>
              <w:spacing w:after="0"/>
              <w:rPr>
                <w:sz w:val="20"/>
                <w:szCs w:val="20"/>
                <w:color w:val="auto"/>
              </w:rPr>
            </w:pPr>
            <w:r>
              <w:rPr>
                <w:rFonts w:ascii="Arial" w:cs="Arial" w:eastAsia="Arial" w:hAnsi="Arial"/>
                <w:sz w:val="20"/>
                <w:szCs w:val="20"/>
                <w:color w:val="231F20"/>
              </w:rPr>
              <w:t>$</w:t>
            </w:r>
          </w:p>
        </w:tc>
        <w:tc>
          <w:tcPr>
            <w:tcW w:w="620" w:type="dxa"/>
            <w:vAlign w:val="bottom"/>
            <w:gridSpan w:val="2"/>
          </w:tcPr>
          <w:p>
            <w:pPr>
              <w:jc w:val="right"/>
              <w:ind w:right="200"/>
              <w:spacing w:after="0"/>
              <w:rPr>
                <w:sz w:val="20"/>
                <w:szCs w:val="20"/>
                <w:color w:val="auto"/>
              </w:rPr>
            </w:pPr>
            <w:r>
              <w:rPr>
                <w:rFonts w:ascii="Arial" w:cs="Arial" w:eastAsia="Arial" w:hAnsi="Arial"/>
                <w:sz w:val="20"/>
                <w:szCs w:val="20"/>
                <w:color w:val="231F20"/>
              </w:rPr>
              <w:t>4.17</w:t>
            </w:r>
          </w:p>
        </w:tc>
        <w:tc>
          <w:tcPr>
            <w:tcW w:w="30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4.74</w:t>
            </w:r>
          </w:p>
        </w:tc>
        <w:tc>
          <w:tcPr>
            <w:tcW w:w="380" w:type="dxa"/>
            <w:vAlign w:val="bottom"/>
          </w:tcPr>
          <w:p>
            <w:pPr>
              <w:jc w:val="right"/>
              <w:ind w:right="12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8.10</w:t>
            </w:r>
          </w:p>
        </w:tc>
        <w:tc>
          <w:tcPr>
            <w:tcW w:w="0" w:type="dxa"/>
            <w:vAlign w:val="bottom"/>
          </w:tcPr>
          <w:p>
            <w:pPr>
              <w:spacing w:after="0"/>
              <w:rPr>
                <w:sz w:val="1"/>
                <w:szCs w:val="1"/>
                <w:color w:val="auto"/>
              </w:rPr>
            </w:pPr>
          </w:p>
        </w:tc>
      </w:tr>
      <w:tr>
        <w:trPr>
          <w:trHeight w:val="240"/>
        </w:trPr>
        <w:tc>
          <w:tcPr>
            <w:tcW w:w="4680" w:type="dxa"/>
            <w:vAlign w:val="bottom"/>
          </w:tcPr>
          <w:p>
            <w:pPr>
              <w:ind w:left="200"/>
              <w:spacing w:after="0"/>
              <w:rPr>
                <w:sz w:val="20"/>
                <w:szCs w:val="20"/>
                <w:color w:val="auto"/>
              </w:rPr>
            </w:pPr>
            <w:r>
              <w:rPr>
                <w:rFonts w:ascii="Arial" w:cs="Arial" w:eastAsia="Arial" w:hAnsi="Arial"/>
                <w:sz w:val="20"/>
                <w:szCs w:val="20"/>
                <w:color w:val="231F20"/>
              </w:rPr>
              <w:t>Diluted . . . . . . . . . . . . . . . . . . . . . . . . . . . . . . . . . .</w:t>
            </w:r>
          </w:p>
        </w:tc>
        <w:tc>
          <w:tcPr>
            <w:tcW w:w="920" w:type="dxa"/>
            <w:vAlign w:val="bottom"/>
          </w:tcPr>
          <w:p>
            <w:pPr>
              <w:jc w:val="right"/>
              <w:ind w:right="664"/>
              <w:spacing w:after="0"/>
              <w:rPr>
                <w:sz w:val="20"/>
                <w:szCs w:val="20"/>
                <w:color w:val="auto"/>
              </w:rPr>
            </w:pPr>
            <w:r>
              <w:rPr>
                <w:rFonts w:ascii="Arial" w:cs="Arial" w:eastAsia="Arial" w:hAnsi="Arial"/>
                <w:sz w:val="20"/>
                <w:szCs w:val="20"/>
                <w:color w:val="231F20"/>
              </w:rPr>
              <w:t>$</w:t>
            </w:r>
          </w:p>
        </w:tc>
        <w:tc>
          <w:tcPr>
            <w:tcW w:w="620" w:type="dxa"/>
            <w:vAlign w:val="bottom"/>
            <w:gridSpan w:val="2"/>
          </w:tcPr>
          <w:p>
            <w:pPr>
              <w:jc w:val="right"/>
              <w:ind w:right="200"/>
              <w:spacing w:after="0"/>
              <w:rPr>
                <w:sz w:val="20"/>
                <w:szCs w:val="20"/>
                <w:color w:val="auto"/>
              </w:rPr>
            </w:pPr>
            <w:r>
              <w:rPr>
                <w:rFonts w:ascii="Arial" w:cs="Arial" w:eastAsia="Arial" w:hAnsi="Arial"/>
                <w:sz w:val="20"/>
                <w:szCs w:val="20"/>
                <w:color w:val="231F20"/>
              </w:rPr>
              <w:t>4.15</w:t>
            </w:r>
          </w:p>
        </w:tc>
        <w:tc>
          <w:tcPr>
            <w:tcW w:w="30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4.62</w:t>
            </w:r>
          </w:p>
        </w:tc>
        <w:tc>
          <w:tcPr>
            <w:tcW w:w="380" w:type="dxa"/>
            <w:vAlign w:val="bottom"/>
          </w:tcPr>
          <w:p>
            <w:pPr>
              <w:jc w:val="right"/>
              <w:ind w:right="12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7.78</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231F20"/>
        </w:rPr>
        <w:t>NOTE 13</w:t>
      </w:r>
      <w:r>
        <w:rPr>
          <w:sz w:val="20"/>
          <w:szCs w:val="20"/>
          <w:color w:val="auto"/>
        </w:rPr>
        <w:tab/>
      </w:r>
      <w:r>
        <w:rPr>
          <w:rFonts w:ascii="Arial" w:cs="Arial" w:eastAsia="Arial" w:hAnsi="Arial"/>
          <w:sz w:val="19"/>
          <w:szCs w:val="19"/>
          <w:b w:val="1"/>
          <w:bCs w:val="1"/>
          <w:color w:val="231F20"/>
        </w:rPr>
        <w:t>LEASES</w:t>
      </w:r>
    </w:p>
    <w:p>
      <w:pPr>
        <w:spacing w:after="0" w:line="202"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 xml:space="preserve">We have operating leases primarily for carbon sequestration easements, vehicles, colocation arrangements for servers and commercial office space. We have finance leases primarily for vehicles. ASC 805 </w:t>
      </w:r>
      <w:r>
        <w:rPr>
          <w:rFonts w:ascii="Arial" w:cs="Arial" w:eastAsia="Arial" w:hAnsi="Arial"/>
          <w:sz w:val="20"/>
          <w:szCs w:val="20"/>
          <w:i w:val="1"/>
          <w:iCs w:val="1"/>
          <w:color w:val="231F20"/>
        </w:rPr>
        <w:t>Business Combinations</w:t>
      </w:r>
      <w:r>
        <w:rPr>
          <w:rFonts w:ascii="Arial" w:cs="Arial" w:eastAsia="Arial" w:hAnsi="Arial"/>
          <w:sz w:val="20"/>
          <w:szCs w:val="20"/>
          <w:color w:val="231F20"/>
        </w:rPr>
        <w:t>, requires lease-related assets and liabilities acquired to be measured as if the lease were new at the acquisition date, using our incremental borrowing rate. The leases acquired in the Aera Merger and the Berry Merger retained the previous lease classification.</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We have recorded the following amounts on our balance sheet as of December 31, 2025 and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Pr>
          <w:p>
            <w:pPr>
              <w:spacing w:after="0"/>
              <w:rPr>
                <w:sz w:val="21"/>
                <w:szCs w:val="21"/>
                <w:color w:val="auto"/>
              </w:rPr>
            </w:pPr>
          </w:p>
        </w:tc>
        <w:tc>
          <w:tcPr>
            <w:tcW w:w="2200" w:type="dxa"/>
            <w:vAlign w:val="bottom"/>
            <w:tcBorders>
              <w:bottom w:val="single" w:sz="8" w:color="231F20"/>
            </w:tcBorders>
          </w:tcPr>
          <w:p>
            <w:pPr>
              <w:ind w:left="440"/>
              <w:spacing w:after="0"/>
              <w:rPr>
                <w:sz w:val="20"/>
                <w:szCs w:val="20"/>
                <w:color w:val="auto"/>
              </w:rPr>
            </w:pPr>
            <w:r>
              <w:rPr>
                <w:rFonts w:ascii="Arial" w:cs="Arial" w:eastAsia="Arial" w:hAnsi="Arial"/>
                <w:sz w:val="20"/>
                <w:szCs w:val="20"/>
                <w:b w:val="1"/>
                <w:bCs w:val="1"/>
                <w:color w:val="231F20"/>
              </w:rPr>
              <w:t>Classification</w:t>
            </w:r>
          </w:p>
        </w:tc>
        <w:tc>
          <w:tcPr>
            <w:tcW w:w="20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342"/>
              <w:spacing w:after="0"/>
              <w:rPr>
                <w:sz w:val="20"/>
                <w:szCs w:val="20"/>
                <w:color w:val="auto"/>
              </w:rPr>
            </w:pPr>
            <w:r>
              <w:rPr>
                <w:rFonts w:ascii="Arial" w:cs="Arial" w:eastAsia="Arial" w:hAnsi="Arial"/>
                <w:sz w:val="20"/>
                <w:szCs w:val="20"/>
                <w:b w:val="1"/>
                <w:bCs w:val="1"/>
                <w:color w:val="231F20"/>
              </w:rPr>
              <w:t>2025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400"/>
              <w:spacing w:after="0"/>
              <w:rPr>
                <w:sz w:val="20"/>
                <w:szCs w:val="20"/>
                <w:color w:val="auto"/>
              </w:rPr>
            </w:pPr>
            <w:r>
              <w:rPr>
                <w:rFonts w:ascii="Arial" w:cs="Arial" w:eastAsia="Arial" w:hAnsi="Arial"/>
                <w:sz w:val="20"/>
                <w:szCs w:val="20"/>
                <w:b w:val="1"/>
                <w:bCs w:val="1"/>
                <w:color w:val="231F20"/>
              </w:rPr>
              <w:t>2024</w:t>
            </w:r>
          </w:p>
        </w:tc>
        <w:tc>
          <w:tcPr>
            <w:tcW w:w="0" w:type="dxa"/>
            <w:vAlign w:val="bottom"/>
          </w:tcPr>
          <w:p>
            <w:pPr>
              <w:spacing w:after="0"/>
              <w:rPr>
                <w:sz w:val="1"/>
                <w:szCs w:val="1"/>
                <w:color w:val="auto"/>
              </w:rPr>
            </w:pPr>
          </w:p>
        </w:tc>
      </w:tr>
      <w:tr>
        <w:trPr>
          <w:trHeight w:val="280"/>
        </w:trPr>
        <w:tc>
          <w:tcPr>
            <w:tcW w:w="3740" w:type="dxa"/>
            <w:vAlign w:val="bottom"/>
          </w:tcPr>
          <w:p>
            <w:pPr>
              <w:spacing w:after="0"/>
              <w:rPr>
                <w:sz w:val="20"/>
                <w:szCs w:val="20"/>
                <w:color w:val="auto"/>
              </w:rPr>
            </w:pPr>
            <w:r>
              <w:rPr>
                <w:rFonts w:ascii="Arial" w:cs="Arial" w:eastAsia="Arial" w:hAnsi="Arial"/>
                <w:sz w:val="20"/>
                <w:szCs w:val="20"/>
                <w:b w:val="1"/>
                <w:bCs w:val="1"/>
                <w:color w:val="231F20"/>
              </w:rPr>
              <w:t>Assets</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4"/>
          </w:tcPr>
          <w:p>
            <w:pPr>
              <w:jc w:val="right"/>
              <w:ind w:right="40"/>
              <w:spacing w:after="0"/>
              <w:rPr>
                <w:sz w:val="20"/>
                <w:szCs w:val="20"/>
                <w:color w:val="auto"/>
              </w:rPr>
            </w:pPr>
            <w:r>
              <w:rPr>
                <w:rFonts w:ascii="Arial" w:cs="Arial" w:eastAsia="Arial" w:hAnsi="Arial"/>
                <w:sz w:val="16"/>
                <w:szCs w:val="16"/>
                <w:color w:val="231F20"/>
              </w:rPr>
              <w:t>(in millions)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740" w:type="dxa"/>
            <w:vAlign w:val="bottom"/>
          </w:tcPr>
          <w:p>
            <w:pPr>
              <w:jc w:val="right"/>
              <w:ind w:right="100"/>
              <w:spacing w:after="0"/>
              <w:rPr>
                <w:sz w:val="20"/>
                <w:szCs w:val="20"/>
                <w:color w:val="auto"/>
              </w:rPr>
            </w:pPr>
            <w:r>
              <w:rPr>
                <w:rFonts w:ascii="Arial" w:cs="Arial" w:eastAsia="Arial" w:hAnsi="Arial"/>
                <w:sz w:val="20"/>
                <w:szCs w:val="20"/>
                <w:color w:val="231F20"/>
              </w:rPr>
              <w:t>Operating lease . . . . . . . . . . . . . . . . . .</w:t>
            </w:r>
          </w:p>
        </w:tc>
        <w:tc>
          <w:tcPr>
            <w:tcW w:w="2400" w:type="dxa"/>
            <w:vAlign w:val="bottom"/>
            <w:gridSpan w:val="2"/>
          </w:tcPr>
          <w:p>
            <w:pPr>
              <w:jc w:val="right"/>
              <w:ind w:right="200"/>
              <w:spacing w:after="0"/>
              <w:rPr>
                <w:sz w:val="20"/>
                <w:szCs w:val="20"/>
                <w:color w:val="auto"/>
              </w:rPr>
            </w:pPr>
            <w:r>
              <w:rPr>
                <w:rFonts w:ascii="Arial" w:cs="Arial" w:eastAsia="Arial" w:hAnsi="Arial"/>
                <w:sz w:val="20"/>
                <w:szCs w:val="20"/>
                <w:i w:val="1"/>
                <w:iCs w:val="1"/>
                <w:color w:val="231F20"/>
              </w:rPr>
              <w:t>Other noncurrent assets</w:t>
            </w:r>
          </w:p>
        </w:tc>
        <w:tc>
          <w:tcPr>
            <w:tcW w:w="280" w:type="dxa"/>
            <w:vAlign w:val="bottom"/>
          </w:tcPr>
          <w:p>
            <w:pPr>
              <w:jc w:val="right"/>
              <w:ind w:right="60"/>
              <w:spacing w:after="0"/>
              <w:rPr>
                <w:sz w:val="20"/>
                <w:szCs w:val="20"/>
                <w:color w:val="auto"/>
              </w:rPr>
            </w:pPr>
            <w:r>
              <w:rPr>
                <w:rFonts w:ascii="Arial" w:cs="Arial" w:eastAsia="Arial" w:hAnsi="Arial"/>
                <w:sz w:val="20"/>
                <w:szCs w:val="20"/>
                <w:color w:val="231F20"/>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83</w:t>
            </w:r>
          </w:p>
        </w:tc>
        <w:tc>
          <w:tcPr>
            <w:tcW w:w="440" w:type="dxa"/>
            <w:vAlign w:val="bottom"/>
            <w:gridSpan w:val="2"/>
          </w:tcPr>
          <w:p>
            <w:pPr>
              <w:jc w:val="right"/>
              <w:ind w:right="340"/>
              <w:spacing w:after="0"/>
              <w:rPr>
                <w:sz w:val="20"/>
                <w:szCs w:val="20"/>
                <w:color w:val="auto"/>
              </w:rPr>
            </w:pPr>
            <w:r>
              <w:rPr>
                <w:rFonts w:ascii="Arial" w:cs="Arial" w:eastAsia="Arial" w:hAnsi="Arial"/>
                <w:sz w:val="20"/>
                <w:szCs w:val="20"/>
                <w:color w:val="231F20"/>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105</w:t>
            </w:r>
          </w:p>
        </w:tc>
        <w:tc>
          <w:tcPr>
            <w:tcW w:w="0" w:type="dxa"/>
            <w:vAlign w:val="bottom"/>
          </w:tcPr>
          <w:p>
            <w:pPr>
              <w:spacing w:after="0"/>
              <w:rPr>
                <w:sz w:val="1"/>
                <w:szCs w:val="1"/>
                <w:color w:val="auto"/>
              </w:rPr>
            </w:pPr>
          </w:p>
        </w:tc>
      </w:tr>
      <w:tr>
        <w:trPr>
          <w:trHeight w:val="240"/>
        </w:trPr>
        <w:tc>
          <w:tcPr>
            <w:tcW w:w="3740" w:type="dxa"/>
            <w:vAlign w:val="bottom"/>
          </w:tcPr>
          <w:p>
            <w:pPr>
              <w:jc w:val="right"/>
              <w:ind w:right="100"/>
              <w:spacing w:after="0"/>
              <w:rPr>
                <w:sz w:val="20"/>
                <w:szCs w:val="20"/>
                <w:color w:val="auto"/>
              </w:rPr>
            </w:pPr>
            <w:r>
              <w:rPr>
                <w:rFonts w:ascii="Arial" w:cs="Arial" w:eastAsia="Arial" w:hAnsi="Arial"/>
                <w:sz w:val="20"/>
                <w:szCs w:val="20"/>
                <w:color w:val="231F20"/>
              </w:rPr>
              <w:t>Finance lease  . . . . . . . . . . . . . . . . . . .</w:t>
            </w:r>
          </w:p>
        </w:tc>
        <w:tc>
          <w:tcPr>
            <w:tcW w:w="2400" w:type="dxa"/>
            <w:vAlign w:val="bottom"/>
            <w:gridSpan w:val="2"/>
          </w:tcPr>
          <w:p>
            <w:pPr>
              <w:jc w:val="right"/>
              <w:ind w:right="200"/>
              <w:spacing w:after="0"/>
              <w:rPr>
                <w:sz w:val="20"/>
                <w:szCs w:val="20"/>
                <w:color w:val="auto"/>
              </w:rPr>
            </w:pPr>
            <w:r>
              <w:rPr>
                <w:rFonts w:ascii="Arial" w:cs="Arial" w:eastAsia="Arial" w:hAnsi="Arial"/>
                <w:sz w:val="20"/>
                <w:szCs w:val="20"/>
                <w:i w:val="1"/>
                <w:iCs w:val="1"/>
                <w:color w:val="231F20"/>
              </w:rPr>
              <w:t>PP&amp;E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3</w:t>
            </w: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740" w:type="dxa"/>
            <w:vAlign w:val="bottom"/>
          </w:tcPr>
          <w:p>
            <w:pPr>
              <w:jc w:val="right"/>
              <w:ind w:right="100"/>
              <w:spacing w:after="0"/>
              <w:rPr>
                <w:sz w:val="20"/>
                <w:szCs w:val="20"/>
                <w:color w:val="auto"/>
              </w:rPr>
            </w:pPr>
            <w:r>
              <w:rPr>
                <w:rFonts w:ascii="Arial" w:cs="Arial" w:eastAsia="Arial" w:hAnsi="Arial"/>
                <w:sz w:val="20"/>
                <w:szCs w:val="20"/>
                <w:color w:val="231F20"/>
              </w:rPr>
              <w:t>Total lease assets . . . . . . . . . . . . . .</w:t>
            </w:r>
          </w:p>
        </w:tc>
        <w:tc>
          <w:tcPr>
            <w:tcW w:w="2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jc w:val="right"/>
              <w:ind w:right="60"/>
              <w:spacing w:after="0"/>
              <w:rPr>
                <w:sz w:val="20"/>
                <w:szCs w:val="20"/>
                <w:color w:val="auto"/>
              </w:rPr>
            </w:pPr>
            <w:r>
              <w:rPr>
                <w:rFonts w:ascii="Arial" w:cs="Arial" w:eastAsia="Arial" w:hAnsi="Arial"/>
                <w:sz w:val="20"/>
                <w:szCs w:val="20"/>
                <w:color w:val="231F20"/>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85</w:t>
            </w:r>
          </w:p>
        </w:tc>
        <w:tc>
          <w:tcPr>
            <w:tcW w:w="440" w:type="dxa"/>
            <w:vAlign w:val="bottom"/>
            <w:gridSpan w:val="2"/>
          </w:tcPr>
          <w:p>
            <w:pPr>
              <w:jc w:val="right"/>
              <w:ind w:right="340"/>
              <w:spacing w:after="0"/>
              <w:rPr>
                <w:sz w:val="20"/>
                <w:szCs w:val="20"/>
                <w:color w:val="auto"/>
              </w:rPr>
            </w:pPr>
            <w:r>
              <w:rPr>
                <w:rFonts w:ascii="Arial" w:cs="Arial" w:eastAsia="Arial" w:hAnsi="Arial"/>
                <w:sz w:val="20"/>
                <w:szCs w:val="20"/>
                <w:color w:val="231F20"/>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108</w:t>
            </w:r>
          </w:p>
        </w:tc>
        <w:tc>
          <w:tcPr>
            <w:tcW w:w="0" w:type="dxa"/>
            <w:vAlign w:val="bottom"/>
          </w:tcPr>
          <w:p>
            <w:pPr>
              <w:spacing w:after="0"/>
              <w:rPr>
                <w:sz w:val="1"/>
                <w:szCs w:val="1"/>
                <w:color w:val="auto"/>
              </w:rPr>
            </w:pPr>
          </w:p>
        </w:tc>
      </w:tr>
      <w:tr>
        <w:trPr>
          <w:trHeight w:val="30"/>
        </w:trPr>
        <w:tc>
          <w:tcPr>
            <w:tcW w:w="3740" w:type="dxa"/>
            <w:vAlign w:val="bottom"/>
            <w:vMerge w:val="restart"/>
          </w:tcPr>
          <w:p>
            <w:pPr>
              <w:spacing w:after="0"/>
              <w:rPr>
                <w:sz w:val="20"/>
                <w:szCs w:val="20"/>
                <w:color w:val="auto"/>
              </w:rPr>
            </w:pPr>
            <w:r>
              <w:rPr>
                <w:rFonts w:ascii="Arial" w:cs="Arial" w:eastAsia="Arial" w:hAnsi="Arial"/>
                <w:sz w:val="20"/>
                <w:szCs w:val="20"/>
                <w:b w:val="1"/>
                <w:bCs w:val="1"/>
                <w:color w:val="231F20"/>
              </w:rPr>
              <w:t>Liabilities</w:t>
            </w: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740" w:type="dxa"/>
            <w:vAlign w:val="bottom"/>
            <w:vMerge w:val="continue"/>
          </w:tcPr>
          <w:p>
            <w:pPr>
              <w:spacing w:after="0"/>
              <w:rPr>
                <w:sz w:val="23"/>
                <w:szCs w:val="23"/>
                <w:color w:val="auto"/>
              </w:rPr>
            </w:pPr>
          </w:p>
        </w:tc>
        <w:tc>
          <w:tcPr>
            <w:tcW w:w="2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740" w:type="dxa"/>
            <w:vAlign w:val="bottom"/>
          </w:tcPr>
          <w:p>
            <w:pPr>
              <w:spacing w:after="0"/>
              <w:rPr>
                <w:sz w:val="20"/>
                <w:szCs w:val="20"/>
                <w:color w:val="auto"/>
              </w:rPr>
            </w:pPr>
            <w:r>
              <w:rPr>
                <w:rFonts w:ascii="Arial" w:cs="Arial" w:eastAsia="Arial" w:hAnsi="Arial"/>
                <w:sz w:val="20"/>
                <w:szCs w:val="20"/>
                <w:color w:val="231F20"/>
              </w:rPr>
              <w:t>Current</w:t>
            </w: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740" w:type="dxa"/>
            <w:vAlign w:val="bottom"/>
          </w:tcPr>
          <w:p>
            <w:pPr>
              <w:jc w:val="right"/>
              <w:ind w:right="100"/>
              <w:spacing w:after="0"/>
              <w:rPr>
                <w:sz w:val="20"/>
                <w:szCs w:val="20"/>
                <w:color w:val="auto"/>
              </w:rPr>
            </w:pPr>
            <w:r>
              <w:rPr>
                <w:rFonts w:ascii="Arial" w:cs="Arial" w:eastAsia="Arial" w:hAnsi="Arial"/>
                <w:sz w:val="20"/>
                <w:szCs w:val="20"/>
                <w:color w:val="231F20"/>
              </w:rPr>
              <w:t>Operating lease . . . . . . . . . . . . . . . . . .</w:t>
            </w:r>
          </w:p>
        </w:tc>
        <w:tc>
          <w:tcPr>
            <w:tcW w:w="2400" w:type="dxa"/>
            <w:vAlign w:val="bottom"/>
            <w:gridSpan w:val="2"/>
          </w:tcPr>
          <w:p>
            <w:pPr>
              <w:jc w:val="right"/>
              <w:ind w:right="200"/>
              <w:spacing w:after="0"/>
              <w:rPr>
                <w:sz w:val="20"/>
                <w:szCs w:val="20"/>
                <w:color w:val="auto"/>
              </w:rPr>
            </w:pPr>
            <w:r>
              <w:rPr>
                <w:rFonts w:ascii="Arial" w:cs="Arial" w:eastAsia="Arial" w:hAnsi="Arial"/>
                <w:sz w:val="20"/>
                <w:szCs w:val="20"/>
                <w:i w:val="1"/>
                <w:iCs w:val="1"/>
                <w:color w:val="231F20"/>
              </w:rPr>
              <w:t>Accrued liabilities</w:t>
            </w:r>
          </w:p>
        </w:tc>
        <w:tc>
          <w:tcPr>
            <w:tcW w:w="280" w:type="dxa"/>
            <w:vAlign w:val="bottom"/>
          </w:tcPr>
          <w:p>
            <w:pPr>
              <w:jc w:val="right"/>
              <w:ind w:right="60"/>
              <w:spacing w:after="0"/>
              <w:rPr>
                <w:sz w:val="20"/>
                <w:szCs w:val="20"/>
                <w:color w:val="auto"/>
              </w:rPr>
            </w:pPr>
            <w:r>
              <w:rPr>
                <w:rFonts w:ascii="Arial" w:cs="Arial" w:eastAsia="Arial" w:hAnsi="Arial"/>
                <w:sz w:val="20"/>
                <w:szCs w:val="20"/>
                <w:color w:val="231F20"/>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15</w:t>
            </w:r>
          </w:p>
        </w:tc>
        <w:tc>
          <w:tcPr>
            <w:tcW w:w="440" w:type="dxa"/>
            <w:vAlign w:val="bottom"/>
            <w:gridSpan w:val="2"/>
          </w:tcPr>
          <w:p>
            <w:pPr>
              <w:jc w:val="right"/>
              <w:ind w:right="340"/>
              <w:spacing w:after="0"/>
              <w:rPr>
                <w:sz w:val="20"/>
                <w:szCs w:val="20"/>
                <w:color w:val="auto"/>
              </w:rPr>
            </w:pPr>
            <w:r>
              <w:rPr>
                <w:rFonts w:ascii="Arial" w:cs="Arial" w:eastAsia="Arial" w:hAnsi="Arial"/>
                <w:sz w:val="20"/>
                <w:szCs w:val="20"/>
                <w:color w:val="231F20"/>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15</w:t>
            </w:r>
          </w:p>
        </w:tc>
        <w:tc>
          <w:tcPr>
            <w:tcW w:w="0" w:type="dxa"/>
            <w:vAlign w:val="bottom"/>
          </w:tcPr>
          <w:p>
            <w:pPr>
              <w:spacing w:after="0"/>
              <w:rPr>
                <w:sz w:val="1"/>
                <w:szCs w:val="1"/>
                <w:color w:val="auto"/>
              </w:rPr>
            </w:pPr>
          </w:p>
        </w:tc>
      </w:tr>
      <w:tr>
        <w:trPr>
          <w:trHeight w:val="240"/>
        </w:trPr>
        <w:tc>
          <w:tcPr>
            <w:tcW w:w="3740" w:type="dxa"/>
            <w:vAlign w:val="bottom"/>
          </w:tcPr>
          <w:p>
            <w:pPr>
              <w:jc w:val="right"/>
              <w:ind w:right="100"/>
              <w:spacing w:after="0"/>
              <w:rPr>
                <w:sz w:val="20"/>
                <w:szCs w:val="20"/>
                <w:color w:val="auto"/>
              </w:rPr>
            </w:pPr>
            <w:r>
              <w:rPr>
                <w:rFonts w:ascii="Arial" w:cs="Arial" w:eastAsia="Arial" w:hAnsi="Arial"/>
                <w:sz w:val="20"/>
                <w:szCs w:val="20"/>
                <w:color w:val="231F20"/>
              </w:rPr>
              <w:t>Finance lease  . . . . . . . . . . . . . . . . . . .</w:t>
            </w:r>
          </w:p>
        </w:tc>
        <w:tc>
          <w:tcPr>
            <w:tcW w:w="2400" w:type="dxa"/>
            <w:vAlign w:val="bottom"/>
            <w:gridSpan w:val="2"/>
          </w:tcPr>
          <w:p>
            <w:pPr>
              <w:jc w:val="right"/>
              <w:ind w:right="200"/>
              <w:spacing w:after="0"/>
              <w:rPr>
                <w:sz w:val="20"/>
                <w:szCs w:val="20"/>
                <w:color w:val="auto"/>
              </w:rPr>
            </w:pPr>
            <w:r>
              <w:rPr>
                <w:rFonts w:ascii="Arial" w:cs="Arial" w:eastAsia="Arial" w:hAnsi="Arial"/>
                <w:sz w:val="20"/>
                <w:szCs w:val="20"/>
                <w:color w:val="231F20"/>
              </w:rPr>
              <w:t>Accrued liabilities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40"/>
        </w:trPr>
        <w:tc>
          <w:tcPr>
            <w:tcW w:w="3740" w:type="dxa"/>
            <w:vAlign w:val="bottom"/>
          </w:tcPr>
          <w:p>
            <w:pPr>
              <w:spacing w:after="0"/>
              <w:rPr>
                <w:sz w:val="20"/>
                <w:szCs w:val="20"/>
                <w:color w:val="auto"/>
              </w:rPr>
            </w:pPr>
            <w:r>
              <w:rPr>
                <w:rFonts w:ascii="Arial" w:cs="Arial" w:eastAsia="Arial" w:hAnsi="Arial"/>
                <w:sz w:val="20"/>
                <w:szCs w:val="20"/>
                <w:color w:val="231F20"/>
              </w:rPr>
              <w:t>Long-term</w:t>
            </w: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740" w:type="dxa"/>
            <w:vAlign w:val="bottom"/>
          </w:tcPr>
          <w:p>
            <w:pPr>
              <w:jc w:val="right"/>
              <w:ind w:right="100"/>
              <w:spacing w:after="0"/>
              <w:rPr>
                <w:sz w:val="20"/>
                <w:szCs w:val="20"/>
                <w:color w:val="auto"/>
              </w:rPr>
            </w:pPr>
            <w:r>
              <w:rPr>
                <w:rFonts w:ascii="Arial" w:cs="Arial" w:eastAsia="Arial" w:hAnsi="Arial"/>
                <w:sz w:val="20"/>
                <w:szCs w:val="20"/>
                <w:color w:val="231F20"/>
              </w:rPr>
              <w:t>Operating lease . . . . . . . . . . . . . . . . . .</w:t>
            </w:r>
          </w:p>
        </w:tc>
        <w:tc>
          <w:tcPr>
            <w:tcW w:w="2400" w:type="dxa"/>
            <w:vAlign w:val="bottom"/>
            <w:gridSpan w:val="2"/>
          </w:tcPr>
          <w:p>
            <w:pPr>
              <w:jc w:val="right"/>
              <w:ind w:right="200"/>
              <w:spacing w:after="0"/>
              <w:rPr>
                <w:sz w:val="20"/>
                <w:szCs w:val="20"/>
                <w:color w:val="auto"/>
              </w:rPr>
            </w:pPr>
            <w:r>
              <w:rPr>
                <w:rFonts w:ascii="Arial" w:cs="Arial" w:eastAsia="Arial" w:hAnsi="Arial"/>
                <w:sz w:val="20"/>
                <w:szCs w:val="20"/>
                <w:i w:val="1"/>
                <w:iCs w:val="1"/>
                <w:color w:val="231F20"/>
                <w:w w:val="98"/>
              </w:rPr>
              <w:t>Other long-term liabilities</w:t>
            </w:r>
          </w:p>
        </w:tc>
        <w:tc>
          <w:tcPr>
            <w:tcW w:w="280" w:type="dxa"/>
            <w:vAlign w:val="bottom"/>
          </w:tcPr>
          <w:p>
            <w:pPr>
              <w:jc w:val="right"/>
              <w:ind w:right="60"/>
              <w:spacing w:after="0"/>
              <w:rPr>
                <w:sz w:val="20"/>
                <w:szCs w:val="20"/>
                <w:color w:val="auto"/>
              </w:rPr>
            </w:pPr>
            <w:r>
              <w:rPr>
                <w:rFonts w:ascii="Arial" w:cs="Arial" w:eastAsia="Arial" w:hAnsi="Arial"/>
                <w:sz w:val="20"/>
                <w:szCs w:val="20"/>
                <w:color w:val="231F20"/>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61</w:t>
            </w:r>
          </w:p>
        </w:tc>
        <w:tc>
          <w:tcPr>
            <w:tcW w:w="440" w:type="dxa"/>
            <w:vAlign w:val="bottom"/>
            <w:gridSpan w:val="2"/>
          </w:tcPr>
          <w:p>
            <w:pPr>
              <w:jc w:val="right"/>
              <w:ind w:right="340"/>
              <w:spacing w:after="0"/>
              <w:rPr>
                <w:sz w:val="20"/>
                <w:szCs w:val="20"/>
                <w:color w:val="auto"/>
              </w:rPr>
            </w:pPr>
            <w:r>
              <w:rPr>
                <w:rFonts w:ascii="Arial" w:cs="Arial" w:eastAsia="Arial" w:hAnsi="Arial"/>
                <w:sz w:val="20"/>
                <w:szCs w:val="20"/>
                <w:color w:val="231F20"/>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76</w:t>
            </w:r>
          </w:p>
        </w:tc>
        <w:tc>
          <w:tcPr>
            <w:tcW w:w="0" w:type="dxa"/>
            <w:vAlign w:val="bottom"/>
          </w:tcPr>
          <w:p>
            <w:pPr>
              <w:spacing w:after="0"/>
              <w:rPr>
                <w:sz w:val="1"/>
                <w:szCs w:val="1"/>
                <w:color w:val="auto"/>
              </w:rPr>
            </w:pPr>
          </w:p>
        </w:tc>
      </w:tr>
      <w:tr>
        <w:trPr>
          <w:trHeight w:val="240"/>
        </w:trPr>
        <w:tc>
          <w:tcPr>
            <w:tcW w:w="3740" w:type="dxa"/>
            <w:vAlign w:val="bottom"/>
          </w:tcPr>
          <w:p>
            <w:pPr>
              <w:jc w:val="right"/>
              <w:ind w:right="100"/>
              <w:spacing w:after="0"/>
              <w:rPr>
                <w:sz w:val="20"/>
                <w:szCs w:val="20"/>
                <w:color w:val="auto"/>
              </w:rPr>
            </w:pPr>
            <w:r>
              <w:rPr>
                <w:rFonts w:ascii="Arial" w:cs="Arial" w:eastAsia="Arial" w:hAnsi="Arial"/>
                <w:sz w:val="20"/>
                <w:szCs w:val="20"/>
                <w:color w:val="231F20"/>
              </w:rPr>
              <w:t>Finance lease  . . . . . . . . . . . . . . . . . . .</w:t>
            </w:r>
          </w:p>
        </w:tc>
        <w:tc>
          <w:tcPr>
            <w:tcW w:w="2400" w:type="dxa"/>
            <w:vAlign w:val="bottom"/>
            <w:gridSpan w:val="2"/>
          </w:tcPr>
          <w:p>
            <w:pPr>
              <w:jc w:val="right"/>
              <w:ind w:right="200"/>
              <w:spacing w:after="0"/>
              <w:rPr>
                <w:sz w:val="20"/>
                <w:szCs w:val="20"/>
                <w:color w:val="auto"/>
              </w:rPr>
            </w:pPr>
            <w:r>
              <w:rPr>
                <w:rFonts w:ascii="Arial" w:cs="Arial" w:eastAsia="Arial" w:hAnsi="Arial"/>
                <w:sz w:val="20"/>
                <w:szCs w:val="20"/>
                <w:i w:val="1"/>
                <w:iCs w:val="1"/>
                <w:color w:val="231F20"/>
                <w:w w:val="98"/>
              </w:rPr>
              <w:t>Other long-term liabilities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740" w:type="dxa"/>
            <w:vAlign w:val="bottom"/>
          </w:tcPr>
          <w:p>
            <w:pPr>
              <w:jc w:val="right"/>
              <w:ind w:right="100"/>
              <w:spacing w:after="0"/>
              <w:rPr>
                <w:sz w:val="20"/>
                <w:szCs w:val="20"/>
                <w:color w:val="auto"/>
              </w:rPr>
            </w:pPr>
            <w:r>
              <w:rPr>
                <w:rFonts w:ascii="Arial" w:cs="Arial" w:eastAsia="Arial" w:hAnsi="Arial"/>
                <w:sz w:val="20"/>
                <w:szCs w:val="20"/>
                <w:color w:val="231F20"/>
              </w:rPr>
              <w:t>Total lease liabilities  . . . . . . . . . . . .</w:t>
            </w:r>
          </w:p>
        </w:tc>
        <w:tc>
          <w:tcPr>
            <w:tcW w:w="2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jc w:val="right"/>
              <w:ind w:right="60"/>
              <w:spacing w:after="0"/>
              <w:rPr>
                <w:sz w:val="20"/>
                <w:szCs w:val="20"/>
                <w:color w:val="auto"/>
              </w:rPr>
            </w:pPr>
            <w:r>
              <w:rPr>
                <w:rFonts w:ascii="Arial" w:cs="Arial" w:eastAsia="Arial" w:hAnsi="Arial"/>
                <w:sz w:val="20"/>
                <w:szCs w:val="20"/>
                <w:color w:val="231F20"/>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20"/>
                <w:szCs w:val="20"/>
                <w:color w:val="231F20"/>
              </w:rPr>
              <w:t>78</w:t>
            </w:r>
          </w:p>
        </w:tc>
        <w:tc>
          <w:tcPr>
            <w:tcW w:w="440" w:type="dxa"/>
            <w:vAlign w:val="bottom"/>
            <w:gridSpan w:val="2"/>
          </w:tcPr>
          <w:p>
            <w:pPr>
              <w:jc w:val="right"/>
              <w:ind w:right="340"/>
              <w:spacing w:after="0"/>
              <w:rPr>
                <w:sz w:val="20"/>
                <w:szCs w:val="20"/>
                <w:color w:val="auto"/>
              </w:rPr>
            </w:pPr>
            <w:r>
              <w:rPr>
                <w:rFonts w:ascii="Arial" w:cs="Arial" w:eastAsia="Arial" w:hAnsi="Arial"/>
                <w:sz w:val="20"/>
                <w:szCs w:val="20"/>
                <w:color w:val="231F20"/>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94</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22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We combine lease and nonlease components in determining fixed minimum lease payments for our commercial office space. If applicable, fixed minimum lease payments are reduced by lease incentives for our commercial office space. Certain of our lease agreements include options to extend or terminate the lease, which we may exercise at our sole discretion. For our existing leases, we did not include these options in determining our fixed minimum lease payments over the lease term. Our</w:t>
      </w:r>
    </w:p>
    <w:p>
      <w:pPr>
        <w:sectPr>
          <w:pgSz w:w="11880" w:h="15480" w:orient="portrait"/>
          <w:cols w:equalWidth="0" w:num="1">
            <w:col w:w="9120"/>
          </w:cols>
          <w:pgMar w:left="1380" w:top="1310" w:right="1380" w:bottom="66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132</w:t>
      </w:r>
    </w:p>
    <w:p>
      <w:pPr>
        <w:sectPr>
          <w:pgSz w:w="11880" w:h="15480" w:orient="portrait"/>
          <w:cols w:equalWidth="0" w:num="1">
            <w:col w:w="9120"/>
          </w:cols>
          <w:pgMar w:left="1380" w:top="1310" w:right="1380" w:bottom="660" w:gutter="0" w:footer="0" w:header="0"/>
          <w:type w:val="continuous"/>
        </w:sectPr>
      </w:pPr>
    </w:p>
    <w:bookmarkStart w:id="136" w:name="page137"/>
    <w:bookmarkEnd w:id="136"/>
    <w:p>
      <w:pPr>
        <w:ind w:right="120"/>
        <w:spacing w:after="0" w:line="246" w:lineRule="auto"/>
        <w:rPr>
          <w:sz w:val="20"/>
          <w:szCs w:val="20"/>
          <w:color w:val="auto"/>
        </w:rPr>
      </w:pPr>
      <w:r>
        <w:rPr>
          <w:rFonts w:ascii="Arial" w:cs="Arial" w:eastAsia="Arial" w:hAnsi="Arial"/>
          <w:sz w:val="20"/>
          <w:szCs w:val="20"/>
          <w:color w:val="231F20"/>
        </w:rPr>
        <w:t>leases do not include options to purchase the leased property. Lease agreements for our fleet vehicles include residual value guarantees, none of which are recognized in our financial statements until the underlying contingency is resolved.</w:t>
      </w:r>
    </w:p>
    <w:p>
      <w:pPr>
        <w:spacing w:after="0" w:line="213" w:lineRule="exact"/>
        <w:rPr>
          <w:sz w:val="20"/>
          <w:szCs w:val="20"/>
          <w:color w:val="auto"/>
        </w:rPr>
      </w:pPr>
    </w:p>
    <w:p>
      <w:pPr>
        <w:ind w:right="280" w:firstLine="300"/>
        <w:spacing w:after="0" w:line="246" w:lineRule="auto"/>
        <w:rPr>
          <w:sz w:val="20"/>
          <w:szCs w:val="20"/>
          <w:color w:val="auto"/>
        </w:rPr>
      </w:pPr>
      <w:r>
        <w:rPr>
          <w:rFonts w:ascii="Arial" w:cs="Arial" w:eastAsia="Arial" w:hAnsi="Arial"/>
          <w:sz w:val="20"/>
          <w:szCs w:val="20"/>
          <w:color w:val="231F20"/>
        </w:rPr>
        <w:t>Variable lease costs for commercial office space include utilities and common area maintenance charges. Variable lease costs for our fleet vehicles include other-than-routine maintenance and other various amounts in excess of our fixed minimum rental fee.</w:t>
      </w:r>
    </w:p>
    <w:p>
      <w:pPr>
        <w:spacing w:after="0" w:line="213" w:lineRule="exact"/>
        <w:rPr>
          <w:sz w:val="20"/>
          <w:szCs w:val="20"/>
          <w:color w:val="auto"/>
        </w:rPr>
      </w:pPr>
    </w:p>
    <w:p>
      <w:pPr>
        <w:ind w:right="200" w:firstLine="300"/>
        <w:spacing w:after="0" w:line="246" w:lineRule="auto"/>
        <w:rPr>
          <w:sz w:val="20"/>
          <w:szCs w:val="20"/>
          <w:color w:val="auto"/>
        </w:rPr>
      </w:pPr>
      <w:r>
        <w:rPr>
          <w:rFonts w:ascii="Arial" w:cs="Arial" w:eastAsia="Arial" w:hAnsi="Arial"/>
          <w:sz w:val="20"/>
          <w:szCs w:val="20"/>
          <w:color w:val="231F20"/>
        </w:rPr>
        <w:t>Our lease costs, including amounts capitalized to PP&amp;E, shown in the table below are before joint-interest recoveries. Lease payments are reduced by joint interest recoveries on our consolidated statement of operations through our joint-interest billing process.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80" w:type="dxa"/>
            <w:vAlign w:val="bottom"/>
          </w:tcPr>
          <w:p>
            <w:pPr>
              <w:spacing w:after="0"/>
              <w:rPr>
                <w:sz w:val="21"/>
                <w:szCs w:val="21"/>
                <w:color w:val="auto"/>
              </w:rPr>
            </w:pPr>
          </w:p>
        </w:tc>
        <w:tc>
          <w:tcPr>
            <w:tcW w:w="1120" w:type="dxa"/>
            <w:vAlign w:val="bottom"/>
            <w:tcBorders>
              <w:bottom w:val="single" w:sz="8" w:color="231F20"/>
            </w:tcBorders>
          </w:tcPr>
          <w:p>
            <w:pPr>
              <w:spacing w:after="0"/>
              <w:rPr>
                <w:sz w:val="21"/>
                <w:szCs w:val="21"/>
                <w:color w:val="auto"/>
              </w:rPr>
            </w:pPr>
          </w:p>
        </w:tc>
        <w:tc>
          <w:tcPr>
            <w:tcW w:w="2840" w:type="dxa"/>
            <w:vAlign w:val="bottom"/>
            <w:tcBorders>
              <w:bottom w:val="single" w:sz="8" w:color="231F20"/>
            </w:tcBorders>
            <w:gridSpan w:val="7"/>
          </w:tcPr>
          <w:p>
            <w:pPr>
              <w:jc w:val="center"/>
              <w:spacing w:after="0"/>
              <w:rPr>
                <w:sz w:val="20"/>
                <w:szCs w:val="20"/>
                <w:color w:val="auto"/>
              </w:rPr>
            </w:pPr>
            <w:r>
              <w:rPr>
                <w:rFonts w:ascii="Arial" w:cs="Arial" w:eastAsia="Arial" w:hAnsi="Arial"/>
                <w:sz w:val="20"/>
                <w:szCs w:val="20"/>
                <w:b w:val="1"/>
                <w:bCs w:val="1"/>
                <w:color w:val="231F20"/>
              </w:rPr>
              <w:t>Year ended December 31,</w:t>
            </w:r>
          </w:p>
        </w:tc>
        <w:tc>
          <w:tcPr>
            <w:tcW w:w="118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40" w:type="dxa"/>
            <w:vAlign w:val="bottom"/>
          </w:tcPr>
          <w:p>
            <w:pPr>
              <w:spacing w:after="0"/>
              <w:rPr>
                <w:sz w:val="21"/>
                <w:szCs w:val="21"/>
                <w:color w:val="auto"/>
              </w:rPr>
            </w:pPr>
          </w:p>
        </w:tc>
      </w:tr>
      <w:tr>
        <w:trPr>
          <w:trHeight w:val="260"/>
        </w:trPr>
        <w:tc>
          <w:tcPr>
            <w:tcW w:w="3980" w:type="dxa"/>
            <w:vAlign w:val="bottom"/>
          </w:tcPr>
          <w:p>
            <w:pPr>
              <w:spacing w:after="0"/>
              <w:rPr>
                <w:sz w:val="22"/>
                <w:szCs w:val="22"/>
                <w:color w:val="auto"/>
              </w:rPr>
            </w:pPr>
          </w:p>
        </w:tc>
        <w:tc>
          <w:tcPr>
            <w:tcW w:w="1120" w:type="dxa"/>
            <w:vAlign w:val="bottom"/>
            <w:tcBorders>
              <w:bottom w:val="single" w:sz="8" w:color="231F20"/>
            </w:tcBorders>
          </w:tcPr>
          <w:p>
            <w:pPr>
              <w:jc w:val="right"/>
              <w:ind w:right="20"/>
              <w:spacing w:after="0"/>
              <w:rPr>
                <w:sz w:val="20"/>
                <w:szCs w:val="20"/>
                <w:color w:val="auto"/>
              </w:rPr>
            </w:pPr>
            <w:r>
              <w:rPr>
                <w:rFonts w:ascii="Arial" w:cs="Arial" w:eastAsia="Arial" w:hAnsi="Arial"/>
                <w:sz w:val="20"/>
                <w:szCs w:val="20"/>
                <w:b w:val="1"/>
                <w:bCs w:val="1"/>
                <w:color w:val="231F20"/>
              </w:rPr>
              <w:t>2025</w:t>
            </w:r>
          </w:p>
        </w:tc>
        <w:tc>
          <w:tcPr>
            <w:tcW w:w="460" w:type="dxa"/>
            <w:vAlign w:val="bottom"/>
            <w:tcBorders>
              <w:bottom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320" w:type="dxa"/>
            <w:vAlign w:val="bottom"/>
            <w:tcBorders>
              <w:bottom w:val="single" w:sz="8" w:color="231F20"/>
            </w:tcBorders>
          </w:tcPr>
          <w:p>
            <w:pPr>
              <w:jc w:val="center"/>
              <w:ind w:right="182"/>
              <w:spacing w:after="0"/>
              <w:rPr>
                <w:sz w:val="20"/>
                <w:szCs w:val="20"/>
                <w:color w:val="auto"/>
              </w:rPr>
            </w:pPr>
            <w:r>
              <w:rPr>
                <w:rFonts w:ascii="Arial" w:cs="Arial" w:eastAsia="Arial" w:hAnsi="Arial"/>
                <w:sz w:val="20"/>
                <w:szCs w:val="20"/>
                <w:b w:val="1"/>
                <w:bCs w:val="1"/>
                <w:color w:val="231F20"/>
                <w:w w:val="98"/>
              </w:rPr>
              <w:t>2024</w:t>
            </w:r>
          </w:p>
        </w:tc>
        <w:tc>
          <w:tcPr>
            <w:tcW w:w="20" w:type="dxa"/>
            <w:vAlign w:val="bottom"/>
            <w:tcBorders>
              <w:bottom w:val="single" w:sz="8" w:color="231F20"/>
            </w:tcBorders>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jc w:val="right"/>
              <w:ind w:right="460"/>
              <w:spacing w:after="0"/>
              <w:rPr>
                <w:sz w:val="20"/>
                <w:szCs w:val="20"/>
                <w:color w:val="auto"/>
              </w:rPr>
            </w:pPr>
            <w:r>
              <w:rPr>
                <w:rFonts w:ascii="Arial" w:cs="Arial" w:eastAsia="Arial" w:hAnsi="Arial"/>
                <w:sz w:val="20"/>
                <w:szCs w:val="20"/>
                <w:b w:val="1"/>
                <w:bCs w:val="1"/>
                <w:color w:val="231F20"/>
              </w:rPr>
              <w:t>2023</w:t>
            </w:r>
          </w:p>
        </w:tc>
        <w:tc>
          <w:tcPr>
            <w:tcW w:w="20" w:type="dxa"/>
            <w:vAlign w:val="bottom"/>
            <w:tcBorders>
              <w:bottom w:val="single" w:sz="8" w:color="231F20"/>
            </w:tcBorders>
          </w:tcPr>
          <w:p>
            <w:pPr>
              <w:spacing w:after="0"/>
              <w:rPr>
                <w:sz w:val="22"/>
                <w:szCs w:val="22"/>
                <w:color w:val="auto"/>
              </w:rPr>
            </w:pPr>
          </w:p>
        </w:tc>
        <w:tc>
          <w:tcPr>
            <w:tcW w:w="40" w:type="dxa"/>
            <w:vAlign w:val="bottom"/>
          </w:tcPr>
          <w:p>
            <w:pPr>
              <w:spacing w:after="0"/>
              <w:rPr>
                <w:sz w:val="22"/>
                <w:szCs w:val="22"/>
                <w:color w:val="auto"/>
              </w:rPr>
            </w:pPr>
          </w:p>
        </w:tc>
      </w:tr>
      <w:tr>
        <w:trPr>
          <w:trHeight w:val="192"/>
        </w:trPr>
        <w:tc>
          <w:tcPr>
            <w:tcW w:w="3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center"/>
              <w:ind w:right="480"/>
              <w:spacing w:after="0"/>
              <w:rPr>
                <w:sz w:val="20"/>
                <w:szCs w:val="20"/>
                <w:color w:val="auto"/>
              </w:rPr>
            </w:pPr>
            <w:r>
              <w:rPr>
                <w:rFonts w:ascii="Arial" w:cs="Arial" w:eastAsia="Arial" w:hAnsi="Arial"/>
                <w:sz w:val="16"/>
                <w:szCs w:val="16"/>
                <w:color w:val="231F20"/>
                <w:w w:val="98"/>
              </w:rPr>
              <w:t>(in millions)</w:t>
            </w: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3980" w:type="dxa"/>
            <w:vAlign w:val="bottom"/>
          </w:tcPr>
          <w:p>
            <w:pPr>
              <w:jc w:val="right"/>
              <w:ind w:right="100"/>
              <w:spacing w:after="0"/>
              <w:rPr>
                <w:sz w:val="20"/>
                <w:szCs w:val="20"/>
                <w:color w:val="auto"/>
              </w:rPr>
            </w:pPr>
            <w:r>
              <w:rPr>
                <w:rFonts w:ascii="Arial" w:cs="Arial" w:eastAsia="Arial" w:hAnsi="Arial"/>
                <w:sz w:val="20"/>
                <w:szCs w:val="20"/>
                <w:color w:val="231F20"/>
                <w:w w:val="98"/>
              </w:rPr>
              <w:t>Operating lease costs . . . . . . . . . . . . . . . . .</w:t>
            </w:r>
          </w:p>
        </w:tc>
        <w:tc>
          <w:tcPr>
            <w:tcW w:w="1120" w:type="dxa"/>
            <w:vAlign w:val="bottom"/>
          </w:tcPr>
          <w:p>
            <w:pPr>
              <w:jc w:val="right"/>
              <w:ind w:right="860"/>
              <w:spacing w:after="0"/>
              <w:rPr>
                <w:sz w:val="20"/>
                <w:szCs w:val="20"/>
                <w:color w:val="auto"/>
              </w:rPr>
            </w:pPr>
            <w:r>
              <w:rPr>
                <w:rFonts w:ascii="Arial" w:cs="Arial" w:eastAsia="Arial" w:hAnsi="Arial"/>
                <w:sz w:val="20"/>
                <w:szCs w:val="20"/>
                <w:color w:val="231F20"/>
              </w:rPr>
              <w:t>$</w:t>
            </w:r>
          </w:p>
        </w:tc>
        <w:tc>
          <w:tcPr>
            <w:tcW w:w="460" w:type="dxa"/>
            <w:vAlign w:val="bottom"/>
          </w:tcPr>
          <w:p>
            <w:pPr>
              <w:jc w:val="right"/>
              <w:spacing w:after="0"/>
              <w:rPr>
                <w:sz w:val="20"/>
                <w:szCs w:val="20"/>
                <w:color w:val="auto"/>
              </w:rPr>
            </w:pPr>
            <w:r>
              <w:rPr>
                <w:rFonts w:ascii="Arial" w:cs="Arial" w:eastAsia="Arial" w:hAnsi="Arial"/>
                <w:sz w:val="20"/>
                <w:szCs w:val="20"/>
                <w:color w:val="231F20"/>
              </w:rPr>
              <w:t>30</w:t>
            </w:r>
          </w:p>
        </w:tc>
        <w:tc>
          <w:tcPr>
            <w:tcW w:w="2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231F20"/>
              </w:rPr>
              <w:t>$</w:t>
            </w:r>
          </w:p>
        </w:tc>
        <w:tc>
          <w:tcPr>
            <w:tcW w:w="1520" w:type="dxa"/>
            <w:vAlign w:val="bottom"/>
            <w:gridSpan w:val="3"/>
          </w:tcPr>
          <w:p>
            <w:pPr>
              <w:jc w:val="right"/>
              <w:ind w:right="200"/>
              <w:spacing w:after="0"/>
              <w:rPr>
                <w:sz w:val="20"/>
                <w:szCs w:val="20"/>
                <w:color w:val="auto"/>
              </w:rPr>
            </w:pPr>
            <w:r>
              <w:rPr>
                <w:rFonts w:ascii="Arial" w:cs="Arial" w:eastAsia="Arial" w:hAnsi="Arial"/>
                <w:sz w:val="20"/>
                <w:szCs w:val="20"/>
                <w:color w:val="231F20"/>
              </w:rPr>
              <w:t>26</w:t>
            </w:r>
          </w:p>
        </w:tc>
        <w:tc>
          <w:tcPr>
            <w:tcW w:w="400" w:type="dxa"/>
            <w:vAlign w:val="bottom"/>
          </w:tcPr>
          <w:p>
            <w:pPr>
              <w:jc w:val="right"/>
              <w:ind w:right="140"/>
              <w:spacing w:after="0"/>
              <w:rPr>
                <w:sz w:val="20"/>
                <w:szCs w:val="20"/>
                <w:color w:val="auto"/>
              </w:rPr>
            </w:pPr>
            <w:r>
              <w:rPr>
                <w:rFonts w:ascii="Arial" w:cs="Arial" w:eastAsia="Arial" w:hAnsi="Arial"/>
                <w:sz w:val="20"/>
                <w:szCs w:val="20"/>
                <w:color w:val="231F20"/>
              </w:rPr>
              <w:t>$</w:t>
            </w:r>
          </w:p>
        </w:tc>
        <w:tc>
          <w:tcPr>
            <w:tcW w:w="1240" w:type="dxa"/>
            <w:vAlign w:val="bottom"/>
            <w:gridSpan w:val="3"/>
          </w:tcPr>
          <w:p>
            <w:pPr>
              <w:jc w:val="right"/>
              <w:ind w:right="60"/>
              <w:spacing w:after="0"/>
              <w:rPr>
                <w:sz w:val="20"/>
                <w:szCs w:val="20"/>
                <w:color w:val="auto"/>
              </w:rPr>
            </w:pPr>
            <w:r>
              <w:rPr>
                <w:rFonts w:ascii="Arial" w:cs="Arial" w:eastAsia="Arial" w:hAnsi="Arial"/>
                <w:sz w:val="20"/>
                <w:szCs w:val="20"/>
                <w:color w:val="231F20"/>
              </w:rPr>
              <w:t>23</w:t>
            </w:r>
          </w:p>
        </w:tc>
      </w:tr>
      <w:tr>
        <w:trPr>
          <w:trHeight w:val="255"/>
        </w:trPr>
        <w:tc>
          <w:tcPr>
            <w:tcW w:w="3980" w:type="dxa"/>
            <w:vAlign w:val="bottom"/>
          </w:tcPr>
          <w:p>
            <w:pPr>
              <w:jc w:val="right"/>
              <w:ind w:right="100"/>
              <w:spacing w:after="0" w:line="255" w:lineRule="exact"/>
              <w:rPr>
                <w:sz w:val="20"/>
                <w:szCs w:val="20"/>
                <w:color w:val="auto"/>
              </w:rPr>
            </w:pPr>
            <w:r>
              <w:rPr>
                <w:rFonts w:ascii="Arial" w:cs="Arial" w:eastAsia="Arial" w:hAnsi="Arial"/>
                <w:sz w:val="20"/>
                <w:szCs w:val="20"/>
                <w:color w:val="231F20"/>
                <w:w w:val="96"/>
              </w:rPr>
              <w:t>Short-term lease costs</w:t>
            </w:r>
            <w:r>
              <w:rPr>
                <w:rFonts w:ascii="Arial" w:cs="Arial" w:eastAsia="Arial" w:hAnsi="Arial"/>
                <w:sz w:val="26"/>
                <w:szCs w:val="26"/>
                <w:color w:val="231F20"/>
                <w:w w:val="96"/>
                <w:vertAlign w:val="superscript"/>
              </w:rPr>
              <w:t>(a)</w:t>
            </w:r>
            <w:r>
              <w:rPr>
                <w:rFonts w:ascii="Arial" w:cs="Arial" w:eastAsia="Arial" w:hAnsi="Arial"/>
                <w:sz w:val="20"/>
                <w:szCs w:val="20"/>
                <w:color w:val="231F20"/>
                <w:w w:val="96"/>
              </w:rPr>
              <w:t xml:space="preserve"> . . . . . . . . . . . . . . .</w:t>
            </w:r>
          </w:p>
        </w:tc>
        <w:tc>
          <w:tcPr>
            <w:tcW w:w="11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231F20"/>
              </w:rPr>
              <w:t>112</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20"/>
                <w:szCs w:val="20"/>
                <w:color w:val="231F20"/>
              </w:rPr>
              <w:t>50</w:t>
            </w:r>
          </w:p>
        </w:tc>
        <w:tc>
          <w:tcPr>
            <w:tcW w:w="400" w:type="dxa"/>
            <w:vAlign w:val="bottom"/>
          </w:tcPr>
          <w:p>
            <w:pPr>
              <w:spacing w:after="0"/>
              <w:rPr>
                <w:sz w:val="22"/>
                <w:szCs w:val="22"/>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20"/>
                <w:szCs w:val="20"/>
                <w:color w:val="231F20"/>
              </w:rPr>
              <w:t>52</w:t>
            </w:r>
          </w:p>
        </w:tc>
      </w:tr>
      <w:tr>
        <w:trPr>
          <w:trHeight w:val="225"/>
        </w:trPr>
        <w:tc>
          <w:tcPr>
            <w:tcW w:w="3980" w:type="dxa"/>
            <w:vAlign w:val="bottom"/>
          </w:tcPr>
          <w:p>
            <w:pPr>
              <w:jc w:val="right"/>
              <w:ind w:right="100"/>
              <w:spacing w:after="0" w:line="226" w:lineRule="exact"/>
              <w:rPr>
                <w:sz w:val="20"/>
                <w:szCs w:val="20"/>
                <w:color w:val="auto"/>
              </w:rPr>
            </w:pPr>
            <w:r>
              <w:rPr>
                <w:rFonts w:ascii="Arial" w:cs="Arial" w:eastAsia="Arial" w:hAnsi="Arial"/>
                <w:sz w:val="20"/>
                <w:szCs w:val="20"/>
                <w:color w:val="231F20"/>
                <w:w w:val="97"/>
              </w:rPr>
              <w:t>Variable lease costs  . . . . . . . . . . . . . . . . . .</w:t>
            </w:r>
          </w:p>
        </w:tc>
        <w:tc>
          <w:tcPr>
            <w:tcW w:w="1120" w:type="dxa"/>
            <w:vAlign w:val="bottom"/>
          </w:tcPr>
          <w:p>
            <w:pPr>
              <w:spacing w:after="0"/>
              <w:rPr>
                <w:sz w:val="19"/>
                <w:szCs w:val="19"/>
                <w:color w:val="auto"/>
              </w:rPr>
            </w:pPr>
          </w:p>
        </w:tc>
        <w:tc>
          <w:tcPr>
            <w:tcW w:w="460" w:type="dxa"/>
            <w:vAlign w:val="bottom"/>
          </w:tcPr>
          <w:p>
            <w:pPr>
              <w:jc w:val="right"/>
              <w:spacing w:after="0" w:line="226" w:lineRule="exact"/>
              <w:rPr>
                <w:sz w:val="20"/>
                <w:szCs w:val="20"/>
                <w:color w:val="auto"/>
              </w:rPr>
            </w:pPr>
            <w:r>
              <w:rPr>
                <w:rFonts w:ascii="Arial" w:cs="Arial" w:eastAsia="Arial" w:hAnsi="Arial"/>
                <w:sz w:val="20"/>
                <w:szCs w:val="20"/>
                <w:color w:val="231F20"/>
              </w:rPr>
              <w:t>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ind w:right="200"/>
              <w:spacing w:after="0" w:line="226" w:lineRule="exact"/>
              <w:rPr>
                <w:sz w:val="20"/>
                <w:szCs w:val="20"/>
                <w:color w:val="auto"/>
              </w:rPr>
            </w:pPr>
            <w:r>
              <w:rPr>
                <w:rFonts w:ascii="Arial" w:cs="Arial" w:eastAsia="Arial" w:hAnsi="Arial"/>
                <w:sz w:val="20"/>
                <w:szCs w:val="20"/>
                <w:color w:val="231F20"/>
              </w:rPr>
              <w:t>2</w:t>
            </w:r>
          </w:p>
        </w:tc>
        <w:tc>
          <w:tcPr>
            <w:tcW w:w="400" w:type="dxa"/>
            <w:vAlign w:val="bottom"/>
          </w:tcPr>
          <w:p>
            <w:pPr>
              <w:spacing w:after="0"/>
              <w:rPr>
                <w:sz w:val="19"/>
                <w:szCs w:val="19"/>
                <w:color w:val="auto"/>
              </w:rPr>
            </w:pPr>
          </w:p>
        </w:tc>
        <w:tc>
          <w:tcPr>
            <w:tcW w:w="1240" w:type="dxa"/>
            <w:vAlign w:val="bottom"/>
            <w:gridSpan w:val="3"/>
          </w:tcPr>
          <w:p>
            <w:pPr>
              <w:jc w:val="right"/>
              <w:ind w:right="60"/>
              <w:spacing w:after="0" w:line="226" w:lineRule="exact"/>
              <w:rPr>
                <w:sz w:val="20"/>
                <w:szCs w:val="20"/>
                <w:color w:val="auto"/>
              </w:rPr>
            </w:pPr>
            <w:r>
              <w:rPr>
                <w:rFonts w:ascii="Arial" w:cs="Arial" w:eastAsia="Arial" w:hAnsi="Arial"/>
                <w:sz w:val="20"/>
                <w:szCs w:val="20"/>
                <w:color w:val="231F20"/>
              </w:rPr>
              <w:t>2</w:t>
            </w:r>
          </w:p>
        </w:tc>
      </w:tr>
      <w:tr>
        <w:trPr>
          <w:trHeight w:val="28"/>
        </w:trPr>
        <w:tc>
          <w:tcPr>
            <w:tcW w:w="398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270"/>
        </w:trPr>
        <w:tc>
          <w:tcPr>
            <w:tcW w:w="3980" w:type="dxa"/>
            <w:vAlign w:val="bottom"/>
          </w:tcPr>
          <w:p>
            <w:pPr>
              <w:jc w:val="right"/>
              <w:ind w:right="100"/>
              <w:spacing w:after="0"/>
              <w:rPr>
                <w:sz w:val="20"/>
                <w:szCs w:val="20"/>
                <w:color w:val="auto"/>
              </w:rPr>
            </w:pPr>
            <w:r>
              <w:rPr>
                <w:rFonts w:ascii="Arial" w:cs="Arial" w:eastAsia="Arial" w:hAnsi="Arial"/>
                <w:sz w:val="20"/>
                <w:szCs w:val="20"/>
                <w:color w:val="231F20"/>
              </w:rPr>
              <w:t>Total operating lease costs . . . . . . . . .</w:t>
            </w:r>
          </w:p>
        </w:tc>
        <w:tc>
          <w:tcPr>
            <w:tcW w:w="1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231F20"/>
              </w:rPr>
              <w:t>144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20"/>
                <w:szCs w:val="20"/>
                <w:color w:val="231F20"/>
              </w:rPr>
              <w:t>78</w:t>
            </w:r>
          </w:p>
        </w:tc>
        <w:tc>
          <w:tcPr>
            <w:tcW w:w="400" w:type="dxa"/>
            <w:vAlign w:val="bottom"/>
          </w:tcPr>
          <w:p>
            <w:pPr>
              <w:spacing w:after="0"/>
              <w:rPr>
                <w:sz w:val="23"/>
                <w:szCs w:val="23"/>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20"/>
                <w:szCs w:val="20"/>
                <w:color w:val="231F20"/>
              </w:rPr>
              <w:t>77</w:t>
            </w:r>
          </w:p>
        </w:tc>
      </w:tr>
      <w:tr>
        <w:trPr>
          <w:trHeight w:val="240"/>
        </w:trPr>
        <w:tc>
          <w:tcPr>
            <w:tcW w:w="3980" w:type="dxa"/>
            <w:vAlign w:val="bottom"/>
          </w:tcPr>
          <w:p>
            <w:pPr>
              <w:jc w:val="right"/>
              <w:ind w:right="100"/>
              <w:spacing w:after="0"/>
              <w:rPr>
                <w:sz w:val="20"/>
                <w:szCs w:val="20"/>
                <w:color w:val="auto"/>
              </w:rPr>
            </w:pPr>
            <w:r>
              <w:rPr>
                <w:rFonts w:ascii="Arial" w:cs="Arial" w:eastAsia="Arial" w:hAnsi="Arial"/>
                <w:sz w:val="20"/>
                <w:szCs w:val="20"/>
                <w:color w:val="231F20"/>
                <w:w w:val="98"/>
              </w:rPr>
              <w:t>Finance lease costs  . . . . . . . . . . . . . . . . . .</w:t>
            </w: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20"/>
                <w:szCs w:val="20"/>
                <w:color w:val="231F20"/>
              </w:rPr>
              <w:t>1</w:t>
            </w:r>
          </w:p>
        </w:tc>
        <w:tc>
          <w:tcPr>
            <w:tcW w:w="40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20"/>
                <w:szCs w:val="20"/>
                <w:color w:val="231F20"/>
              </w:rPr>
              <w:t>—</w:t>
            </w:r>
          </w:p>
        </w:tc>
      </w:tr>
      <w:tr>
        <w:trPr>
          <w:trHeight w:val="270"/>
        </w:trPr>
        <w:tc>
          <w:tcPr>
            <w:tcW w:w="3980" w:type="dxa"/>
            <w:vAlign w:val="bottom"/>
          </w:tcPr>
          <w:p>
            <w:pPr>
              <w:jc w:val="right"/>
              <w:ind w:right="100"/>
              <w:spacing w:after="0" w:line="270" w:lineRule="exact"/>
              <w:rPr>
                <w:sz w:val="20"/>
                <w:szCs w:val="20"/>
                <w:color w:val="auto"/>
              </w:rPr>
            </w:pPr>
            <w:r>
              <w:rPr>
                <w:rFonts w:ascii="Arial" w:cs="Arial" w:eastAsia="Arial" w:hAnsi="Arial"/>
                <w:sz w:val="20"/>
                <w:szCs w:val="20"/>
                <w:color w:val="231F20"/>
                <w:w w:val="96"/>
              </w:rPr>
              <w:t>Sublease income</w:t>
            </w:r>
            <w:r>
              <w:rPr>
                <w:rFonts w:ascii="Arial" w:cs="Arial" w:eastAsia="Arial" w:hAnsi="Arial"/>
                <w:sz w:val="26"/>
                <w:szCs w:val="26"/>
                <w:color w:val="231F20"/>
                <w:w w:val="96"/>
                <w:vertAlign w:val="superscript"/>
              </w:rPr>
              <w:t>(b)</w:t>
            </w:r>
            <w:r>
              <w:rPr>
                <w:rFonts w:ascii="Arial" w:cs="Arial" w:eastAsia="Arial" w:hAnsi="Arial"/>
                <w:sz w:val="20"/>
                <w:szCs w:val="20"/>
                <w:color w:val="231F20"/>
                <w:w w:val="96"/>
              </w:rPr>
              <w:t xml:space="preserve">  . . . . . . . . . . . . . . . . . . .</w:t>
            </w:r>
          </w:p>
        </w:tc>
        <w:tc>
          <w:tcPr>
            <w:tcW w:w="1120" w:type="dxa"/>
            <w:vAlign w:val="bottom"/>
          </w:tcPr>
          <w:p>
            <w:pPr>
              <w:spacing w:after="0"/>
              <w:rPr>
                <w:sz w:val="23"/>
                <w:szCs w:val="2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20"/>
                <w:szCs w:val="20"/>
                <w:color w:val="231F20"/>
              </w:rPr>
              <w:t>(1)</w:t>
            </w:r>
          </w:p>
        </w:tc>
        <w:tc>
          <w:tcPr>
            <w:tcW w:w="260" w:type="dxa"/>
            <w:vAlign w:val="bottom"/>
          </w:tcPr>
          <w:p>
            <w:pPr>
              <w:spacing w:after="0"/>
              <w:rPr>
                <w:sz w:val="23"/>
                <w:szCs w:val="23"/>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20"/>
                <w:szCs w:val="20"/>
                <w:color w:val="231F20"/>
              </w:rPr>
              <w:t>(2)</w:t>
            </w:r>
          </w:p>
        </w:tc>
        <w:tc>
          <w:tcPr>
            <w:tcW w:w="40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20"/>
                <w:szCs w:val="20"/>
                <w:color w:val="231F20"/>
              </w:rPr>
              <w:t>(2)</w:t>
            </w:r>
          </w:p>
        </w:tc>
      </w:tr>
      <w:tr>
        <w:trPr>
          <w:trHeight w:val="20"/>
        </w:trPr>
        <w:tc>
          <w:tcPr>
            <w:tcW w:w="3980" w:type="dxa"/>
            <w:vAlign w:val="bottom"/>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320" w:type="dxa"/>
            <w:vAlign w:val="bottom"/>
            <w:shd w:val="clear" w:color="auto" w:fill="231F2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0"/>
        </w:trPr>
        <w:tc>
          <w:tcPr>
            <w:tcW w:w="3980" w:type="dxa"/>
            <w:vAlign w:val="bottom"/>
          </w:tcPr>
          <w:p>
            <w:pPr>
              <w:jc w:val="right"/>
              <w:ind w:right="100"/>
              <w:spacing w:after="0"/>
              <w:rPr>
                <w:sz w:val="20"/>
                <w:szCs w:val="20"/>
                <w:color w:val="auto"/>
              </w:rPr>
            </w:pPr>
            <w:r>
              <w:rPr>
                <w:rFonts w:ascii="Arial" w:cs="Arial" w:eastAsia="Arial" w:hAnsi="Arial"/>
                <w:sz w:val="20"/>
                <w:szCs w:val="20"/>
                <w:color w:val="231F20"/>
              </w:rPr>
              <w:t>Total lease costs  . . . . . . . . . . . . . . . . .</w:t>
            </w:r>
          </w:p>
        </w:tc>
        <w:tc>
          <w:tcPr>
            <w:tcW w:w="1120" w:type="dxa"/>
            <w:vAlign w:val="bottom"/>
          </w:tcPr>
          <w:p>
            <w:pPr>
              <w:jc w:val="right"/>
              <w:ind w:right="920"/>
              <w:spacing w:after="0"/>
              <w:rPr>
                <w:sz w:val="20"/>
                <w:szCs w:val="20"/>
                <w:color w:val="auto"/>
              </w:rPr>
            </w:pPr>
            <w:r>
              <w:rPr>
                <w:rFonts w:ascii="Arial" w:cs="Arial" w:eastAsia="Arial" w:hAnsi="Arial"/>
                <w:sz w:val="20"/>
                <w:szCs w:val="20"/>
                <w:color w:val="231F20"/>
                <w:w w:val="71"/>
              </w:rPr>
              <w:t>$</w:t>
            </w:r>
          </w:p>
        </w:tc>
        <w:tc>
          <w:tcPr>
            <w:tcW w:w="460" w:type="dxa"/>
            <w:vAlign w:val="bottom"/>
          </w:tcPr>
          <w:p>
            <w:pPr>
              <w:jc w:val="right"/>
              <w:spacing w:after="0"/>
              <w:rPr>
                <w:sz w:val="20"/>
                <w:szCs w:val="20"/>
                <w:color w:val="auto"/>
              </w:rPr>
            </w:pPr>
            <w:r>
              <w:rPr>
                <w:rFonts w:ascii="Arial" w:cs="Arial" w:eastAsia="Arial" w:hAnsi="Arial"/>
                <w:sz w:val="20"/>
                <w:szCs w:val="20"/>
                <w:color w:val="231F20"/>
              </w:rPr>
              <w:t>145</w:t>
            </w:r>
          </w:p>
        </w:tc>
        <w:tc>
          <w:tcPr>
            <w:tcW w:w="200" w:type="dxa"/>
            <w:vAlign w:val="bottom"/>
          </w:tcPr>
          <w:p>
            <w:pPr>
              <w:spacing w:after="0"/>
              <w:rPr>
                <w:sz w:val="23"/>
                <w:szCs w:val="23"/>
                <w:color w:val="auto"/>
              </w:rPr>
            </w:pPr>
          </w:p>
        </w:tc>
        <w:tc>
          <w:tcPr>
            <w:tcW w:w="260" w:type="dxa"/>
            <w:vAlign w:val="bottom"/>
          </w:tcPr>
          <w:p>
            <w:pPr>
              <w:jc w:val="right"/>
              <w:ind w:right="60"/>
              <w:spacing w:after="0"/>
              <w:rPr>
                <w:sz w:val="20"/>
                <w:szCs w:val="20"/>
                <w:color w:val="auto"/>
              </w:rPr>
            </w:pPr>
            <w:r>
              <w:rPr>
                <w:rFonts w:ascii="Arial" w:cs="Arial" w:eastAsia="Arial" w:hAnsi="Arial"/>
                <w:sz w:val="20"/>
                <w:szCs w:val="20"/>
                <w:color w:val="231F20"/>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231F20"/>
              </w:rPr>
              <w:t>77</w:t>
            </w:r>
          </w:p>
        </w:tc>
        <w:tc>
          <w:tcPr>
            <w:tcW w:w="200" w:type="dxa"/>
            <w:vAlign w:val="bottom"/>
            <w:gridSpan w:val="2"/>
          </w:tcPr>
          <w:p>
            <w:pPr>
              <w:spacing w:after="0"/>
              <w:rPr>
                <w:sz w:val="23"/>
                <w:szCs w:val="23"/>
                <w:color w:val="auto"/>
              </w:rPr>
            </w:pPr>
          </w:p>
        </w:tc>
        <w:tc>
          <w:tcPr>
            <w:tcW w:w="400" w:type="dxa"/>
            <w:vAlign w:val="bottom"/>
          </w:tcPr>
          <w:p>
            <w:pPr>
              <w:jc w:val="right"/>
              <w:ind w:right="200"/>
              <w:spacing w:after="0"/>
              <w:rPr>
                <w:sz w:val="20"/>
                <w:szCs w:val="20"/>
                <w:color w:val="auto"/>
              </w:rPr>
            </w:pPr>
            <w:r>
              <w:rPr>
                <w:rFonts w:ascii="Arial" w:cs="Arial" w:eastAsia="Arial" w:hAnsi="Arial"/>
                <w:sz w:val="20"/>
                <w:szCs w:val="20"/>
                <w:color w:val="231F20"/>
                <w:w w:val="71"/>
              </w:rPr>
              <w:t>$</w:t>
            </w:r>
          </w:p>
        </w:tc>
        <w:tc>
          <w:tcPr>
            <w:tcW w:w="1240" w:type="dxa"/>
            <w:vAlign w:val="bottom"/>
            <w:gridSpan w:val="3"/>
          </w:tcPr>
          <w:p>
            <w:pPr>
              <w:jc w:val="right"/>
              <w:ind w:right="60"/>
              <w:spacing w:after="0"/>
              <w:rPr>
                <w:sz w:val="20"/>
                <w:szCs w:val="20"/>
                <w:color w:val="auto"/>
              </w:rPr>
            </w:pPr>
            <w:r>
              <w:rPr>
                <w:rFonts w:ascii="Arial" w:cs="Arial" w:eastAsia="Arial" w:hAnsi="Arial"/>
                <w:sz w:val="20"/>
                <w:szCs w:val="20"/>
                <w:color w:val="231F20"/>
              </w:rPr>
              <w:t>75</w:t>
            </w:r>
          </w:p>
        </w:tc>
      </w:tr>
      <w:tr>
        <w:trPr>
          <w:trHeight w:val="30"/>
        </w:trPr>
        <w:tc>
          <w:tcPr>
            <w:tcW w:w="398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8" w:lineRule="exact"/>
        <w:rPr>
          <w:sz w:val="20"/>
          <w:szCs w:val="20"/>
          <w:color w:val="auto"/>
        </w:rPr>
      </w:pPr>
    </w:p>
    <w:p>
      <w:pPr>
        <w:ind w:left="640" w:hanging="320"/>
        <w:spacing w:after="0"/>
        <w:tabs>
          <w:tab w:leader="none" w:pos="640" w:val="left"/>
        </w:tabs>
        <w:numPr>
          <w:ilvl w:val="0"/>
          <w:numId w:val="76"/>
        </w:numPr>
        <w:rPr>
          <w:rFonts w:ascii="Arial" w:cs="Arial" w:eastAsia="Arial" w:hAnsi="Arial"/>
          <w:sz w:val="16"/>
          <w:szCs w:val="16"/>
          <w:color w:val="231F20"/>
        </w:rPr>
      </w:pPr>
      <w:r>
        <w:rPr>
          <w:rFonts w:ascii="Arial" w:cs="Arial" w:eastAsia="Arial" w:hAnsi="Arial"/>
          <w:sz w:val="16"/>
          <w:szCs w:val="16"/>
          <w:color w:val="231F20"/>
        </w:rPr>
        <w:t>Contracts with terms of less than one month or less are excluded from our disclosure of short-term lease costs.</w:t>
      </w:r>
    </w:p>
    <w:p>
      <w:pPr>
        <w:spacing w:after="0" w:line="21" w:lineRule="exact"/>
        <w:rPr>
          <w:rFonts w:ascii="Arial" w:cs="Arial" w:eastAsia="Arial" w:hAnsi="Arial"/>
          <w:sz w:val="16"/>
          <w:szCs w:val="16"/>
          <w:color w:val="231F20"/>
        </w:rPr>
      </w:pPr>
    </w:p>
    <w:p>
      <w:pPr>
        <w:ind w:left="640" w:right="320" w:hanging="320"/>
        <w:spacing w:after="0" w:line="258" w:lineRule="auto"/>
        <w:tabs>
          <w:tab w:leader="none" w:pos="640" w:val="left"/>
        </w:tabs>
        <w:numPr>
          <w:ilvl w:val="0"/>
          <w:numId w:val="76"/>
        </w:numPr>
        <w:rPr>
          <w:rFonts w:ascii="Arial" w:cs="Arial" w:eastAsia="Arial" w:hAnsi="Arial"/>
          <w:sz w:val="16"/>
          <w:szCs w:val="16"/>
          <w:color w:val="231F20"/>
        </w:rPr>
      </w:pPr>
      <w:r>
        <w:rPr>
          <w:rFonts w:ascii="Arial" w:cs="Arial" w:eastAsia="Arial" w:hAnsi="Arial"/>
          <w:sz w:val="16"/>
          <w:szCs w:val="16"/>
          <w:color w:val="231F20"/>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w:t>
      </w:r>
    </w:p>
    <w:p>
      <w:pPr>
        <w:spacing w:after="0" w:line="212" w:lineRule="exact"/>
        <w:rPr>
          <w:sz w:val="20"/>
          <w:szCs w:val="20"/>
          <w:color w:val="auto"/>
        </w:rPr>
      </w:pPr>
    </w:p>
    <w:p>
      <w:pPr>
        <w:ind w:right="140" w:firstLine="300"/>
        <w:spacing w:after="0" w:line="245" w:lineRule="auto"/>
        <w:rPr>
          <w:sz w:val="20"/>
          <w:szCs w:val="20"/>
          <w:color w:val="auto"/>
        </w:rPr>
      </w:pPr>
      <w:r>
        <w:rPr>
          <w:rFonts w:ascii="Arial" w:cs="Arial" w:eastAsia="Arial" w:hAnsi="Arial"/>
          <w:sz w:val="20"/>
          <w:szCs w:val="20"/>
          <w:color w:val="231F20"/>
        </w:rPr>
        <w:t>Other supplemental information related to our operating leases as of December 31, 2025 and 2024 is provided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80" w:type="dxa"/>
            <w:vAlign w:val="bottom"/>
          </w:tcPr>
          <w:p>
            <w:pPr>
              <w:spacing w:after="0"/>
              <w:rPr>
                <w:sz w:val="21"/>
                <w:szCs w:val="21"/>
                <w:color w:val="auto"/>
              </w:rPr>
            </w:pPr>
          </w:p>
        </w:tc>
        <w:tc>
          <w:tcPr>
            <w:tcW w:w="1180" w:type="dxa"/>
            <w:vAlign w:val="bottom"/>
            <w:tcBorders>
              <w:bottom w:val="single" w:sz="8" w:color="231F20"/>
            </w:tcBorders>
          </w:tcPr>
          <w:p>
            <w:pPr>
              <w:spacing w:after="0"/>
              <w:rPr>
                <w:sz w:val="21"/>
                <w:szCs w:val="21"/>
                <w:color w:val="auto"/>
              </w:rPr>
            </w:pPr>
          </w:p>
        </w:tc>
        <w:tc>
          <w:tcPr>
            <w:tcW w:w="2780" w:type="dxa"/>
            <w:vAlign w:val="bottom"/>
            <w:tcBorders>
              <w:bottom w:val="single" w:sz="8" w:color="231F20"/>
            </w:tcBorders>
            <w:gridSpan w:val="8"/>
          </w:tcPr>
          <w:p>
            <w:pPr>
              <w:jc w:val="center"/>
              <w:ind w:right="20"/>
              <w:spacing w:after="0"/>
              <w:rPr>
                <w:sz w:val="20"/>
                <w:szCs w:val="20"/>
                <w:color w:val="auto"/>
              </w:rPr>
            </w:pPr>
            <w:r>
              <w:rPr>
                <w:rFonts w:ascii="Arial" w:cs="Arial" w:eastAsia="Arial" w:hAnsi="Arial"/>
                <w:sz w:val="20"/>
                <w:szCs w:val="20"/>
                <w:b w:val="1"/>
                <w:bCs w:val="1"/>
                <w:color w:val="231F20"/>
              </w:rPr>
              <w:t>Year ended December 31,</w:t>
            </w:r>
          </w:p>
        </w:tc>
        <w:tc>
          <w:tcPr>
            <w:tcW w:w="1180" w:type="dxa"/>
            <w:vAlign w:val="bottom"/>
            <w:tcBorders>
              <w:bottom w:val="single" w:sz="8" w:color="231F20"/>
            </w:tcBorders>
          </w:tcPr>
          <w:p>
            <w:pPr>
              <w:spacing w:after="0"/>
              <w:rPr>
                <w:sz w:val="21"/>
                <w:szCs w:val="21"/>
                <w:color w:val="auto"/>
              </w:rPr>
            </w:pPr>
          </w:p>
        </w:tc>
      </w:tr>
      <w:tr>
        <w:trPr>
          <w:trHeight w:val="260"/>
        </w:trPr>
        <w:tc>
          <w:tcPr>
            <w:tcW w:w="3980" w:type="dxa"/>
            <w:vAlign w:val="bottom"/>
          </w:tcPr>
          <w:p>
            <w:pPr>
              <w:spacing w:after="0"/>
              <w:rPr>
                <w:sz w:val="22"/>
                <w:szCs w:val="22"/>
                <w:color w:val="auto"/>
              </w:rPr>
            </w:pPr>
          </w:p>
        </w:tc>
        <w:tc>
          <w:tcPr>
            <w:tcW w:w="1180" w:type="dxa"/>
            <w:vAlign w:val="bottom"/>
            <w:tcBorders>
              <w:bottom w:val="single" w:sz="8" w:color="231F20"/>
            </w:tcBorders>
          </w:tcPr>
          <w:p>
            <w:pPr>
              <w:jc w:val="right"/>
              <w:ind w:right="80"/>
              <w:spacing w:after="0"/>
              <w:rPr>
                <w:sz w:val="20"/>
                <w:szCs w:val="20"/>
                <w:color w:val="auto"/>
              </w:rPr>
            </w:pPr>
            <w:r>
              <w:rPr>
                <w:rFonts w:ascii="Arial" w:cs="Arial" w:eastAsia="Arial" w:hAnsi="Arial"/>
                <w:sz w:val="20"/>
                <w:szCs w:val="20"/>
                <w:b w:val="1"/>
                <w:bCs w:val="1"/>
                <w:color w:val="231F20"/>
              </w:rPr>
              <w:t>2025</w:t>
            </w:r>
          </w:p>
        </w:tc>
        <w:tc>
          <w:tcPr>
            <w:tcW w:w="400" w:type="dxa"/>
            <w:vAlign w:val="bottom"/>
            <w:tcBorders>
              <w:bottom w:val="single" w:sz="8" w:color="231F20"/>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320" w:type="dxa"/>
            <w:vAlign w:val="bottom"/>
            <w:tcBorders>
              <w:bottom w:val="single" w:sz="8" w:color="231F20"/>
            </w:tcBorders>
          </w:tcPr>
          <w:p>
            <w:pPr>
              <w:jc w:val="center"/>
              <w:ind w:right="183"/>
              <w:spacing w:after="0"/>
              <w:rPr>
                <w:sz w:val="20"/>
                <w:szCs w:val="20"/>
                <w:color w:val="auto"/>
              </w:rPr>
            </w:pPr>
            <w:r>
              <w:rPr>
                <w:rFonts w:ascii="Arial" w:cs="Arial" w:eastAsia="Arial" w:hAnsi="Arial"/>
                <w:sz w:val="20"/>
                <w:szCs w:val="20"/>
                <w:b w:val="1"/>
                <w:bCs w:val="1"/>
                <w:color w:val="231F20"/>
                <w:w w:val="98"/>
              </w:rPr>
              <w:t>2024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jc w:val="right"/>
              <w:ind w:right="460"/>
              <w:spacing w:after="0"/>
              <w:rPr>
                <w:sz w:val="20"/>
                <w:szCs w:val="20"/>
                <w:color w:val="auto"/>
              </w:rPr>
            </w:pPr>
            <w:r>
              <w:rPr>
                <w:rFonts w:ascii="Arial" w:cs="Arial" w:eastAsia="Arial" w:hAnsi="Arial"/>
                <w:sz w:val="20"/>
                <w:szCs w:val="20"/>
                <w:b w:val="1"/>
                <w:bCs w:val="1"/>
                <w:color w:val="231F20"/>
              </w:rPr>
              <w:t>2023</w:t>
            </w:r>
          </w:p>
        </w:tc>
      </w:tr>
      <w:tr>
        <w:trPr>
          <w:trHeight w:val="192"/>
        </w:trPr>
        <w:tc>
          <w:tcPr>
            <w:tcW w:w="3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color w:val="231F20"/>
                <w:w w:val="98"/>
              </w:rPr>
              <w:t>(in millions)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50"/>
        </w:trPr>
        <w:tc>
          <w:tcPr>
            <w:tcW w:w="3980" w:type="dxa"/>
            <w:vAlign w:val="bottom"/>
          </w:tcPr>
          <w:p>
            <w:pPr>
              <w:spacing w:after="0"/>
              <w:rPr>
                <w:sz w:val="20"/>
                <w:szCs w:val="20"/>
                <w:color w:val="auto"/>
              </w:rPr>
            </w:pPr>
            <w:r>
              <w:rPr>
                <w:rFonts w:ascii="Arial" w:cs="Arial" w:eastAsia="Arial" w:hAnsi="Arial"/>
                <w:sz w:val="20"/>
                <w:szCs w:val="20"/>
                <w:color w:val="231F20"/>
              </w:rPr>
              <w:t>Cash paid for lease liabilities</w:t>
            </w: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0"/>
        </w:trPr>
        <w:tc>
          <w:tcPr>
            <w:tcW w:w="3980" w:type="dxa"/>
            <w:vAlign w:val="bottom"/>
          </w:tcPr>
          <w:p>
            <w:pPr>
              <w:ind w:left="400"/>
              <w:spacing w:after="0"/>
              <w:rPr>
                <w:sz w:val="20"/>
                <w:szCs w:val="20"/>
                <w:color w:val="auto"/>
              </w:rPr>
            </w:pPr>
            <w:r>
              <w:rPr>
                <w:rFonts w:ascii="Arial" w:cs="Arial" w:eastAsia="Arial" w:hAnsi="Arial"/>
                <w:sz w:val="20"/>
                <w:szCs w:val="20"/>
                <w:color w:val="231F20"/>
              </w:rPr>
              <w:t>Lease liabilities associated with</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0"/>
        </w:trPr>
        <w:tc>
          <w:tcPr>
            <w:tcW w:w="3980" w:type="dxa"/>
            <w:vAlign w:val="bottom"/>
          </w:tcPr>
          <w:p>
            <w:pPr>
              <w:ind w:left="400"/>
              <w:spacing w:after="0"/>
              <w:rPr>
                <w:sz w:val="20"/>
                <w:szCs w:val="20"/>
                <w:color w:val="auto"/>
              </w:rPr>
            </w:pPr>
            <w:r>
              <w:rPr>
                <w:rFonts w:ascii="Arial" w:cs="Arial" w:eastAsia="Arial" w:hAnsi="Arial"/>
                <w:sz w:val="20"/>
                <w:szCs w:val="20"/>
                <w:color w:val="231F20"/>
              </w:rPr>
              <w:t>operating activities . . . . . . . . . . . . . . . .</w:t>
            </w:r>
          </w:p>
        </w:tc>
        <w:tc>
          <w:tcPr>
            <w:tcW w:w="1180" w:type="dxa"/>
            <w:vAlign w:val="bottom"/>
          </w:tcPr>
          <w:p>
            <w:pPr>
              <w:jc w:val="right"/>
              <w:ind w:right="920"/>
              <w:spacing w:after="0"/>
              <w:rPr>
                <w:sz w:val="20"/>
                <w:szCs w:val="20"/>
                <w:color w:val="auto"/>
              </w:rPr>
            </w:pPr>
            <w:r>
              <w:rPr>
                <w:rFonts w:ascii="Arial" w:cs="Arial" w:eastAsia="Arial" w:hAnsi="Arial"/>
                <w:sz w:val="20"/>
                <w:szCs w:val="20"/>
                <w:color w:val="231F20"/>
              </w:rPr>
              <w:t>$</w:t>
            </w:r>
          </w:p>
        </w:tc>
        <w:tc>
          <w:tcPr>
            <w:tcW w:w="500" w:type="dxa"/>
            <w:vAlign w:val="bottom"/>
            <w:gridSpan w:val="2"/>
          </w:tcPr>
          <w:p>
            <w:pPr>
              <w:jc w:val="right"/>
              <w:ind w:right="100"/>
              <w:spacing w:after="0"/>
              <w:rPr>
                <w:sz w:val="20"/>
                <w:szCs w:val="20"/>
                <w:color w:val="auto"/>
              </w:rPr>
            </w:pPr>
            <w:r>
              <w:rPr>
                <w:rFonts w:ascii="Arial" w:cs="Arial" w:eastAsia="Arial" w:hAnsi="Arial"/>
                <w:sz w:val="20"/>
                <w:szCs w:val="20"/>
                <w:color w:val="231F20"/>
              </w:rPr>
              <w:t>34</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231F20"/>
              </w:rPr>
              <w:t>29</w:t>
            </w:r>
          </w:p>
        </w:tc>
        <w:tc>
          <w:tcPr>
            <w:tcW w:w="50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1180" w:type="dxa"/>
            <w:vAlign w:val="bottom"/>
          </w:tcPr>
          <w:p>
            <w:pPr>
              <w:jc w:val="right"/>
              <w:spacing w:after="0"/>
              <w:rPr>
                <w:sz w:val="20"/>
                <w:szCs w:val="20"/>
                <w:color w:val="auto"/>
              </w:rPr>
            </w:pPr>
            <w:r>
              <w:rPr>
                <w:rFonts w:ascii="Arial" w:cs="Arial" w:eastAsia="Arial" w:hAnsi="Arial"/>
                <w:sz w:val="20"/>
                <w:szCs w:val="20"/>
                <w:color w:val="231F20"/>
              </w:rPr>
              <w:t>28</w:t>
            </w:r>
          </w:p>
        </w:tc>
      </w:tr>
      <w:tr>
        <w:trPr>
          <w:trHeight w:val="240"/>
        </w:trPr>
        <w:tc>
          <w:tcPr>
            <w:tcW w:w="3980" w:type="dxa"/>
            <w:vAlign w:val="bottom"/>
          </w:tcPr>
          <w:p>
            <w:pPr>
              <w:ind w:left="400"/>
              <w:spacing w:after="0"/>
              <w:rPr>
                <w:sz w:val="20"/>
                <w:szCs w:val="20"/>
                <w:color w:val="auto"/>
              </w:rPr>
            </w:pPr>
            <w:r>
              <w:rPr>
                <w:rFonts w:ascii="Arial" w:cs="Arial" w:eastAsia="Arial" w:hAnsi="Arial"/>
                <w:sz w:val="20"/>
                <w:szCs w:val="20"/>
                <w:color w:val="231F20"/>
              </w:rPr>
              <w:t>Lease liabilities associated with</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0"/>
        </w:trPr>
        <w:tc>
          <w:tcPr>
            <w:tcW w:w="3980" w:type="dxa"/>
            <w:vAlign w:val="bottom"/>
          </w:tcPr>
          <w:p>
            <w:pPr>
              <w:ind w:left="400"/>
              <w:spacing w:after="0"/>
              <w:rPr>
                <w:sz w:val="20"/>
                <w:szCs w:val="20"/>
                <w:color w:val="auto"/>
              </w:rPr>
            </w:pPr>
            <w:r>
              <w:rPr>
                <w:rFonts w:ascii="Arial" w:cs="Arial" w:eastAsia="Arial" w:hAnsi="Arial"/>
                <w:sz w:val="20"/>
                <w:szCs w:val="20"/>
                <w:color w:val="231F20"/>
              </w:rPr>
              <w:t>investing activities  . . . . . . . . . . . . . . . .</w:t>
            </w:r>
          </w:p>
        </w:tc>
        <w:tc>
          <w:tcPr>
            <w:tcW w:w="1180" w:type="dxa"/>
            <w:vAlign w:val="bottom"/>
          </w:tcPr>
          <w:p>
            <w:pPr>
              <w:jc w:val="right"/>
              <w:ind w:right="980"/>
              <w:spacing w:after="0"/>
              <w:rPr>
                <w:sz w:val="20"/>
                <w:szCs w:val="20"/>
                <w:color w:val="auto"/>
              </w:rPr>
            </w:pPr>
            <w:r>
              <w:rPr>
                <w:rFonts w:ascii="Arial" w:cs="Arial" w:eastAsia="Arial" w:hAnsi="Arial"/>
                <w:sz w:val="20"/>
                <w:szCs w:val="20"/>
                <w:color w:val="231F20"/>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20"/>
                <w:szCs w:val="20"/>
                <w:color w:val="231F20"/>
              </w:rPr>
              <w:t>19</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231F20"/>
              </w:rPr>
              <w:t>8</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231F20"/>
              </w:rPr>
              <w:t>$</w:t>
            </w:r>
          </w:p>
        </w:tc>
        <w:tc>
          <w:tcPr>
            <w:tcW w:w="1180" w:type="dxa"/>
            <w:vAlign w:val="bottom"/>
          </w:tcPr>
          <w:p>
            <w:pPr>
              <w:jc w:val="right"/>
              <w:spacing w:after="0"/>
              <w:rPr>
                <w:sz w:val="20"/>
                <w:szCs w:val="20"/>
                <w:color w:val="auto"/>
              </w:rPr>
            </w:pPr>
            <w:r>
              <w:rPr>
                <w:rFonts w:ascii="Arial" w:cs="Arial" w:eastAsia="Arial" w:hAnsi="Arial"/>
                <w:sz w:val="20"/>
                <w:szCs w:val="20"/>
                <w:color w:val="231F20"/>
              </w:rPr>
              <w:t>2</w:t>
            </w:r>
          </w:p>
        </w:tc>
      </w:tr>
      <w:tr>
        <w:trPr>
          <w:trHeight w:val="240"/>
        </w:trPr>
        <w:tc>
          <w:tcPr>
            <w:tcW w:w="3980" w:type="dxa"/>
            <w:vAlign w:val="bottom"/>
          </w:tcPr>
          <w:p>
            <w:pPr>
              <w:ind w:left="400"/>
              <w:spacing w:after="0"/>
              <w:rPr>
                <w:sz w:val="20"/>
                <w:szCs w:val="20"/>
                <w:color w:val="auto"/>
              </w:rPr>
            </w:pPr>
            <w:r>
              <w:rPr>
                <w:rFonts w:ascii="Arial" w:cs="Arial" w:eastAsia="Arial" w:hAnsi="Arial"/>
                <w:sz w:val="20"/>
                <w:szCs w:val="20"/>
                <w:color w:val="231F20"/>
              </w:rPr>
              <w:t>Lease liabilities associated with</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0"/>
        </w:trPr>
        <w:tc>
          <w:tcPr>
            <w:tcW w:w="3980" w:type="dxa"/>
            <w:vAlign w:val="bottom"/>
          </w:tcPr>
          <w:p>
            <w:pPr>
              <w:ind w:left="400"/>
              <w:spacing w:after="0"/>
              <w:rPr>
                <w:sz w:val="20"/>
                <w:szCs w:val="20"/>
                <w:color w:val="auto"/>
              </w:rPr>
            </w:pPr>
            <w:r>
              <w:rPr>
                <w:rFonts w:ascii="Arial" w:cs="Arial" w:eastAsia="Arial" w:hAnsi="Arial"/>
                <w:sz w:val="20"/>
                <w:szCs w:val="20"/>
                <w:color w:val="231F20"/>
              </w:rPr>
              <w:t>financing activities . . . . . . . . . . . . . . . .</w:t>
            </w:r>
          </w:p>
        </w:tc>
        <w:tc>
          <w:tcPr>
            <w:tcW w:w="1180" w:type="dxa"/>
            <w:vAlign w:val="bottom"/>
          </w:tcPr>
          <w:p>
            <w:pPr>
              <w:jc w:val="right"/>
              <w:ind w:right="980"/>
              <w:spacing w:after="0"/>
              <w:rPr>
                <w:sz w:val="20"/>
                <w:szCs w:val="20"/>
                <w:color w:val="auto"/>
              </w:rPr>
            </w:pPr>
            <w:r>
              <w:rPr>
                <w:rFonts w:ascii="Arial" w:cs="Arial" w:eastAsia="Arial" w:hAnsi="Arial"/>
                <w:sz w:val="20"/>
                <w:szCs w:val="20"/>
                <w:color w:val="231F20"/>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20"/>
                <w:szCs w:val="20"/>
                <w:color w:val="231F20"/>
              </w:rPr>
              <w:t>1</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231F20"/>
              </w:rPr>
              <w:t>1</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231F20"/>
              </w:rPr>
              <w:t>$</w:t>
            </w:r>
          </w:p>
        </w:tc>
        <w:tc>
          <w:tcPr>
            <w:tcW w:w="118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480"/>
        </w:trPr>
        <w:tc>
          <w:tcPr>
            <w:tcW w:w="3980" w:type="dxa"/>
            <w:vAlign w:val="bottom"/>
          </w:tcPr>
          <w:p>
            <w:pPr>
              <w:spacing w:after="0"/>
              <w:rPr>
                <w:sz w:val="20"/>
                <w:szCs w:val="20"/>
                <w:color w:val="auto"/>
              </w:rPr>
            </w:pPr>
            <w:r>
              <w:rPr>
                <w:rFonts w:ascii="Arial" w:cs="Arial" w:eastAsia="Arial" w:hAnsi="Arial"/>
                <w:sz w:val="20"/>
                <w:szCs w:val="20"/>
                <w:color w:val="231F20"/>
              </w:rPr>
              <w:t>Noncash operating lease assets obtained</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0"/>
        </w:trPr>
        <w:tc>
          <w:tcPr>
            <w:tcW w:w="3980" w:type="dxa"/>
            <w:vAlign w:val="bottom"/>
          </w:tcPr>
          <w:p>
            <w:pPr>
              <w:spacing w:after="0"/>
              <w:rPr>
                <w:sz w:val="20"/>
                <w:szCs w:val="20"/>
                <w:color w:val="auto"/>
              </w:rPr>
            </w:pPr>
            <w:r>
              <w:rPr>
                <w:rFonts w:ascii="Arial" w:cs="Arial" w:eastAsia="Arial" w:hAnsi="Arial"/>
                <w:sz w:val="20"/>
                <w:szCs w:val="20"/>
                <w:color w:val="231F20"/>
              </w:rPr>
              <w:t>in exchange for new operating lease</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0"/>
        </w:trPr>
        <w:tc>
          <w:tcPr>
            <w:tcW w:w="3980" w:type="dxa"/>
            <w:vAlign w:val="bottom"/>
          </w:tcPr>
          <w:p>
            <w:pPr>
              <w:spacing w:after="0"/>
              <w:rPr>
                <w:sz w:val="20"/>
                <w:szCs w:val="20"/>
                <w:color w:val="auto"/>
              </w:rPr>
            </w:pPr>
            <w:r>
              <w:rPr>
                <w:rFonts w:ascii="Arial" w:cs="Arial" w:eastAsia="Arial" w:hAnsi="Arial"/>
                <w:sz w:val="20"/>
                <w:szCs w:val="20"/>
                <w:color w:val="231F20"/>
              </w:rPr>
              <w:t>liabilities . . . . . . . . . . . . . . . . . . . . . . . . . . . .</w:t>
            </w:r>
          </w:p>
        </w:tc>
        <w:tc>
          <w:tcPr>
            <w:tcW w:w="1180" w:type="dxa"/>
            <w:vAlign w:val="bottom"/>
          </w:tcPr>
          <w:p>
            <w:pPr>
              <w:jc w:val="right"/>
              <w:ind w:right="980"/>
              <w:spacing w:after="0"/>
              <w:rPr>
                <w:sz w:val="20"/>
                <w:szCs w:val="20"/>
                <w:color w:val="auto"/>
              </w:rPr>
            </w:pPr>
            <w:r>
              <w:rPr>
                <w:rFonts w:ascii="Arial" w:cs="Arial" w:eastAsia="Arial" w:hAnsi="Arial"/>
                <w:sz w:val="20"/>
                <w:szCs w:val="20"/>
                <w:color w:val="231F20"/>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20"/>
                <w:szCs w:val="20"/>
                <w:color w:val="231F20"/>
              </w:rPr>
              <w:t>37</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231F20"/>
              </w:rPr>
              <w:t>52</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231F20"/>
              </w:rPr>
              <w:t>$</w:t>
            </w:r>
          </w:p>
        </w:tc>
        <w:tc>
          <w:tcPr>
            <w:tcW w:w="1180" w:type="dxa"/>
            <w:vAlign w:val="bottom"/>
          </w:tcPr>
          <w:p>
            <w:pPr>
              <w:jc w:val="right"/>
              <w:spacing w:after="0"/>
              <w:rPr>
                <w:sz w:val="20"/>
                <w:szCs w:val="20"/>
                <w:color w:val="auto"/>
              </w:rPr>
            </w:pPr>
            <w:r>
              <w:rPr>
                <w:rFonts w:ascii="Arial" w:cs="Arial" w:eastAsia="Arial" w:hAnsi="Arial"/>
                <w:sz w:val="20"/>
                <w:szCs w:val="20"/>
                <w:color w:val="231F20"/>
              </w:rPr>
              <w:t>32</w:t>
            </w:r>
          </w:p>
        </w:tc>
      </w:tr>
      <w:tr>
        <w:trPr>
          <w:trHeight w:val="240"/>
        </w:trPr>
        <w:tc>
          <w:tcPr>
            <w:tcW w:w="3980" w:type="dxa"/>
            <w:vAlign w:val="bottom"/>
          </w:tcPr>
          <w:p>
            <w:pPr>
              <w:spacing w:after="0"/>
              <w:rPr>
                <w:sz w:val="20"/>
                <w:szCs w:val="20"/>
                <w:color w:val="auto"/>
              </w:rPr>
            </w:pPr>
            <w:r>
              <w:rPr>
                <w:rFonts w:ascii="Arial" w:cs="Arial" w:eastAsia="Arial" w:hAnsi="Arial"/>
                <w:sz w:val="20"/>
                <w:szCs w:val="20"/>
                <w:color w:val="231F20"/>
              </w:rPr>
              <w:t>Noncash finance lease assets obtained in</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0"/>
        </w:trPr>
        <w:tc>
          <w:tcPr>
            <w:tcW w:w="3980" w:type="dxa"/>
            <w:vAlign w:val="bottom"/>
          </w:tcPr>
          <w:p>
            <w:pPr>
              <w:spacing w:after="0"/>
              <w:rPr>
                <w:sz w:val="20"/>
                <w:szCs w:val="20"/>
                <w:color w:val="auto"/>
              </w:rPr>
            </w:pPr>
            <w:r>
              <w:rPr>
                <w:rFonts w:ascii="Arial" w:cs="Arial" w:eastAsia="Arial" w:hAnsi="Arial"/>
                <w:sz w:val="20"/>
                <w:szCs w:val="20"/>
                <w:color w:val="231F20"/>
              </w:rPr>
              <w:t>exchange for new finance lease</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0"/>
        </w:trPr>
        <w:tc>
          <w:tcPr>
            <w:tcW w:w="3980" w:type="dxa"/>
            <w:vAlign w:val="bottom"/>
          </w:tcPr>
          <w:p>
            <w:pPr>
              <w:spacing w:after="0"/>
              <w:rPr>
                <w:sz w:val="20"/>
                <w:szCs w:val="20"/>
                <w:color w:val="auto"/>
              </w:rPr>
            </w:pPr>
            <w:r>
              <w:rPr>
                <w:rFonts w:ascii="Arial" w:cs="Arial" w:eastAsia="Arial" w:hAnsi="Arial"/>
                <w:sz w:val="20"/>
                <w:szCs w:val="20"/>
                <w:color w:val="231F20"/>
              </w:rPr>
              <w:t>liabilities . . . . . . . . . . . . . . . . . . . . . . . . . . . .</w:t>
            </w:r>
          </w:p>
        </w:tc>
        <w:tc>
          <w:tcPr>
            <w:tcW w:w="1180" w:type="dxa"/>
            <w:vAlign w:val="bottom"/>
          </w:tcPr>
          <w:p>
            <w:pPr>
              <w:jc w:val="right"/>
              <w:ind w:right="980"/>
              <w:spacing w:after="0"/>
              <w:rPr>
                <w:sz w:val="20"/>
                <w:szCs w:val="20"/>
                <w:color w:val="auto"/>
              </w:rPr>
            </w:pPr>
            <w:r>
              <w:rPr>
                <w:rFonts w:ascii="Arial" w:cs="Arial" w:eastAsia="Arial" w:hAnsi="Arial"/>
                <w:sz w:val="20"/>
                <w:szCs w:val="20"/>
                <w:color w:val="231F20"/>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20"/>
                <w:szCs w:val="20"/>
                <w:color w:val="231F20"/>
              </w:rPr>
              <w:t>3</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231F20"/>
              </w:rPr>
              <w:t>3</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231F20"/>
              </w:rPr>
              <w:t>$</w:t>
            </w:r>
          </w:p>
        </w:tc>
        <w:tc>
          <w:tcPr>
            <w:tcW w:w="1180" w:type="dxa"/>
            <w:vAlign w:val="bottom"/>
          </w:tcPr>
          <w:p>
            <w:pPr>
              <w:jc w:val="right"/>
              <w:spacing w:after="0"/>
              <w:rPr>
                <w:sz w:val="20"/>
                <w:szCs w:val="20"/>
                <w:color w:val="auto"/>
              </w:rPr>
            </w:pPr>
            <w:r>
              <w:rPr>
                <w:rFonts w:ascii="Arial" w:cs="Arial" w:eastAsia="Arial" w:hAnsi="Arial"/>
                <w:sz w:val="20"/>
                <w:szCs w:val="20"/>
                <w:color w:val="231F20"/>
              </w:rPr>
              <w:t>—</w:t>
            </w:r>
          </w:p>
        </w:tc>
      </w:tr>
    </w:tbl>
    <w:p>
      <w:pPr>
        <w:spacing w:after="0" w:line="200" w:lineRule="exact"/>
        <w:rPr>
          <w:sz w:val="20"/>
          <w:szCs w:val="20"/>
          <w:color w:val="auto"/>
        </w:rPr>
      </w:pPr>
    </w:p>
    <w:p>
      <w:pPr>
        <w:sectPr>
          <w:pgSz w:w="11880" w:h="15480" w:orient="portrait"/>
          <w:cols w:equalWidth="0" w:num="1">
            <w:col w:w="9180"/>
          </w:cols>
          <w:pgMar w:left="1380" w:top="1316" w:right="132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231F20"/>
        </w:rPr>
        <w:t>133</w:t>
      </w:r>
    </w:p>
    <w:p>
      <w:pPr>
        <w:sectPr>
          <w:pgSz w:w="11880" w:h="15480" w:orient="portrait"/>
          <w:cols w:equalWidth="0" w:num="1">
            <w:col w:w="9180"/>
          </w:cols>
          <w:pgMar w:left="1380" w:top="1316" w:right="1320" w:bottom="66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50"/>
        </w:trPr>
        <w:tc>
          <w:tcPr>
            <w:tcW w:w="5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3"/>
          </w:tcPr>
          <w:p>
            <w:pPr>
              <w:ind w:left="60"/>
              <w:spacing w:after="0"/>
              <w:rPr>
                <w:sz w:val="20"/>
                <w:szCs w:val="20"/>
                <w:color w:val="auto"/>
              </w:rPr>
            </w:pPr>
            <w:r>
              <w:rPr>
                <w:rFonts w:ascii="Arial" w:cs="Arial" w:eastAsia="Arial" w:hAnsi="Arial"/>
                <w:sz w:val="20"/>
                <w:szCs w:val="20"/>
                <w:b w:val="1"/>
                <w:bCs w:val="1"/>
                <w:color w:val="231F20"/>
              </w:rPr>
              <w:t>2025</w:t>
            </w:r>
          </w:p>
        </w:tc>
        <w:tc>
          <w:tcPr>
            <w:tcW w:w="62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231F20"/>
                <w:w w:val="98"/>
              </w:rPr>
              <w:t>2024</w:t>
            </w:r>
          </w:p>
        </w:tc>
      </w:tr>
      <w:tr>
        <w:trPr>
          <w:trHeight w:val="282"/>
        </w:trPr>
        <w:tc>
          <w:tcPr>
            <w:tcW w:w="5960" w:type="dxa"/>
            <w:vAlign w:val="bottom"/>
          </w:tcPr>
          <w:p>
            <w:pPr>
              <w:spacing w:after="0"/>
              <w:rPr>
                <w:sz w:val="20"/>
                <w:szCs w:val="20"/>
                <w:color w:val="auto"/>
              </w:rPr>
            </w:pPr>
            <w:r>
              <w:rPr>
                <w:rFonts w:ascii="Arial" w:cs="Arial" w:eastAsia="Arial" w:hAnsi="Arial"/>
                <w:sz w:val="20"/>
                <w:szCs w:val="20"/>
                <w:b w:val="1"/>
                <w:bCs w:val="1"/>
                <w:color w:val="231F20"/>
              </w:rPr>
              <w:t>Operating Leases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top w:val="single" w:sz="8" w:color="231F20"/>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231F20"/>
            </w:tcBorders>
          </w:tcPr>
          <w:p>
            <w:pPr>
              <w:spacing w:after="0"/>
              <w:rPr>
                <w:sz w:val="24"/>
                <w:szCs w:val="24"/>
                <w:color w:val="auto"/>
              </w:rPr>
            </w:pPr>
          </w:p>
        </w:tc>
        <w:tc>
          <w:tcPr>
            <w:tcW w:w="160" w:type="dxa"/>
            <w:vAlign w:val="bottom"/>
          </w:tcPr>
          <w:p>
            <w:pPr>
              <w:spacing w:after="0"/>
              <w:rPr>
                <w:sz w:val="24"/>
                <w:szCs w:val="24"/>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20"/>
                <w:szCs w:val="20"/>
                <w:color w:val="231F20"/>
                <w:w w:val="99"/>
              </w:rPr>
              <w:t>Weighted-average remaining lease term (in years)  . . . . . . . . . . . . .</w:t>
            </w:r>
          </w:p>
        </w:tc>
        <w:tc>
          <w:tcPr>
            <w:tcW w:w="300" w:type="dxa"/>
            <w:vAlign w:val="bottom"/>
          </w:tcPr>
          <w:p>
            <w:pPr>
              <w:ind w:left="20"/>
              <w:spacing w:after="0"/>
              <w:rPr>
                <w:sz w:val="20"/>
                <w:szCs w:val="20"/>
                <w:color w:val="auto"/>
              </w:rPr>
            </w:pPr>
            <w:r>
              <w:rPr>
                <w:rFonts w:ascii="Arial" w:cs="Arial" w:eastAsia="Arial" w:hAnsi="Arial"/>
                <w:sz w:val="20"/>
                <w:szCs w:val="20"/>
                <w:color w:val="231F20"/>
                <w:w w:val="93"/>
              </w:rPr>
              <w:t>. . .</w:t>
            </w:r>
          </w:p>
        </w:tc>
        <w:tc>
          <w:tcPr>
            <w:tcW w:w="1240" w:type="dxa"/>
            <w:vAlign w:val="bottom"/>
          </w:tcPr>
          <w:p>
            <w:pPr>
              <w:jc w:val="right"/>
              <w:spacing w:after="0"/>
              <w:rPr>
                <w:sz w:val="20"/>
                <w:szCs w:val="20"/>
                <w:color w:val="auto"/>
              </w:rPr>
            </w:pPr>
            <w:r>
              <w:rPr>
                <w:rFonts w:ascii="Arial" w:cs="Arial" w:eastAsia="Arial" w:hAnsi="Arial"/>
                <w:sz w:val="20"/>
                <w:szCs w:val="20"/>
                <w:color w:val="231F20"/>
                <w:w w:val="95"/>
              </w:rPr>
              <w:t>. . . . . . . . . . . .</w:t>
            </w:r>
          </w:p>
        </w:tc>
        <w:tc>
          <w:tcPr>
            <w:tcW w:w="140" w:type="dxa"/>
            <w:vAlign w:val="bottom"/>
          </w:tcPr>
          <w:p>
            <w:pPr>
              <w:jc w:val="right"/>
              <w:spacing w:after="0"/>
              <w:rPr>
                <w:sz w:val="20"/>
                <w:szCs w:val="20"/>
                <w:color w:val="auto"/>
              </w:rPr>
            </w:pPr>
            <w:r>
              <w:rPr>
                <w:rFonts w:ascii="Arial" w:cs="Arial" w:eastAsia="Arial" w:hAnsi="Arial"/>
                <w:sz w:val="20"/>
                <w:szCs w:val="20"/>
                <w:color w:val="231F20"/>
              </w:rPr>
              <w:t>.</w:t>
            </w:r>
          </w:p>
        </w:tc>
        <w:tc>
          <w:tcPr>
            <w:tcW w:w="340" w:type="dxa"/>
            <w:vAlign w:val="bottom"/>
            <w:gridSpan w:val="2"/>
          </w:tcPr>
          <w:p>
            <w:pPr>
              <w:jc w:val="center"/>
              <w:ind w:right="100"/>
              <w:spacing w:after="0"/>
              <w:rPr>
                <w:sz w:val="20"/>
                <w:szCs w:val="20"/>
                <w:color w:val="auto"/>
              </w:rPr>
            </w:pPr>
            <w:r>
              <w:rPr>
                <w:rFonts w:ascii="Arial" w:cs="Arial" w:eastAsia="Arial" w:hAnsi="Arial"/>
                <w:sz w:val="20"/>
                <w:szCs w:val="20"/>
                <w:color w:val="231F20"/>
                <w:w w:val="95"/>
              </w:rPr>
              <w:t>. .</w:t>
            </w:r>
          </w:p>
        </w:tc>
        <w:tc>
          <w:tcPr>
            <w:tcW w:w="500" w:type="dxa"/>
            <w:vAlign w:val="bottom"/>
            <w:gridSpan w:val="2"/>
          </w:tcPr>
          <w:p>
            <w:pPr>
              <w:jc w:val="right"/>
              <w:spacing w:after="0"/>
              <w:rPr>
                <w:sz w:val="20"/>
                <w:szCs w:val="20"/>
                <w:color w:val="auto"/>
              </w:rPr>
            </w:pPr>
            <w:r>
              <w:rPr>
                <w:rFonts w:ascii="Arial" w:cs="Arial" w:eastAsia="Arial" w:hAnsi="Arial"/>
                <w:sz w:val="20"/>
                <w:szCs w:val="20"/>
                <w:color w:val="231F20"/>
              </w:rPr>
              <w:t>7.00</w:t>
            </w:r>
          </w:p>
        </w:tc>
        <w:tc>
          <w:tcPr>
            <w:tcW w:w="1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231F20"/>
              </w:rPr>
              <w:t>5.95</w:t>
            </w:r>
          </w:p>
        </w:tc>
        <w:tc>
          <w:tcPr>
            <w:tcW w:w="160" w:type="dxa"/>
            <w:vAlign w:val="bottom"/>
          </w:tcPr>
          <w:p>
            <w:pPr>
              <w:spacing w:after="0"/>
              <w:rPr>
                <w:sz w:val="20"/>
                <w:szCs w:val="20"/>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20"/>
                <w:szCs w:val="20"/>
                <w:color w:val="231F20"/>
                <w:w w:val="98"/>
              </w:rPr>
              <w:t>Weighted-average discount rate . . . . . . . . . . . . . . . . . . . . . . . . . . . . .</w:t>
            </w:r>
          </w:p>
        </w:tc>
        <w:tc>
          <w:tcPr>
            <w:tcW w:w="300" w:type="dxa"/>
            <w:vAlign w:val="bottom"/>
          </w:tcPr>
          <w:p>
            <w:pPr>
              <w:ind w:left="20"/>
              <w:spacing w:after="0"/>
              <w:rPr>
                <w:sz w:val="20"/>
                <w:szCs w:val="20"/>
                <w:color w:val="auto"/>
              </w:rPr>
            </w:pPr>
            <w:r>
              <w:rPr>
                <w:rFonts w:ascii="Arial" w:cs="Arial" w:eastAsia="Arial" w:hAnsi="Arial"/>
                <w:sz w:val="20"/>
                <w:szCs w:val="20"/>
                <w:color w:val="231F20"/>
                <w:w w:val="93"/>
              </w:rPr>
              <w:t>. . .</w:t>
            </w:r>
          </w:p>
        </w:tc>
        <w:tc>
          <w:tcPr>
            <w:tcW w:w="1240" w:type="dxa"/>
            <w:vAlign w:val="bottom"/>
          </w:tcPr>
          <w:p>
            <w:pPr>
              <w:jc w:val="right"/>
              <w:spacing w:after="0"/>
              <w:rPr>
                <w:sz w:val="20"/>
                <w:szCs w:val="20"/>
                <w:color w:val="auto"/>
              </w:rPr>
            </w:pPr>
            <w:r>
              <w:rPr>
                <w:rFonts w:ascii="Arial" w:cs="Arial" w:eastAsia="Arial" w:hAnsi="Arial"/>
                <w:sz w:val="20"/>
                <w:szCs w:val="20"/>
                <w:color w:val="231F20"/>
                <w:w w:val="95"/>
              </w:rPr>
              <w:t>. . . . . . . . . . . .</w:t>
            </w:r>
          </w:p>
        </w:tc>
        <w:tc>
          <w:tcPr>
            <w:tcW w:w="140" w:type="dxa"/>
            <w:vAlign w:val="bottom"/>
          </w:tcPr>
          <w:p>
            <w:pPr>
              <w:jc w:val="right"/>
              <w:spacing w:after="0"/>
              <w:rPr>
                <w:sz w:val="20"/>
                <w:szCs w:val="20"/>
                <w:color w:val="auto"/>
              </w:rPr>
            </w:pPr>
            <w:r>
              <w:rPr>
                <w:rFonts w:ascii="Arial" w:cs="Arial" w:eastAsia="Arial" w:hAnsi="Arial"/>
                <w:sz w:val="20"/>
                <w:szCs w:val="20"/>
                <w:color w:val="231F20"/>
              </w:rPr>
              <w:t>.</w:t>
            </w:r>
          </w:p>
        </w:tc>
        <w:tc>
          <w:tcPr>
            <w:tcW w:w="340" w:type="dxa"/>
            <w:vAlign w:val="bottom"/>
            <w:gridSpan w:val="2"/>
          </w:tcPr>
          <w:p>
            <w:pPr>
              <w:jc w:val="center"/>
              <w:ind w:right="100"/>
              <w:spacing w:after="0"/>
              <w:rPr>
                <w:sz w:val="20"/>
                <w:szCs w:val="20"/>
                <w:color w:val="auto"/>
              </w:rPr>
            </w:pPr>
            <w:r>
              <w:rPr>
                <w:rFonts w:ascii="Arial" w:cs="Arial" w:eastAsia="Arial" w:hAnsi="Arial"/>
                <w:sz w:val="20"/>
                <w:szCs w:val="20"/>
                <w:color w:val="231F20"/>
                <w:w w:val="95"/>
              </w:rPr>
              <w:t>. .</w:t>
            </w:r>
          </w:p>
        </w:tc>
        <w:tc>
          <w:tcPr>
            <w:tcW w:w="680" w:type="dxa"/>
            <w:vAlign w:val="bottom"/>
            <w:gridSpan w:val="3"/>
          </w:tcPr>
          <w:p>
            <w:pPr>
              <w:jc w:val="right"/>
              <w:ind w:right="40"/>
              <w:spacing w:after="0"/>
              <w:rPr>
                <w:sz w:val="20"/>
                <w:szCs w:val="20"/>
                <w:color w:val="auto"/>
              </w:rPr>
            </w:pPr>
            <w:r>
              <w:rPr>
                <w:rFonts w:ascii="Arial" w:cs="Arial" w:eastAsia="Arial" w:hAnsi="Arial"/>
                <w:sz w:val="20"/>
                <w:szCs w:val="20"/>
                <w:color w:val="231F20"/>
              </w:rPr>
              <w:t>8.4%</w:t>
            </w:r>
          </w:p>
        </w:tc>
        <w:tc>
          <w:tcPr>
            <w:tcW w:w="620" w:type="dxa"/>
            <w:vAlign w:val="bottom"/>
            <w:gridSpan w:val="3"/>
          </w:tcPr>
          <w:p>
            <w:pPr>
              <w:jc w:val="right"/>
              <w:spacing w:after="0"/>
              <w:rPr>
                <w:sz w:val="20"/>
                <w:szCs w:val="20"/>
                <w:color w:val="auto"/>
              </w:rPr>
            </w:pPr>
            <w:r>
              <w:rPr>
                <w:rFonts w:ascii="Arial" w:cs="Arial" w:eastAsia="Arial" w:hAnsi="Arial"/>
                <w:sz w:val="20"/>
                <w:szCs w:val="20"/>
                <w:color w:val="231F20"/>
              </w:rPr>
              <w:t>8.1%</w:t>
            </w:r>
          </w:p>
        </w:tc>
      </w:tr>
      <w:tr>
        <w:trPr>
          <w:trHeight w:val="240"/>
        </w:trPr>
        <w:tc>
          <w:tcPr>
            <w:tcW w:w="5960" w:type="dxa"/>
            <w:vAlign w:val="bottom"/>
          </w:tcPr>
          <w:p>
            <w:pPr>
              <w:spacing w:after="0"/>
              <w:rPr>
                <w:sz w:val="20"/>
                <w:szCs w:val="20"/>
                <w:color w:val="auto"/>
              </w:rPr>
            </w:pPr>
            <w:r>
              <w:rPr>
                <w:rFonts w:ascii="Arial" w:cs="Arial" w:eastAsia="Arial" w:hAnsi="Arial"/>
                <w:sz w:val="20"/>
                <w:szCs w:val="20"/>
                <w:b w:val="1"/>
                <w:bCs w:val="1"/>
                <w:color w:val="231F20"/>
              </w:rPr>
              <w:t>Finance Leases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20"/>
                <w:szCs w:val="20"/>
                <w:color w:val="231F20"/>
                <w:w w:val="99"/>
              </w:rPr>
              <w:t>Weighted-average remaining lease term (in years)  . . . . . . . . . . . . .</w:t>
            </w:r>
          </w:p>
        </w:tc>
        <w:tc>
          <w:tcPr>
            <w:tcW w:w="300" w:type="dxa"/>
            <w:vAlign w:val="bottom"/>
          </w:tcPr>
          <w:p>
            <w:pPr>
              <w:ind w:left="20"/>
              <w:spacing w:after="0"/>
              <w:rPr>
                <w:sz w:val="20"/>
                <w:szCs w:val="20"/>
                <w:color w:val="auto"/>
              </w:rPr>
            </w:pPr>
            <w:r>
              <w:rPr>
                <w:rFonts w:ascii="Arial" w:cs="Arial" w:eastAsia="Arial" w:hAnsi="Arial"/>
                <w:sz w:val="20"/>
                <w:szCs w:val="20"/>
                <w:color w:val="231F20"/>
                <w:w w:val="93"/>
              </w:rPr>
              <w:t>. . .</w:t>
            </w:r>
          </w:p>
        </w:tc>
        <w:tc>
          <w:tcPr>
            <w:tcW w:w="1240" w:type="dxa"/>
            <w:vAlign w:val="bottom"/>
          </w:tcPr>
          <w:p>
            <w:pPr>
              <w:jc w:val="right"/>
              <w:spacing w:after="0"/>
              <w:rPr>
                <w:sz w:val="20"/>
                <w:szCs w:val="20"/>
                <w:color w:val="auto"/>
              </w:rPr>
            </w:pPr>
            <w:r>
              <w:rPr>
                <w:rFonts w:ascii="Arial" w:cs="Arial" w:eastAsia="Arial" w:hAnsi="Arial"/>
                <w:sz w:val="20"/>
                <w:szCs w:val="20"/>
                <w:color w:val="231F20"/>
                <w:w w:val="95"/>
              </w:rPr>
              <w:t>. . . . . . . . . . . .</w:t>
            </w:r>
          </w:p>
        </w:tc>
        <w:tc>
          <w:tcPr>
            <w:tcW w:w="140" w:type="dxa"/>
            <w:vAlign w:val="bottom"/>
          </w:tcPr>
          <w:p>
            <w:pPr>
              <w:jc w:val="right"/>
              <w:spacing w:after="0"/>
              <w:rPr>
                <w:sz w:val="20"/>
                <w:szCs w:val="20"/>
                <w:color w:val="auto"/>
              </w:rPr>
            </w:pPr>
            <w:r>
              <w:rPr>
                <w:rFonts w:ascii="Arial" w:cs="Arial" w:eastAsia="Arial" w:hAnsi="Arial"/>
                <w:sz w:val="20"/>
                <w:szCs w:val="20"/>
                <w:color w:val="231F20"/>
              </w:rPr>
              <w:t>.</w:t>
            </w:r>
          </w:p>
        </w:tc>
        <w:tc>
          <w:tcPr>
            <w:tcW w:w="340" w:type="dxa"/>
            <w:vAlign w:val="bottom"/>
            <w:gridSpan w:val="2"/>
          </w:tcPr>
          <w:p>
            <w:pPr>
              <w:jc w:val="center"/>
              <w:ind w:right="100"/>
              <w:spacing w:after="0"/>
              <w:rPr>
                <w:sz w:val="20"/>
                <w:szCs w:val="20"/>
                <w:color w:val="auto"/>
              </w:rPr>
            </w:pPr>
            <w:r>
              <w:rPr>
                <w:rFonts w:ascii="Arial" w:cs="Arial" w:eastAsia="Arial" w:hAnsi="Arial"/>
                <w:sz w:val="20"/>
                <w:szCs w:val="20"/>
                <w:color w:val="231F20"/>
                <w:w w:val="95"/>
              </w:rPr>
              <w:t>. .</w:t>
            </w:r>
          </w:p>
        </w:tc>
        <w:tc>
          <w:tcPr>
            <w:tcW w:w="500" w:type="dxa"/>
            <w:vAlign w:val="bottom"/>
            <w:gridSpan w:val="2"/>
          </w:tcPr>
          <w:p>
            <w:pPr>
              <w:jc w:val="right"/>
              <w:spacing w:after="0"/>
              <w:rPr>
                <w:sz w:val="20"/>
                <w:szCs w:val="20"/>
                <w:color w:val="auto"/>
              </w:rPr>
            </w:pPr>
            <w:r>
              <w:rPr>
                <w:rFonts w:ascii="Arial" w:cs="Arial" w:eastAsia="Arial" w:hAnsi="Arial"/>
                <w:sz w:val="20"/>
                <w:szCs w:val="20"/>
                <w:color w:val="231F20"/>
              </w:rPr>
              <w:t>3.01</w:t>
            </w:r>
          </w:p>
        </w:tc>
        <w:tc>
          <w:tcPr>
            <w:tcW w:w="1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20"/>
                <w:szCs w:val="20"/>
                <w:color w:val="231F20"/>
              </w:rPr>
              <w:t>3.37</w:t>
            </w:r>
          </w:p>
        </w:tc>
        <w:tc>
          <w:tcPr>
            <w:tcW w:w="160" w:type="dxa"/>
            <w:vAlign w:val="bottom"/>
          </w:tcPr>
          <w:p>
            <w:pPr>
              <w:spacing w:after="0"/>
              <w:rPr>
                <w:sz w:val="20"/>
                <w:szCs w:val="20"/>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20"/>
                <w:szCs w:val="20"/>
                <w:color w:val="231F20"/>
                <w:w w:val="98"/>
              </w:rPr>
              <w:t>Weighted-average discount rate . . . . . . . . . . . . . . . . . . . . . . . . . . . . .</w:t>
            </w:r>
          </w:p>
        </w:tc>
        <w:tc>
          <w:tcPr>
            <w:tcW w:w="300" w:type="dxa"/>
            <w:vAlign w:val="bottom"/>
          </w:tcPr>
          <w:p>
            <w:pPr>
              <w:ind w:left="20"/>
              <w:spacing w:after="0"/>
              <w:rPr>
                <w:sz w:val="20"/>
                <w:szCs w:val="20"/>
                <w:color w:val="auto"/>
              </w:rPr>
            </w:pPr>
            <w:r>
              <w:rPr>
                <w:rFonts w:ascii="Arial" w:cs="Arial" w:eastAsia="Arial" w:hAnsi="Arial"/>
                <w:sz w:val="20"/>
                <w:szCs w:val="20"/>
                <w:color w:val="231F20"/>
                <w:w w:val="93"/>
              </w:rPr>
              <w:t>. . .</w:t>
            </w:r>
          </w:p>
        </w:tc>
        <w:tc>
          <w:tcPr>
            <w:tcW w:w="1240" w:type="dxa"/>
            <w:vAlign w:val="bottom"/>
          </w:tcPr>
          <w:p>
            <w:pPr>
              <w:jc w:val="right"/>
              <w:spacing w:after="0"/>
              <w:rPr>
                <w:sz w:val="20"/>
                <w:szCs w:val="20"/>
                <w:color w:val="auto"/>
              </w:rPr>
            </w:pPr>
            <w:r>
              <w:rPr>
                <w:rFonts w:ascii="Arial" w:cs="Arial" w:eastAsia="Arial" w:hAnsi="Arial"/>
                <w:sz w:val="20"/>
                <w:szCs w:val="20"/>
                <w:color w:val="231F20"/>
                <w:w w:val="95"/>
              </w:rPr>
              <w:t>. . . . . . . . . . . .</w:t>
            </w:r>
          </w:p>
        </w:tc>
        <w:tc>
          <w:tcPr>
            <w:tcW w:w="140" w:type="dxa"/>
            <w:vAlign w:val="bottom"/>
          </w:tcPr>
          <w:p>
            <w:pPr>
              <w:jc w:val="right"/>
              <w:spacing w:after="0"/>
              <w:rPr>
                <w:sz w:val="20"/>
                <w:szCs w:val="20"/>
                <w:color w:val="auto"/>
              </w:rPr>
            </w:pPr>
            <w:r>
              <w:rPr>
                <w:rFonts w:ascii="Arial" w:cs="Arial" w:eastAsia="Arial" w:hAnsi="Arial"/>
                <w:sz w:val="20"/>
                <w:szCs w:val="20"/>
                <w:color w:val="231F20"/>
              </w:rPr>
              <w:t>.</w:t>
            </w:r>
          </w:p>
        </w:tc>
        <w:tc>
          <w:tcPr>
            <w:tcW w:w="340" w:type="dxa"/>
            <w:vAlign w:val="bottom"/>
            <w:gridSpan w:val="2"/>
          </w:tcPr>
          <w:p>
            <w:pPr>
              <w:jc w:val="center"/>
              <w:ind w:right="100"/>
              <w:spacing w:after="0"/>
              <w:rPr>
                <w:sz w:val="20"/>
                <w:szCs w:val="20"/>
                <w:color w:val="auto"/>
              </w:rPr>
            </w:pPr>
            <w:r>
              <w:rPr>
                <w:rFonts w:ascii="Arial" w:cs="Arial" w:eastAsia="Arial" w:hAnsi="Arial"/>
                <w:sz w:val="20"/>
                <w:szCs w:val="20"/>
                <w:color w:val="231F20"/>
                <w:w w:val="95"/>
              </w:rPr>
              <w:t>. .</w:t>
            </w:r>
          </w:p>
        </w:tc>
        <w:tc>
          <w:tcPr>
            <w:tcW w:w="680" w:type="dxa"/>
            <w:vAlign w:val="bottom"/>
            <w:gridSpan w:val="3"/>
          </w:tcPr>
          <w:p>
            <w:pPr>
              <w:jc w:val="right"/>
              <w:ind w:right="40"/>
              <w:spacing w:after="0"/>
              <w:rPr>
                <w:sz w:val="20"/>
                <w:szCs w:val="20"/>
                <w:color w:val="auto"/>
              </w:rPr>
            </w:pPr>
            <w:r>
              <w:rPr>
                <w:rFonts w:ascii="Arial" w:cs="Arial" w:eastAsia="Arial" w:hAnsi="Arial"/>
                <w:sz w:val="20"/>
                <w:szCs w:val="20"/>
                <w:color w:val="231F20"/>
              </w:rPr>
              <w:t>8.5%</w:t>
            </w:r>
          </w:p>
        </w:tc>
        <w:tc>
          <w:tcPr>
            <w:tcW w:w="620" w:type="dxa"/>
            <w:vAlign w:val="bottom"/>
            <w:gridSpan w:val="3"/>
          </w:tcPr>
          <w:p>
            <w:pPr>
              <w:jc w:val="right"/>
              <w:spacing w:after="0"/>
              <w:rPr>
                <w:sz w:val="20"/>
                <w:szCs w:val="20"/>
                <w:color w:val="auto"/>
              </w:rPr>
            </w:pPr>
            <w:r>
              <w:rPr>
                <w:rFonts w:ascii="Arial" w:cs="Arial" w:eastAsia="Arial" w:hAnsi="Arial"/>
                <w:sz w:val="20"/>
                <w:szCs w:val="20"/>
                <w:color w:val="231F20"/>
              </w:rPr>
              <w:t>9.0%</w:t>
            </w:r>
          </w:p>
        </w:tc>
      </w:tr>
      <w:tr>
        <w:trPr>
          <w:trHeight w:val="440"/>
        </w:trPr>
        <w:tc>
          <w:tcPr>
            <w:tcW w:w="7980" w:type="dxa"/>
            <w:vAlign w:val="bottom"/>
            <w:gridSpan w:val="6"/>
          </w:tcPr>
          <w:p>
            <w:pPr>
              <w:ind w:left="300"/>
              <w:spacing w:after="0"/>
              <w:rPr>
                <w:sz w:val="20"/>
                <w:szCs w:val="20"/>
                <w:color w:val="auto"/>
              </w:rPr>
            </w:pPr>
            <w:r>
              <w:rPr>
                <w:rFonts w:ascii="Arial" w:cs="Arial" w:eastAsia="Arial" w:hAnsi="Arial"/>
                <w:sz w:val="20"/>
                <w:szCs w:val="20"/>
                <w:color w:val="231F20"/>
              </w:rPr>
              <w:t>Our operating and finance lease payments as of December 31, 2025 are as follows: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0"/>
        </w:trPr>
        <w:tc>
          <w:tcPr>
            <w:tcW w:w="5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20"/>
                <w:szCs w:val="20"/>
                <w:b w:val="1"/>
                <w:bCs w:val="1"/>
                <w:color w:val="231F20"/>
                <w:w w:val="97"/>
              </w:rPr>
              <w:t>Operating</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6"/>
          </w:tcPr>
          <w:p>
            <w:pPr>
              <w:ind w:left="60"/>
              <w:spacing w:after="0"/>
              <w:rPr>
                <w:sz w:val="20"/>
                <w:szCs w:val="20"/>
                <w:color w:val="auto"/>
              </w:rPr>
            </w:pPr>
            <w:r>
              <w:rPr>
                <w:rFonts w:ascii="Arial" w:cs="Arial" w:eastAsia="Arial" w:hAnsi="Arial"/>
                <w:sz w:val="20"/>
                <w:szCs w:val="20"/>
                <w:b w:val="1"/>
                <w:bCs w:val="1"/>
                <w:color w:val="231F20"/>
              </w:rPr>
              <w:t>Finance</w:t>
            </w:r>
          </w:p>
        </w:tc>
      </w:tr>
      <w:tr>
        <w:trPr>
          <w:trHeight w:val="248"/>
        </w:trPr>
        <w:tc>
          <w:tcPr>
            <w:tcW w:w="59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ind w:right="321"/>
              <w:spacing w:after="0"/>
              <w:rPr>
                <w:sz w:val="20"/>
                <w:szCs w:val="20"/>
                <w:color w:val="auto"/>
              </w:rPr>
            </w:pPr>
            <w:r>
              <w:rPr>
                <w:rFonts w:ascii="Arial" w:cs="Arial" w:eastAsia="Arial" w:hAnsi="Arial"/>
                <w:sz w:val="20"/>
                <w:szCs w:val="20"/>
                <w:b w:val="1"/>
                <w:bCs w:val="1"/>
                <w:color w:val="231F20"/>
              </w:rPr>
              <w:t>Leases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gridSpan w:val="4"/>
          </w:tcPr>
          <w:p>
            <w:pPr>
              <w:jc w:val="right"/>
              <w:ind w:right="280"/>
              <w:spacing w:after="0" w:line="228" w:lineRule="exact"/>
              <w:rPr>
                <w:sz w:val="20"/>
                <w:szCs w:val="20"/>
                <w:color w:val="auto"/>
              </w:rPr>
            </w:pPr>
            <w:r>
              <w:rPr>
                <w:rFonts w:ascii="Arial" w:cs="Arial" w:eastAsia="Arial" w:hAnsi="Arial"/>
                <w:sz w:val="20"/>
                <w:szCs w:val="20"/>
                <w:b w:val="1"/>
                <w:bCs w:val="1"/>
                <w:color w:val="231F20"/>
              </w:rPr>
              <w:t>Leases</w:t>
            </w:r>
          </w:p>
        </w:tc>
        <w:tc>
          <w:tcPr>
            <w:tcW w:w="160" w:type="dxa"/>
            <w:vAlign w:val="bottom"/>
          </w:tcPr>
          <w:p>
            <w:pPr>
              <w:spacing w:after="0"/>
              <w:rPr>
                <w:sz w:val="21"/>
                <w:szCs w:val="21"/>
                <w:color w:val="auto"/>
              </w:rPr>
            </w:pPr>
          </w:p>
        </w:tc>
      </w:tr>
      <w:tr>
        <w:trPr>
          <w:trHeight w:val="192"/>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4"/>
          </w:tcPr>
          <w:p>
            <w:pPr>
              <w:jc w:val="right"/>
              <w:ind w:right="40"/>
              <w:spacing w:after="0"/>
              <w:rPr>
                <w:sz w:val="20"/>
                <w:szCs w:val="20"/>
                <w:color w:val="auto"/>
              </w:rPr>
            </w:pPr>
            <w:r>
              <w:rPr>
                <w:rFonts w:ascii="Arial" w:cs="Arial" w:eastAsia="Arial" w:hAnsi="Arial"/>
                <w:sz w:val="16"/>
                <w:szCs w:val="16"/>
                <w:color w:val="231F20"/>
              </w:rPr>
              <w:t>(in millions)</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8"/>
        </w:trPr>
        <w:tc>
          <w:tcPr>
            <w:tcW w:w="5960" w:type="dxa"/>
            <w:vAlign w:val="bottom"/>
          </w:tcPr>
          <w:p>
            <w:pPr>
              <w:spacing w:after="0"/>
              <w:rPr>
                <w:sz w:val="20"/>
                <w:szCs w:val="20"/>
                <w:color w:val="auto"/>
              </w:rPr>
            </w:pPr>
            <w:r>
              <w:rPr>
                <w:rFonts w:ascii="Arial" w:cs="Arial" w:eastAsia="Arial" w:hAnsi="Arial"/>
                <w:sz w:val="20"/>
                <w:szCs w:val="20"/>
                <w:color w:val="231F20"/>
                <w:w w:val="98"/>
              </w:rPr>
              <w:t>2026 . . . . . . . . . . . . . . . . . . . . . . . . . . . . . . . . . . . . . . . . . . . . . . . . . .</w:t>
            </w:r>
          </w:p>
        </w:tc>
        <w:tc>
          <w:tcPr>
            <w:tcW w:w="300" w:type="dxa"/>
            <w:vAlign w:val="bottom"/>
          </w:tcPr>
          <w:p>
            <w:pPr>
              <w:ind w:left="60"/>
              <w:spacing w:after="0"/>
              <w:rPr>
                <w:sz w:val="20"/>
                <w:szCs w:val="20"/>
                <w:color w:val="auto"/>
              </w:rPr>
            </w:pPr>
            <w:r>
              <w:rPr>
                <w:rFonts w:ascii="Arial" w:cs="Arial" w:eastAsia="Arial" w:hAnsi="Arial"/>
                <w:sz w:val="20"/>
                <w:szCs w:val="20"/>
                <w:color w:val="231F20"/>
              </w:rPr>
              <w:t>$</w:t>
            </w:r>
          </w:p>
        </w:tc>
        <w:tc>
          <w:tcPr>
            <w:tcW w:w="1240" w:type="dxa"/>
            <w:vAlign w:val="bottom"/>
          </w:tcPr>
          <w:p>
            <w:pPr>
              <w:jc w:val="right"/>
              <w:spacing w:after="0"/>
              <w:rPr>
                <w:sz w:val="20"/>
                <w:szCs w:val="20"/>
                <w:color w:val="auto"/>
              </w:rPr>
            </w:pPr>
            <w:r>
              <w:rPr>
                <w:rFonts w:ascii="Arial" w:cs="Arial" w:eastAsia="Arial" w:hAnsi="Arial"/>
                <w:sz w:val="20"/>
                <w:szCs w:val="20"/>
                <w:color w:val="231F20"/>
              </w:rPr>
              <w:t>18</w:t>
            </w:r>
          </w:p>
        </w:tc>
        <w:tc>
          <w:tcPr>
            <w:tcW w:w="14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20"/>
                <w:szCs w:val="20"/>
                <w:color w:val="231F20"/>
              </w:rPr>
              <w:t>2</w:t>
            </w:r>
          </w:p>
        </w:tc>
      </w:tr>
      <w:tr>
        <w:trPr>
          <w:trHeight w:val="240"/>
        </w:trPr>
        <w:tc>
          <w:tcPr>
            <w:tcW w:w="5960" w:type="dxa"/>
            <w:vAlign w:val="bottom"/>
          </w:tcPr>
          <w:p>
            <w:pPr>
              <w:spacing w:after="0"/>
              <w:rPr>
                <w:sz w:val="20"/>
                <w:szCs w:val="20"/>
                <w:color w:val="auto"/>
              </w:rPr>
            </w:pPr>
            <w:r>
              <w:rPr>
                <w:rFonts w:ascii="Arial" w:cs="Arial" w:eastAsia="Arial" w:hAnsi="Arial"/>
                <w:sz w:val="20"/>
                <w:szCs w:val="20"/>
                <w:color w:val="231F20"/>
                <w:w w:val="98"/>
              </w:rPr>
              <w:t>2027 . . . . . . . . . . . . . . . . . . . . . . . . . . . . . . . . . . . . . . . . . . . . . . . . . .</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20"/>
                <w:szCs w:val="20"/>
                <w:color w:val="231F20"/>
              </w:rPr>
              <w:t>1</w:t>
            </w:r>
          </w:p>
        </w:tc>
      </w:tr>
      <w:tr>
        <w:trPr>
          <w:trHeight w:val="240"/>
        </w:trPr>
        <w:tc>
          <w:tcPr>
            <w:tcW w:w="5960" w:type="dxa"/>
            <w:vAlign w:val="bottom"/>
          </w:tcPr>
          <w:p>
            <w:pPr>
              <w:spacing w:after="0"/>
              <w:rPr>
                <w:sz w:val="20"/>
                <w:szCs w:val="20"/>
                <w:color w:val="auto"/>
              </w:rPr>
            </w:pPr>
            <w:r>
              <w:rPr>
                <w:rFonts w:ascii="Arial" w:cs="Arial" w:eastAsia="Arial" w:hAnsi="Arial"/>
                <w:sz w:val="20"/>
                <w:szCs w:val="20"/>
                <w:color w:val="231F20"/>
                <w:w w:val="98"/>
              </w:rPr>
              <w:t>2028 . . . . . . . . . . . . . . . . . . . . . . . . . . . . . . . . . . . . . . . . . . . . . . . . . .</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20"/>
                <w:szCs w:val="20"/>
                <w:color w:val="231F20"/>
              </w:rPr>
              <w:t>1</w:t>
            </w:r>
          </w:p>
        </w:tc>
      </w:tr>
      <w:tr>
        <w:trPr>
          <w:trHeight w:val="240"/>
        </w:trPr>
        <w:tc>
          <w:tcPr>
            <w:tcW w:w="5960" w:type="dxa"/>
            <w:vAlign w:val="bottom"/>
          </w:tcPr>
          <w:p>
            <w:pPr>
              <w:spacing w:after="0"/>
              <w:rPr>
                <w:sz w:val="20"/>
                <w:szCs w:val="20"/>
                <w:color w:val="auto"/>
              </w:rPr>
            </w:pPr>
            <w:r>
              <w:rPr>
                <w:rFonts w:ascii="Arial" w:cs="Arial" w:eastAsia="Arial" w:hAnsi="Arial"/>
                <w:sz w:val="20"/>
                <w:szCs w:val="20"/>
                <w:color w:val="231F20"/>
                <w:w w:val="98"/>
              </w:rPr>
              <w:t>2029 . . . . . . . . . . . . . . . . . . . . . . . . . . . . . . . . . . . . . . . . . . . . . . . . . .</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r>
      <w:tr>
        <w:trPr>
          <w:trHeight w:val="242"/>
        </w:trPr>
        <w:tc>
          <w:tcPr>
            <w:tcW w:w="5960" w:type="dxa"/>
            <w:vAlign w:val="bottom"/>
          </w:tcPr>
          <w:p>
            <w:pPr>
              <w:spacing w:after="0"/>
              <w:rPr>
                <w:sz w:val="20"/>
                <w:szCs w:val="20"/>
                <w:color w:val="auto"/>
              </w:rPr>
            </w:pPr>
            <w:r>
              <w:rPr>
                <w:rFonts w:ascii="Arial" w:cs="Arial" w:eastAsia="Arial" w:hAnsi="Arial"/>
                <w:sz w:val="20"/>
                <w:szCs w:val="20"/>
                <w:color w:val="231F20"/>
                <w:w w:val="99"/>
              </w:rPr>
              <w:t>Thereafter  . . . . . . . . . . . . . . . . . . . . . . . . . . . . . . . . . . . . . . . . . . . . .</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231F20"/>
              </w:rPr>
              <w:t>46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r>
      <w:tr>
        <w:trPr>
          <w:trHeight w:val="28"/>
        </w:trPr>
        <w:tc>
          <w:tcPr>
            <w:tcW w:w="59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5960" w:type="dxa"/>
            <w:vAlign w:val="bottom"/>
          </w:tcPr>
          <w:p>
            <w:pPr>
              <w:ind w:left="200"/>
              <w:spacing w:after="0"/>
              <w:rPr>
                <w:sz w:val="20"/>
                <w:szCs w:val="20"/>
                <w:color w:val="auto"/>
              </w:rPr>
            </w:pPr>
            <w:r>
              <w:rPr>
                <w:rFonts w:ascii="Arial" w:cs="Arial" w:eastAsia="Arial" w:hAnsi="Arial"/>
                <w:sz w:val="20"/>
                <w:szCs w:val="20"/>
                <w:color w:val="231F20"/>
                <w:w w:val="99"/>
              </w:rPr>
              <w:t>Less: Interest . . . . . . . . . . . . . . . . . . . . . . . . . . . . . . . . . . . . . . . . .</w:t>
            </w:r>
          </w:p>
        </w:tc>
        <w:tc>
          <w:tcPr>
            <w:tcW w:w="30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20"/>
                <w:szCs w:val="20"/>
                <w:color w:val="231F20"/>
              </w:rPr>
              <w:t>(32)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20"/>
                <w:szCs w:val="20"/>
                <w:color w:val="231F20"/>
              </w:rPr>
              <w:t>(2)</w:t>
            </w:r>
          </w:p>
        </w:tc>
      </w:tr>
      <w:tr>
        <w:trPr>
          <w:trHeight w:val="30"/>
        </w:trPr>
        <w:tc>
          <w:tcPr>
            <w:tcW w:w="59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20"/>
                <w:szCs w:val="20"/>
                <w:color w:val="231F20"/>
              </w:rPr>
              <w:t>Present value of lease liabilities . . . . . . . . . . . . . . . . . . . . . . . . . . . .</w:t>
            </w:r>
          </w:p>
        </w:tc>
        <w:tc>
          <w:tcPr>
            <w:tcW w:w="300" w:type="dxa"/>
            <w:vAlign w:val="bottom"/>
          </w:tcPr>
          <w:p>
            <w:pPr>
              <w:spacing w:after="0"/>
              <w:rPr>
                <w:sz w:val="20"/>
                <w:szCs w:val="20"/>
                <w:color w:val="auto"/>
              </w:rPr>
            </w:pPr>
            <w:r>
              <w:rPr>
                <w:rFonts w:ascii="Arial" w:cs="Arial" w:eastAsia="Arial" w:hAnsi="Arial"/>
                <w:sz w:val="20"/>
                <w:szCs w:val="20"/>
                <w:color w:val="231F20"/>
              </w:rPr>
              <w:t>$</w:t>
            </w:r>
          </w:p>
        </w:tc>
        <w:tc>
          <w:tcPr>
            <w:tcW w:w="1240" w:type="dxa"/>
            <w:vAlign w:val="bottom"/>
          </w:tcPr>
          <w:p>
            <w:pPr>
              <w:jc w:val="right"/>
              <w:spacing w:after="0"/>
              <w:rPr>
                <w:sz w:val="20"/>
                <w:szCs w:val="20"/>
                <w:color w:val="auto"/>
              </w:rPr>
            </w:pPr>
            <w:r>
              <w:rPr>
                <w:rFonts w:ascii="Arial" w:cs="Arial" w:eastAsia="Arial" w:hAnsi="Arial"/>
                <w:sz w:val="20"/>
                <w:szCs w:val="20"/>
                <w:color w:val="231F20"/>
              </w:rPr>
              <w:t>76</w:t>
            </w:r>
          </w:p>
        </w:tc>
        <w:tc>
          <w:tcPr>
            <w:tcW w:w="140" w:type="dxa"/>
            <w:vAlign w:val="bottom"/>
          </w:tcPr>
          <w:p>
            <w:pPr>
              <w:spacing w:after="0"/>
              <w:rPr>
                <w:sz w:val="23"/>
                <w:szCs w:val="23"/>
                <w:color w:val="auto"/>
              </w:rPr>
            </w:pPr>
          </w:p>
        </w:tc>
        <w:tc>
          <w:tcPr>
            <w:tcW w:w="340" w:type="dxa"/>
            <w:vAlign w:val="bottom"/>
            <w:gridSpan w:val="2"/>
          </w:tcPr>
          <w:p>
            <w:pPr>
              <w:jc w:val="center"/>
              <w:ind w:right="120"/>
              <w:spacing w:after="0"/>
              <w:rPr>
                <w:sz w:val="20"/>
                <w:szCs w:val="20"/>
                <w:color w:val="auto"/>
              </w:rPr>
            </w:pPr>
            <w:r>
              <w:rPr>
                <w:rFonts w:ascii="Arial" w:cs="Arial" w:eastAsia="Arial" w:hAnsi="Arial"/>
                <w:sz w:val="20"/>
                <w:szCs w:val="20"/>
                <w:color w:val="231F20"/>
                <w:w w:val="89"/>
              </w:rPr>
              <w:t>$</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20"/>
                <w:szCs w:val="20"/>
                <w:color w:val="231F20"/>
              </w:rPr>
              <w:t>2</w:t>
            </w:r>
          </w:p>
        </w:tc>
      </w:tr>
      <w:tr>
        <w:trPr>
          <w:trHeight w:val="30"/>
        </w:trPr>
        <w:tc>
          <w:tcPr>
            <w:tcW w:w="596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231F20"/>
        </w:rPr>
        <w:t>NOTE 14</w:t>
      </w:r>
      <w:r>
        <w:rPr>
          <w:sz w:val="20"/>
          <w:szCs w:val="20"/>
          <w:color w:val="auto"/>
        </w:rPr>
        <w:tab/>
      </w:r>
      <w:r>
        <w:rPr>
          <w:rFonts w:ascii="Arial" w:cs="Arial" w:eastAsia="Arial" w:hAnsi="Arial"/>
          <w:sz w:val="19"/>
          <w:szCs w:val="19"/>
          <w:b w:val="1"/>
          <w:bCs w:val="1"/>
          <w:color w:val="231F20"/>
        </w:rPr>
        <w:t>PENSION AND POSTRETIREMENT BENEFIT PLANS</w:t>
      </w:r>
    </w:p>
    <w:p>
      <w:pPr>
        <w:spacing w:after="0" w:line="215" w:lineRule="exact"/>
        <w:rPr>
          <w:sz w:val="20"/>
          <w:szCs w:val="20"/>
          <w:color w:val="auto"/>
        </w:rPr>
      </w:pPr>
    </w:p>
    <w:p>
      <w:pPr>
        <w:ind w:right="180" w:firstLine="300"/>
        <w:spacing w:after="0" w:line="250" w:lineRule="auto"/>
        <w:rPr>
          <w:sz w:val="20"/>
          <w:szCs w:val="20"/>
          <w:color w:val="auto"/>
        </w:rPr>
      </w:pPr>
      <w:r>
        <w:rPr>
          <w:rFonts w:ascii="Arial" w:cs="Arial" w:eastAsia="Arial" w:hAnsi="Arial"/>
          <w:sz w:val="20"/>
          <w:szCs w:val="20"/>
          <w:color w:val="231F20"/>
        </w:rPr>
        <w:t>Prior to the Aera Merger, we maintained two qualified defined benefit pension plans covering union employees and a postretirement health care plan for certain retired employees. In connection with the Aera Merger, we acquired a qualified defined benefit cash balance pension plan and a non-qualified cash balance pension plan that restores benefits lost due to governmental limitations on the qualified plan. We also acquired two postretirement benefit plans that provide health care benefits for certain retired employees. Certain of the postretirement benefit obligations are funded through 401(h) accounts under the qualified pension plans. Aera’s pension and postretirement obligations were remeasured as of the July 1, 2024 acquisition date. At that time, for Aera’s pension plans, we recognized a net benefit asset of $64 million and a net benefit liability of $8 million and for Aera’s postretirement benefit plans, we recognized a net benefit asset of $9 million and a net benefit liability of $27 million. Accumulated other comprehensive income balances for the acquired Aera plans were eliminated in purchase accounting.</w:t>
      </w:r>
    </w:p>
    <w:p>
      <w:pPr>
        <w:spacing w:after="0" w:line="205" w:lineRule="exact"/>
        <w:rPr>
          <w:sz w:val="20"/>
          <w:szCs w:val="20"/>
          <w:color w:val="auto"/>
        </w:rPr>
      </w:pPr>
    </w:p>
    <w:p>
      <w:pPr>
        <w:ind w:right="180" w:firstLine="300"/>
        <w:spacing w:after="0" w:line="249" w:lineRule="auto"/>
        <w:rPr>
          <w:sz w:val="20"/>
          <w:szCs w:val="20"/>
          <w:color w:val="auto"/>
        </w:rPr>
      </w:pPr>
      <w:r>
        <w:rPr>
          <w:rFonts w:ascii="Arial" w:cs="Arial" w:eastAsia="Arial" w:hAnsi="Arial"/>
          <w:sz w:val="20"/>
          <w:szCs w:val="20"/>
          <w:color w:val="231F20"/>
        </w:rPr>
        <w:t>In August 2024, we amended Aera’s pension and postretirement benefit plans. For Aera’s defined benefit pension plans and post age 65 postretirement benefit plan, participants no longer accrue additional benefits for service after September 30, 2024. However, for each of the foregoing plans, future service will count towards vesting of benefits accrued based on past service. In addition, for both of Aera’s postretirement benefit plans, we expanded the eligibility provisions in the event of an involuntary layoff. Following the Aera Merger, we recognized a curtailment gain of $4 million and a one-time cost of special termination benefits of $4 million included in net periodic benefit costs for the year ended December 31, 2024.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Defined Contribution Plans</w:t>
      </w:r>
    </w:p>
    <w:p>
      <w:pPr>
        <w:spacing w:after="0" w:line="215" w:lineRule="exact"/>
        <w:rPr>
          <w:sz w:val="20"/>
          <w:szCs w:val="20"/>
          <w:color w:val="auto"/>
        </w:rPr>
      </w:pPr>
    </w:p>
    <w:p>
      <w:pPr>
        <w:ind w:right="440" w:firstLine="300"/>
        <w:spacing w:after="0" w:line="246" w:lineRule="auto"/>
        <w:rPr>
          <w:sz w:val="20"/>
          <w:szCs w:val="20"/>
          <w:color w:val="auto"/>
        </w:rPr>
      </w:pPr>
      <w:r>
        <w:rPr>
          <w:rFonts w:ascii="Arial" w:cs="Arial" w:eastAsia="Arial" w:hAnsi="Arial"/>
          <w:sz w:val="20"/>
          <w:szCs w:val="20"/>
          <w:color w:val="231F20"/>
        </w:rPr>
        <w:t>All of our employees are eligible to participate in our tax-qualified, defined contribution retirement plan that provides for periodic cash contributions by us based on annual cash compensation and employee deferrals.</w:t>
      </w:r>
    </w:p>
    <w:p>
      <w:pPr>
        <w:sectPr>
          <w:pgSz w:w="11880" w:h="15480" w:orient="portrait"/>
          <w:cols w:equalWidth="0" w:num="1">
            <w:col w:w="9280"/>
          </w:cols>
          <w:pgMar w:left="1380" w:top="1270" w:right="122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231F20"/>
        </w:rPr>
        <w:t>134</w:t>
      </w:r>
    </w:p>
    <w:p>
      <w:pPr>
        <w:sectPr>
          <w:pgSz w:w="11880" w:h="15480" w:orient="portrait"/>
          <w:cols w:equalWidth="0" w:num="1">
            <w:col w:w="9280"/>
          </w:cols>
          <w:pgMar w:left="1380" w:top="1270" w:right="1220" w:bottom="660" w:gutter="0" w:footer="0" w:header="0"/>
          <w:type w:val="continuous"/>
        </w:sectPr>
      </w:pPr>
    </w:p>
    <w:bookmarkStart w:id="138" w:name="page139"/>
    <w:bookmarkEnd w:id="138"/>
    <w:p>
      <w:pPr>
        <w:ind w:left="300"/>
        <w:spacing w:after="0"/>
        <w:rPr>
          <w:sz w:val="20"/>
          <w:szCs w:val="20"/>
          <w:color w:val="auto"/>
        </w:rPr>
      </w:pPr>
      <w:r>
        <w:rPr>
          <w:rFonts w:ascii="Arial" w:cs="Arial" w:eastAsia="Arial" w:hAnsi="Arial"/>
          <w:sz w:val="20"/>
          <w:szCs w:val="20"/>
          <w:color w:val="231F20"/>
        </w:rPr>
        <w:t>Certain salaried employees participate in non-qualified supplemental defined contribution plans that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restore benefits lost due to government limitations on qualified plans. We recognized $28 million 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$30 million in other long-term liabilities for the years ended December 31, 2025 and 2024, respectively,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related to these supplemental plans.</w:t>
      </w:r>
    </w:p>
    <w:p>
      <w:pPr>
        <w:spacing w:after="0" w:line="217" w:lineRule="exact"/>
        <w:rPr>
          <w:sz w:val="20"/>
          <w:szCs w:val="20"/>
          <w:color w:val="auto"/>
        </w:rPr>
      </w:pPr>
    </w:p>
    <w:p>
      <w:pPr>
        <w:ind w:right="140" w:firstLine="300"/>
        <w:spacing w:after="0" w:line="243" w:lineRule="auto"/>
        <w:rPr>
          <w:sz w:val="20"/>
          <w:szCs w:val="20"/>
          <w:color w:val="auto"/>
        </w:rPr>
      </w:pPr>
      <w:r>
        <w:rPr>
          <w:rFonts w:ascii="Arial" w:cs="Arial" w:eastAsia="Arial" w:hAnsi="Arial"/>
          <w:sz w:val="20"/>
          <w:szCs w:val="20"/>
          <w:color w:val="231F20"/>
        </w:rPr>
        <w:t>We expensed $31 million in 2025, $27 million in 2024 and $19 million in 2023 under the provisions of these defined contribution and supplemental plans.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Defined Benefit Plans</w:t>
      </w:r>
    </w:p>
    <w:p>
      <w:pPr>
        <w:spacing w:after="0" w:line="215" w:lineRule="exact"/>
        <w:rPr>
          <w:sz w:val="20"/>
          <w:szCs w:val="20"/>
          <w:color w:val="auto"/>
        </w:rPr>
      </w:pPr>
    </w:p>
    <w:p>
      <w:pPr>
        <w:ind w:right="220" w:firstLine="300"/>
        <w:spacing w:after="0" w:line="268" w:lineRule="auto"/>
        <w:rPr>
          <w:sz w:val="20"/>
          <w:szCs w:val="20"/>
          <w:color w:val="auto"/>
        </w:rPr>
      </w:pPr>
      <w:r>
        <w:rPr>
          <w:rFonts w:ascii="Arial" w:cs="Arial" w:eastAsia="Arial" w:hAnsi="Arial"/>
          <w:sz w:val="19"/>
          <w:szCs w:val="19"/>
          <w:color w:val="231F20"/>
        </w:rPr>
        <w:t>Participation in defined benefit pension plans sponsored by us is limited. During 2025, only approximately 52 employees were accruing benefits at year-end, all of whom were union employees.</w:t>
      </w:r>
    </w:p>
    <w:p>
      <w:pPr>
        <w:spacing w:after="0" w:line="192" w:lineRule="exact"/>
        <w:rPr>
          <w:sz w:val="20"/>
          <w:szCs w:val="20"/>
          <w:color w:val="auto"/>
        </w:rPr>
      </w:pPr>
    </w:p>
    <w:p>
      <w:pPr>
        <w:ind w:right="160" w:firstLine="300"/>
        <w:spacing w:after="0" w:line="246" w:lineRule="auto"/>
        <w:rPr>
          <w:sz w:val="20"/>
          <w:szCs w:val="20"/>
          <w:color w:val="auto"/>
        </w:rPr>
      </w:pPr>
      <w:r>
        <w:rPr>
          <w:rFonts w:ascii="Arial" w:cs="Arial" w:eastAsia="Arial" w:hAnsi="Arial"/>
          <w:sz w:val="20"/>
          <w:szCs w:val="20"/>
          <w:color w:val="231F20"/>
        </w:rPr>
        <w:t>Pension costs for the defined benefit pension plans, determined by independent actuarial valuations, are funded by us through payments to trust funds, which are administered by independent trustees.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Postretirement Benefit Plans</w:t>
      </w:r>
    </w:p>
    <w:p>
      <w:pPr>
        <w:spacing w:after="0" w:line="215" w:lineRule="exact"/>
        <w:rPr>
          <w:sz w:val="20"/>
          <w:szCs w:val="20"/>
          <w:color w:val="auto"/>
        </w:rPr>
      </w:pPr>
    </w:p>
    <w:p>
      <w:pPr>
        <w:jc w:val="both"/>
        <w:ind w:right="180" w:firstLine="300"/>
        <w:spacing w:after="0" w:line="247" w:lineRule="auto"/>
        <w:rPr>
          <w:sz w:val="20"/>
          <w:szCs w:val="20"/>
          <w:color w:val="auto"/>
        </w:rPr>
      </w:pPr>
      <w:r>
        <w:rPr>
          <w:rFonts w:ascii="Arial" w:cs="Arial" w:eastAsia="Arial" w:hAnsi="Arial"/>
          <w:sz w:val="20"/>
          <w:szCs w:val="20"/>
          <w:color w:val="231F20"/>
        </w:rPr>
        <w:t>We provide postretirement medical and dental benefits for our eligible former employees and their dependents. Our former employees are required to make monthly contributions for the coverage, but the benefits are primarily funded by us as claims are paid during the year.</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Obligations and Funded Status of our Defined Benefit Plans</w:t>
      </w:r>
    </w:p>
    <w:p>
      <w:pPr>
        <w:spacing w:after="0" w:line="215" w:lineRule="exact"/>
        <w:rPr>
          <w:sz w:val="20"/>
          <w:szCs w:val="20"/>
          <w:color w:val="auto"/>
        </w:rPr>
      </w:pPr>
    </w:p>
    <w:p>
      <w:pPr>
        <w:ind w:right="280" w:firstLine="300"/>
        <w:spacing w:after="0" w:line="245" w:lineRule="auto"/>
        <w:rPr>
          <w:sz w:val="20"/>
          <w:szCs w:val="20"/>
          <w:color w:val="auto"/>
        </w:rPr>
      </w:pPr>
      <w:r>
        <w:rPr>
          <w:rFonts w:ascii="Arial" w:cs="Arial" w:eastAsia="Arial" w:hAnsi="Arial"/>
          <w:sz w:val="20"/>
          <w:szCs w:val="20"/>
          <w:color w:val="231F20"/>
        </w:rPr>
        <w:t>The following table shows the amounts recognized on our balance sheets related to pension and postretirement benefit plans, as well as plans that we or our subsidiaries sponsor: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0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2260" w:type="dxa"/>
            <w:vAlign w:val="bottom"/>
            <w:tcBorders>
              <w:bottom w:val="single" w:sz="8" w:color="231F20"/>
            </w:tcBorders>
            <w:gridSpan w:val="4"/>
          </w:tcPr>
          <w:p>
            <w:pPr>
              <w:ind w:left="320"/>
              <w:spacing w:after="0"/>
              <w:rPr>
                <w:sz w:val="20"/>
                <w:szCs w:val="20"/>
                <w:color w:val="auto"/>
              </w:rPr>
            </w:pPr>
            <w:r>
              <w:rPr>
                <w:rFonts w:ascii="Arial" w:cs="Arial" w:eastAsia="Arial" w:hAnsi="Arial"/>
                <w:sz w:val="20"/>
                <w:szCs w:val="20"/>
                <w:b w:val="1"/>
                <w:bCs w:val="1"/>
                <w:color w:val="231F20"/>
              </w:rPr>
              <w:t>December 31, 2025</w:t>
            </w:r>
          </w:p>
        </w:tc>
        <w:tc>
          <w:tcPr>
            <w:tcW w:w="38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2300" w:type="dxa"/>
            <w:vAlign w:val="bottom"/>
            <w:tcBorders>
              <w:bottom w:val="single" w:sz="8" w:color="231F20"/>
            </w:tcBorders>
            <w:gridSpan w:val="4"/>
          </w:tcPr>
          <w:p>
            <w:pPr>
              <w:ind w:left="380"/>
              <w:spacing w:after="0"/>
              <w:rPr>
                <w:sz w:val="20"/>
                <w:szCs w:val="20"/>
                <w:color w:val="auto"/>
              </w:rPr>
            </w:pPr>
            <w:r>
              <w:rPr>
                <w:rFonts w:ascii="Arial" w:cs="Arial" w:eastAsia="Arial" w:hAnsi="Arial"/>
                <w:sz w:val="20"/>
                <w:szCs w:val="20"/>
                <w:b w:val="1"/>
                <w:bCs w:val="1"/>
                <w:color w:val="231F20"/>
              </w:rPr>
              <w:t>December 31, 2024</w:t>
            </w:r>
          </w:p>
        </w:tc>
        <w:tc>
          <w:tcPr>
            <w:tcW w:w="40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02"/>
              <w:spacing w:after="0" w:line="214" w:lineRule="exact"/>
              <w:rPr>
                <w:sz w:val="20"/>
                <w:szCs w:val="20"/>
                <w:color w:val="auto"/>
              </w:rPr>
            </w:pPr>
            <w:r>
              <w:rPr>
                <w:rFonts w:ascii="Arial" w:cs="Arial" w:eastAsia="Arial" w:hAnsi="Arial"/>
                <w:sz w:val="20"/>
                <w:szCs w:val="20"/>
                <w:b w:val="1"/>
                <w:bCs w:val="1"/>
                <w:color w:val="231F20"/>
              </w:rPr>
              <w:t>Pension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3"/>
          </w:tcPr>
          <w:p>
            <w:pPr>
              <w:ind w:left="40"/>
              <w:spacing w:after="0" w:line="214" w:lineRule="exact"/>
              <w:rPr>
                <w:sz w:val="20"/>
                <w:szCs w:val="20"/>
                <w:color w:val="auto"/>
              </w:rPr>
            </w:pPr>
            <w:r>
              <w:rPr>
                <w:rFonts w:ascii="Arial" w:cs="Arial" w:eastAsia="Arial" w:hAnsi="Arial"/>
                <w:sz w:val="20"/>
                <w:szCs w:val="20"/>
                <w:b w:val="1"/>
                <w:bCs w:val="1"/>
                <w:color w:val="231F20"/>
              </w:rPr>
              <w:t>Postretirement</w:t>
            </w:r>
          </w:p>
        </w:tc>
        <w:tc>
          <w:tcPr>
            <w:tcW w:w="180" w:type="dxa"/>
            <w:vAlign w:val="bottom"/>
          </w:tcPr>
          <w:p>
            <w:pPr>
              <w:spacing w:after="0"/>
              <w:rPr>
                <w:sz w:val="18"/>
                <w:szCs w:val="18"/>
                <w:color w:val="auto"/>
              </w:rPr>
            </w:pPr>
          </w:p>
        </w:tc>
        <w:tc>
          <w:tcPr>
            <w:tcW w:w="1020" w:type="dxa"/>
            <w:vAlign w:val="bottom"/>
          </w:tcPr>
          <w:p>
            <w:pPr>
              <w:jc w:val="center"/>
              <w:ind w:right="62"/>
              <w:spacing w:after="0" w:line="214" w:lineRule="exact"/>
              <w:rPr>
                <w:sz w:val="20"/>
                <w:szCs w:val="20"/>
                <w:color w:val="auto"/>
              </w:rPr>
            </w:pPr>
            <w:r>
              <w:rPr>
                <w:rFonts w:ascii="Arial" w:cs="Arial" w:eastAsia="Arial" w:hAnsi="Arial"/>
                <w:sz w:val="20"/>
                <w:szCs w:val="20"/>
                <w:b w:val="1"/>
                <w:bCs w:val="1"/>
                <w:color w:val="231F20"/>
              </w:rPr>
              <w:t>Pension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ind w:left="60"/>
              <w:spacing w:after="0" w:line="214" w:lineRule="exact"/>
              <w:rPr>
                <w:sz w:val="20"/>
                <w:szCs w:val="20"/>
                <w:color w:val="auto"/>
              </w:rPr>
            </w:pPr>
            <w:r>
              <w:rPr>
                <w:rFonts w:ascii="Arial" w:cs="Arial" w:eastAsia="Arial" w:hAnsi="Arial"/>
                <w:sz w:val="20"/>
                <w:szCs w:val="20"/>
                <w:b w:val="1"/>
                <w:bCs w:val="1"/>
                <w:color w:val="231F20"/>
              </w:rPr>
              <w:t>Postretirement</w:t>
            </w:r>
          </w:p>
        </w:tc>
        <w:tc>
          <w:tcPr>
            <w:tcW w:w="0" w:type="dxa"/>
            <w:vAlign w:val="bottom"/>
          </w:tcPr>
          <w:p>
            <w:pPr>
              <w:spacing w:after="0"/>
              <w:rPr>
                <w:sz w:val="1"/>
                <w:szCs w:val="1"/>
                <w:color w:val="auto"/>
              </w:rPr>
            </w:pPr>
          </w:p>
        </w:tc>
      </w:tr>
      <w:tr>
        <w:trPr>
          <w:trHeight w:val="246"/>
        </w:trPr>
        <w:tc>
          <w:tcPr>
            <w:tcW w:w="330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center"/>
              <w:ind w:right="122"/>
              <w:spacing w:after="0" w:line="228" w:lineRule="exact"/>
              <w:rPr>
                <w:sz w:val="20"/>
                <w:szCs w:val="20"/>
                <w:color w:val="auto"/>
              </w:rPr>
            </w:pPr>
            <w:r>
              <w:rPr>
                <w:rFonts w:ascii="Arial" w:cs="Arial" w:eastAsia="Arial" w:hAnsi="Arial"/>
                <w:sz w:val="20"/>
                <w:szCs w:val="20"/>
                <w:b w:val="1"/>
                <w:bCs w:val="1"/>
                <w:color w:val="231F20"/>
              </w:rPr>
              <w:t>Benefit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bottom w:val="single" w:sz="8" w:color="231F20"/>
            </w:tcBorders>
          </w:tcPr>
          <w:p>
            <w:pPr>
              <w:ind w:left="400"/>
              <w:spacing w:after="0" w:line="228" w:lineRule="exact"/>
              <w:rPr>
                <w:sz w:val="20"/>
                <w:szCs w:val="20"/>
                <w:color w:val="auto"/>
              </w:rPr>
            </w:pPr>
            <w:r>
              <w:rPr>
                <w:rFonts w:ascii="Arial" w:cs="Arial" w:eastAsia="Arial" w:hAnsi="Arial"/>
                <w:sz w:val="20"/>
                <w:szCs w:val="20"/>
                <w:b w:val="1"/>
                <w:bCs w:val="1"/>
                <w:color w:val="231F20"/>
              </w:rPr>
              <w:t>Benefit</w:t>
            </w:r>
          </w:p>
        </w:tc>
        <w:tc>
          <w:tcPr>
            <w:tcW w:w="38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center"/>
              <w:ind w:right="82"/>
              <w:spacing w:after="0" w:line="228" w:lineRule="exact"/>
              <w:rPr>
                <w:sz w:val="20"/>
                <w:szCs w:val="20"/>
                <w:color w:val="auto"/>
              </w:rPr>
            </w:pPr>
            <w:r>
              <w:rPr>
                <w:rFonts w:ascii="Arial" w:cs="Arial" w:eastAsia="Arial" w:hAnsi="Arial"/>
                <w:sz w:val="20"/>
                <w:szCs w:val="20"/>
                <w:b w:val="1"/>
                <w:bCs w:val="1"/>
                <w:color w:val="231F20"/>
              </w:rPr>
              <w:t>Benefit</w:t>
            </w:r>
          </w:p>
        </w:tc>
        <w:tc>
          <w:tcPr>
            <w:tcW w:w="80" w:type="dxa"/>
            <w:vAlign w:val="bottom"/>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ind w:left="440"/>
              <w:spacing w:after="0" w:line="228" w:lineRule="exact"/>
              <w:rPr>
                <w:sz w:val="20"/>
                <w:szCs w:val="20"/>
                <w:color w:val="auto"/>
              </w:rPr>
            </w:pPr>
            <w:r>
              <w:rPr>
                <w:rFonts w:ascii="Arial" w:cs="Arial" w:eastAsia="Arial" w:hAnsi="Arial"/>
                <w:sz w:val="20"/>
                <w:szCs w:val="20"/>
                <w:b w:val="1"/>
                <w:bCs w:val="1"/>
                <w:color w:val="231F20"/>
              </w:rPr>
              <w:t>Benefit</w:t>
            </w:r>
          </w:p>
        </w:tc>
        <w:tc>
          <w:tcPr>
            <w:tcW w:w="40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22"/>
              <w:spacing w:after="0"/>
              <w:rPr>
                <w:sz w:val="20"/>
                <w:szCs w:val="20"/>
                <w:color w:val="auto"/>
              </w:rPr>
            </w:pPr>
            <w:r>
              <w:rPr>
                <w:rFonts w:ascii="Arial" w:cs="Arial" w:eastAsia="Arial" w:hAnsi="Arial"/>
                <w:sz w:val="16"/>
                <w:szCs w:val="16"/>
                <w:color w:val="231F20"/>
                <w:w w:val="98"/>
              </w:rPr>
              <w:t>(in millions)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82"/>
              <w:spacing w:after="0"/>
              <w:rPr>
                <w:sz w:val="20"/>
                <w:szCs w:val="20"/>
                <w:color w:val="auto"/>
              </w:rPr>
            </w:pPr>
            <w:r>
              <w:rPr>
                <w:rFonts w:ascii="Arial" w:cs="Arial" w:eastAsia="Arial" w:hAnsi="Arial"/>
                <w:sz w:val="16"/>
                <w:szCs w:val="16"/>
                <w:color w:val="231F20"/>
                <w:w w:val="98"/>
              </w:rPr>
              <w:t>(in millions)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0"/>
                <w:szCs w:val="20"/>
                <w:color w:val="auto"/>
              </w:rPr>
            </w:pPr>
            <w:r>
              <w:rPr>
                <w:rFonts w:ascii="Arial" w:cs="Arial" w:eastAsia="Arial" w:hAnsi="Arial"/>
                <w:sz w:val="20"/>
                <w:szCs w:val="20"/>
                <w:color w:val="231F20"/>
              </w:rPr>
              <w:t>Amounts recognized on the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300" w:type="dxa"/>
            <w:vAlign w:val="bottom"/>
          </w:tcPr>
          <w:p>
            <w:pPr>
              <w:spacing w:after="0"/>
              <w:rPr>
                <w:sz w:val="20"/>
                <w:szCs w:val="20"/>
                <w:color w:val="auto"/>
              </w:rPr>
            </w:pPr>
            <w:r>
              <w:rPr>
                <w:rFonts w:ascii="Arial" w:cs="Arial" w:eastAsia="Arial" w:hAnsi="Arial"/>
                <w:sz w:val="20"/>
                <w:szCs w:val="20"/>
                <w:color w:val="231F20"/>
              </w:rPr>
              <w:t>balance sheet</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00" w:type="dxa"/>
            <w:vAlign w:val="bottom"/>
          </w:tcPr>
          <w:p>
            <w:pPr>
              <w:ind w:left="200"/>
              <w:spacing w:after="0"/>
              <w:rPr>
                <w:sz w:val="20"/>
                <w:szCs w:val="20"/>
                <w:color w:val="auto"/>
              </w:rPr>
            </w:pPr>
            <w:r>
              <w:rPr>
                <w:rFonts w:ascii="Arial" w:cs="Arial" w:eastAsia="Arial" w:hAnsi="Arial"/>
                <w:sz w:val="20"/>
                <w:szCs w:val="20"/>
                <w:color w:val="231F20"/>
              </w:rPr>
              <w:t>Other assets . . . . . . . . . . . . . . . . .</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spacing w:after="0"/>
              <w:rPr>
                <w:sz w:val="20"/>
                <w:szCs w:val="20"/>
                <w:color w:val="auto"/>
              </w:rPr>
            </w:pPr>
            <w:r>
              <w:rPr>
                <w:rFonts w:ascii="Arial" w:cs="Arial" w:eastAsia="Arial" w:hAnsi="Arial"/>
                <w:sz w:val="20"/>
                <w:szCs w:val="20"/>
                <w:color w:val="231F20"/>
              </w:rPr>
              <w:t>97</w:t>
            </w:r>
          </w:p>
        </w:tc>
        <w:tc>
          <w:tcPr>
            <w:tcW w:w="1200" w:type="dxa"/>
            <w:vAlign w:val="bottom"/>
            <w:gridSpan w:val="3"/>
          </w:tcPr>
          <w:p>
            <w:pPr>
              <w:ind w:left="120"/>
              <w:spacing w:after="0"/>
              <w:rPr>
                <w:sz w:val="20"/>
                <w:szCs w:val="20"/>
                <w:color w:val="auto"/>
              </w:rPr>
            </w:pPr>
            <w:r>
              <w:rPr>
                <w:rFonts w:ascii="Arial" w:cs="Arial" w:eastAsia="Arial" w:hAnsi="Arial"/>
                <w:sz w:val="20"/>
                <w:szCs w:val="20"/>
                <w:color w:val="231F20"/>
              </w:rPr>
              <w:t>$</w:t>
            </w:r>
          </w:p>
        </w:tc>
        <w:tc>
          <w:tcPr>
            <w:tcW w:w="380" w:type="dxa"/>
            <w:vAlign w:val="bottom"/>
          </w:tcPr>
          <w:p>
            <w:pPr>
              <w:jc w:val="right"/>
              <w:spacing w:after="0"/>
              <w:rPr>
                <w:sz w:val="20"/>
                <w:szCs w:val="20"/>
                <w:color w:val="auto"/>
              </w:rPr>
            </w:pPr>
            <w:r>
              <w:rPr>
                <w:rFonts w:ascii="Arial" w:cs="Arial" w:eastAsia="Arial" w:hAnsi="Arial"/>
                <w:sz w:val="20"/>
                <w:szCs w:val="20"/>
                <w:color w:val="231F20"/>
              </w:rPr>
              <w:t>19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67</w:t>
            </w:r>
          </w:p>
        </w:tc>
        <w:tc>
          <w:tcPr>
            <w:tcW w:w="1280" w:type="dxa"/>
            <w:vAlign w:val="bottom"/>
            <w:gridSpan w:val="3"/>
          </w:tcPr>
          <w:p>
            <w:pPr>
              <w:ind w:left="160"/>
              <w:spacing w:after="0"/>
              <w:rPr>
                <w:sz w:val="20"/>
                <w:szCs w:val="20"/>
                <w:color w:val="auto"/>
              </w:rPr>
            </w:pPr>
            <w:r>
              <w:rPr>
                <w:rFonts w:ascii="Arial" w:cs="Arial" w:eastAsia="Arial" w:hAnsi="Arial"/>
                <w:sz w:val="20"/>
                <w:szCs w:val="20"/>
                <w:color w:val="231F20"/>
              </w:rPr>
              <w:t>$</w:t>
            </w:r>
          </w:p>
        </w:tc>
        <w:tc>
          <w:tcPr>
            <w:tcW w:w="400" w:type="dxa"/>
            <w:vAlign w:val="bottom"/>
          </w:tcPr>
          <w:p>
            <w:pPr>
              <w:jc w:val="right"/>
              <w:spacing w:after="0"/>
              <w:rPr>
                <w:sz w:val="20"/>
                <w:szCs w:val="20"/>
                <w:color w:val="auto"/>
              </w:rPr>
            </w:pPr>
            <w:r>
              <w:rPr>
                <w:rFonts w:ascii="Arial" w:cs="Arial" w:eastAsia="Arial" w:hAnsi="Arial"/>
                <w:sz w:val="20"/>
                <w:szCs w:val="20"/>
                <w:color w:val="231F2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00" w:type="dxa"/>
            <w:vAlign w:val="bottom"/>
          </w:tcPr>
          <w:p>
            <w:pPr>
              <w:ind w:left="200"/>
              <w:spacing w:after="0"/>
              <w:rPr>
                <w:sz w:val="20"/>
                <w:szCs w:val="20"/>
                <w:color w:val="auto"/>
              </w:rPr>
            </w:pPr>
            <w:r>
              <w:rPr>
                <w:rFonts w:ascii="Arial" w:cs="Arial" w:eastAsia="Arial" w:hAnsi="Arial"/>
                <w:sz w:val="20"/>
                <w:szCs w:val="20"/>
                <w:color w:val="231F20"/>
              </w:rPr>
              <w:t>Accrued liabilities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231F20"/>
              </w:rPr>
              <w:t>(5)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231F20"/>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00" w:type="dxa"/>
            <w:vAlign w:val="bottom"/>
          </w:tcPr>
          <w:p>
            <w:pPr>
              <w:ind w:left="200"/>
              <w:spacing w:after="0"/>
              <w:rPr>
                <w:sz w:val="20"/>
                <w:szCs w:val="20"/>
                <w:color w:val="auto"/>
              </w:rPr>
            </w:pPr>
            <w:r>
              <w:rPr>
                <w:rFonts w:ascii="Arial" w:cs="Arial" w:eastAsia="Arial" w:hAnsi="Arial"/>
                <w:sz w:val="20"/>
                <w:szCs w:val="20"/>
                <w:color w:val="231F20"/>
              </w:rPr>
              <w:t>Other long-term liabilities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231F20"/>
              </w:rPr>
              <w:t>(52)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231F20"/>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3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3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spacing w:after="0"/>
              <w:rPr>
                <w:sz w:val="20"/>
                <w:szCs w:val="20"/>
                <w:color w:val="auto"/>
              </w:rPr>
            </w:pPr>
            <w:r>
              <w:rPr>
                <w:rFonts w:ascii="Arial" w:cs="Arial" w:eastAsia="Arial" w:hAnsi="Arial"/>
                <w:sz w:val="20"/>
                <w:szCs w:val="20"/>
                <w:color w:val="231F20"/>
              </w:rPr>
              <w:t>92</w:t>
            </w:r>
          </w:p>
        </w:tc>
        <w:tc>
          <w:tcPr>
            <w:tcW w:w="1200" w:type="dxa"/>
            <w:vAlign w:val="bottom"/>
            <w:gridSpan w:val="3"/>
          </w:tcPr>
          <w:p>
            <w:pPr>
              <w:ind w:left="120"/>
              <w:spacing w:after="0"/>
              <w:rPr>
                <w:sz w:val="20"/>
                <w:szCs w:val="20"/>
                <w:color w:val="auto"/>
              </w:rPr>
            </w:pPr>
            <w:r>
              <w:rPr>
                <w:rFonts w:ascii="Arial" w:cs="Arial" w:eastAsia="Arial" w:hAnsi="Arial"/>
                <w:sz w:val="20"/>
                <w:szCs w:val="20"/>
                <w:color w:val="231F20"/>
              </w:rPr>
              <w:t>$</w:t>
            </w:r>
          </w:p>
        </w:tc>
        <w:tc>
          <w:tcPr>
            <w:tcW w:w="380" w:type="dxa"/>
            <w:vAlign w:val="bottom"/>
          </w:tcPr>
          <w:p>
            <w:pPr>
              <w:jc w:val="right"/>
              <w:spacing w:after="0"/>
              <w:rPr>
                <w:sz w:val="20"/>
                <w:szCs w:val="20"/>
                <w:color w:val="auto"/>
              </w:rPr>
            </w:pPr>
            <w:r>
              <w:rPr>
                <w:rFonts w:ascii="Arial" w:cs="Arial" w:eastAsia="Arial" w:hAnsi="Arial"/>
                <w:sz w:val="20"/>
                <w:szCs w:val="20"/>
                <w:color w:val="231F20"/>
              </w:rPr>
              <w:t>(38)</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60</w:t>
            </w:r>
          </w:p>
        </w:tc>
        <w:tc>
          <w:tcPr>
            <w:tcW w:w="1280" w:type="dxa"/>
            <w:vAlign w:val="bottom"/>
            <w:gridSpan w:val="3"/>
          </w:tcPr>
          <w:p>
            <w:pPr>
              <w:ind w:left="160"/>
              <w:spacing w:after="0"/>
              <w:rPr>
                <w:sz w:val="20"/>
                <w:szCs w:val="20"/>
                <w:color w:val="auto"/>
              </w:rPr>
            </w:pPr>
            <w:r>
              <w:rPr>
                <w:rFonts w:ascii="Arial" w:cs="Arial" w:eastAsia="Arial" w:hAnsi="Arial"/>
                <w:sz w:val="20"/>
                <w:szCs w:val="20"/>
                <w:color w:val="231F20"/>
              </w:rPr>
              <w:t>$</w:t>
            </w:r>
          </w:p>
        </w:tc>
        <w:tc>
          <w:tcPr>
            <w:tcW w:w="400" w:type="dxa"/>
            <w:vAlign w:val="bottom"/>
          </w:tcPr>
          <w:p>
            <w:pPr>
              <w:jc w:val="right"/>
              <w:spacing w:after="0"/>
              <w:rPr>
                <w:sz w:val="20"/>
                <w:szCs w:val="20"/>
                <w:color w:val="auto"/>
              </w:rPr>
            </w:pPr>
            <w:r>
              <w:rPr>
                <w:rFonts w:ascii="Arial" w:cs="Arial" w:eastAsia="Arial" w:hAnsi="Arial"/>
                <w:sz w:val="20"/>
                <w:szCs w:val="20"/>
                <w:color w:val="231F20"/>
              </w:rPr>
              <w:t>(46)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3300" w:type="dxa"/>
            <w:vAlign w:val="bottom"/>
            <w:vMerge w:val="restart"/>
          </w:tcPr>
          <w:p>
            <w:pPr>
              <w:spacing w:after="0"/>
              <w:rPr>
                <w:sz w:val="20"/>
                <w:szCs w:val="20"/>
                <w:color w:val="auto"/>
              </w:rPr>
            </w:pPr>
            <w:r>
              <w:rPr>
                <w:rFonts w:ascii="Arial" w:cs="Arial" w:eastAsia="Arial" w:hAnsi="Arial"/>
                <w:sz w:val="20"/>
                <w:szCs w:val="20"/>
                <w:color w:val="231F20"/>
              </w:rPr>
              <w:t>Accumulated other comprehensive</w:t>
            </w:r>
          </w:p>
        </w:tc>
        <w:tc>
          <w:tcPr>
            <w:tcW w:w="2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vMerge w:val="continue"/>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00" w:type="dxa"/>
            <w:vAlign w:val="bottom"/>
          </w:tcPr>
          <w:p>
            <w:pPr>
              <w:ind w:left="200"/>
              <w:spacing w:after="0"/>
              <w:rPr>
                <w:sz w:val="20"/>
                <w:szCs w:val="20"/>
                <w:color w:val="auto"/>
              </w:rPr>
            </w:pPr>
            <w:r>
              <w:rPr>
                <w:rFonts w:ascii="Arial" w:cs="Arial" w:eastAsia="Arial" w:hAnsi="Arial"/>
                <w:sz w:val="20"/>
                <w:szCs w:val="20"/>
                <w:color w:val="231F20"/>
              </w:rPr>
              <w:t>income, net of tax  . . . . . . . . . . . .</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spacing w:after="0"/>
              <w:rPr>
                <w:sz w:val="20"/>
                <w:szCs w:val="20"/>
                <w:color w:val="auto"/>
              </w:rPr>
            </w:pPr>
            <w:r>
              <w:rPr>
                <w:rFonts w:ascii="Arial" w:cs="Arial" w:eastAsia="Arial" w:hAnsi="Arial"/>
                <w:sz w:val="20"/>
                <w:szCs w:val="20"/>
                <w:color w:val="231F20"/>
              </w:rPr>
              <w:t>17</w:t>
            </w:r>
          </w:p>
        </w:tc>
        <w:tc>
          <w:tcPr>
            <w:tcW w:w="1200" w:type="dxa"/>
            <w:vAlign w:val="bottom"/>
            <w:gridSpan w:val="3"/>
          </w:tcPr>
          <w:p>
            <w:pPr>
              <w:ind w:left="120"/>
              <w:spacing w:after="0"/>
              <w:rPr>
                <w:sz w:val="20"/>
                <w:szCs w:val="20"/>
                <w:color w:val="auto"/>
              </w:rPr>
            </w:pPr>
            <w:r>
              <w:rPr>
                <w:rFonts w:ascii="Arial" w:cs="Arial" w:eastAsia="Arial" w:hAnsi="Arial"/>
                <w:sz w:val="20"/>
                <w:szCs w:val="20"/>
                <w:color w:val="231F20"/>
              </w:rPr>
              <w:t>$</w:t>
            </w:r>
          </w:p>
        </w:tc>
        <w:tc>
          <w:tcPr>
            <w:tcW w:w="380" w:type="dxa"/>
            <w:vAlign w:val="bottom"/>
          </w:tcPr>
          <w:p>
            <w:pPr>
              <w:jc w:val="right"/>
              <w:spacing w:after="0"/>
              <w:rPr>
                <w:sz w:val="20"/>
                <w:szCs w:val="20"/>
                <w:color w:val="auto"/>
              </w:rPr>
            </w:pPr>
            <w:r>
              <w:rPr>
                <w:rFonts w:ascii="Arial" w:cs="Arial" w:eastAsia="Arial" w:hAnsi="Arial"/>
                <w:sz w:val="20"/>
                <w:szCs w:val="20"/>
                <w:color w:val="231F20"/>
              </w:rPr>
              <w:t>70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2</w:t>
            </w:r>
          </w:p>
        </w:tc>
        <w:tc>
          <w:tcPr>
            <w:tcW w:w="1280" w:type="dxa"/>
            <w:vAlign w:val="bottom"/>
            <w:gridSpan w:val="3"/>
          </w:tcPr>
          <w:p>
            <w:pPr>
              <w:ind w:left="160"/>
              <w:spacing w:after="0"/>
              <w:rPr>
                <w:sz w:val="20"/>
                <w:szCs w:val="20"/>
                <w:color w:val="auto"/>
              </w:rPr>
            </w:pPr>
            <w:r>
              <w:rPr>
                <w:rFonts w:ascii="Arial" w:cs="Arial" w:eastAsia="Arial" w:hAnsi="Arial"/>
                <w:sz w:val="20"/>
                <w:szCs w:val="20"/>
                <w:color w:val="231F20"/>
              </w:rPr>
              <w:t>$</w:t>
            </w:r>
          </w:p>
        </w:tc>
        <w:tc>
          <w:tcPr>
            <w:tcW w:w="400" w:type="dxa"/>
            <w:vAlign w:val="bottom"/>
          </w:tcPr>
          <w:p>
            <w:pPr>
              <w:jc w:val="right"/>
              <w:spacing w:after="0"/>
              <w:rPr>
                <w:sz w:val="20"/>
                <w:szCs w:val="20"/>
                <w:color w:val="auto"/>
              </w:rPr>
            </w:pPr>
            <w:r>
              <w:rPr>
                <w:rFonts w:ascii="Arial" w:cs="Arial" w:eastAsia="Arial" w:hAnsi="Arial"/>
                <w:sz w:val="20"/>
                <w:szCs w:val="20"/>
                <w:color w:val="231F20"/>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33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135</w:t>
      </w:r>
    </w:p>
    <w:p>
      <w:pPr>
        <w:sectPr>
          <w:pgSz w:w="11880" w:h="15480" w:orient="portrait"/>
          <w:cols w:equalWidth="0" w:num="1">
            <w:col w:w="9120"/>
          </w:cols>
          <w:pgMar w:left="1380" w:top="1310" w:right="1380" w:bottom="660" w:gutter="0" w:footer="0" w:header="0"/>
          <w:type w:val="continuous"/>
        </w:sectPr>
      </w:pPr>
    </w:p>
    <w:bookmarkStart w:id="139" w:name="page140"/>
    <w:bookmarkEnd w:id="139"/>
    <w:p>
      <w:pPr>
        <w:ind w:right="40" w:firstLine="300"/>
        <w:spacing w:after="0" w:line="243" w:lineRule="auto"/>
        <w:rPr>
          <w:sz w:val="20"/>
          <w:szCs w:val="20"/>
          <w:color w:val="auto"/>
        </w:rPr>
      </w:pPr>
      <w:r>
        <w:rPr>
          <w:rFonts w:ascii="Arial" w:cs="Arial" w:eastAsia="Arial" w:hAnsi="Arial"/>
          <w:sz w:val="20"/>
          <w:szCs w:val="20"/>
          <w:color w:val="231F20"/>
        </w:rPr>
        <w:t>The following table shows the funding status of our pension and post-retirement benefit plans along with a reconciliation of our benefit obligations and changes in fair value of plan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40" w:type="dxa"/>
            <w:vAlign w:val="bottom"/>
          </w:tcPr>
          <w:p>
            <w:pPr>
              <w:spacing w:after="0"/>
              <w:rPr>
                <w:sz w:val="18"/>
                <w:szCs w:val="18"/>
                <w:color w:val="auto"/>
              </w:rPr>
            </w:pPr>
          </w:p>
        </w:tc>
        <w:tc>
          <w:tcPr>
            <w:tcW w:w="2780" w:type="dxa"/>
            <w:vAlign w:val="bottom"/>
            <w:gridSpan w:val="4"/>
          </w:tcPr>
          <w:p>
            <w:pPr>
              <w:jc w:val="right"/>
              <w:ind w:right="40"/>
              <w:spacing w:after="0"/>
              <w:rPr>
                <w:sz w:val="20"/>
                <w:szCs w:val="20"/>
                <w:color w:val="auto"/>
              </w:rPr>
            </w:pPr>
            <w:r>
              <w:rPr>
                <w:rFonts w:ascii="Arial" w:cs="Arial" w:eastAsia="Arial" w:hAnsi="Arial"/>
                <w:sz w:val="19"/>
                <w:szCs w:val="19"/>
                <w:b w:val="1"/>
                <w:bCs w:val="1"/>
                <w:color w:val="231F20"/>
              </w:rPr>
              <w:t>Year ended  December 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9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231F20"/>
              </w:rPr>
              <w:t>2025</w:t>
            </w:r>
          </w:p>
        </w:tc>
        <w:tc>
          <w:tcPr>
            <w:tcW w:w="4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231F20"/>
              </w:rPr>
              <w:t>2024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940" w:type="dxa"/>
            <w:vAlign w:val="bottom"/>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20" w:type="dxa"/>
            <w:vAlign w:val="bottom"/>
            <w:gridSpan w:val="3"/>
          </w:tcPr>
          <w:p>
            <w:pPr>
              <w:jc w:val="right"/>
              <w:ind w:right="800"/>
              <w:spacing w:after="0"/>
              <w:rPr>
                <w:sz w:val="20"/>
                <w:szCs w:val="20"/>
                <w:color w:val="auto"/>
              </w:rPr>
            </w:pPr>
            <w:r>
              <w:rPr>
                <w:rFonts w:ascii="Arial" w:cs="Arial" w:eastAsia="Arial" w:hAnsi="Arial"/>
                <w:sz w:val="16"/>
                <w:szCs w:val="16"/>
                <w:color w:val="231F20"/>
              </w:rPr>
              <w:t>(in millions)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40" w:type="dxa"/>
            <w:vAlign w:val="bottom"/>
          </w:tcPr>
          <w:p>
            <w:pPr>
              <w:spacing w:after="0"/>
              <w:rPr>
                <w:sz w:val="20"/>
                <w:szCs w:val="20"/>
                <w:color w:val="auto"/>
              </w:rPr>
            </w:pPr>
            <w:r>
              <w:rPr>
                <w:rFonts w:ascii="Arial" w:cs="Arial" w:eastAsia="Arial" w:hAnsi="Arial"/>
                <w:sz w:val="19"/>
                <w:szCs w:val="19"/>
                <w:b w:val="1"/>
                <w:bCs w:val="1"/>
                <w:color w:val="231F20"/>
              </w:rPr>
              <w:t>Pension</w:t>
            </w: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40" w:type="dxa"/>
            <w:vAlign w:val="bottom"/>
          </w:tcPr>
          <w:p>
            <w:pPr>
              <w:spacing w:after="0"/>
              <w:rPr>
                <w:sz w:val="20"/>
                <w:szCs w:val="20"/>
                <w:color w:val="auto"/>
              </w:rPr>
            </w:pPr>
            <w:r>
              <w:rPr>
                <w:rFonts w:ascii="Arial" w:cs="Arial" w:eastAsia="Arial" w:hAnsi="Arial"/>
                <w:sz w:val="19"/>
                <w:szCs w:val="19"/>
                <w:color w:val="231F20"/>
              </w:rPr>
              <w:t>Changes in the benefit obligation</w:t>
            </w: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40" w:type="dxa"/>
            <w:vAlign w:val="bottom"/>
          </w:tcPr>
          <w:p>
            <w:pPr>
              <w:spacing w:after="0"/>
              <w:rPr>
                <w:sz w:val="20"/>
                <w:szCs w:val="20"/>
                <w:color w:val="auto"/>
              </w:rPr>
            </w:pPr>
            <w:r>
              <w:rPr>
                <w:rFonts w:ascii="Arial" w:cs="Arial" w:eastAsia="Arial" w:hAnsi="Arial"/>
                <w:sz w:val="19"/>
                <w:szCs w:val="19"/>
                <w:color w:val="231F20"/>
              </w:rPr>
              <w:t>Benefit obligation - beginning of year . . . . . . . . . . . . . . . . . . . . . . . . . .</w:t>
            </w:r>
          </w:p>
        </w:tc>
        <w:tc>
          <w:tcPr>
            <w:tcW w:w="1060" w:type="dxa"/>
            <w:vAlign w:val="bottom"/>
          </w:tcPr>
          <w:p>
            <w:pPr>
              <w:jc w:val="right"/>
              <w:ind w:right="865"/>
              <w:spacing w:after="0"/>
              <w:rPr>
                <w:sz w:val="20"/>
                <w:szCs w:val="20"/>
                <w:color w:val="auto"/>
              </w:rPr>
            </w:pPr>
            <w:r>
              <w:rPr>
                <w:rFonts w:ascii="Arial" w:cs="Arial" w:eastAsia="Arial" w:hAnsi="Arial"/>
                <w:sz w:val="19"/>
                <w:szCs w:val="19"/>
                <w:color w:val="231F20"/>
                <w:w w:val="75"/>
              </w:rPr>
              <w:t>$</w:t>
            </w:r>
          </w:p>
        </w:tc>
        <w:tc>
          <w:tcPr>
            <w:tcW w:w="480" w:type="dxa"/>
            <w:vAlign w:val="bottom"/>
          </w:tcPr>
          <w:p>
            <w:pPr>
              <w:jc w:val="right"/>
              <w:spacing w:after="0"/>
              <w:rPr>
                <w:sz w:val="20"/>
                <w:szCs w:val="20"/>
                <w:color w:val="auto"/>
              </w:rPr>
            </w:pPr>
            <w:r>
              <w:rPr>
                <w:rFonts w:ascii="Arial" w:cs="Arial" w:eastAsia="Arial" w:hAnsi="Arial"/>
                <w:sz w:val="19"/>
                <w:szCs w:val="19"/>
                <w:color w:val="231F20"/>
              </w:rPr>
              <w:t>272</w:t>
            </w:r>
          </w:p>
        </w:tc>
        <w:tc>
          <w:tcPr>
            <w:tcW w:w="1240" w:type="dxa"/>
            <w:vAlign w:val="bottom"/>
            <w:gridSpan w:val="2"/>
          </w:tcPr>
          <w:p>
            <w:pPr>
              <w:jc w:val="right"/>
              <w:ind w:right="940"/>
              <w:spacing w:after="0"/>
              <w:rPr>
                <w:sz w:val="20"/>
                <w:szCs w:val="20"/>
                <w:color w:val="auto"/>
              </w:rPr>
            </w:pPr>
            <w:r>
              <w:rPr>
                <w:rFonts w:ascii="Arial" w:cs="Arial" w:eastAsia="Arial" w:hAnsi="Arial"/>
                <w:sz w:val="19"/>
                <w:szCs w:val="19"/>
                <w:color w:val="231F20"/>
              </w:rPr>
              <w:t>$</w:t>
            </w:r>
          </w:p>
        </w:tc>
        <w:tc>
          <w:tcPr>
            <w:tcW w:w="400" w:type="dxa"/>
            <w:vAlign w:val="bottom"/>
          </w:tcPr>
          <w:p>
            <w:pPr>
              <w:jc w:val="right"/>
              <w:spacing w:after="0"/>
              <w:rPr>
                <w:sz w:val="20"/>
                <w:szCs w:val="20"/>
                <w:color w:val="auto"/>
              </w:rPr>
            </w:pPr>
            <w:r>
              <w:rPr>
                <w:rFonts w:ascii="Arial" w:cs="Arial" w:eastAsia="Arial" w:hAnsi="Arial"/>
                <w:sz w:val="19"/>
                <w:szCs w:val="19"/>
                <w:color w:val="231F20"/>
              </w:rPr>
              <w:t>34</w:t>
            </w:r>
          </w:p>
        </w:tc>
        <w:tc>
          <w:tcPr>
            <w:tcW w:w="0" w:type="dxa"/>
            <w:vAlign w:val="bottom"/>
          </w:tcPr>
          <w:p>
            <w:pPr>
              <w:spacing w:after="0"/>
              <w:rPr>
                <w:sz w:val="1"/>
                <w:szCs w:val="1"/>
                <w:color w:val="auto"/>
              </w:rPr>
            </w:pPr>
          </w:p>
        </w:tc>
      </w:tr>
      <w:tr>
        <w:trPr>
          <w:trHeight w:val="225"/>
        </w:trPr>
        <w:tc>
          <w:tcPr>
            <w:tcW w:w="5940" w:type="dxa"/>
            <w:vAlign w:val="bottom"/>
          </w:tcPr>
          <w:p>
            <w:pPr>
              <w:jc w:val="right"/>
              <w:ind w:right="125"/>
              <w:spacing w:after="0"/>
              <w:rPr>
                <w:sz w:val="20"/>
                <w:szCs w:val="20"/>
                <w:color w:val="auto"/>
              </w:rPr>
            </w:pPr>
            <w:r>
              <w:rPr>
                <w:rFonts w:ascii="Arial" w:cs="Arial" w:eastAsia="Arial" w:hAnsi="Arial"/>
                <w:sz w:val="19"/>
                <w:szCs w:val="19"/>
                <w:color w:val="231F20"/>
              </w:rPr>
              <w:t>Liabilities assumed in the Aera Merger . . . . . . . . . . . . . . . . . . . . . . .</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231F20"/>
              </w:rPr>
              <w:t>—</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231F20"/>
              </w:rPr>
              <w:t>249</w:t>
            </w:r>
          </w:p>
        </w:tc>
        <w:tc>
          <w:tcPr>
            <w:tcW w:w="0" w:type="dxa"/>
            <w:vAlign w:val="bottom"/>
          </w:tcPr>
          <w:p>
            <w:pPr>
              <w:spacing w:after="0"/>
              <w:rPr>
                <w:sz w:val="1"/>
                <w:szCs w:val="1"/>
                <w:color w:val="auto"/>
              </w:rPr>
            </w:pPr>
          </w:p>
        </w:tc>
      </w:tr>
      <w:tr>
        <w:trPr>
          <w:trHeight w:val="225"/>
        </w:trPr>
        <w:tc>
          <w:tcPr>
            <w:tcW w:w="5940" w:type="dxa"/>
            <w:vAlign w:val="bottom"/>
          </w:tcPr>
          <w:p>
            <w:pPr>
              <w:jc w:val="right"/>
              <w:ind w:right="125"/>
              <w:spacing w:after="0"/>
              <w:rPr>
                <w:sz w:val="20"/>
                <w:szCs w:val="20"/>
                <w:color w:val="auto"/>
              </w:rPr>
            </w:pPr>
            <w:r>
              <w:rPr>
                <w:rFonts w:ascii="Arial" w:cs="Arial" w:eastAsia="Arial" w:hAnsi="Arial"/>
                <w:sz w:val="19"/>
                <w:szCs w:val="19"/>
                <w:color w:val="231F20"/>
              </w:rPr>
              <w:t>Service cost - benefits earned during the period . . . . . . . . . . . . . . .</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231F20"/>
              </w:rPr>
              <w:t>1</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231F20"/>
              </w:rPr>
              <w:t>3</w:t>
            </w:r>
          </w:p>
        </w:tc>
        <w:tc>
          <w:tcPr>
            <w:tcW w:w="0" w:type="dxa"/>
            <w:vAlign w:val="bottom"/>
          </w:tcPr>
          <w:p>
            <w:pPr>
              <w:spacing w:after="0"/>
              <w:rPr>
                <w:sz w:val="1"/>
                <w:szCs w:val="1"/>
                <w:color w:val="auto"/>
              </w:rPr>
            </w:pPr>
          </w:p>
        </w:tc>
      </w:tr>
      <w:tr>
        <w:trPr>
          <w:trHeight w:val="225"/>
        </w:trPr>
        <w:tc>
          <w:tcPr>
            <w:tcW w:w="5940" w:type="dxa"/>
            <w:vAlign w:val="bottom"/>
          </w:tcPr>
          <w:p>
            <w:pPr>
              <w:jc w:val="right"/>
              <w:ind w:right="125"/>
              <w:spacing w:after="0"/>
              <w:rPr>
                <w:sz w:val="20"/>
                <w:szCs w:val="20"/>
                <w:color w:val="auto"/>
              </w:rPr>
            </w:pPr>
            <w:r>
              <w:rPr>
                <w:rFonts w:ascii="Arial" w:cs="Arial" w:eastAsia="Arial" w:hAnsi="Arial"/>
                <w:sz w:val="19"/>
                <w:szCs w:val="19"/>
                <w:color w:val="231F20"/>
              </w:rPr>
              <w:t>Interest cost on projected benefit obligation . . . . . . . . . . . . . . . . . . .</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231F20"/>
              </w:rPr>
              <w:t>14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231F20"/>
              </w:rPr>
              <w:t>8</w:t>
            </w:r>
          </w:p>
        </w:tc>
        <w:tc>
          <w:tcPr>
            <w:tcW w:w="0" w:type="dxa"/>
            <w:vAlign w:val="bottom"/>
          </w:tcPr>
          <w:p>
            <w:pPr>
              <w:spacing w:after="0"/>
              <w:rPr>
                <w:sz w:val="1"/>
                <w:szCs w:val="1"/>
                <w:color w:val="auto"/>
              </w:rPr>
            </w:pPr>
          </w:p>
        </w:tc>
      </w:tr>
      <w:tr>
        <w:trPr>
          <w:trHeight w:val="238"/>
        </w:trPr>
        <w:tc>
          <w:tcPr>
            <w:tcW w:w="5940" w:type="dxa"/>
            <w:vAlign w:val="bottom"/>
          </w:tcPr>
          <w:p>
            <w:pPr>
              <w:jc w:val="right"/>
              <w:ind w:right="125"/>
              <w:spacing w:after="0" w:line="237" w:lineRule="exact"/>
              <w:rPr>
                <w:sz w:val="20"/>
                <w:szCs w:val="20"/>
                <w:color w:val="auto"/>
              </w:rPr>
            </w:pPr>
            <w:r>
              <w:rPr>
                <w:rFonts w:ascii="Arial" w:cs="Arial" w:eastAsia="Arial" w:hAnsi="Arial"/>
                <w:sz w:val="19"/>
                <w:szCs w:val="19"/>
                <w:color w:val="231F20"/>
                <w:w w:val="98"/>
              </w:rPr>
              <w:t xml:space="preserve">Actuarial loss (gain) </w:t>
            </w:r>
            <w:r>
              <w:rPr>
                <w:rFonts w:ascii="Arial" w:cs="Arial" w:eastAsia="Arial" w:hAnsi="Arial"/>
                <w:sz w:val="24"/>
                <w:szCs w:val="24"/>
                <w:color w:val="231F20"/>
                <w:w w:val="98"/>
                <w:vertAlign w:val="superscript"/>
              </w:rPr>
              <w:t>(a)</w:t>
            </w:r>
            <w:r>
              <w:rPr>
                <w:rFonts w:ascii="Arial" w:cs="Arial" w:eastAsia="Arial" w:hAnsi="Arial"/>
                <w:sz w:val="19"/>
                <w:szCs w:val="19"/>
                <w:color w:val="231F20"/>
                <w:w w:val="98"/>
              </w:rPr>
              <w:t xml:space="preserve">  . . . . . . . . . . . . . . . . . . . . . . . . . . . . . . . . . . . .</w:t>
            </w: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231F20"/>
              </w:rPr>
              <w:t>6</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231F20"/>
              </w:rPr>
              <w:t>(2)</w:t>
            </w:r>
          </w:p>
        </w:tc>
        <w:tc>
          <w:tcPr>
            <w:tcW w:w="0" w:type="dxa"/>
            <w:vAlign w:val="bottom"/>
          </w:tcPr>
          <w:p>
            <w:pPr>
              <w:spacing w:after="0"/>
              <w:rPr>
                <w:sz w:val="1"/>
                <w:szCs w:val="1"/>
                <w:color w:val="auto"/>
              </w:rPr>
            </w:pPr>
          </w:p>
        </w:tc>
      </w:tr>
      <w:tr>
        <w:trPr>
          <w:trHeight w:val="212"/>
        </w:trPr>
        <w:tc>
          <w:tcPr>
            <w:tcW w:w="5940" w:type="dxa"/>
            <w:vAlign w:val="bottom"/>
          </w:tcPr>
          <w:p>
            <w:pPr>
              <w:jc w:val="right"/>
              <w:ind w:right="125"/>
              <w:spacing w:after="0" w:line="212" w:lineRule="exact"/>
              <w:rPr>
                <w:sz w:val="20"/>
                <w:szCs w:val="20"/>
                <w:color w:val="auto"/>
              </w:rPr>
            </w:pPr>
            <w:r>
              <w:rPr>
                <w:rFonts w:ascii="Arial" w:cs="Arial" w:eastAsia="Arial" w:hAnsi="Arial"/>
                <w:sz w:val="19"/>
                <w:szCs w:val="19"/>
                <w:color w:val="231F20"/>
                <w:w w:val="99"/>
              </w:rPr>
              <w:t>Benefits paid . . . . . . . . . . . . . . . . . . . . . . . . . . . . . . . . . . . . . . . . . . . .</w:t>
            </w:r>
          </w:p>
        </w:tc>
        <w:tc>
          <w:tcPr>
            <w:tcW w:w="1060" w:type="dxa"/>
            <w:vAlign w:val="bottom"/>
          </w:tcPr>
          <w:p>
            <w:pPr>
              <w:spacing w:after="0"/>
              <w:rPr>
                <w:sz w:val="18"/>
                <w:szCs w:val="18"/>
                <w:color w:val="auto"/>
              </w:rPr>
            </w:pPr>
          </w:p>
        </w:tc>
        <w:tc>
          <w:tcPr>
            <w:tcW w:w="480" w:type="dxa"/>
            <w:vAlign w:val="bottom"/>
          </w:tcPr>
          <w:p>
            <w:pPr>
              <w:jc w:val="right"/>
              <w:spacing w:after="0" w:line="212" w:lineRule="exact"/>
              <w:rPr>
                <w:sz w:val="20"/>
                <w:szCs w:val="20"/>
                <w:color w:val="auto"/>
              </w:rPr>
            </w:pPr>
            <w:r>
              <w:rPr>
                <w:rFonts w:ascii="Arial" w:cs="Arial" w:eastAsia="Arial" w:hAnsi="Arial"/>
                <w:sz w:val="19"/>
                <w:szCs w:val="19"/>
                <w:color w:val="231F20"/>
              </w:rPr>
              <w:t>(39)</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line="212" w:lineRule="exact"/>
              <w:rPr>
                <w:sz w:val="20"/>
                <w:szCs w:val="20"/>
                <w:color w:val="auto"/>
              </w:rPr>
            </w:pPr>
            <w:r>
              <w:rPr>
                <w:rFonts w:ascii="Arial" w:cs="Arial" w:eastAsia="Arial" w:hAnsi="Arial"/>
                <w:sz w:val="19"/>
                <w:szCs w:val="19"/>
                <w:color w:val="231F20"/>
              </w:rPr>
              <w:t>(20)</w:t>
            </w:r>
          </w:p>
        </w:tc>
        <w:tc>
          <w:tcPr>
            <w:tcW w:w="0" w:type="dxa"/>
            <w:vAlign w:val="bottom"/>
          </w:tcPr>
          <w:p>
            <w:pPr>
              <w:spacing w:after="0"/>
              <w:rPr>
                <w:sz w:val="1"/>
                <w:szCs w:val="1"/>
                <w:color w:val="auto"/>
              </w:rPr>
            </w:pPr>
          </w:p>
        </w:tc>
      </w:tr>
      <w:tr>
        <w:trPr>
          <w:trHeight w:val="32"/>
        </w:trPr>
        <w:tc>
          <w:tcPr>
            <w:tcW w:w="5940" w:type="dxa"/>
            <w:vAlign w:val="bottom"/>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940" w:type="dxa"/>
            <w:vAlign w:val="bottom"/>
          </w:tcPr>
          <w:p>
            <w:pPr>
              <w:jc w:val="right"/>
              <w:ind w:right="125"/>
              <w:spacing w:after="0"/>
              <w:rPr>
                <w:sz w:val="20"/>
                <w:szCs w:val="20"/>
                <w:color w:val="auto"/>
              </w:rPr>
            </w:pPr>
            <w:r>
              <w:rPr>
                <w:rFonts w:ascii="Arial" w:cs="Arial" w:eastAsia="Arial" w:hAnsi="Arial"/>
                <w:sz w:val="19"/>
                <w:szCs w:val="19"/>
                <w:color w:val="231F20"/>
                <w:w w:val="97"/>
              </w:rPr>
              <w:t>Benefit obligation - end of year . . . . . . . . . . . . . . . . . . . . . . . . . . . . . . .</w:t>
            </w:r>
          </w:p>
        </w:tc>
        <w:tc>
          <w:tcPr>
            <w:tcW w:w="1060" w:type="dxa"/>
            <w:vAlign w:val="bottom"/>
          </w:tcPr>
          <w:p>
            <w:pPr>
              <w:jc w:val="right"/>
              <w:ind w:right="865"/>
              <w:spacing w:after="0"/>
              <w:rPr>
                <w:sz w:val="20"/>
                <w:szCs w:val="20"/>
                <w:color w:val="auto"/>
              </w:rPr>
            </w:pPr>
            <w:r>
              <w:rPr>
                <w:rFonts w:ascii="Arial" w:cs="Arial" w:eastAsia="Arial" w:hAnsi="Arial"/>
                <w:sz w:val="19"/>
                <w:szCs w:val="19"/>
                <w:color w:val="231F20"/>
                <w:w w:val="75"/>
              </w:rPr>
              <w:t>$</w:t>
            </w:r>
          </w:p>
        </w:tc>
        <w:tc>
          <w:tcPr>
            <w:tcW w:w="480" w:type="dxa"/>
            <w:vAlign w:val="bottom"/>
          </w:tcPr>
          <w:p>
            <w:pPr>
              <w:jc w:val="right"/>
              <w:spacing w:after="0"/>
              <w:rPr>
                <w:sz w:val="20"/>
                <w:szCs w:val="20"/>
                <w:color w:val="auto"/>
              </w:rPr>
            </w:pPr>
            <w:r>
              <w:rPr>
                <w:rFonts w:ascii="Arial" w:cs="Arial" w:eastAsia="Arial" w:hAnsi="Arial"/>
                <w:sz w:val="19"/>
                <w:szCs w:val="19"/>
                <w:color w:val="231F20"/>
              </w:rPr>
              <w:t>254</w:t>
            </w:r>
          </w:p>
        </w:tc>
        <w:tc>
          <w:tcPr>
            <w:tcW w:w="1240" w:type="dxa"/>
            <w:vAlign w:val="bottom"/>
            <w:gridSpan w:val="2"/>
          </w:tcPr>
          <w:p>
            <w:pPr>
              <w:jc w:val="right"/>
              <w:ind w:right="940"/>
              <w:spacing w:after="0"/>
              <w:rPr>
                <w:sz w:val="20"/>
                <w:szCs w:val="20"/>
                <w:color w:val="auto"/>
              </w:rPr>
            </w:pPr>
            <w:r>
              <w:rPr>
                <w:rFonts w:ascii="Arial" w:cs="Arial" w:eastAsia="Arial" w:hAnsi="Arial"/>
                <w:sz w:val="19"/>
                <w:szCs w:val="19"/>
                <w:color w:val="231F20"/>
              </w:rPr>
              <w:t>$</w:t>
            </w:r>
          </w:p>
        </w:tc>
        <w:tc>
          <w:tcPr>
            <w:tcW w:w="400" w:type="dxa"/>
            <w:vAlign w:val="bottom"/>
          </w:tcPr>
          <w:p>
            <w:pPr>
              <w:jc w:val="right"/>
              <w:spacing w:after="0"/>
              <w:rPr>
                <w:sz w:val="20"/>
                <w:szCs w:val="20"/>
                <w:color w:val="auto"/>
              </w:rPr>
            </w:pPr>
            <w:r>
              <w:rPr>
                <w:rFonts w:ascii="Arial" w:cs="Arial" w:eastAsia="Arial" w:hAnsi="Arial"/>
                <w:sz w:val="19"/>
                <w:szCs w:val="19"/>
                <w:color w:val="231F20"/>
              </w:rPr>
              <w:t>272</w:t>
            </w:r>
          </w:p>
        </w:tc>
        <w:tc>
          <w:tcPr>
            <w:tcW w:w="0" w:type="dxa"/>
            <w:vAlign w:val="bottom"/>
          </w:tcPr>
          <w:p>
            <w:pPr>
              <w:spacing w:after="0"/>
              <w:rPr>
                <w:sz w:val="1"/>
                <w:szCs w:val="1"/>
                <w:color w:val="auto"/>
              </w:rPr>
            </w:pPr>
          </w:p>
        </w:tc>
      </w:tr>
      <w:tr>
        <w:trPr>
          <w:trHeight w:val="32"/>
        </w:trPr>
        <w:tc>
          <w:tcPr>
            <w:tcW w:w="5940" w:type="dxa"/>
            <w:vAlign w:val="bottom"/>
            <w:vMerge w:val="restart"/>
          </w:tcPr>
          <w:p>
            <w:pPr>
              <w:spacing w:after="0"/>
              <w:rPr>
                <w:sz w:val="20"/>
                <w:szCs w:val="20"/>
                <w:color w:val="auto"/>
              </w:rPr>
            </w:pPr>
            <w:r>
              <w:rPr>
                <w:rFonts w:ascii="Arial" w:cs="Arial" w:eastAsia="Arial" w:hAnsi="Arial"/>
                <w:sz w:val="19"/>
                <w:szCs w:val="19"/>
                <w:color w:val="231F20"/>
              </w:rPr>
              <w:t>Changes in plan assets</w:t>
            </w:r>
          </w:p>
        </w:tc>
        <w:tc>
          <w:tcPr>
            <w:tcW w:w="106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468"/>
        </w:trPr>
        <w:tc>
          <w:tcPr>
            <w:tcW w:w="59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940" w:type="dxa"/>
            <w:vAlign w:val="bottom"/>
          </w:tcPr>
          <w:p>
            <w:pPr>
              <w:jc w:val="right"/>
              <w:ind w:right="125"/>
              <w:spacing w:after="0"/>
              <w:rPr>
                <w:sz w:val="20"/>
                <w:szCs w:val="20"/>
                <w:color w:val="auto"/>
              </w:rPr>
            </w:pPr>
            <w:r>
              <w:rPr>
                <w:rFonts w:ascii="Arial" w:cs="Arial" w:eastAsia="Arial" w:hAnsi="Arial"/>
                <w:sz w:val="19"/>
                <w:szCs w:val="19"/>
                <w:color w:val="231F20"/>
                <w:w w:val="98"/>
              </w:rPr>
              <w:t>Fair value of plan assets - beginning of year . . . . . . . . . . . . . . . . . . . .</w:t>
            </w:r>
          </w:p>
        </w:tc>
        <w:tc>
          <w:tcPr>
            <w:tcW w:w="1060" w:type="dxa"/>
            <w:vAlign w:val="bottom"/>
          </w:tcPr>
          <w:p>
            <w:pPr>
              <w:jc w:val="right"/>
              <w:ind w:right="865"/>
              <w:spacing w:after="0"/>
              <w:rPr>
                <w:sz w:val="20"/>
                <w:szCs w:val="20"/>
                <w:color w:val="auto"/>
              </w:rPr>
            </w:pPr>
            <w:r>
              <w:rPr>
                <w:rFonts w:ascii="Arial" w:cs="Arial" w:eastAsia="Arial" w:hAnsi="Arial"/>
                <w:sz w:val="19"/>
                <w:szCs w:val="19"/>
                <w:color w:val="231F20"/>
                <w:w w:val="75"/>
              </w:rPr>
              <w:t>$</w:t>
            </w:r>
          </w:p>
        </w:tc>
        <w:tc>
          <w:tcPr>
            <w:tcW w:w="480" w:type="dxa"/>
            <w:vAlign w:val="bottom"/>
          </w:tcPr>
          <w:p>
            <w:pPr>
              <w:jc w:val="right"/>
              <w:spacing w:after="0"/>
              <w:rPr>
                <w:sz w:val="20"/>
                <w:szCs w:val="20"/>
                <w:color w:val="auto"/>
              </w:rPr>
            </w:pPr>
            <w:r>
              <w:rPr>
                <w:rFonts w:ascii="Arial" w:cs="Arial" w:eastAsia="Arial" w:hAnsi="Arial"/>
                <w:sz w:val="19"/>
                <w:szCs w:val="19"/>
                <w:color w:val="231F20"/>
              </w:rPr>
              <w:t>332</w:t>
            </w:r>
          </w:p>
        </w:tc>
        <w:tc>
          <w:tcPr>
            <w:tcW w:w="1240" w:type="dxa"/>
            <w:vAlign w:val="bottom"/>
            <w:gridSpan w:val="2"/>
          </w:tcPr>
          <w:p>
            <w:pPr>
              <w:jc w:val="right"/>
              <w:ind w:right="940"/>
              <w:spacing w:after="0"/>
              <w:rPr>
                <w:sz w:val="20"/>
                <w:szCs w:val="20"/>
                <w:color w:val="auto"/>
              </w:rPr>
            </w:pPr>
            <w:r>
              <w:rPr>
                <w:rFonts w:ascii="Arial" w:cs="Arial" w:eastAsia="Arial" w:hAnsi="Arial"/>
                <w:sz w:val="19"/>
                <w:szCs w:val="19"/>
                <w:color w:val="231F20"/>
              </w:rPr>
              <w:t>$</w:t>
            </w:r>
          </w:p>
        </w:tc>
        <w:tc>
          <w:tcPr>
            <w:tcW w:w="400" w:type="dxa"/>
            <w:vAlign w:val="bottom"/>
          </w:tcPr>
          <w:p>
            <w:pPr>
              <w:jc w:val="right"/>
              <w:spacing w:after="0"/>
              <w:rPr>
                <w:sz w:val="20"/>
                <w:szCs w:val="20"/>
                <w:color w:val="auto"/>
              </w:rPr>
            </w:pPr>
            <w:r>
              <w:rPr>
                <w:rFonts w:ascii="Arial" w:cs="Arial" w:eastAsia="Arial" w:hAnsi="Arial"/>
                <w:sz w:val="19"/>
                <w:szCs w:val="19"/>
                <w:color w:val="231F20"/>
              </w:rPr>
              <w:t>34</w:t>
            </w:r>
          </w:p>
        </w:tc>
        <w:tc>
          <w:tcPr>
            <w:tcW w:w="0" w:type="dxa"/>
            <w:vAlign w:val="bottom"/>
          </w:tcPr>
          <w:p>
            <w:pPr>
              <w:spacing w:after="0"/>
              <w:rPr>
                <w:sz w:val="1"/>
                <w:szCs w:val="1"/>
                <w:color w:val="auto"/>
              </w:rPr>
            </w:pPr>
          </w:p>
        </w:tc>
      </w:tr>
      <w:tr>
        <w:trPr>
          <w:trHeight w:val="225"/>
        </w:trPr>
        <w:tc>
          <w:tcPr>
            <w:tcW w:w="5940" w:type="dxa"/>
            <w:vAlign w:val="bottom"/>
          </w:tcPr>
          <w:p>
            <w:pPr>
              <w:jc w:val="right"/>
              <w:ind w:right="125"/>
              <w:spacing w:after="0"/>
              <w:rPr>
                <w:sz w:val="20"/>
                <w:szCs w:val="20"/>
                <w:color w:val="auto"/>
              </w:rPr>
            </w:pPr>
            <w:r>
              <w:rPr>
                <w:rFonts w:ascii="Arial" w:cs="Arial" w:eastAsia="Arial" w:hAnsi="Arial"/>
                <w:sz w:val="19"/>
                <w:szCs w:val="19"/>
                <w:color w:val="231F20"/>
              </w:rPr>
              <w:t>Additions due to the Aera Merger . . . . . . . . . . . . . . . . . . . . . . . . . . .</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231F20"/>
              </w:rPr>
              <w:t>—</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231F20"/>
              </w:rPr>
              <w:t>305</w:t>
            </w:r>
          </w:p>
        </w:tc>
        <w:tc>
          <w:tcPr>
            <w:tcW w:w="0" w:type="dxa"/>
            <w:vAlign w:val="bottom"/>
          </w:tcPr>
          <w:p>
            <w:pPr>
              <w:spacing w:after="0"/>
              <w:rPr>
                <w:sz w:val="1"/>
                <w:szCs w:val="1"/>
                <w:color w:val="auto"/>
              </w:rPr>
            </w:pPr>
          </w:p>
        </w:tc>
      </w:tr>
      <w:tr>
        <w:trPr>
          <w:trHeight w:val="225"/>
        </w:trPr>
        <w:tc>
          <w:tcPr>
            <w:tcW w:w="5940" w:type="dxa"/>
            <w:vAlign w:val="bottom"/>
          </w:tcPr>
          <w:p>
            <w:pPr>
              <w:jc w:val="right"/>
              <w:ind w:right="125"/>
              <w:spacing w:after="0"/>
              <w:rPr>
                <w:sz w:val="20"/>
                <w:szCs w:val="20"/>
                <w:color w:val="auto"/>
              </w:rPr>
            </w:pPr>
            <w:r>
              <w:rPr>
                <w:rFonts w:ascii="Arial" w:cs="Arial" w:eastAsia="Arial" w:hAnsi="Arial"/>
                <w:sz w:val="19"/>
                <w:szCs w:val="19"/>
                <w:color w:val="231F20"/>
              </w:rPr>
              <w:t>Actual return on plan assets  . . . . . . . . . . . . . . . . . . . . . . . . . . . . . . .</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231F20"/>
              </w:rPr>
              <w:t>51</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231F20"/>
              </w:rPr>
              <w:t>10</w:t>
            </w:r>
          </w:p>
        </w:tc>
        <w:tc>
          <w:tcPr>
            <w:tcW w:w="0" w:type="dxa"/>
            <w:vAlign w:val="bottom"/>
          </w:tcPr>
          <w:p>
            <w:pPr>
              <w:spacing w:after="0"/>
              <w:rPr>
                <w:sz w:val="1"/>
                <w:szCs w:val="1"/>
                <w:color w:val="auto"/>
              </w:rPr>
            </w:pPr>
          </w:p>
        </w:tc>
      </w:tr>
      <w:tr>
        <w:trPr>
          <w:trHeight w:val="225"/>
        </w:trPr>
        <w:tc>
          <w:tcPr>
            <w:tcW w:w="5940" w:type="dxa"/>
            <w:vAlign w:val="bottom"/>
          </w:tcPr>
          <w:p>
            <w:pPr>
              <w:jc w:val="right"/>
              <w:ind w:right="125"/>
              <w:spacing w:after="0"/>
              <w:rPr>
                <w:sz w:val="20"/>
                <w:szCs w:val="20"/>
                <w:color w:val="auto"/>
              </w:rPr>
            </w:pPr>
            <w:r>
              <w:rPr>
                <w:rFonts w:ascii="Arial" w:cs="Arial" w:eastAsia="Arial" w:hAnsi="Arial"/>
                <w:sz w:val="19"/>
                <w:szCs w:val="19"/>
                <w:color w:val="231F20"/>
                <w:w w:val="99"/>
              </w:rPr>
              <w:t>Employer contributions . . . . . . . . . . . . . . . . . . . . . . . . . . . . . . . . . . . .</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231F20"/>
              </w:rPr>
              <w:t>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231F20"/>
              </w:rPr>
              <w:t>3</w:t>
            </w:r>
          </w:p>
        </w:tc>
        <w:tc>
          <w:tcPr>
            <w:tcW w:w="0" w:type="dxa"/>
            <w:vAlign w:val="bottom"/>
          </w:tcPr>
          <w:p>
            <w:pPr>
              <w:spacing w:after="0"/>
              <w:rPr>
                <w:sz w:val="1"/>
                <w:szCs w:val="1"/>
                <w:color w:val="auto"/>
              </w:rPr>
            </w:pPr>
          </w:p>
        </w:tc>
      </w:tr>
      <w:tr>
        <w:trPr>
          <w:trHeight w:val="225"/>
        </w:trPr>
        <w:tc>
          <w:tcPr>
            <w:tcW w:w="5940" w:type="dxa"/>
            <w:vAlign w:val="bottom"/>
          </w:tcPr>
          <w:p>
            <w:pPr>
              <w:jc w:val="right"/>
              <w:ind w:right="125"/>
              <w:spacing w:after="0"/>
              <w:rPr>
                <w:sz w:val="20"/>
                <w:szCs w:val="20"/>
                <w:color w:val="auto"/>
              </w:rPr>
            </w:pPr>
            <w:r>
              <w:rPr>
                <w:rFonts w:ascii="Arial" w:cs="Arial" w:eastAsia="Arial" w:hAnsi="Arial"/>
                <w:sz w:val="19"/>
                <w:szCs w:val="19"/>
                <w:color w:val="231F20"/>
                <w:w w:val="99"/>
              </w:rPr>
              <w:t>Benefits paid . . . . . . . . . . . . . . . . . . . . . . . . . . . . . . . . . . . . . . . . . . . .</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231F20"/>
              </w:rPr>
              <w:t>(39)</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231F20"/>
              </w:rPr>
              <w:t>(20)</w:t>
            </w:r>
          </w:p>
        </w:tc>
        <w:tc>
          <w:tcPr>
            <w:tcW w:w="0" w:type="dxa"/>
            <w:vAlign w:val="bottom"/>
          </w:tcPr>
          <w:p>
            <w:pPr>
              <w:spacing w:after="0"/>
              <w:rPr>
                <w:sz w:val="1"/>
                <w:szCs w:val="1"/>
                <w:color w:val="auto"/>
              </w:rPr>
            </w:pPr>
          </w:p>
        </w:tc>
      </w:tr>
      <w:tr>
        <w:trPr>
          <w:trHeight w:val="32"/>
        </w:trPr>
        <w:tc>
          <w:tcPr>
            <w:tcW w:w="5940" w:type="dxa"/>
            <w:vAlign w:val="bottom"/>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940" w:type="dxa"/>
            <w:vAlign w:val="bottom"/>
          </w:tcPr>
          <w:p>
            <w:pPr>
              <w:jc w:val="right"/>
              <w:ind w:right="125"/>
              <w:spacing w:after="0"/>
              <w:rPr>
                <w:sz w:val="20"/>
                <w:szCs w:val="20"/>
                <w:color w:val="auto"/>
              </w:rPr>
            </w:pPr>
            <w:r>
              <w:rPr>
                <w:rFonts w:ascii="Arial" w:cs="Arial" w:eastAsia="Arial" w:hAnsi="Arial"/>
                <w:sz w:val="19"/>
                <w:szCs w:val="19"/>
                <w:color w:val="231F20"/>
                <w:w w:val="97"/>
              </w:rPr>
              <w:t>Fair value of plan assets - end of year . . . . . . . . . . . . . . . . . . . . . . . . .</w:t>
            </w:r>
          </w:p>
        </w:tc>
        <w:tc>
          <w:tcPr>
            <w:tcW w:w="1060" w:type="dxa"/>
            <w:vAlign w:val="bottom"/>
          </w:tcPr>
          <w:p>
            <w:pPr>
              <w:jc w:val="right"/>
              <w:ind w:right="865"/>
              <w:spacing w:after="0"/>
              <w:rPr>
                <w:sz w:val="20"/>
                <w:szCs w:val="20"/>
                <w:color w:val="auto"/>
              </w:rPr>
            </w:pPr>
            <w:r>
              <w:rPr>
                <w:rFonts w:ascii="Arial" w:cs="Arial" w:eastAsia="Arial" w:hAnsi="Arial"/>
                <w:sz w:val="19"/>
                <w:szCs w:val="19"/>
                <w:color w:val="231F20"/>
                <w:w w:val="75"/>
              </w:rPr>
              <w:t>$</w:t>
            </w:r>
          </w:p>
        </w:tc>
        <w:tc>
          <w:tcPr>
            <w:tcW w:w="480" w:type="dxa"/>
            <w:vAlign w:val="bottom"/>
          </w:tcPr>
          <w:p>
            <w:pPr>
              <w:jc w:val="right"/>
              <w:spacing w:after="0"/>
              <w:rPr>
                <w:sz w:val="20"/>
                <w:szCs w:val="20"/>
                <w:color w:val="auto"/>
              </w:rPr>
            </w:pPr>
            <w:r>
              <w:rPr>
                <w:rFonts w:ascii="Arial" w:cs="Arial" w:eastAsia="Arial" w:hAnsi="Arial"/>
                <w:sz w:val="19"/>
                <w:szCs w:val="19"/>
                <w:color w:val="231F20"/>
              </w:rPr>
              <w:t>346</w:t>
            </w:r>
          </w:p>
        </w:tc>
        <w:tc>
          <w:tcPr>
            <w:tcW w:w="1240" w:type="dxa"/>
            <w:vAlign w:val="bottom"/>
            <w:gridSpan w:val="2"/>
          </w:tcPr>
          <w:p>
            <w:pPr>
              <w:jc w:val="right"/>
              <w:ind w:right="940"/>
              <w:spacing w:after="0"/>
              <w:rPr>
                <w:sz w:val="20"/>
                <w:szCs w:val="20"/>
                <w:color w:val="auto"/>
              </w:rPr>
            </w:pPr>
            <w:r>
              <w:rPr>
                <w:rFonts w:ascii="Arial" w:cs="Arial" w:eastAsia="Arial" w:hAnsi="Arial"/>
                <w:sz w:val="19"/>
                <w:szCs w:val="19"/>
                <w:color w:val="231F20"/>
              </w:rPr>
              <w:t>$</w:t>
            </w:r>
          </w:p>
        </w:tc>
        <w:tc>
          <w:tcPr>
            <w:tcW w:w="400" w:type="dxa"/>
            <w:vAlign w:val="bottom"/>
          </w:tcPr>
          <w:p>
            <w:pPr>
              <w:jc w:val="right"/>
              <w:spacing w:after="0"/>
              <w:rPr>
                <w:sz w:val="20"/>
                <w:szCs w:val="20"/>
                <w:color w:val="auto"/>
              </w:rPr>
            </w:pPr>
            <w:r>
              <w:rPr>
                <w:rFonts w:ascii="Arial" w:cs="Arial" w:eastAsia="Arial" w:hAnsi="Arial"/>
                <w:sz w:val="19"/>
                <w:szCs w:val="19"/>
                <w:color w:val="231F20"/>
              </w:rPr>
              <w:t>332</w:t>
            </w:r>
          </w:p>
        </w:tc>
        <w:tc>
          <w:tcPr>
            <w:tcW w:w="0" w:type="dxa"/>
            <w:vAlign w:val="bottom"/>
          </w:tcPr>
          <w:p>
            <w:pPr>
              <w:spacing w:after="0"/>
              <w:rPr>
                <w:sz w:val="1"/>
                <w:szCs w:val="1"/>
                <w:color w:val="auto"/>
              </w:rPr>
            </w:pPr>
          </w:p>
        </w:tc>
      </w:tr>
      <w:tr>
        <w:trPr>
          <w:trHeight w:val="32"/>
        </w:trPr>
        <w:tc>
          <w:tcPr>
            <w:tcW w:w="5940" w:type="dxa"/>
            <w:vAlign w:val="bottom"/>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3765550</wp:posOffset>
                </wp:positionH>
                <wp:positionV relativeFrom="paragraph">
                  <wp:posOffset>184150</wp:posOffset>
                </wp:positionV>
                <wp:extent cx="98298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298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5pt,14.5pt" to="373.9pt,14.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4875530</wp:posOffset>
                </wp:positionH>
                <wp:positionV relativeFrom="paragraph">
                  <wp:posOffset>184150</wp:posOffset>
                </wp:positionV>
                <wp:extent cx="91567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67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9pt,14.5pt" to="456pt,14.5pt" o:allowincell="f" strokecolor="#231F20" strokeweight="0.5pt"/>
            </w:pict>
          </mc:Fallback>
        </mc:AlternateConten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color w:val="231F20"/>
              </w:rPr>
              <w:t>Net benefit asset  . . . . . . . . . . . . . . . . . . . . . . . . . . . . . . . . . . . . . . .</w:t>
            </w:r>
          </w:p>
        </w:tc>
        <w:tc>
          <w:tcPr>
            <w:tcW w:w="640" w:type="dxa"/>
            <w:vAlign w:val="bottom"/>
            <w:gridSpan w:val="2"/>
          </w:tcPr>
          <w:p>
            <w:pPr>
              <w:jc w:val="right"/>
              <w:ind w:right="520"/>
              <w:spacing w:after="0"/>
              <w:rPr>
                <w:sz w:val="20"/>
                <w:szCs w:val="20"/>
                <w:color w:val="auto"/>
              </w:rPr>
            </w:pPr>
            <w:r>
              <w:rPr>
                <w:rFonts w:ascii="Arial" w:cs="Arial" w:eastAsia="Arial" w:hAnsi="Arial"/>
                <w:sz w:val="20"/>
                <w:szCs w:val="20"/>
                <w:color w:val="231F20"/>
                <w:w w:val="89"/>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92</w:t>
            </w:r>
          </w:p>
        </w:tc>
        <w:tc>
          <w:tcPr>
            <w:tcW w:w="780" w:type="dxa"/>
            <w:vAlign w:val="bottom"/>
            <w:gridSpan w:val="2"/>
          </w:tcPr>
          <w:p>
            <w:pPr>
              <w:jc w:val="right"/>
              <w:ind w:right="48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60</w:t>
            </w:r>
          </w:p>
        </w:tc>
        <w:tc>
          <w:tcPr>
            <w:tcW w:w="0" w:type="dxa"/>
            <w:vAlign w:val="bottom"/>
          </w:tcPr>
          <w:p>
            <w:pPr>
              <w:spacing w:after="0"/>
              <w:rPr>
                <w:sz w:val="1"/>
                <w:szCs w:val="1"/>
                <w:color w:val="auto"/>
              </w:rPr>
            </w:pPr>
          </w:p>
        </w:tc>
      </w:tr>
      <w:tr>
        <w:trPr>
          <w:trHeight w:val="28"/>
        </w:trPr>
        <w:tc>
          <w:tcPr>
            <w:tcW w:w="5920" w:type="dxa"/>
            <w:vAlign w:val="bottom"/>
            <w:vMerge w:val="restart"/>
          </w:tcPr>
          <w:p>
            <w:pPr>
              <w:spacing w:after="0"/>
              <w:rPr>
                <w:sz w:val="20"/>
                <w:szCs w:val="20"/>
                <w:color w:val="auto"/>
              </w:rPr>
            </w:pPr>
            <w:r>
              <w:rPr>
                <w:rFonts w:ascii="Arial" w:cs="Arial" w:eastAsia="Arial" w:hAnsi="Arial"/>
                <w:sz w:val="19"/>
                <w:szCs w:val="19"/>
                <w:b w:val="1"/>
                <w:bCs w:val="1"/>
                <w:color w:val="231F20"/>
              </w:rPr>
              <w:t>Postretirement</w:t>
            </w:r>
          </w:p>
        </w:tc>
        <w:tc>
          <w:tcPr>
            <w:tcW w:w="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920" w:type="dxa"/>
            <w:vAlign w:val="bottom"/>
          </w:tcPr>
          <w:p>
            <w:pPr>
              <w:spacing w:after="0"/>
              <w:rPr>
                <w:sz w:val="20"/>
                <w:szCs w:val="20"/>
                <w:color w:val="auto"/>
              </w:rPr>
            </w:pPr>
            <w:r>
              <w:rPr>
                <w:rFonts w:ascii="Arial" w:cs="Arial" w:eastAsia="Arial" w:hAnsi="Arial"/>
                <w:sz w:val="19"/>
                <w:szCs w:val="19"/>
                <w:color w:val="231F20"/>
              </w:rPr>
              <w:t>Changes in the benefit obligation</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20" w:type="dxa"/>
            <w:vAlign w:val="bottom"/>
          </w:tcPr>
          <w:p>
            <w:pPr>
              <w:spacing w:after="0"/>
              <w:rPr>
                <w:sz w:val="20"/>
                <w:szCs w:val="20"/>
                <w:color w:val="auto"/>
              </w:rPr>
            </w:pPr>
            <w:r>
              <w:rPr>
                <w:rFonts w:ascii="Arial" w:cs="Arial" w:eastAsia="Arial" w:hAnsi="Arial"/>
                <w:sz w:val="19"/>
                <w:szCs w:val="19"/>
                <w:color w:val="231F20"/>
              </w:rPr>
              <w:t>Benefit obligation - beginning of year . . . . . . . . . . . . . . . . . . . . . . . . . .</w:t>
            </w:r>
          </w:p>
        </w:tc>
        <w:tc>
          <w:tcPr>
            <w:tcW w:w="640" w:type="dxa"/>
            <w:vAlign w:val="bottom"/>
            <w:gridSpan w:val="2"/>
          </w:tcPr>
          <w:p>
            <w:pPr>
              <w:jc w:val="right"/>
              <w:ind w:right="520"/>
              <w:spacing w:after="0"/>
              <w:rPr>
                <w:sz w:val="20"/>
                <w:szCs w:val="20"/>
                <w:color w:val="auto"/>
              </w:rPr>
            </w:pPr>
            <w:r>
              <w:rPr>
                <w:rFonts w:ascii="Arial" w:cs="Arial" w:eastAsia="Arial" w:hAnsi="Arial"/>
                <w:sz w:val="19"/>
                <w:szCs w:val="19"/>
                <w:color w:val="231F20"/>
                <w:w w:val="94"/>
              </w:rPr>
              <w:t>$</w:t>
            </w:r>
          </w:p>
        </w:tc>
        <w:tc>
          <w:tcPr>
            <w:tcW w:w="920" w:type="dxa"/>
            <w:vAlign w:val="bottom"/>
          </w:tcPr>
          <w:p>
            <w:pPr>
              <w:jc w:val="right"/>
              <w:spacing w:after="0"/>
              <w:rPr>
                <w:sz w:val="20"/>
                <w:szCs w:val="20"/>
                <w:color w:val="auto"/>
              </w:rPr>
            </w:pPr>
            <w:r>
              <w:rPr>
                <w:rFonts w:ascii="Arial" w:cs="Arial" w:eastAsia="Arial" w:hAnsi="Arial"/>
                <w:sz w:val="19"/>
                <w:szCs w:val="19"/>
                <w:color w:val="231F20"/>
              </w:rPr>
              <w:t>100</w:t>
            </w:r>
          </w:p>
        </w:tc>
        <w:tc>
          <w:tcPr>
            <w:tcW w:w="780" w:type="dxa"/>
            <w:vAlign w:val="bottom"/>
            <w:gridSpan w:val="2"/>
          </w:tcPr>
          <w:p>
            <w:pPr>
              <w:jc w:val="right"/>
              <w:ind w:right="480"/>
              <w:spacing w:after="0"/>
              <w:rPr>
                <w:sz w:val="20"/>
                <w:szCs w:val="20"/>
                <w:color w:val="auto"/>
              </w:rPr>
            </w:pPr>
            <w:r>
              <w:rPr>
                <w:rFonts w:ascii="Arial" w:cs="Arial" w:eastAsia="Arial" w:hAnsi="Arial"/>
                <w:sz w:val="19"/>
                <w:szCs w:val="19"/>
                <w:color w:val="231F20"/>
              </w:rPr>
              <w:t>$</w:t>
            </w:r>
          </w:p>
        </w:tc>
        <w:tc>
          <w:tcPr>
            <w:tcW w:w="860" w:type="dxa"/>
            <w:vAlign w:val="bottom"/>
          </w:tcPr>
          <w:p>
            <w:pPr>
              <w:jc w:val="right"/>
              <w:spacing w:after="0"/>
              <w:rPr>
                <w:sz w:val="20"/>
                <w:szCs w:val="20"/>
                <w:color w:val="auto"/>
              </w:rPr>
            </w:pPr>
            <w:r>
              <w:rPr>
                <w:rFonts w:ascii="Arial" w:cs="Arial" w:eastAsia="Arial" w:hAnsi="Arial"/>
                <w:sz w:val="19"/>
                <w:szCs w:val="19"/>
                <w:color w:val="231F20"/>
              </w:rPr>
              <w:t>37</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rPr>
              <w:t>Liabilities assumed in the Aera Merger . . . .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70</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rPr>
              <w:t>Service cost - benefits earned during the period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2</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2</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rPr>
              <w:t>Interest cost on projected benefit obligation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4</w:t>
            </w:r>
          </w:p>
        </w:tc>
        <w:tc>
          <w:tcPr>
            <w:tcW w:w="0" w:type="dxa"/>
            <w:vAlign w:val="bottom"/>
          </w:tcPr>
          <w:p>
            <w:pPr>
              <w:spacing w:after="0"/>
              <w:rPr>
                <w:sz w:val="1"/>
                <w:szCs w:val="1"/>
                <w:color w:val="auto"/>
              </w:rPr>
            </w:pPr>
          </w:p>
        </w:tc>
      </w:tr>
      <w:tr>
        <w:trPr>
          <w:trHeight w:val="238"/>
        </w:trPr>
        <w:tc>
          <w:tcPr>
            <w:tcW w:w="5920" w:type="dxa"/>
            <w:vAlign w:val="bottom"/>
          </w:tcPr>
          <w:p>
            <w:pPr>
              <w:jc w:val="right"/>
              <w:ind w:right="105"/>
              <w:spacing w:after="0" w:line="237" w:lineRule="exact"/>
              <w:rPr>
                <w:sz w:val="20"/>
                <w:szCs w:val="20"/>
                <w:color w:val="auto"/>
              </w:rPr>
            </w:pPr>
            <w:r>
              <w:rPr>
                <w:rFonts w:ascii="Arial" w:cs="Arial" w:eastAsia="Arial" w:hAnsi="Arial"/>
                <w:sz w:val="19"/>
                <w:szCs w:val="19"/>
                <w:color w:val="231F20"/>
                <w:w w:val="98"/>
              </w:rPr>
              <w:t>Actuarial loss (gain)</w:t>
            </w:r>
            <w:r>
              <w:rPr>
                <w:rFonts w:ascii="Arial" w:cs="Arial" w:eastAsia="Arial" w:hAnsi="Arial"/>
                <w:sz w:val="24"/>
                <w:szCs w:val="24"/>
                <w:color w:val="231F20"/>
                <w:w w:val="98"/>
                <w:vertAlign w:val="superscript"/>
              </w:rPr>
              <w:t>(b)</w:t>
            </w:r>
            <w:r>
              <w:rPr>
                <w:rFonts w:ascii="Arial" w:cs="Arial" w:eastAsia="Arial" w:hAnsi="Arial"/>
                <w:sz w:val="19"/>
                <w:szCs w:val="19"/>
                <w:color w:val="231F20"/>
                <w:w w:val="98"/>
              </w:rPr>
              <w:t xml:space="preserve"> . . . . . . . . . . . . . . . . . . . . . . . . . . . . . . . . . . . . .</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2</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(5)</w:t>
            </w:r>
          </w:p>
        </w:tc>
        <w:tc>
          <w:tcPr>
            <w:tcW w:w="0" w:type="dxa"/>
            <w:vAlign w:val="bottom"/>
          </w:tcPr>
          <w:p>
            <w:pPr>
              <w:spacing w:after="0"/>
              <w:rPr>
                <w:sz w:val="1"/>
                <w:szCs w:val="1"/>
                <w:color w:val="auto"/>
              </w:rPr>
            </w:pPr>
          </w:p>
        </w:tc>
      </w:tr>
      <w:tr>
        <w:trPr>
          <w:trHeight w:val="212"/>
        </w:trPr>
        <w:tc>
          <w:tcPr>
            <w:tcW w:w="5920" w:type="dxa"/>
            <w:vAlign w:val="bottom"/>
          </w:tcPr>
          <w:p>
            <w:pPr>
              <w:jc w:val="right"/>
              <w:ind w:right="105"/>
              <w:spacing w:after="0" w:line="212" w:lineRule="exact"/>
              <w:rPr>
                <w:sz w:val="20"/>
                <w:szCs w:val="20"/>
                <w:color w:val="auto"/>
              </w:rPr>
            </w:pPr>
            <w:r>
              <w:rPr>
                <w:rFonts w:ascii="Arial" w:cs="Arial" w:eastAsia="Arial" w:hAnsi="Arial"/>
                <w:sz w:val="19"/>
                <w:szCs w:val="19"/>
                <w:color w:val="231F20"/>
              </w:rPr>
              <w:t>Cost of special termination benefits  . . . . . . . . . . . . . . . . . . . . . . . . .</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line="212" w:lineRule="exact"/>
              <w:rPr>
                <w:sz w:val="20"/>
                <w:szCs w:val="20"/>
                <w:color w:val="auto"/>
              </w:rPr>
            </w:pPr>
            <w:r>
              <w:rPr>
                <w:rFonts w:ascii="Arial" w:cs="Arial" w:eastAsia="Arial" w:hAnsi="Arial"/>
                <w:sz w:val="19"/>
                <w:szCs w:val="19"/>
                <w:color w:val="231F20"/>
              </w:rPr>
              <w: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line="212" w:lineRule="exact"/>
              <w:rPr>
                <w:sz w:val="20"/>
                <w:szCs w:val="20"/>
                <w:color w:val="auto"/>
              </w:rPr>
            </w:pPr>
            <w:r>
              <w:rPr>
                <w:rFonts w:ascii="Arial" w:cs="Arial" w:eastAsia="Arial" w:hAnsi="Arial"/>
                <w:sz w:val="19"/>
                <w:szCs w:val="19"/>
                <w:color w:val="231F20"/>
              </w:rPr>
              <w:t>4</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9"/>
              </w:rPr>
              <w:t>Curtailment gain . . . . . . . . . . . . . . . . . . . . . .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(4)</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9"/>
              </w:rPr>
              <w:t>Benefits paid . . . . . . . . . . . . . . . . . . . . . . . . .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(11)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(5)</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8"/>
              </w:rPr>
              <w:t>Plan amendment . . . . . . . . . . . . . . . . . . . . . .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(3)</w:t>
            </w: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7"/>
              </w:rPr>
              <w:t>Benefit obligation - end of year . . . . . . . . . . . . . . . . . . . . . . . . . . . . . . .</w:t>
            </w:r>
          </w:p>
        </w:tc>
        <w:tc>
          <w:tcPr>
            <w:tcW w:w="640" w:type="dxa"/>
            <w:vAlign w:val="bottom"/>
            <w:gridSpan w:val="2"/>
          </w:tcPr>
          <w:p>
            <w:pPr>
              <w:jc w:val="right"/>
              <w:ind w:right="520"/>
              <w:spacing w:after="0"/>
              <w:rPr>
                <w:sz w:val="20"/>
                <w:szCs w:val="20"/>
                <w:color w:val="auto"/>
              </w:rPr>
            </w:pPr>
            <w:r>
              <w:rPr>
                <w:rFonts w:ascii="Arial" w:cs="Arial" w:eastAsia="Arial" w:hAnsi="Arial"/>
                <w:sz w:val="19"/>
                <w:szCs w:val="19"/>
                <w:color w:val="231F20"/>
                <w:w w:val="94"/>
              </w:rPr>
              <w:t>$</w:t>
            </w:r>
          </w:p>
        </w:tc>
        <w:tc>
          <w:tcPr>
            <w:tcW w:w="920" w:type="dxa"/>
            <w:vAlign w:val="bottom"/>
          </w:tcPr>
          <w:p>
            <w:pPr>
              <w:jc w:val="right"/>
              <w:spacing w:after="0"/>
              <w:rPr>
                <w:sz w:val="20"/>
                <w:szCs w:val="20"/>
                <w:color w:val="auto"/>
              </w:rPr>
            </w:pPr>
            <w:r>
              <w:rPr>
                <w:rFonts w:ascii="Arial" w:cs="Arial" w:eastAsia="Arial" w:hAnsi="Arial"/>
                <w:sz w:val="19"/>
                <w:szCs w:val="19"/>
                <w:color w:val="231F20"/>
              </w:rPr>
              <w:t>98</w:t>
            </w:r>
          </w:p>
        </w:tc>
        <w:tc>
          <w:tcPr>
            <w:tcW w:w="780" w:type="dxa"/>
            <w:vAlign w:val="bottom"/>
            <w:gridSpan w:val="2"/>
          </w:tcPr>
          <w:p>
            <w:pPr>
              <w:jc w:val="right"/>
              <w:ind w:right="480"/>
              <w:spacing w:after="0"/>
              <w:rPr>
                <w:sz w:val="20"/>
                <w:szCs w:val="20"/>
                <w:color w:val="auto"/>
              </w:rPr>
            </w:pPr>
            <w:r>
              <w:rPr>
                <w:rFonts w:ascii="Arial" w:cs="Arial" w:eastAsia="Arial" w:hAnsi="Arial"/>
                <w:sz w:val="19"/>
                <w:szCs w:val="19"/>
                <w:color w:val="231F20"/>
              </w:rPr>
              <w:t>$</w:t>
            </w:r>
          </w:p>
        </w:tc>
        <w:tc>
          <w:tcPr>
            <w:tcW w:w="860" w:type="dxa"/>
            <w:vAlign w:val="bottom"/>
          </w:tcPr>
          <w:p>
            <w:pPr>
              <w:jc w:val="right"/>
              <w:spacing w:after="0"/>
              <w:rPr>
                <w:sz w:val="20"/>
                <w:szCs w:val="20"/>
                <w:color w:val="auto"/>
              </w:rPr>
            </w:pPr>
            <w:r>
              <w:rPr>
                <w:rFonts w:ascii="Arial" w:cs="Arial" w:eastAsia="Arial" w:hAnsi="Arial"/>
                <w:sz w:val="19"/>
                <w:szCs w:val="19"/>
                <w:color w:val="231F20"/>
              </w:rPr>
              <w:t>100</w:t>
            </w:r>
          </w:p>
        </w:tc>
        <w:tc>
          <w:tcPr>
            <w:tcW w:w="0" w:type="dxa"/>
            <w:vAlign w:val="bottom"/>
          </w:tcPr>
          <w:p>
            <w:pPr>
              <w:spacing w:after="0"/>
              <w:rPr>
                <w:sz w:val="1"/>
                <w:szCs w:val="1"/>
                <w:color w:val="auto"/>
              </w:rPr>
            </w:pPr>
          </w:p>
        </w:tc>
      </w:tr>
      <w:tr>
        <w:trPr>
          <w:trHeight w:val="32"/>
        </w:trPr>
        <w:tc>
          <w:tcPr>
            <w:tcW w:w="5920" w:type="dxa"/>
            <w:vAlign w:val="bottom"/>
            <w:vMerge w:val="restart"/>
          </w:tcPr>
          <w:p>
            <w:pPr>
              <w:spacing w:after="0"/>
              <w:rPr>
                <w:sz w:val="20"/>
                <w:szCs w:val="20"/>
                <w:color w:val="auto"/>
              </w:rPr>
            </w:pPr>
            <w:r>
              <w:rPr>
                <w:rFonts w:ascii="Arial" w:cs="Arial" w:eastAsia="Arial" w:hAnsi="Arial"/>
                <w:sz w:val="18"/>
                <w:szCs w:val="18"/>
                <w:color w:val="231F20"/>
              </w:rPr>
              <w:t>Changes in plan assets</w:t>
            </w:r>
          </w:p>
        </w:tc>
        <w:tc>
          <w:tcPr>
            <w:tcW w:w="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8"/>
              </w:rPr>
              <w:t>Fair value of plan assets - beginning of year . . . . . . . . . . . . . . . . . . . .</w:t>
            </w:r>
          </w:p>
        </w:tc>
        <w:tc>
          <w:tcPr>
            <w:tcW w:w="640" w:type="dxa"/>
            <w:vAlign w:val="bottom"/>
            <w:gridSpan w:val="2"/>
          </w:tcPr>
          <w:p>
            <w:pPr>
              <w:jc w:val="right"/>
              <w:ind w:right="520"/>
              <w:spacing w:after="0"/>
              <w:rPr>
                <w:sz w:val="20"/>
                <w:szCs w:val="20"/>
                <w:color w:val="auto"/>
              </w:rPr>
            </w:pPr>
            <w:r>
              <w:rPr>
                <w:rFonts w:ascii="Arial" w:cs="Arial" w:eastAsia="Arial" w:hAnsi="Arial"/>
                <w:sz w:val="19"/>
                <w:szCs w:val="19"/>
                <w:color w:val="231F20"/>
                <w:w w:val="94"/>
              </w:rPr>
              <w:t>$</w:t>
            </w:r>
          </w:p>
        </w:tc>
        <w:tc>
          <w:tcPr>
            <w:tcW w:w="920" w:type="dxa"/>
            <w:vAlign w:val="bottom"/>
          </w:tcPr>
          <w:p>
            <w:pPr>
              <w:jc w:val="right"/>
              <w:spacing w:after="0"/>
              <w:rPr>
                <w:sz w:val="20"/>
                <w:szCs w:val="20"/>
                <w:color w:val="auto"/>
              </w:rPr>
            </w:pPr>
            <w:r>
              <w:rPr>
                <w:rFonts w:ascii="Arial" w:cs="Arial" w:eastAsia="Arial" w:hAnsi="Arial"/>
                <w:sz w:val="19"/>
                <w:szCs w:val="19"/>
                <w:color w:val="231F20"/>
              </w:rPr>
              <w:t>54</w:t>
            </w:r>
          </w:p>
        </w:tc>
        <w:tc>
          <w:tcPr>
            <w:tcW w:w="780" w:type="dxa"/>
            <w:vAlign w:val="bottom"/>
            <w:gridSpan w:val="2"/>
          </w:tcPr>
          <w:p>
            <w:pPr>
              <w:jc w:val="right"/>
              <w:ind w:right="480"/>
              <w:spacing w:after="0"/>
              <w:rPr>
                <w:sz w:val="20"/>
                <w:szCs w:val="20"/>
                <w:color w:val="auto"/>
              </w:rPr>
            </w:pPr>
            <w:r>
              <w:rPr>
                <w:rFonts w:ascii="Arial" w:cs="Arial" w:eastAsia="Arial" w:hAnsi="Arial"/>
                <w:sz w:val="19"/>
                <w:szCs w:val="19"/>
                <w:color w:val="231F20"/>
              </w:rPr>
              <w:t>$</w:t>
            </w:r>
          </w:p>
        </w:tc>
        <w:tc>
          <w:tcPr>
            <w:tcW w:w="860" w:type="dxa"/>
            <w:vAlign w:val="bottom"/>
          </w:tcPr>
          <w:p>
            <w:pPr>
              <w:jc w:val="right"/>
              <w:spacing w:after="0"/>
              <w:rPr>
                <w:sz w:val="20"/>
                <w:szCs w:val="20"/>
                <w:color w:val="auto"/>
              </w:rPr>
            </w:pPr>
            <w:r>
              <w:rPr>
                <w:rFonts w:ascii="Arial" w:cs="Arial" w:eastAsia="Arial" w:hAnsi="Arial"/>
                <w:sz w:val="19"/>
                <w:szCs w:val="19"/>
                <w:color w:val="231F20"/>
              </w:rPr>
              <w:t>1</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rPr>
              <w:t>Additions due to the Aera Merger . . . . . . . .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52</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9"/>
              </w:rPr>
              <w:t>Actual gain on plan assets . . . . . . . . . . . . . .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9</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2</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9"/>
              </w:rPr>
              <w:t>Employer contributions . . . . . . . . . . . . . . . . .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8</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4</w:t>
            </w:r>
          </w:p>
        </w:tc>
        <w:tc>
          <w:tcPr>
            <w:tcW w:w="0" w:type="dxa"/>
            <w:vAlign w:val="bottom"/>
          </w:tcPr>
          <w:p>
            <w:pPr>
              <w:spacing w:after="0"/>
              <w:rPr>
                <w:sz w:val="1"/>
                <w:szCs w:val="1"/>
                <w:color w:val="auto"/>
              </w:rPr>
            </w:pPr>
          </w:p>
        </w:tc>
      </w:tr>
      <w:tr>
        <w:trPr>
          <w:trHeight w:val="225"/>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9"/>
              </w:rPr>
              <w:t>Benefits paid . . . . . . . . . . . . . . . . . . . . . . . . . . . . . . . . . . . . . . . . . . .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231F20"/>
              </w:rPr>
              <w:t>(11)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231F20"/>
              </w:rPr>
              <w:t>(5)</w:t>
            </w: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7"/>
              </w:rPr>
              <w:t>Fair value of plan assets - end of year . . . . . . . . . . . . . . . . . . . . . . . . .</w:t>
            </w:r>
          </w:p>
        </w:tc>
        <w:tc>
          <w:tcPr>
            <w:tcW w:w="640" w:type="dxa"/>
            <w:vAlign w:val="bottom"/>
            <w:gridSpan w:val="2"/>
          </w:tcPr>
          <w:p>
            <w:pPr>
              <w:jc w:val="right"/>
              <w:ind w:right="520"/>
              <w:spacing w:after="0"/>
              <w:rPr>
                <w:sz w:val="20"/>
                <w:szCs w:val="20"/>
                <w:color w:val="auto"/>
              </w:rPr>
            </w:pPr>
            <w:r>
              <w:rPr>
                <w:rFonts w:ascii="Arial" w:cs="Arial" w:eastAsia="Arial" w:hAnsi="Arial"/>
                <w:sz w:val="19"/>
                <w:szCs w:val="19"/>
                <w:color w:val="231F20"/>
                <w:w w:val="94"/>
              </w:rPr>
              <w:t>$</w:t>
            </w:r>
          </w:p>
        </w:tc>
        <w:tc>
          <w:tcPr>
            <w:tcW w:w="920" w:type="dxa"/>
            <w:vAlign w:val="bottom"/>
          </w:tcPr>
          <w:p>
            <w:pPr>
              <w:jc w:val="right"/>
              <w:spacing w:after="0"/>
              <w:rPr>
                <w:sz w:val="20"/>
                <w:szCs w:val="20"/>
                <w:color w:val="auto"/>
              </w:rPr>
            </w:pPr>
            <w:r>
              <w:rPr>
                <w:rFonts w:ascii="Arial" w:cs="Arial" w:eastAsia="Arial" w:hAnsi="Arial"/>
                <w:sz w:val="19"/>
                <w:szCs w:val="19"/>
                <w:color w:val="231F20"/>
              </w:rPr>
              <w:t>60</w:t>
            </w:r>
          </w:p>
        </w:tc>
        <w:tc>
          <w:tcPr>
            <w:tcW w:w="780" w:type="dxa"/>
            <w:vAlign w:val="bottom"/>
            <w:gridSpan w:val="2"/>
          </w:tcPr>
          <w:p>
            <w:pPr>
              <w:jc w:val="right"/>
              <w:ind w:right="480"/>
              <w:spacing w:after="0"/>
              <w:rPr>
                <w:sz w:val="20"/>
                <w:szCs w:val="20"/>
                <w:color w:val="auto"/>
              </w:rPr>
            </w:pPr>
            <w:r>
              <w:rPr>
                <w:rFonts w:ascii="Arial" w:cs="Arial" w:eastAsia="Arial" w:hAnsi="Arial"/>
                <w:sz w:val="19"/>
                <w:szCs w:val="19"/>
                <w:color w:val="231F20"/>
              </w:rPr>
              <w:t>$</w:t>
            </w:r>
          </w:p>
        </w:tc>
        <w:tc>
          <w:tcPr>
            <w:tcW w:w="860" w:type="dxa"/>
            <w:vAlign w:val="bottom"/>
          </w:tcPr>
          <w:p>
            <w:pPr>
              <w:jc w:val="right"/>
              <w:spacing w:after="0"/>
              <w:rPr>
                <w:sz w:val="20"/>
                <w:szCs w:val="20"/>
                <w:color w:val="auto"/>
              </w:rPr>
            </w:pPr>
            <w:r>
              <w:rPr>
                <w:rFonts w:ascii="Arial" w:cs="Arial" w:eastAsia="Arial" w:hAnsi="Arial"/>
                <w:sz w:val="19"/>
                <w:szCs w:val="19"/>
                <w:color w:val="231F20"/>
              </w:rPr>
              <w:t>54</w:t>
            </w: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920" w:type="dxa"/>
            <w:vAlign w:val="bottom"/>
          </w:tcPr>
          <w:p>
            <w:pPr>
              <w:jc w:val="right"/>
              <w:ind w:right="105"/>
              <w:spacing w:after="0"/>
              <w:rPr>
                <w:sz w:val="20"/>
                <w:szCs w:val="20"/>
                <w:color w:val="auto"/>
              </w:rPr>
            </w:pPr>
            <w:r>
              <w:rPr>
                <w:rFonts w:ascii="Arial" w:cs="Arial" w:eastAsia="Arial" w:hAnsi="Arial"/>
                <w:sz w:val="19"/>
                <w:szCs w:val="19"/>
                <w:color w:val="231F20"/>
                <w:w w:val="96"/>
              </w:rPr>
              <w:t>Net benefit liability  . . . . . . . . . . . . . . . . . . . . . . . . . . . . . . . . . . . . . . . . .</w:t>
            </w:r>
          </w:p>
        </w:tc>
        <w:tc>
          <w:tcPr>
            <w:tcW w:w="640" w:type="dxa"/>
            <w:vAlign w:val="bottom"/>
            <w:gridSpan w:val="2"/>
          </w:tcPr>
          <w:p>
            <w:pPr>
              <w:jc w:val="right"/>
              <w:ind w:right="520"/>
              <w:spacing w:after="0"/>
              <w:rPr>
                <w:sz w:val="20"/>
                <w:szCs w:val="20"/>
                <w:color w:val="auto"/>
              </w:rPr>
            </w:pPr>
            <w:r>
              <w:rPr>
                <w:rFonts w:ascii="Arial" w:cs="Arial" w:eastAsia="Arial" w:hAnsi="Arial"/>
                <w:sz w:val="19"/>
                <w:szCs w:val="19"/>
                <w:color w:val="231F20"/>
                <w:w w:val="94"/>
              </w:rPr>
              <w:t>$</w:t>
            </w:r>
          </w:p>
        </w:tc>
        <w:tc>
          <w:tcPr>
            <w:tcW w:w="920" w:type="dxa"/>
            <w:vAlign w:val="bottom"/>
          </w:tcPr>
          <w:p>
            <w:pPr>
              <w:jc w:val="right"/>
              <w:spacing w:after="0"/>
              <w:rPr>
                <w:sz w:val="20"/>
                <w:szCs w:val="20"/>
                <w:color w:val="auto"/>
              </w:rPr>
            </w:pPr>
            <w:r>
              <w:rPr>
                <w:rFonts w:ascii="Arial" w:cs="Arial" w:eastAsia="Arial" w:hAnsi="Arial"/>
                <w:sz w:val="19"/>
                <w:szCs w:val="19"/>
                <w:color w:val="231F20"/>
              </w:rPr>
              <w:t>(38)</w:t>
            </w:r>
          </w:p>
        </w:tc>
        <w:tc>
          <w:tcPr>
            <w:tcW w:w="780" w:type="dxa"/>
            <w:vAlign w:val="bottom"/>
            <w:gridSpan w:val="2"/>
          </w:tcPr>
          <w:p>
            <w:pPr>
              <w:jc w:val="right"/>
              <w:ind w:right="480"/>
              <w:spacing w:after="0"/>
              <w:rPr>
                <w:sz w:val="20"/>
                <w:szCs w:val="20"/>
                <w:color w:val="auto"/>
              </w:rPr>
            </w:pPr>
            <w:r>
              <w:rPr>
                <w:rFonts w:ascii="Arial" w:cs="Arial" w:eastAsia="Arial" w:hAnsi="Arial"/>
                <w:sz w:val="19"/>
                <w:szCs w:val="19"/>
                <w:color w:val="231F20"/>
              </w:rPr>
              <w:t>$</w:t>
            </w:r>
          </w:p>
        </w:tc>
        <w:tc>
          <w:tcPr>
            <w:tcW w:w="860" w:type="dxa"/>
            <w:vAlign w:val="bottom"/>
          </w:tcPr>
          <w:p>
            <w:pPr>
              <w:jc w:val="right"/>
              <w:spacing w:after="0"/>
              <w:rPr>
                <w:sz w:val="20"/>
                <w:szCs w:val="20"/>
                <w:color w:val="auto"/>
              </w:rPr>
            </w:pPr>
            <w:r>
              <w:rPr>
                <w:rFonts w:ascii="Arial" w:cs="Arial" w:eastAsia="Arial" w:hAnsi="Arial"/>
                <w:sz w:val="19"/>
                <w:szCs w:val="19"/>
                <w:color w:val="231F20"/>
              </w:rPr>
              <w:t>(46)</w:t>
            </w: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20" w:right="80" w:hanging="320"/>
        <w:spacing w:after="0" w:line="253" w:lineRule="auto"/>
        <w:tabs>
          <w:tab w:leader="none" w:pos="320" w:val="left"/>
        </w:tabs>
        <w:numPr>
          <w:ilvl w:val="0"/>
          <w:numId w:val="77"/>
        </w:numPr>
        <w:rPr>
          <w:rFonts w:ascii="Arial" w:cs="Arial" w:eastAsia="Arial" w:hAnsi="Arial"/>
          <w:sz w:val="16"/>
          <w:szCs w:val="16"/>
          <w:color w:val="231F20"/>
        </w:rPr>
      </w:pPr>
      <w:r>
        <w:rPr>
          <w:rFonts w:ascii="Arial" w:cs="Arial" w:eastAsia="Arial" w:hAnsi="Arial"/>
          <w:sz w:val="16"/>
          <w:szCs w:val="16"/>
          <w:color w:val="231F20"/>
        </w:rPr>
        <w:t>The loss reflected in the changes in the pension benefit obligation for the year ended December 31, 2025 was primarily due to movement in the discount rates.</w:t>
      </w:r>
    </w:p>
    <w:p>
      <w:pPr>
        <w:spacing w:after="0" w:line="12" w:lineRule="exact"/>
        <w:rPr>
          <w:rFonts w:ascii="Arial" w:cs="Arial" w:eastAsia="Arial" w:hAnsi="Arial"/>
          <w:sz w:val="16"/>
          <w:szCs w:val="16"/>
          <w:color w:val="231F20"/>
        </w:rPr>
      </w:pPr>
    </w:p>
    <w:p>
      <w:pPr>
        <w:ind w:left="320" w:right="580" w:hanging="320"/>
        <w:spacing w:after="0" w:line="253" w:lineRule="auto"/>
        <w:tabs>
          <w:tab w:leader="none" w:pos="320" w:val="left"/>
        </w:tabs>
        <w:numPr>
          <w:ilvl w:val="0"/>
          <w:numId w:val="77"/>
        </w:numPr>
        <w:rPr>
          <w:rFonts w:ascii="Arial" w:cs="Arial" w:eastAsia="Arial" w:hAnsi="Arial"/>
          <w:sz w:val="16"/>
          <w:szCs w:val="16"/>
          <w:color w:val="231F20"/>
        </w:rPr>
      </w:pPr>
      <w:r>
        <w:rPr>
          <w:rFonts w:ascii="Arial" w:cs="Arial" w:eastAsia="Arial" w:hAnsi="Arial"/>
          <w:sz w:val="16"/>
          <w:szCs w:val="16"/>
          <w:color w:val="231F20"/>
        </w:rPr>
        <w:t>The loss reflected in the changes in the postretirement benefit obligation for the year ended December 31, 2025 was primarily due to movement in the discount rate.</w:t>
      </w:r>
    </w:p>
    <w:p>
      <w:pPr>
        <w:sectPr>
          <w:pgSz w:w="11880" w:h="15480" w:orient="portrait"/>
          <w:cols w:equalWidth="0" w:num="1">
            <w:col w:w="9120"/>
          </w:cols>
          <w:pgMar w:left="1380" w:top="1316" w:right="1380" w:bottom="66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136</w:t>
      </w:r>
    </w:p>
    <w:p>
      <w:pPr>
        <w:sectPr>
          <w:pgSz w:w="11880" w:h="15480" w:orient="portrait"/>
          <w:cols w:equalWidth="0" w:num="1">
            <w:col w:w="9120"/>
          </w:cols>
          <w:pgMar w:left="1380" w:top="1316" w:right="1380" w:bottom="660" w:gutter="0" w:footer="0" w:header="0"/>
          <w:type w:val="continuous"/>
        </w:sectPr>
      </w:pPr>
    </w:p>
    <w:bookmarkStart w:id="140" w:name="page141"/>
    <w:bookmarkEnd w:id="140"/>
    <w:p>
      <w:pPr>
        <w:ind w:right="280" w:firstLine="300"/>
        <w:spacing w:after="0" w:line="243" w:lineRule="auto"/>
        <w:rPr>
          <w:sz w:val="20"/>
          <w:szCs w:val="20"/>
          <w:color w:val="auto"/>
        </w:rPr>
      </w:pPr>
      <w:r>
        <w:rPr>
          <w:rFonts w:ascii="Arial" w:cs="Arial" w:eastAsia="Arial" w:hAnsi="Arial"/>
          <w:sz w:val="20"/>
          <w:szCs w:val="20"/>
          <w:color w:val="231F20"/>
        </w:rPr>
        <w:t>The following table sets for the details of our obligations and assets related to our defined benefit pension plans for the years ended December 31, 2025 and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304"/>
              <w:spacing w:after="0"/>
              <w:rPr>
                <w:sz w:val="20"/>
                <w:szCs w:val="20"/>
                <w:color w:val="auto"/>
              </w:rPr>
            </w:pPr>
            <w:r>
              <w:rPr>
                <w:rFonts w:ascii="Arial" w:cs="Arial" w:eastAsia="Arial" w:hAnsi="Arial"/>
                <w:sz w:val="20"/>
                <w:szCs w:val="20"/>
                <w:b w:val="1"/>
                <w:bCs w:val="1"/>
                <w:color w:val="231F20"/>
              </w:rPr>
              <w:t>2025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300"/>
              <w:spacing w:after="0"/>
              <w:rPr>
                <w:sz w:val="20"/>
                <w:szCs w:val="20"/>
                <w:color w:val="auto"/>
              </w:rPr>
            </w:pPr>
            <w:r>
              <w:rPr>
                <w:rFonts w:ascii="Arial" w:cs="Arial" w:eastAsia="Arial" w:hAnsi="Arial"/>
                <w:sz w:val="20"/>
                <w:szCs w:val="20"/>
                <w:b w:val="1"/>
                <w:bCs w:val="1"/>
                <w:color w:val="231F20"/>
              </w:rPr>
              <w:t>2024</w:t>
            </w:r>
          </w:p>
        </w:tc>
      </w:tr>
      <w:tr>
        <w:trPr>
          <w:trHeight w:val="192"/>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6"/>
                <w:szCs w:val="16"/>
                <w:color w:val="231F20"/>
              </w:rPr>
              <w:t>(in millions)</w:t>
            </w:r>
          </w:p>
        </w:tc>
        <w:tc>
          <w:tcPr>
            <w:tcW w:w="900" w:type="dxa"/>
            <w:vAlign w:val="bottom"/>
          </w:tcPr>
          <w:p>
            <w:pPr>
              <w:spacing w:after="0"/>
              <w:rPr>
                <w:sz w:val="16"/>
                <w:szCs w:val="16"/>
                <w:color w:val="auto"/>
              </w:rPr>
            </w:pPr>
          </w:p>
        </w:tc>
      </w:tr>
      <w:tr>
        <w:trPr>
          <w:trHeight w:val="250"/>
        </w:trPr>
        <w:tc>
          <w:tcPr>
            <w:tcW w:w="6340" w:type="dxa"/>
            <w:vAlign w:val="bottom"/>
          </w:tcPr>
          <w:p>
            <w:pPr>
              <w:spacing w:after="0"/>
              <w:rPr>
                <w:sz w:val="20"/>
                <w:szCs w:val="20"/>
                <w:color w:val="auto"/>
              </w:rPr>
            </w:pPr>
            <w:r>
              <w:rPr>
                <w:rFonts w:ascii="Arial" w:cs="Arial" w:eastAsia="Arial" w:hAnsi="Arial"/>
                <w:sz w:val="20"/>
                <w:szCs w:val="20"/>
                <w:color w:val="231F20"/>
                <w:w w:val="98"/>
              </w:rPr>
              <w:t>Projected benefit obligation . . . . . . . . . . . . . . . . . . . . . . . . . . . . . . . . . . . .</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254</w:t>
            </w: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272</w:t>
            </w:r>
          </w:p>
        </w:tc>
      </w:tr>
      <w:tr>
        <w:trPr>
          <w:trHeight w:val="240"/>
        </w:trPr>
        <w:tc>
          <w:tcPr>
            <w:tcW w:w="6340" w:type="dxa"/>
            <w:vAlign w:val="bottom"/>
          </w:tcPr>
          <w:p>
            <w:pPr>
              <w:spacing w:after="0"/>
              <w:rPr>
                <w:sz w:val="20"/>
                <w:szCs w:val="20"/>
                <w:color w:val="auto"/>
              </w:rPr>
            </w:pPr>
            <w:r>
              <w:rPr>
                <w:rFonts w:ascii="Arial" w:cs="Arial" w:eastAsia="Arial" w:hAnsi="Arial"/>
                <w:sz w:val="20"/>
                <w:szCs w:val="20"/>
                <w:color w:val="231F20"/>
                <w:w w:val="98"/>
              </w:rPr>
              <w:t>Accumulated benefit obligation . . . . . . . . . . . . . . . . . . . . . . . . . . . . . . . . .</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251</w:t>
            </w: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268</w:t>
            </w:r>
          </w:p>
        </w:tc>
      </w:tr>
      <w:tr>
        <w:trPr>
          <w:trHeight w:val="240"/>
        </w:trPr>
        <w:tc>
          <w:tcPr>
            <w:tcW w:w="6340" w:type="dxa"/>
            <w:vAlign w:val="bottom"/>
          </w:tcPr>
          <w:p>
            <w:pPr>
              <w:spacing w:after="0"/>
              <w:rPr>
                <w:sz w:val="20"/>
                <w:szCs w:val="20"/>
                <w:color w:val="auto"/>
              </w:rPr>
            </w:pPr>
            <w:r>
              <w:rPr>
                <w:rFonts w:ascii="Arial" w:cs="Arial" w:eastAsia="Arial" w:hAnsi="Arial"/>
                <w:sz w:val="20"/>
                <w:szCs w:val="20"/>
                <w:color w:val="231F20"/>
                <w:w w:val="98"/>
              </w:rPr>
              <w:t>Fair value of plan assets . . . . . . . . . . . . . . . . . . . . . . . . . . . . . . . . . . . . . .</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346</w:t>
            </w:r>
          </w:p>
        </w:tc>
        <w:tc>
          <w:tcPr>
            <w:tcW w:w="44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332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Components of Net Periodic Benefit Cost</w:t>
      </w:r>
    </w:p>
    <w:p>
      <w:pPr>
        <w:spacing w:after="0" w:line="215" w:lineRule="exact"/>
        <w:rPr>
          <w:sz w:val="20"/>
          <w:szCs w:val="20"/>
          <w:color w:val="auto"/>
        </w:rPr>
      </w:pPr>
    </w:p>
    <w:p>
      <w:pPr>
        <w:ind w:right="420" w:firstLine="300"/>
        <w:spacing w:after="0" w:line="248" w:lineRule="auto"/>
        <w:rPr>
          <w:sz w:val="20"/>
          <w:szCs w:val="20"/>
          <w:color w:val="auto"/>
        </w:rPr>
      </w:pPr>
      <w:r>
        <w:rPr>
          <w:rFonts w:ascii="Arial" w:cs="Arial" w:eastAsia="Arial" w:hAnsi="Arial"/>
          <w:sz w:val="20"/>
          <w:szCs w:val="20"/>
          <w:color w:val="231F20"/>
        </w:rPr>
        <w:t>We record the service cost component of net periodic pension cost with other employee compensation and all other components, including settlement costs, are reported as other non-operating income (expenses), net on our consolidated statements of operations. The following table set forth the components of our net periodic pension and postretirement benefit costs: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80" w:type="dxa"/>
            <w:vAlign w:val="bottom"/>
          </w:tcPr>
          <w:p>
            <w:pPr>
              <w:spacing w:after="0"/>
              <w:rPr>
                <w:sz w:val="21"/>
                <w:szCs w:val="21"/>
                <w:color w:val="auto"/>
              </w:rPr>
            </w:pPr>
          </w:p>
        </w:tc>
        <w:tc>
          <w:tcPr>
            <w:tcW w:w="980" w:type="dxa"/>
            <w:vAlign w:val="bottom"/>
            <w:tcBorders>
              <w:bottom w:val="single" w:sz="8" w:color="231F20"/>
            </w:tcBorders>
          </w:tcPr>
          <w:p>
            <w:pPr>
              <w:spacing w:after="0"/>
              <w:rPr>
                <w:sz w:val="21"/>
                <w:szCs w:val="21"/>
                <w:color w:val="auto"/>
              </w:rPr>
            </w:pPr>
          </w:p>
        </w:tc>
        <w:tc>
          <w:tcPr>
            <w:tcW w:w="2640" w:type="dxa"/>
            <w:vAlign w:val="bottom"/>
            <w:tcBorders>
              <w:bottom w:val="single" w:sz="8" w:color="231F20"/>
            </w:tcBorders>
            <w:gridSpan w:val="6"/>
          </w:tcPr>
          <w:p>
            <w:pPr>
              <w:jc w:val="center"/>
              <w:spacing w:after="0"/>
              <w:rPr>
                <w:sz w:val="20"/>
                <w:szCs w:val="20"/>
                <w:color w:val="auto"/>
              </w:rPr>
            </w:pPr>
            <w:r>
              <w:rPr>
                <w:rFonts w:ascii="Arial" w:cs="Arial" w:eastAsia="Arial" w:hAnsi="Arial"/>
                <w:sz w:val="20"/>
                <w:szCs w:val="20"/>
                <w:b w:val="1"/>
                <w:bCs w:val="1"/>
                <w:color w:val="231F20"/>
              </w:rPr>
              <w:t>Year ended December 31,</w:t>
            </w:r>
          </w:p>
        </w:tc>
        <w:tc>
          <w:tcPr>
            <w:tcW w:w="1020" w:type="dxa"/>
            <w:vAlign w:val="bottom"/>
            <w:tcBorders>
              <w:bottom w:val="single" w:sz="8" w:color="231F20"/>
            </w:tcBorders>
          </w:tcPr>
          <w:p>
            <w:pPr>
              <w:spacing w:after="0"/>
              <w:rPr>
                <w:sz w:val="21"/>
                <w:szCs w:val="21"/>
                <w:color w:val="auto"/>
              </w:rPr>
            </w:pPr>
          </w:p>
        </w:tc>
      </w:tr>
      <w:tr>
        <w:trPr>
          <w:trHeight w:val="260"/>
        </w:trPr>
        <w:tc>
          <w:tcPr>
            <w:tcW w:w="4480" w:type="dxa"/>
            <w:vAlign w:val="bottom"/>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420" w:type="dxa"/>
            <w:vAlign w:val="bottom"/>
            <w:tcBorders>
              <w:bottom w:val="single" w:sz="8" w:color="231F20"/>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jc w:val="center"/>
              <w:ind w:right="143"/>
              <w:spacing w:after="0"/>
              <w:rPr>
                <w:sz w:val="20"/>
                <w:szCs w:val="20"/>
                <w:color w:val="auto"/>
              </w:rPr>
            </w:pPr>
            <w:r>
              <w:rPr>
                <w:rFonts w:ascii="Arial" w:cs="Arial" w:eastAsia="Arial" w:hAnsi="Arial"/>
                <w:sz w:val="20"/>
                <w:szCs w:val="20"/>
                <w:b w:val="1"/>
                <w:bCs w:val="1"/>
                <w:color w:val="231F20"/>
              </w:rPr>
              <w:t>2024</w:t>
            </w:r>
          </w:p>
        </w:tc>
        <w:tc>
          <w:tcPr>
            <w:tcW w:w="200" w:type="dxa"/>
            <w:vAlign w:val="bottom"/>
          </w:tcPr>
          <w:p>
            <w:pPr>
              <w:spacing w:after="0"/>
              <w:rPr>
                <w:sz w:val="22"/>
                <w:szCs w:val="22"/>
                <w:color w:val="auto"/>
              </w:rPr>
            </w:pPr>
          </w:p>
        </w:tc>
        <w:tc>
          <w:tcPr>
            <w:tcW w:w="4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ind w:right="400"/>
              <w:spacing w:after="0"/>
              <w:rPr>
                <w:sz w:val="20"/>
                <w:szCs w:val="20"/>
                <w:color w:val="auto"/>
              </w:rPr>
            </w:pPr>
            <w:r>
              <w:rPr>
                <w:rFonts w:ascii="Arial" w:cs="Arial" w:eastAsia="Arial" w:hAnsi="Arial"/>
                <w:sz w:val="20"/>
                <w:szCs w:val="20"/>
                <w:b w:val="1"/>
                <w:bCs w:val="1"/>
                <w:color w:val="231F20"/>
              </w:rPr>
              <w:t>2023</w:t>
            </w:r>
          </w:p>
        </w:tc>
      </w:tr>
      <w:tr>
        <w:trPr>
          <w:trHeight w:val="192"/>
        </w:trPr>
        <w:tc>
          <w:tcPr>
            <w:tcW w:w="4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23"/>
              <w:spacing w:after="0"/>
              <w:rPr>
                <w:sz w:val="20"/>
                <w:szCs w:val="20"/>
                <w:color w:val="auto"/>
              </w:rPr>
            </w:pPr>
            <w:r>
              <w:rPr>
                <w:rFonts w:ascii="Arial" w:cs="Arial" w:eastAsia="Arial" w:hAnsi="Arial"/>
                <w:sz w:val="16"/>
                <w:szCs w:val="16"/>
                <w:color w:val="231F20"/>
                <w:w w:val="98"/>
              </w:rPr>
              <w:t>(in millions)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8"/>
        </w:trPr>
        <w:tc>
          <w:tcPr>
            <w:tcW w:w="4480" w:type="dxa"/>
            <w:vAlign w:val="bottom"/>
          </w:tcPr>
          <w:p>
            <w:pPr>
              <w:spacing w:after="0"/>
              <w:rPr>
                <w:sz w:val="20"/>
                <w:szCs w:val="20"/>
                <w:color w:val="auto"/>
              </w:rPr>
            </w:pPr>
            <w:r>
              <w:rPr>
                <w:rFonts w:ascii="Arial" w:cs="Arial" w:eastAsia="Arial" w:hAnsi="Arial"/>
                <w:sz w:val="20"/>
                <w:szCs w:val="20"/>
                <w:b w:val="1"/>
                <w:bCs w:val="1"/>
                <w:color w:val="231F20"/>
              </w:rPr>
              <w:t>Pension</w:t>
            </w: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0"/>
        </w:trPr>
        <w:tc>
          <w:tcPr>
            <w:tcW w:w="4480" w:type="dxa"/>
            <w:vAlign w:val="bottom"/>
          </w:tcPr>
          <w:p>
            <w:pPr>
              <w:spacing w:after="0"/>
              <w:rPr>
                <w:sz w:val="20"/>
                <w:szCs w:val="20"/>
                <w:color w:val="auto"/>
              </w:rPr>
            </w:pPr>
            <w:r>
              <w:rPr>
                <w:rFonts w:ascii="Arial" w:cs="Arial" w:eastAsia="Arial" w:hAnsi="Arial"/>
                <w:sz w:val="20"/>
                <w:szCs w:val="20"/>
                <w:color w:val="231F20"/>
              </w:rPr>
              <w:t>Net periodic benefit costs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0"/>
        </w:trPr>
        <w:tc>
          <w:tcPr>
            <w:tcW w:w="4480" w:type="dxa"/>
            <w:vAlign w:val="bottom"/>
          </w:tcPr>
          <w:p>
            <w:pPr>
              <w:ind w:left="200"/>
              <w:spacing w:after="0"/>
              <w:rPr>
                <w:sz w:val="20"/>
                <w:szCs w:val="20"/>
                <w:color w:val="auto"/>
              </w:rPr>
            </w:pPr>
            <w:r>
              <w:rPr>
                <w:rFonts w:ascii="Arial" w:cs="Arial" w:eastAsia="Arial" w:hAnsi="Arial"/>
                <w:sz w:val="20"/>
                <w:szCs w:val="20"/>
                <w:color w:val="231F20"/>
              </w:rPr>
              <w:t>Service cost - benefits earned during the</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0"/>
        </w:trPr>
        <w:tc>
          <w:tcPr>
            <w:tcW w:w="4480" w:type="dxa"/>
            <w:vAlign w:val="bottom"/>
          </w:tcPr>
          <w:p>
            <w:pPr>
              <w:ind w:left="200"/>
              <w:spacing w:after="0"/>
              <w:rPr>
                <w:sz w:val="20"/>
                <w:szCs w:val="20"/>
                <w:color w:val="auto"/>
              </w:rPr>
            </w:pPr>
            <w:r>
              <w:rPr>
                <w:rFonts w:ascii="Arial" w:cs="Arial" w:eastAsia="Arial" w:hAnsi="Arial"/>
                <w:sz w:val="20"/>
                <w:szCs w:val="20"/>
                <w:color w:val="231F20"/>
              </w:rPr>
              <w:t>period . . . . . . . . . . . . . . . . . . . . . . . . . . . . . . . . .</w:t>
            </w:r>
          </w:p>
        </w:tc>
        <w:tc>
          <w:tcPr>
            <w:tcW w:w="980" w:type="dxa"/>
            <w:vAlign w:val="bottom"/>
          </w:tcPr>
          <w:p>
            <w:pPr>
              <w:jc w:val="right"/>
              <w:ind w:right="720"/>
              <w:spacing w:after="0"/>
              <w:rPr>
                <w:sz w:val="20"/>
                <w:szCs w:val="20"/>
                <w:color w:val="auto"/>
              </w:rPr>
            </w:pPr>
            <w:r>
              <w:rPr>
                <w:rFonts w:ascii="Arial" w:cs="Arial" w:eastAsia="Arial" w:hAnsi="Arial"/>
                <w:sz w:val="20"/>
                <w:szCs w:val="20"/>
                <w:color w:val="231F20"/>
              </w:rPr>
              <w:t>$</w:t>
            </w:r>
          </w:p>
        </w:tc>
        <w:tc>
          <w:tcPr>
            <w:tcW w:w="420" w:type="dxa"/>
            <w:vAlign w:val="bottom"/>
          </w:tcPr>
          <w:p>
            <w:pPr>
              <w:jc w:val="right"/>
              <w:spacing w:after="0"/>
              <w:rPr>
                <w:sz w:val="20"/>
                <w:szCs w:val="20"/>
                <w:color w:val="auto"/>
              </w:rPr>
            </w:pPr>
            <w:r>
              <w:rPr>
                <w:rFonts w:ascii="Arial" w:cs="Arial" w:eastAsia="Arial" w:hAnsi="Arial"/>
                <w:sz w:val="20"/>
                <w:szCs w:val="20"/>
                <w:color w:val="231F20"/>
              </w:rPr>
              <w:t>1</w:t>
            </w:r>
          </w:p>
        </w:tc>
        <w:tc>
          <w:tcPr>
            <w:tcW w:w="44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1180" w:type="dxa"/>
            <w:vAlign w:val="bottom"/>
          </w:tcPr>
          <w:p>
            <w:pPr>
              <w:jc w:val="right"/>
              <w:spacing w:after="0"/>
              <w:rPr>
                <w:sz w:val="20"/>
                <w:szCs w:val="20"/>
                <w:color w:val="auto"/>
              </w:rPr>
            </w:pPr>
            <w:r>
              <w:rPr>
                <w:rFonts w:ascii="Arial" w:cs="Arial" w:eastAsia="Arial" w:hAnsi="Arial"/>
                <w:sz w:val="20"/>
                <w:szCs w:val="20"/>
                <w:color w:val="231F20"/>
              </w:rPr>
              <w:t>3</w:t>
            </w:r>
          </w:p>
        </w:tc>
        <w:tc>
          <w:tcPr>
            <w:tcW w:w="600" w:type="dxa"/>
            <w:vAlign w:val="bottom"/>
            <w:gridSpan w:val="2"/>
          </w:tcPr>
          <w:p>
            <w:pPr>
              <w:jc w:val="right"/>
              <w:ind w:right="24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1</w:t>
            </w:r>
          </w:p>
        </w:tc>
      </w:tr>
      <w:tr>
        <w:trPr>
          <w:trHeight w:val="240"/>
        </w:trPr>
        <w:tc>
          <w:tcPr>
            <w:tcW w:w="4480" w:type="dxa"/>
            <w:vAlign w:val="bottom"/>
          </w:tcPr>
          <w:p>
            <w:pPr>
              <w:ind w:left="200"/>
              <w:spacing w:after="0"/>
              <w:rPr>
                <w:sz w:val="20"/>
                <w:szCs w:val="20"/>
                <w:color w:val="auto"/>
              </w:rPr>
            </w:pPr>
            <w:r>
              <w:rPr>
                <w:rFonts w:ascii="Arial" w:cs="Arial" w:eastAsia="Arial" w:hAnsi="Arial"/>
                <w:sz w:val="20"/>
                <w:szCs w:val="20"/>
                <w:color w:val="231F20"/>
              </w:rPr>
              <w:t>Interest cost on projected benefit</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0"/>
        </w:trPr>
        <w:tc>
          <w:tcPr>
            <w:tcW w:w="4480" w:type="dxa"/>
            <w:vAlign w:val="bottom"/>
          </w:tcPr>
          <w:p>
            <w:pPr>
              <w:ind w:left="200"/>
              <w:spacing w:after="0"/>
              <w:rPr>
                <w:sz w:val="20"/>
                <w:szCs w:val="20"/>
                <w:color w:val="auto"/>
              </w:rPr>
            </w:pPr>
            <w:r>
              <w:rPr>
                <w:rFonts w:ascii="Arial" w:cs="Arial" w:eastAsia="Arial" w:hAnsi="Arial"/>
                <w:sz w:val="20"/>
                <w:szCs w:val="20"/>
                <w:color w:val="231F20"/>
              </w:rPr>
              <w:t>obligation . . . . . . . . . . . . . . . . . . . . . . . . . . . . . .</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31F20"/>
              </w:rPr>
              <w:t>14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231F20"/>
              </w:rPr>
              <w:t>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w:t>
            </w:r>
          </w:p>
        </w:tc>
      </w:tr>
      <w:tr>
        <w:trPr>
          <w:trHeight w:val="240"/>
        </w:trPr>
        <w:tc>
          <w:tcPr>
            <w:tcW w:w="4480" w:type="dxa"/>
            <w:vAlign w:val="bottom"/>
          </w:tcPr>
          <w:p>
            <w:pPr>
              <w:ind w:left="200"/>
              <w:spacing w:after="0"/>
              <w:rPr>
                <w:sz w:val="20"/>
                <w:szCs w:val="20"/>
                <w:color w:val="auto"/>
              </w:rPr>
            </w:pPr>
            <w:r>
              <w:rPr>
                <w:rFonts w:ascii="Arial" w:cs="Arial" w:eastAsia="Arial" w:hAnsi="Arial"/>
                <w:sz w:val="20"/>
                <w:szCs w:val="20"/>
                <w:color w:val="231F20"/>
              </w:rPr>
              <w:t>Expected return on plan assets . . . . . . . . . . . .</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31F20"/>
              </w:rPr>
              <w:t>(22)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231F20"/>
              </w:rPr>
              <w:t>(13)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(2)</w:t>
            </w:r>
          </w:p>
        </w:tc>
      </w:tr>
      <w:tr>
        <w:trPr>
          <w:trHeight w:val="240"/>
        </w:trPr>
        <w:tc>
          <w:tcPr>
            <w:tcW w:w="4480" w:type="dxa"/>
            <w:vAlign w:val="bottom"/>
          </w:tcPr>
          <w:p>
            <w:pPr>
              <w:ind w:left="200"/>
              <w:spacing w:after="0"/>
              <w:rPr>
                <w:sz w:val="20"/>
                <w:szCs w:val="20"/>
                <w:color w:val="auto"/>
              </w:rPr>
            </w:pPr>
            <w:r>
              <w:rPr>
                <w:rFonts w:ascii="Arial" w:cs="Arial" w:eastAsia="Arial" w:hAnsi="Arial"/>
                <w:sz w:val="20"/>
                <w:szCs w:val="20"/>
                <w:color w:val="231F20"/>
              </w:rPr>
              <w:t>Settlement costs . . . . . . . . . . . . . . . . . . . . . . . .</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30"/>
        </w:trPr>
        <w:tc>
          <w:tcPr>
            <w:tcW w:w="44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r>
      <w:tr>
        <w:trPr>
          <w:trHeight w:val="272"/>
        </w:trPr>
        <w:tc>
          <w:tcPr>
            <w:tcW w:w="4480" w:type="dxa"/>
            <w:vAlign w:val="bottom"/>
          </w:tcPr>
          <w:p>
            <w:pPr>
              <w:ind w:left="200"/>
              <w:spacing w:after="0"/>
              <w:rPr>
                <w:sz w:val="20"/>
                <w:szCs w:val="20"/>
                <w:color w:val="auto"/>
              </w:rPr>
            </w:pPr>
            <w:r>
              <w:rPr>
                <w:rFonts w:ascii="Arial" w:cs="Arial" w:eastAsia="Arial" w:hAnsi="Arial"/>
                <w:sz w:val="20"/>
                <w:szCs w:val="20"/>
                <w:color w:val="231F20"/>
              </w:rPr>
              <w:t>Net periodic benefit costs . . . . . . . . . . . . . . . . .</w:t>
            </w:r>
          </w:p>
        </w:tc>
        <w:tc>
          <w:tcPr>
            <w:tcW w:w="980" w:type="dxa"/>
            <w:vAlign w:val="bottom"/>
          </w:tcPr>
          <w:p>
            <w:pPr>
              <w:jc w:val="right"/>
              <w:ind w:right="760"/>
              <w:spacing w:after="0"/>
              <w:rPr>
                <w:sz w:val="20"/>
                <w:szCs w:val="20"/>
                <w:color w:val="auto"/>
              </w:rPr>
            </w:pPr>
            <w:r>
              <w:rPr>
                <w:rFonts w:ascii="Arial" w:cs="Arial" w:eastAsia="Arial" w:hAnsi="Arial"/>
                <w:sz w:val="20"/>
                <w:szCs w:val="20"/>
                <w:color w:val="231F20"/>
                <w:w w:val="89"/>
              </w:rPr>
              <w:t>$</w:t>
            </w:r>
          </w:p>
        </w:tc>
        <w:tc>
          <w:tcPr>
            <w:tcW w:w="420" w:type="dxa"/>
            <w:vAlign w:val="bottom"/>
          </w:tcPr>
          <w:p>
            <w:pPr>
              <w:jc w:val="right"/>
              <w:spacing w:after="0"/>
              <w:rPr>
                <w:sz w:val="20"/>
                <w:szCs w:val="20"/>
                <w:color w:val="auto"/>
              </w:rPr>
            </w:pPr>
            <w:r>
              <w:rPr>
                <w:rFonts w:ascii="Arial" w:cs="Arial" w:eastAsia="Arial" w:hAnsi="Arial"/>
                <w:sz w:val="20"/>
                <w:szCs w:val="20"/>
                <w:color w:val="231F20"/>
              </w:rPr>
              <w:t>(9)</w:t>
            </w:r>
          </w:p>
        </w:tc>
        <w:tc>
          <w:tcPr>
            <w:tcW w:w="44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1180" w:type="dxa"/>
            <w:vAlign w:val="bottom"/>
          </w:tcPr>
          <w:p>
            <w:pPr>
              <w:jc w:val="right"/>
              <w:spacing w:after="0"/>
              <w:rPr>
                <w:sz w:val="20"/>
                <w:szCs w:val="20"/>
                <w:color w:val="auto"/>
              </w:rPr>
            </w:pPr>
            <w:r>
              <w:rPr>
                <w:rFonts w:ascii="Arial" w:cs="Arial" w:eastAsia="Arial" w:hAnsi="Arial"/>
                <w:sz w:val="20"/>
                <w:szCs w:val="20"/>
                <w:color w:val="231F20"/>
              </w:rPr>
              <w:t>(2)</w:t>
            </w:r>
          </w:p>
        </w:tc>
        <w:tc>
          <w:tcPr>
            <w:tcW w:w="600" w:type="dxa"/>
            <w:vAlign w:val="bottom"/>
            <w:gridSpan w:val="2"/>
          </w:tcPr>
          <w:p>
            <w:pPr>
              <w:jc w:val="right"/>
              <w:ind w:right="300"/>
              <w:spacing w:after="0"/>
              <w:rPr>
                <w:sz w:val="20"/>
                <w:szCs w:val="20"/>
                <w:color w:val="auto"/>
              </w:rPr>
            </w:pPr>
            <w:r>
              <w:rPr>
                <w:rFonts w:ascii="Arial" w:cs="Arial" w:eastAsia="Arial" w:hAnsi="Arial"/>
                <w:sz w:val="20"/>
                <w:szCs w:val="20"/>
                <w:color w:val="231F20"/>
              </w:rPr>
              <w:t>$</w:t>
            </w:r>
          </w:p>
        </w:tc>
        <w:tc>
          <w:tcPr>
            <w:tcW w:w="102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8"/>
        </w:trPr>
        <w:tc>
          <w:tcPr>
            <w:tcW w:w="44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Postretirement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Net periodic benefit costs</w:t>
      </w:r>
    </w:p>
    <w:p>
      <w:pPr>
        <w:spacing w:after="0" w:line="15" w:lineRule="exact"/>
        <w:rPr>
          <w:sz w:val="20"/>
          <w:szCs w:val="20"/>
          <w:color w:val="auto"/>
        </w:rPr>
      </w:pPr>
    </w:p>
    <w:p>
      <w:pPr>
        <w:ind w:left="200"/>
        <w:spacing w:after="0" w:line="263" w:lineRule="auto"/>
        <w:rPr>
          <w:sz w:val="20"/>
          <w:szCs w:val="20"/>
          <w:color w:val="auto"/>
        </w:rPr>
      </w:pPr>
      <w:r>
        <w:rPr>
          <w:rFonts w:ascii="Arial" w:cs="Arial" w:eastAsia="Arial" w:hAnsi="Arial"/>
          <w:sz w:val="19"/>
          <w:szCs w:val="19"/>
          <w:color w:val="231F20"/>
        </w:rPr>
        <w:t>Service cost - benefits earned during the period . . . . . . . . . . . . . . . . . . . . . . . . . . . . . . . . . Interest cost on projected benefit</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obligation . . . . . . . . . . . . . . . . . . . . . . . . . . . . . .</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Expected return on plan assets . . . . . . . . . . . .</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Cost of special termination benefits . . . . . . . . .</w:t>
      </w:r>
    </w:p>
    <w:p>
      <w:pPr>
        <w:spacing w:after="0" w:line="17" w:lineRule="exact"/>
        <w:rPr>
          <w:sz w:val="20"/>
          <w:szCs w:val="20"/>
          <w:color w:val="auto"/>
        </w:rPr>
      </w:pPr>
    </w:p>
    <w:p>
      <w:pPr>
        <w:ind w:left="200"/>
        <w:spacing w:after="0"/>
        <w:tabs>
          <w:tab w:leader="none" w:pos="3780" w:val="left"/>
        </w:tabs>
        <w:rPr>
          <w:sz w:val="20"/>
          <w:szCs w:val="20"/>
          <w:color w:val="auto"/>
        </w:rPr>
      </w:pPr>
      <w:r>
        <w:rPr>
          <w:rFonts w:ascii="Arial" w:cs="Arial" w:eastAsia="Arial" w:hAnsi="Arial"/>
          <w:sz w:val="20"/>
          <w:szCs w:val="20"/>
          <w:color w:val="231F20"/>
        </w:rPr>
        <w:t>Amortization of prior service cost credit</w:t>
      </w:r>
      <w:r>
        <w:rPr>
          <w:sz w:val="20"/>
          <w:szCs w:val="20"/>
          <w:color w:val="auto"/>
        </w:rPr>
        <w:tab/>
      </w:r>
      <w:r>
        <w:rPr>
          <w:rFonts w:ascii="Arial" w:cs="Arial" w:eastAsia="Arial" w:hAnsi="Arial"/>
          <w:sz w:val="19"/>
          <w:szCs w:val="19"/>
          <w:color w:val="231F20"/>
        </w:rPr>
        <w:t>. . . . .</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Amortization of net actuarial gain . . . . . . . . . . .</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9"/>
          <w:szCs w:val="19"/>
          <w:color w:val="231F20"/>
        </w:rPr>
        <w:t>Curtailment gain  . . . . . . . . . . . . . . . . . . . . . . . .</w:t>
      </w:r>
    </w:p>
    <w:p>
      <w:pPr>
        <w:spacing w:after="0" w:line="102" w:lineRule="exact"/>
        <w:rPr>
          <w:sz w:val="20"/>
          <w:szCs w:val="20"/>
          <w:color w:val="auto"/>
        </w:rPr>
      </w:pPr>
    </w:p>
    <w:p>
      <w:pPr>
        <w:jc w:val="center"/>
        <w:ind w:left="200"/>
        <w:spacing w:after="0"/>
        <w:rPr>
          <w:sz w:val="20"/>
          <w:szCs w:val="20"/>
          <w:color w:val="auto"/>
        </w:rPr>
      </w:pPr>
      <w:r>
        <w:rPr>
          <w:rFonts w:ascii="Arial" w:cs="Arial" w:eastAsia="Arial" w:hAnsi="Arial"/>
          <w:sz w:val="19"/>
          <w:szCs w:val="19"/>
          <w:color w:val="231F20"/>
        </w:rPr>
        <w:t>Net periodic benefit costs . .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400"/>
              <w:spacing w:after="0"/>
              <w:rPr>
                <w:sz w:val="20"/>
                <w:szCs w:val="20"/>
                <w:color w:val="auto"/>
              </w:rPr>
            </w:pPr>
            <w:r>
              <w:rPr>
                <w:rFonts w:ascii="Arial" w:cs="Arial" w:eastAsia="Arial" w:hAnsi="Arial"/>
                <w:sz w:val="20"/>
                <w:szCs w:val="20"/>
                <w:color w:val="231F20"/>
                <w:w w:val="89"/>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2</w:t>
            </w:r>
          </w:p>
        </w:tc>
        <w:tc>
          <w:tcPr>
            <w:tcW w:w="840" w:type="dxa"/>
            <w:vAlign w:val="bottom"/>
            <w:gridSpan w:val="2"/>
          </w:tcPr>
          <w:p>
            <w:pPr>
              <w:jc w:val="right"/>
              <w:ind w:right="520"/>
              <w:spacing w:after="0"/>
              <w:rPr>
                <w:sz w:val="20"/>
                <w:szCs w:val="20"/>
                <w:color w:val="auto"/>
              </w:rPr>
            </w:pPr>
            <w:r>
              <w:rPr>
                <w:rFonts w:ascii="Arial" w:cs="Arial" w:eastAsia="Arial" w:hAnsi="Arial"/>
                <w:sz w:val="20"/>
                <w:szCs w:val="20"/>
                <w:color w:val="231F20"/>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2</w:t>
            </w:r>
          </w:p>
        </w:tc>
        <w:tc>
          <w:tcPr>
            <w:tcW w:w="820" w:type="dxa"/>
            <w:vAlign w:val="bottom"/>
            <w:gridSpan w:val="2"/>
          </w:tcPr>
          <w:p>
            <w:pPr>
              <w:jc w:val="right"/>
              <w:ind w:right="520"/>
              <w:spacing w:after="0"/>
              <w:rPr>
                <w:sz w:val="20"/>
                <w:szCs w:val="20"/>
                <w:color w:val="auto"/>
              </w:rPr>
            </w:pPr>
            <w:r>
              <w:rPr>
                <w:rFonts w:ascii="Arial" w:cs="Arial" w:eastAsia="Arial" w:hAnsi="Arial"/>
                <w:sz w:val="20"/>
                <w:szCs w:val="20"/>
                <w:color w:val="231F20"/>
              </w:rPr>
              <w:t>$</w:t>
            </w:r>
          </w:p>
        </w:tc>
        <w:tc>
          <w:tcPr>
            <w:tcW w:w="800" w:type="dxa"/>
            <w:vAlign w:val="bottom"/>
          </w:tcPr>
          <w:p>
            <w:pPr>
              <w:jc w:val="right"/>
              <w:spacing w:after="0"/>
              <w:rPr>
                <w:sz w:val="20"/>
                <w:szCs w:val="20"/>
                <w:color w:val="auto"/>
              </w:rPr>
            </w:pPr>
            <w:r>
              <w:rPr>
                <w:rFonts w:ascii="Arial" w:cs="Arial" w:eastAsia="Arial" w:hAnsi="Arial"/>
                <w:sz w:val="20"/>
                <w:szCs w:val="20"/>
                <w:color w:val="231F20"/>
              </w:rPr>
              <w:t>2</w:t>
            </w:r>
          </w:p>
        </w:tc>
      </w:tr>
      <w:tr>
        <w:trPr>
          <w:trHeight w:val="480"/>
        </w:trPr>
        <w:tc>
          <w:tcPr>
            <w:tcW w:w="6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5</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2</w:t>
            </w:r>
          </w:p>
        </w:tc>
      </w:tr>
      <w:tr>
        <w:trPr>
          <w:trHeight w:val="240"/>
        </w:trPr>
        <w:tc>
          <w:tcPr>
            <w:tcW w:w="6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(3)</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6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6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(5)</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(5)</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(5)</w:t>
            </w:r>
          </w:p>
        </w:tc>
      </w:tr>
      <w:tr>
        <w:trPr>
          <w:trHeight w:val="240"/>
        </w:trPr>
        <w:tc>
          <w:tcPr>
            <w:tcW w:w="6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(1)</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(2)</w:t>
            </w:r>
          </w:p>
        </w:tc>
      </w:tr>
      <w:tr>
        <w:trPr>
          <w:trHeight w:val="240"/>
        </w:trPr>
        <w:tc>
          <w:tcPr>
            <w:tcW w:w="6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(3)</w:t>
            </w:r>
          </w:p>
        </w:tc>
      </w:tr>
      <w:tr>
        <w:trPr>
          <w:trHeight w:val="28"/>
        </w:trPr>
        <w:tc>
          <w:tcPr>
            <w:tcW w:w="62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72"/>
        </w:trPr>
        <w:tc>
          <w:tcPr>
            <w:tcW w:w="620" w:type="dxa"/>
            <w:vAlign w:val="bottom"/>
          </w:tcPr>
          <w:p>
            <w:pPr>
              <w:jc w:val="right"/>
              <w:ind w:right="400"/>
              <w:spacing w:after="0"/>
              <w:rPr>
                <w:sz w:val="20"/>
                <w:szCs w:val="20"/>
                <w:color w:val="auto"/>
              </w:rPr>
            </w:pPr>
            <w:r>
              <w:rPr>
                <w:rFonts w:ascii="Arial" w:cs="Arial" w:eastAsia="Arial" w:hAnsi="Arial"/>
                <w:sz w:val="20"/>
                <w:szCs w:val="20"/>
                <w:color w:val="231F20"/>
                <w:w w:val="89"/>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(3)</w:t>
            </w:r>
          </w:p>
        </w:tc>
        <w:tc>
          <w:tcPr>
            <w:tcW w:w="840" w:type="dxa"/>
            <w:vAlign w:val="bottom"/>
            <w:gridSpan w:val="2"/>
          </w:tcPr>
          <w:p>
            <w:pPr>
              <w:jc w:val="right"/>
              <w:ind w:right="520"/>
              <w:spacing w:after="0"/>
              <w:rPr>
                <w:sz w:val="20"/>
                <w:szCs w:val="20"/>
                <w:color w:val="auto"/>
              </w:rPr>
            </w:pPr>
            <w:r>
              <w:rPr>
                <w:rFonts w:ascii="Arial" w:cs="Arial" w:eastAsia="Arial" w:hAnsi="Arial"/>
                <w:sz w:val="20"/>
                <w:szCs w:val="20"/>
                <w:color w:val="231F20"/>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(2)</w:t>
            </w:r>
          </w:p>
        </w:tc>
        <w:tc>
          <w:tcPr>
            <w:tcW w:w="820" w:type="dxa"/>
            <w:vAlign w:val="bottom"/>
            <w:gridSpan w:val="2"/>
          </w:tcPr>
          <w:p>
            <w:pPr>
              <w:jc w:val="right"/>
              <w:ind w:right="520"/>
              <w:spacing w:after="0"/>
              <w:rPr>
                <w:sz w:val="20"/>
                <w:szCs w:val="20"/>
                <w:color w:val="auto"/>
              </w:rPr>
            </w:pPr>
            <w:r>
              <w:rPr>
                <w:rFonts w:ascii="Arial" w:cs="Arial" w:eastAsia="Arial" w:hAnsi="Arial"/>
                <w:sz w:val="20"/>
                <w:szCs w:val="20"/>
                <w:color w:val="231F20"/>
              </w:rPr>
              <w:t>$</w:t>
            </w:r>
          </w:p>
        </w:tc>
        <w:tc>
          <w:tcPr>
            <w:tcW w:w="800" w:type="dxa"/>
            <w:vAlign w:val="bottom"/>
          </w:tcPr>
          <w:p>
            <w:pPr>
              <w:jc w:val="right"/>
              <w:spacing w:after="0"/>
              <w:rPr>
                <w:sz w:val="20"/>
                <w:szCs w:val="20"/>
                <w:color w:val="auto"/>
              </w:rPr>
            </w:pPr>
            <w:r>
              <w:rPr>
                <w:rFonts w:ascii="Arial" w:cs="Arial" w:eastAsia="Arial" w:hAnsi="Arial"/>
                <w:sz w:val="20"/>
                <w:szCs w:val="20"/>
                <w:color w:val="231F20"/>
              </w:rPr>
              <w:t>(6)</w:t>
            </w:r>
          </w:p>
        </w:tc>
      </w:tr>
      <w:tr>
        <w:trPr>
          <w:trHeight w:val="28"/>
        </w:trPr>
        <w:tc>
          <w:tcPr>
            <w:tcW w:w="62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r>
      <w:tr>
        <w:trPr>
          <w:trHeight w:val="20"/>
        </w:trPr>
        <w:tc>
          <w:tcPr>
            <w:tcW w:w="6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4280" w:space="200"/>
            <w:col w:w="4640"/>
          </w:cols>
          <w:pgMar w:left="1380" w:top="1316" w:right="1380" w:bottom="6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137</w:t>
      </w:r>
    </w:p>
    <w:p>
      <w:pPr>
        <w:sectPr>
          <w:pgSz w:w="11880" w:h="15480" w:orient="portrait"/>
          <w:cols w:equalWidth="0" w:num="1">
            <w:col w:w="9120"/>
          </w:cols>
          <w:pgMar w:left="1380" w:top="1316" w:right="1380" w:bottom="660" w:gutter="0" w:footer="0" w:header="0"/>
          <w:type w:val="continuous"/>
        </w:sectPr>
      </w:pPr>
    </w:p>
    <w:bookmarkStart w:id="141" w:name="page142"/>
    <w:bookmarkEnd w:id="141"/>
    <w:p>
      <w:pPr>
        <w:ind w:right="200" w:firstLine="300"/>
        <w:spacing w:after="0" w:line="246" w:lineRule="auto"/>
        <w:rPr>
          <w:sz w:val="20"/>
          <w:szCs w:val="20"/>
          <w:color w:val="auto"/>
        </w:rPr>
      </w:pPr>
      <w:r>
        <w:rPr>
          <w:rFonts w:ascii="Arial" w:cs="Arial" w:eastAsia="Arial" w:hAnsi="Arial"/>
          <w:sz w:val="20"/>
          <w:szCs w:val="20"/>
          <w:color w:val="231F20"/>
        </w:rPr>
        <w:t>Components of accumulated other comprehensive income (loss) (AOCI) are presented net of tax. The following table presents the changes in plan assets and benefit obligations recognized in other comprehensive (loss)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0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3880" w:type="dxa"/>
            <w:vAlign w:val="bottom"/>
            <w:tcBorders>
              <w:bottom w:val="single" w:sz="8" w:color="231F20"/>
            </w:tcBorders>
            <w:gridSpan w:val="7"/>
          </w:tcPr>
          <w:p>
            <w:pPr>
              <w:jc w:val="right"/>
              <w:ind w:right="740"/>
              <w:spacing w:after="0"/>
              <w:rPr>
                <w:sz w:val="20"/>
                <w:szCs w:val="20"/>
                <w:color w:val="auto"/>
              </w:rPr>
            </w:pPr>
            <w:r>
              <w:rPr>
                <w:rFonts w:ascii="Arial" w:cs="Arial" w:eastAsia="Arial" w:hAnsi="Arial"/>
                <w:sz w:val="20"/>
                <w:szCs w:val="20"/>
                <w:b w:val="1"/>
                <w:bCs w:val="1"/>
                <w:color w:val="231F20"/>
              </w:rPr>
              <w:t>Year ended December 31,</w:t>
            </w:r>
          </w:p>
        </w:tc>
        <w:tc>
          <w:tcPr>
            <w:tcW w:w="0" w:type="dxa"/>
            <w:vAlign w:val="bottom"/>
          </w:tcPr>
          <w:p>
            <w:pPr>
              <w:spacing w:after="0"/>
              <w:rPr>
                <w:sz w:val="1"/>
                <w:szCs w:val="1"/>
                <w:color w:val="auto"/>
              </w:rPr>
            </w:pPr>
          </w:p>
        </w:tc>
      </w:tr>
      <w:tr>
        <w:trPr>
          <w:trHeight w:val="260"/>
        </w:trPr>
        <w:tc>
          <w:tcPr>
            <w:tcW w:w="50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ind w:right="200"/>
              <w:spacing w:after="0"/>
              <w:rPr>
                <w:sz w:val="20"/>
                <w:szCs w:val="20"/>
                <w:color w:val="auto"/>
              </w:rPr>
            </w:pPr>
            <w:r>
              <w:rPr>
                <w:rFonts w:ascii="Arial" w:cs="Arial" w:eastAsia="Arial" w:hAnsi="Arial"/>
                <w:sz w:val="20"/>
                <w:szCs w:val="20"/>
                <w:b w:val="1"/>
                <w:bCs w:val="1"/>
                <w:color w:val="231F20"/>
              </w:rPr>
              <w:t>2025</w:t>
            </w:r>
          </w:p>
        </w:tc>
        <w:tc>
          <w:tcPr>
            <w:tcW w:w="20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402"/>
              <w:spacing w:after="0"/>
              <w:rPr>
                <w:sz w:val="20"/>
                <w:szCs w:val="20"/>
                <w:color w:val="auto"/>
              </w:rPr>
            </w:pPr>
            <w:r>
              <w:rPr>
                <w:rFonts w:ascii="Arial" w:cs="Arial" w:eastAsia="Arial" w:hAnsi="Arial"/>
                <w:sz w:val="20"/>
                <w:szCs w:val="20"/>
                <w:b w:val="1"/>
                <w:bCs w:val="1"/>
                <w:color w:val="231F20"/>
              </w:rPr>
              <w:t>2024</w:t>
            </w:r>
          </w:p>
        </w:tc>
        <w:tc>
          <w:tcPr>
            <w:tcW w:w="20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300"/>
              <w:spacing w:after="0"/>
              <w:rPr>
                <w:sz w:val="20"/>
                <w:szCs w:val="20"/>
                <w:color w:val="auto"/>
              </w:rPr>
            </w:pPr>
            <w:r>
              <w:rPr>
                <w:rFonts w:ascii="Arial" w:cs="Arial" w:eastAsia="Arial" w:hAnsi="Arial"/>
                <w:sz w:val="20"/>
                <w:szCs w:val="20"/>
                <w:b w:val="1"/>
                <w:bCs w:val="1"/>
                <w:color w:val="231F20"/>
              </w:rPr>
              <w:t>2023</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231F20"/>
              </w:rPr>
              <w:t>(in millions)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00" w:type="dxa"/>
            <w:vAlign w:val="bottom"/>
          </w:tcPr>
          <w:p>
            <w:pPr>
              <w:spacing w:after="0"/>
              <w:rPr>
                <w:sz w:val="20"/>
                <w:szCs w:val="20"/>
                <w:color w:val="auto"/>
              </w:rPr>
            </w:pPr>
            <w:r>
              <w:rPr>
                <w:rFonts w:ascii="Arial" w:cs="Arial" w:eastAsia="Arial" w:hAnsi="Arial"/>
                <w:sz w:val="20"/>
                <w:szCs w:val="20"/>
                <w:b w:val="1"/>
                <w:bCs w:val="1"/>
                <w:color w:val="231F20"/>
              </w:rPr>
              <w:t>Pension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000" w:type="dxa"/>
            <w:vAlign w:val="bottom"/>
          </w:tcPr>
          <w:p>
            <w:pPr>
              <w:jc w:val="right"/>
              <w:ind w:right="100"/>
              <w:spacing w:after="0"/>
              <w:rPr>
                <w:sz w:val="20"/>
                <w:szCs w:val="20"/>
                <w:color w:val="auto"/>
              </w:rPr>
            </w:pPr>
            <w:r>
              <w:rPr>
                <w:rFonts w:ascii="Arial" w:cs="Arial" w:eastAsia="Arial" w:hAnsi="Arial"/>
                <w:sz w:val="20"/>
                <w:szCs w:val="20"/>
                <w:color w:val="231F20"/>
              </w:rPr>
              <w:t>Net actuarial gain  . . . . . . . . . . . . . . . . . . . . . . . . . . . .</w:t>
            </w:r>
          </w:p>
        </w:tc>
        <w:tc>
          <w:tcPr>
            <w:tcW w:w="240" w:type="dxa"/>
            <w:vAlign w:val="bottom"/>
          </w:tcPr>
          <w:p>
            <w:pPr>
              <w:jc w:val="right"/>
              <w:ind w:right="20"/>
              <w:spacing w:after="0"/>
              <w:rPr>
                <w:sz w:val="20"/>
                <w:szCs w:val="20"/>
                <w:color w:val="auto"/>
              </w:rPr>
            </w:pPr>
            <w:r>
              <w:rPr>
                <w:rFonts w:ascii="Arial" w:cs="Arial" w:eastAsia="Arial" w:hAnsi="Arial"/>
                <w:sz w:val="20"/>
                <w:szCs w:val="20"/>
                <w:color w:val="231F20"/>
                <w:w w:val="89"/>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(23)</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c>
          <w:tcPr>
            <w:tcW w:w="1140" w:type="dxa"/>
            <w:vAlign w:val="bottom"/>
          </w:tcPr>
          <w:p>
            <w:pPr>
              <w:jc w:val="right"/>
              <w:spacing w:after="0"/>
              <w:rPr>
                <w:sz w:val="20"/>
                <w:szCs w:val="20"/>
                <w:color w:val="auto"/>
              </w:rPr>
            </w:pPr>
            <w:r>
              <w:rPr>
                <w:rFonts w:ascii="Arial" w:cs="Arial" w:eastAsia="Arial" w:hAnsi="Arial"/>
                <w:sz w:val="20"/>
                <w:szCs w:val="20"/>
                <w:color w:val="231F20"/>
              </w:rPr>
              <w:t>—</w:t>
            </w:r>
          </w:p>
        </w:tc>
        <w:tc>
          <w:tcPr>
            <w:tcW w:w="48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40"/>
        </w:trPr>
        <w:tc>
          <w:tcPr>
            <w:tcW w:w="5000" w:type="dxa"/>
            <w:vAlign w:val="bottom"/>
          </w:tcPr>
          <w:p>
            <w:pPr>
              <w:jc w:val="right"/>
              <w:ind w:right="100"/>
              <w:spacing w:after="0"/>
              <w:rPr>
                <w:sz w:val="20"/>
                <w:szCs w:val="20"/>
                <w:color w:val="auto"/>
              </w:rPr>
            </w:pPr>
            <w:r>
              <w:rPr>
                <w:rFonts w:ascii="Arial" w:cs="Arial" w:eastAsia="Arial" w:hAnsi="Arial"/>
                <w:sz w:val="20"/>
                <w:szCs w:val="20"/>
                <w:color w:val="231F20"/>
              </w:rPr>
              <w:t>Settlement costs . . . . . . . . . . . . . . . . . . . . . . . . . . . .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30"/>
        </w:trPr>
        <w:tc>
          <w:tcPr>
            <w:tcW w:w="50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000" w:type="dxa"/>
            <w:vAlign w:val="bottom"/>
          </w:tcPr>
          <w:p>
            <w:pPr>
              <w:jc w:val="right"/>
              <w:ind w:right="100"/>
              <w:spacing w:after="0"/>
              <w:rPr>
                <w:sz w:val="20"/>
                <w:szCs w:val="20"/>
                <w:color w:val="auto"/>
              </w:rPr>
            </w:pPr>
            <w:r>
              <w:rPr>
                <w:rFonts w:ascii="Arial" w:cs="Arial" w:eastAsia="Arial" w:hAnsi="Arial"/>
                <w:sz w:val="20"/>
                <w:szCs w:val="20"/>
                <w:color w:val="231F20"/>
                <w:w w:val="95"/>
              </w:rPr>
              <w:t>Total . . . . . . . . . . . . . . . . . . . . . . . . . . . . . . . . . . . . . . . . .</w:t>
            </w:r>
          </w:p>
        </w:tc>
        <w:tc>
          <w:tcPr>
            <w:tcW w:w="240" w:type="dxa"/>
            <w:vAlign w:val="bottom"/>
          </w:tcPr>
          <w:p>
            <w:pPr>
              <w:jc w:val="right"/>
              <w:ind w:right="20"/>
              <w:spacing w:after="0"/>
              <w:rPr>
                <w:sz w:val="20"/>
                <w:szCs w:val="20"/>
                <w:color w:val="auto"/>
              </w:rPr>
            </w:pPr>
            <w:r>
              <w:rPr>
                <w:rFonts w:ascii="Arial" w:cs="Arial" w:eastAsia="Arial" w:hAnsi="Arial"/>
                <w:sz w:val="20"/>
                <w:szCs w:val="20"/>
                <w:color w:val="231F20"/>
                <w:w w:val="89"/>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(21)</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c>
          <w:tcPr>
            <w:tcW w:w="1140" w:type="dxa"/>
            <w:vAlign w:val="bottom"/>
          </w:tcPr>
          <w:p>
            <w:pPr>
              <w:jc w:val="right"/>
              <w:spacing w:after="0"/>
              <w:rPr>
                <w:sz w:val="20"/>
                <w:szCs w:val="20"/>
                <w:color w:val="auto"/>
              </w:rPr>
            </w:pPr>
            <w:r>
              <w:rPr>
                <w:rFonts w:ascii="Arial" w:cs="Arial" w:eastAsia="Arial" w:hAnsi="Arial"/>
                <w:sz w:val="20"/>
                <w:szCs w:val="20"/>
                <w:color w:val="231F20"/>
              </w:rPr>
              <w:t>—</w:t>
            </w:r>
          </w:p>
        </w:tc>
        <w:tc>
          <w:tcPr>
            <w:tcW w:w="48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8"/>
        </w:trPr>
        <w:tc>
          <w:tcPr>
            <w:tcW w:w="5000" w:type="dxa"/>
            <w:vAlign w:val="bottom"/>
            <w:vMerge w:val="restart"/>
          </w:tcPr>
          <w:p>
            <w:pPr>
              <w:spacing w:after="0"/>
              <w:rPr>
                <w:sz w:val="20"/>
                <w:szCs w:val="20"/>
                <w:color w:val="auto"/>
              </w:rPr>
            </w:pPr>
            <w:r>
              <w:rPr>
                <w:rFonts w:ascii="Arial" w:cs="Arial" w:eastAsia="Arial" w:hAnsi="Arial"/>
                <w:sz w:val="20"/>
                <w:szCs w:val="20"/>
                <w:b w:val="1"/>
                <w:bCs w:val="1"/>
                <w:color w:val="231F20"/>
              </w:rPr>
              <w:t>Postretirement</w:t>
            </w: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vMerge w:val="continue"/>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000" w:type="dxa"/>
            <w:vAlign w:val="bottom"/>
          </w:tcPr>
          <w:p>
            <w:pPr>
              <w:jc w:val="right"/>
              <w:ind w:right="100"/>
              <w:spacing w:after="0"/>
              <w:rPr>
                <w:sz w:val="20"/>
                <w:szCs w:val="20"/>
                <w:color w:val="auto"/>
              </w:rPr>
            </w:pPr>
            <w:r>
              <w:rPr>
                <w:rFonts w:ascii="Arial" w:cs="Arial" w:eastAsia="Arial" w:hAnsi="Arial"/>
                <w:sz w:val="20"/>
                <w:szCs w:val="20"/>
                <w:color w:val="231F20"/>
              </w:rPr>
              <w:t>Net actuarial (gain) loss  . . . . . . . . . . . . . . . . . . . . . . .</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(3)</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1140" w:type="dxa"/>
            <w:vAlign w:val="bottom"/>
          </w:tcPr>
          <w:p>
            <w:pPr>
              <w:jc w:val="right"/>
              <w:spacing w:after="0"/>
              <w:rPr>
                <w:sz w:val="20"/>
                <w:szCs w:val="20"/>
                <w:color w:val="auto"/>
              </w:rPr>
            </w:pPr>
            <w:r>
              <w:rPr>
                <w:rFonts w:ascii="Arial" w:cs="Arial" w:eastAsia="Arial" w:hAnsi="Arial"/>
                <w:sz w:val="20"/>
                <w:szCs w:val="20"/>
                <w:color w:val="231F20"/>
              </w:rPr>
              <w:t>(5)</w:t>
            </w:r>
          </w:p>
        </w:tc>
        <w:tc>
          <w:tcPr>
            <w:tcW w:w="48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40"/>
        </w:trPr>
        <w:tc>
          <w:tcPr>
            <w:tcW w:w="5000" w:type="dxa"/>
            <w:vAlign w:val="bottom"/>
          </w:tcPr>
          <w:p>
            <w:pPr>
              <w:jc w:val="right"/>
              <w:ind w:right="100"/>
              <w:spacing w:after="0"/>
              <w:rPr>
                <w:sz w:val="20"/>
                <w:szCs w:val="20"/>
                <w:color w:val="auto"/>
              </w:rPr>
            </w:pPr>
            <w:r>
              <w:rPr>
                <w:rFonts w:ascii="Arial" w:cs="Arial" w:eastAsia="Arial" w:hAnsi="Arial"/>
                <w:sz w:val="20"/>
                <w:szCs w:val="20"/>
                <w:color w:val="231F20"/>
              </w:rPr>
              <w:t>Prior service credit  . . . . . . . . . . . . . . . . . . . . . . . . . .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5000" w:type="dxa"/>
            <w:vAlign w:val="bottom"/>
          </w:tcPr>
          <w:p>
            <w:pPr>
              <w:jc w:val="right"/>
              <w:ind w:right="100"/>
              <w:spacing w:after="0"/>
              <w:rPr>
                <w:sz w:val="20"/>
                <w:szCs w:val="20"/>
                <w:color w:val="auto"/>
              </w:rPr>
            </w:pPr>
            <w:r>
              <w:rPr>
                <w:rFonts w:ascii="Arial" w:cs="Arial" w:eastAsia="Arial" w:hAnsi="Arial"/>
                <w:sz w:val="20"/>
                <w:szCs w:val="20"/>
                <w:color w:val="231F20"/>
              </w:rPr>
              <w:t>Actuarial net gain due to curtailment . . . . . . . . . . . .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5000" w:type="dxa"/>
            <w:vAlign w:val="bottom"/>
          </w:tcPr>
          <w:p>
            <w:pPr>
              <w:jc w:val="right"/>
              <w:ind w:right="100"/>
              <w:spacing w:after="0"/>
              <w:rPr>
                <w:sz w:val="20"/>
                <w:szCs w:val="20"/>
                <w:color w:val="auto"/>
              </w:rPr>
            </w:pPr>
            <w:r>
              <w:rPr>
                <w:rFonts w:ascii="Arial" w:cs="Arial" w:eastAsia="Arial" w:hAnsi="Arial"/>
                <w:sz w:val="20"/>
                <w:szCs w:val="20"/>
                <w:color w:val="231F20"/>
              </w:rPr>
              <w:t>Special termination benefits . . . . . . . . . . . . . . . . . . .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5000" w:type="dxa"/>
            <w:vAlign w:val="bottom"/>
          </w:tcPr>
          <w:p>
            <w:pPr>
              <w:jc w:val="right"/>
              <w:ind w:right="1060"/>
              <w:spacing w:after="0"/>
              <w:rPr>
                <w:sz w:val="20"/>
                <w:szCs w:val="20"/>
                <w:color w:val="auto"/>
              </w:rPr>
            </w:pPr>
            <w:r>
              <w:rPr>
                <w:rFonts w:ascii="Arial" w:cs="Arial" w:eastAsia="Arial" w:hAnsi="Arial"/>
                <w:sz w:val="20"/>
                <w:szCs w:val="20"/>
                <w:color w:val="231F20"/>
              </w:rPr>
              <w:t>Amortization of prior service credit due to</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00" w:type="dxa"/>
            <w:vAlign w:val="bottom"/>
          </w:tcPr>
          <w:p>
            <w:pPr>
              <w:jc w:val="right"/>
              <w:ind w:right="100"/>
              <w:spacing w:after="0"/>
              <w:rPr>
                <w:sz w:val="20"/>
                <w:szCs w:val="20"/>
                <w:color w:val="auto"/>
              </w:rPr>
            </w:pPr>
            <w:r>
              <w:rPr>
                <w:rFonts w:ascii="Arial" w:cs="Arial" w:eastAsia="Arial" w:hAnsi="Arial"/>
                <w:sz w:val="20"/>
                <w:szCs w:val="20"/>
                <w:color w:val="231F20"/>
              </w:rPr>
              <w:t>curtailment . . . . . . . . . . . . . . . . . . . . . . . . . . . . . . . . .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(2)</w:t>
            </w:r>
          </w:p>
        </w:tc>
        <w:tc>
          <w:tcPr>
            <w:tcW w:w="0" w:type="dxa"/>
            <w:vAlign w:val="bottom"/>
          </w:tcPr>
          <w:p>
            <w:pPr>
              <w:spacing w:after="0"/>
              <w:rPr>
                <w:sz w:val="1"/>
                <w:szCs w:val="1"/>
                <w:color w:val="auto"/>
              </w:rPr>
            </w:pPr>
          </w:p>
        </w:tc>
      </w:tr>
      <w:tr>
        <w:trPr>
          <w:trHeight w:val="240"/>
        </w:trPr>
        <w:tc>
          <w:tcPr>
            <w:tcW w:w="5000" w:type="dxa"/>
            <w:vAlign w:val="bottom"/>
          </w:tcPr>
          <w:p>
            <w:pPr>
              <w:jc w:val="right"/>
              <w:ind w:right="100"/>
              <w:spacing w:after="0"/>
              <w:rPr>
                <w:sz w:val="20"/>
                <w:szCs w:val="20"/>
                <w:color w:val="auto"/>
              </w:rPr>
            </w:pPr>
            <w:r>
              <w:rPr>
                <w:rFonts w:ascii="Arial" w:cs="Arial" w:eastAsia="Arial" w:hAnsi="Arial"/>
                <w:sz w:val="20"/>
                <w:szCs w:val="20"/>
                <w:color w:val="231F20"/>
              </w:rPr>
              <w:t>Amortization of prior service credit  . . . . . . . . . . . . .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(4)</w:t>
            </w:r>
          </w:p>
        </w:tc>
        <w:tc>
          <w:tcPr>
            <w:tcW w:w="0" w:type="dxa"/>
            <w:vAlign w:val="bottom"/>
          </w:tcPr>
          <w:p>
            <w:pPr>
              <w:spacing w:after="0"/>
              <w:rPr>
                <w:sz w:val="1"/>
                <w:szCs w:val="1"/>
                <w:color w:val="auto"/>
              </w:rPr>
            </w:pPr>
          </w:p>
        </w:tc>
      </w:tr>
      <w:tr>
        <w:trPr>
          <w:trHeight w:val="240"/>
        </w:trPr>
        <w:tc>
          <w:tcPr>
            <w:tcW w:w="5000" w:type="dxa"/>
            <w:vAlign w:val="bottom"/>
          </w:tcPr>
          <w:p>
            <w:pPr>
              <w:jc w:val="right"/>
              <w:ind w:right="100"/>
              <w:spacing w:after="0"/>
              <w:rPr>
                <w:sz w:val="20"/>
                <w:szCs w:val="20"/>
                <w:color w:val="auto"/>
              </w:rPr>
            </w:pPr>
            <w:r>
              <w:rPr>
                <w:rFonts w:ascii="Arial" w:cs="Arial" w:eastAsia="Arial" w:hAnsi="Arial"/>
                <w:sz w:val="20"/>
                <w:szCs w:val="20"/>
                <w:color w:val="231F20"/>
              </w:rPr>
              <w:t>Amortization net actuarial gain (loss)  . . . . . . . . . . .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30"/>
        </w:trPr>
        <w:tc>
          <w:tcPr>
            <w:tcW w:w="50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000" w:type="dxa"/>
            <w:vAlign w:val="bottom"/>
          </w:tcPr>
          <w:p>
            <w:pPr>
              <w:jc w:val="right"/>
              <w:ind w:right="100"/>
              <w:spacing w:after="0"/>
              <w:rPr>
                <w:sz w:val="20"/>
                <w:szCs w:val="20"/>
                <w:color w:val="auto"/>
              </w:rPr>
            </w:pPr>
            <w:r>
              <w:rPr>
                <w:rFonts w:ascii="Arial" w:cs="Arial" w:eastAsia="Arial" w:hAnsi="Arial"/>
                <w:sz w:val="20"/>
                <w:szCs w:val="20"/>
                <w:color w:val="231F20"/>
                <w:w w:val="95"/>
              </w:rPr>
              <w:t>Total . . . . . . . . . . . . . . . . . . . . . . . . . . . . . . . . . . . . . . . . .</w:t>
            </w:r>
          </w:p>
        </w:tc>
        <w:tc>
          <w:tcPr>
            <w:tcW w:w="240" w:type="dxa"/>
            <w:vAlign w:val="bottom"/>
          </w:tcPr>
          <w:p>
            <w:pPr>
              <w:jc w:val="right"/>
              <w:ind w:right="20"/>
              <w:spacing w:after="0"/>
              <w:rPr>
                <w:sz w:val="20"/>
                <w:szCs w:val="20"/>
                <w:color w:val="auto"/>
              </w:rPr>
            </w:pPr>
            <w:r>
              <w:rPr>
                <w:rFonts w:ascii="Arial" w:cs="Arial" w:eastAsia="Arial" w:hAnsi="Arial"/>
                <w:sz w:val="20"/>
                <w:szCs w:val="20"/>
                <w:color w:val="231F20"/>
                <w:w w:val="89"/>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4</w:t>
            </w:r>
          </w:p>
        </w:tc>
        <w:tc>
          <w:tcPr>
            <w:tcW w:w="480" w:type="dxa"/>
            <w:vAlign w:val="bottom"/>
            <w:gridSpan w:val="2"/>
          </w:tcPr>
          <w:p>
            <w:pPr>
              <w:jc w:val="right"/>
              <w:ind w:right="160"/>
              <w:spacing w:after="0"/>
              <w:rPr>
                <w:sz w:val="20"/>
                <w:szCs w:val="20"/>
                <w:color w:val="auto"/>
              </w:rPr>
            </w:pPr>
            <w:r>
              <w:rPr>
                <w:rFonts w:ascii="Arial" w:cs="Arial" w:eastAsia="Arial" w:hAnsi="Arial"/>
                <w:sz w:val="20"/>
                <w:szCs w:val="20"/>
                <w:color w:val="231F20"/>
              </w:rPr>
              <w:t>$</w:t>
            </w:r>
          </w:p>
        </w:tc>
        <w:tc>
          <w:tcPr>
            <w:tcW w:w="1140" w:type="dxa"/>
            <w:vAlign w:val="bottom"/>
          </w:tcPr>
          <w:p>
            <w:pPr>
              <w:jc w:val="right"/>
              <w:spacing w:after="0"/>
              <w:rPr>
                <w:sz w:val="20"/>
                <w:szCs w:val="20"/>
                <w:color w:val="auto"/>
              </w:rPr>
            </w:pPr>
            <w:r>
              <w:rPr>
                <w:rFonts w:ascii="Arial" w:cs="Arial" w:eastAsia="Arial" w:hAnsi="Arial"/>
                <w:sz w:val="20"/>
                <w:szCs w:val="20"/>
                <w:color w:val="231F20"/>
              </w:rPr>
              <w:t>(1)</w:t>
            </w:r>
          </w:p>
        </w:tc>
        <w:tc>
          <w:tcPr>
            <w:tcW w:w="480" w:type="dxa"/>
            <w:vAlign w:val="bottom"/>
            <w:gridSpan w:val="2"/>
          </w:tcPr>
          <w:p>
            <w:pPr>
              <w:jc w:val="right"/>
              <w:ind w:right="18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(6)</w:t>
            </w:r>
          </w:p>
        </w:tc>
        <w:tc>
          <w:tcPr>
            <w:tcW w:w="0" w:type="dxa"/>
            <w:vAlign w:val="bottom"/>
          </w:tcPr>
          <w:p>
            <w:pPr>
              <w:spacing w:after="0"/>
              <w:rPr>
                <w:sz w:val="1"/>
                <w:szCs w:val="1"/>
                <w:color w:val="auto"/>
              </w:rPr>
            </w:pPr>
          </w:p>
        </w:tc>
      </w:tr>
      <w:tr>
        <w:trPr>
          <w:trHeight w:val="28"/>
        </w:trPr>
        <w:tc>
          <w:tcPr>
            <w:tcW w:w="50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480" w:firstLine="300"/>
        <w:spacing w:after="0" w:line="245" w:lineRule="auto"/>
        <w:rPr>
          <w:sz w:val="20"/>
          <w:szCs w:val="20"/>
          <w:color w:val="auto"/>
        </w:rPr>
      </w:pPr>
      <w:r>
        <w:rPr>
          <w:rFonts w:ascii="Arial" w:cs="Arial" w:eastAsia="Arial" w:hAnsi="Arial"/>
          <w:sz w:val="20"/>
          <w:szCs w:val="20"/>
          <w:color w:val="231F20"/>
        </w:rPr>
        <w:t>The following table sets forth the valuation assumptions, on a weighted-average basis, used to determine our benefit obligations and net periodic benefit cost: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80" w:type="dxa"/>
            <w:vAlign w:val="bottom"/>
          </w:tcPr>
          <w:p>
            <w:pPr>
              <w:spacing w:after="0"/>
              <w:rPr>
                <w:sz w:val="21"/>
                <w:szCs w:val="21"/>
                <w:color w:val="auto"/>
              </w:rPr>
            </w:pPr>
          </w:p>
        </w:tc>
        <w:tc>
          <w:tcPr>
            <w:tcW w:w="2640" w:type="dxa"/>
            <w:vAlign w:val="bottom"/>
            <w:tcBorders>
              <w:bottom w:val="single" w:sz="8" w:color="231F20"/>
            </w:tcBorders>
            <w:gridSpan w:val="3"/>
          </w:tcPr>
          <w:p>
            <w:pPr>
              <w:jc w:val="right"/>
              <w:ind w:right="100"/>
              <w:spacing w:after="0"/>
              <w:rPr>
                <w:sz w:val="20"/>
                <w:szCs w:val="20"/>
                <w:color w:val="auto"/>
              </w:rPr>
            </w:pPr>
            <w:r>
              <w:rPr>
                <w:rFonts w:ascii="Arial" w:cs="Arial" w:eastAsia="Arial" w:hAnsi="Arial"/>
                <w:sz w:val="20"/>
                <w:szCs w:val="20"/>
                <w:b w:val="1"/>
                <w:bCs w:val="1"/>
                <w:color w:val="231F20"/>
              </w:rPr>
              <w:t>Year ended December 31,</w:t>
            </w:r>
          </w:p>
        </w:tc>
      </w:tr>
      <w:tr>
        <w:trPr>
          <w:trHeight w:val="260"/>
        </w:trPr>
        <w:tc>
          <w:tcPr>
            <w:tcW w:w="6480" w:type="dxa"/>
            <w:vAlign w:val="bottom"/>
          </w:tcPr>
          <w:p>
            <w:pPr>
              <w:spacing w:after="0"/>
              <w:rPr>
                <w:sz w:val="22"/>
                <w:szCs w:val="22"/>
                <w:color w:val="auto"/>
              </w:rPr>
            </w:pPr>
          </w:p>
        </w:tc>
        <w:tc>
          <w:tcPr>
            <w:tcW w:w="1220" w:type="dxa"/>
            <w:vAlign w:val="bottom"/>
          </w:tcPr>
          <w:p>
            <w:pPr>
              <w:jc w:val="right"/>
              <w:ind w:right="280"/>
              <w:spacing w:after="0"/>
              <w:rPr>
                <w:sz w:val="20"/>
                <w:szCs w:val="20"/>
                <w:color w:val="auto"/>
              </w:rPr>
            </w:pPr>
            <w:r>
              <w:rPr>
                <w:rFonts w:ascii="Arial" w:cs="Arial" w:eastAsia="Arial" w:hAnsi="Arial"/>
                <w:sz w:val="20"/>
                <w:szCs w:val="20"/>
                <w:b w:val="1"/>
                <w:bCs w:val="1"/>
                <w:color w:val="231F20"/>
              </w:rPr>
              <w:t>2025</w:t>
            </w:r>
          </w:p>
        </w:tc>
        <w:tc>
          <w:tcPr>
            <w:tcW w:w="1420" w:type="dxa"/>
            <w:vAlign w:val="bottom"/>
            <w:gridSpan w:val="2"/>
          </w:tcPr>
          <w:p>
            <w:pPr>
              <w:jc w:val="right"/>
              <w:ind w:right="380"/>
              <w:spacing w:after="0"/>
              <w:rPr>
                <w:sz w:val="20"/>
                <w:szCs w:val="20"/>
                <w:color w:val="auto"/>
              </w:rPr>
            </w:pPr>
            <w:r>
              <w:rPr>
                <w:rFonts w:ascii="Arial" w:cs="Arial" w:eastAsia="Arial" w:hAnsi="Arial"/>
                <w:sz w:val="20"/>
                <w:szCs w:val="20"/>
                <w:b w:val="1"/>
                <w:bCs w:val="1"/>
                <w:color w:val="231F20"/>
              </w:rPr>
              <w:t>2024</w:t>
            </w:r>
          </w:p>
        </w:tc>
      </w:tr>
      <w:tr>
        <w:trPr>
          <w:trHeight w:val="277"/>
        </w:trPr>
        <w:tc>
          <w:tcPr>
            <w:tcW w:w="6480" w:type="dxa"/>
            <w:vAlign w:val="bottom"/>
          </w:tcPr>
          <w:p>
            <w:pPr>
              <w:spacing w:after="0"/>
              <w:rPr>
                <w:sz w:val="20"/>
                <w:szCs w:val="20"/>
                <w:color w:val="auto"/>
              </w:rPr>
            </w:pPr>
            <w:r>
              <w:rPr>
                <w:rFonts w:ascii="Arial" w:cs="Arial" w:eastAsia="Arial" w:hAnsi="Arial"/>
                <w:sz w:val="20"/>
                <w:szCs w:val="20"/>
                <w:b w:val="1"/>
                <w:bCs w:val="1"/>
                <w:color w:val="231F20"/>
              </w:rPr>
              <w:t>Pension</w:t>
            </w:r>
          </w:p>
        </w:tc>
        <w:tc>
          <w:tcPr>
            <w:tcW w:w="1220" w:type="dxa"/>
            <w:vAlign w:val="bottom"/>
            <w:tcBorders>
              <w:top w:val="single" w:sz="8" w:color="231F20"/>
            </w:tcBorders>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Borders>
              <w:top w:val="single" w:sz="8" w:color="231F20"/>
            </w:tcBorders>
          </w:tcPr>
          <w:p>
            <w:pPr>
              <w:spacing w:after="0"/>
              <w:rPr>
                <w:sz w:val="24"/>
                <w:szCs w:val="24"/>
                <w:color w:val="auto"/>
              </w:rPr>
            </w:pPr>
          </w:p>
        </w:tc>
      </w:tr>
      <w:tr>
        <w:trPr>
          <w:trHeight w:val="235"/>
        </w:trPr>
        <w:tc>
          <w:tcPr>
            <w:tcW w:w="6480" w:type="dxa"/>
            <w:vAlign w:val="bottom"/>
          </w:tcPr>
          <w:p>
            <w:pPr>
              <w:spacing w:after="0"/>
              <w:rPr>
                <w:sz w:val="20"/>
                <w:szCs w:val="20"/>
                <w:color w:val="auto"/>
              </w:rPr>
            </w:pPr>
            <w:r>
              <w:rPr>
                <w:rFonts w:ascii="Arial" w:cs="Arial" w:eastAsia="Arial" w:hAnsi="Arial"/>
                <w:sz w:val="20"/>
                <w:szCs w:val="20"/>
                <w:i w:val="1"/>
                <w:iCs w:val="1"/>
                <w:color w:val="231F20"/>
              </w:rPr>
              <w:t>Benefit Obligation Assumptions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6480" w:type="dxa"/>
            <w:vAlign w:val="bottom"/>
          </w:tcPr>
          <w:p>
            <w:pPr>
              <w:ind w:left="200"/>
              <w:spacing w:after="0"/>
              <w:rPr>
                <w:sz w:val="20"/>
                <w:szCs w:val="20"/>
                <w:color w:val="auto"/>
              </w:rPr>
            </w:pPr>
            <w:r>
              <w:rPr>
                <w:rFonts w:ascii="Arial" w:cs="Arial" w:eastAsia="Arial" w:hAnsi="Arial"/>
                <w:sz w:val="20"/>
                <w:szCs w:val="20"/>
                <w:color w:val="231F20"/>
                <w:w w:val="99"/>
              </w:rPr>
              <w:t>Discount rate . . . . . . . . . . . . . . .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5.52 %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5.61 %</w:t>
            </w:r>
          </w:p>
        </w:tc>
      </w:tr>
      <w:tr>
        <w:trPr>
          <w:trHeight w:val="235"/>
        </w:trPr>
        <w:tc>
          <w:tcPr>
            <w:tcW w:w="6480" w:type="dxa"/>
            <w:vAlign w:val="bottom"/>
          </w:tcPr>
          <w:p>
            <w:pPr>
              <w:ind w:left="200"/>
              <w:spacing w:after="0"/>
              <w:rPr>
                <w:sz w:val="20"/>
                <w:szCs w:val="20"/>
                <w:color w:val="auto"/>
              </w:rPr>
            </w:pPr>
            <w:r>
              <w:rPr>
                <w:rFonts w:ascii="Arial" w:cs="Arial" w:eastAsia="Arial" w:hAnsi="Arial"/>
                <w:sz w:val="20"/>
                <w:szCs w:val="20"/>
                <w:color w:val="231F20"/>
              </w:rPr>
              <w:t>Rate of compensation increase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4.00 %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4.93 %</w:t>
            </w:r>
          </w:p>
        </w:tc>
      </w:tr>
      <w:tr>
        <w:trPr>
          <w:trHeight w:val="235"/>
        </w:trPr>
        <w:tc>
          <w:tcPr>
            <w:tcW w:w="6480" w:type="dxa"/>
            <w:vAlign w:val="bottom"/>
          </w:tcPr>
          <w:p>
            <w:pPr>
              <w:ind w:left="200"/>
              <w:spacing w:after="0"/>
              <w:rPr>
                <w:sz w:val="20"/>
                <w:szCs w:val="20"/>
                <w:color w:val="auto"/>
              </w:rPr>
            </w:pPr>
            <w:r>
              <w:rPr>
                <w:rFonts w:ascii="Arial" w:cs="Arial" w:eastAsia="Arial" w:hAnsi="Arial"/>
                <w:sz w:val="20"/>
                <w:szCs w:val="20"/>
                <w:color w:val="231F20"/>
                <w:w w:val="99"/>
              </w:rPr>
              <w:t>Interest crediting rate  . . . . . . . .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5.00 %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5.28 %</w:t>
            </w:r>
          </w:p>
        </w:tc>
      </w:tr>
      <w:tr>
        <w:trPr>
          <w:trHeight w:val="235"/>
        </w:trPr>
        <w:tc>
          <w:tcPr>
            <w:tcW w:w="6480" w:type="dxa"/>
            <w:vAlign w:val="bottom"/>
          </w:tcPr>
          <w:p>
            <w:pPr>
              <w:spacing w:after="0"/>
              <w:rPr>
                <w:sz w:val="20"/>
                <w:szCs w:val="20"/>
                <w:color w:val="auto"/>
              </w:rPr>
            </w:pPr>
            <w:r>
              <w:rPr>
                <w:rFonts w:ascii="Arial" w:cs="Arial" w:eastAsia="Arial" w:hAnsi="Arial"/>
                <w:sz w:val="20"/>
                <w:szCs w:val="20"/>
                <w:i w:val="1"/>
                <w:iCs w:val="1"/>
                <w:color w:val="231F20"/>
              </w:rPr>
              <w:t>Net Periodic Benefit Cost Assumptions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6480" w:type="dxa"/>
            <w:vAlign w:val="bottom"/>
          </w:tcPr>
          <w:p>
            <w:pPr>
              <w:ind w:left="200"/>
              <w:spacing w:after="0"/>
              <w:rPr>
                <w:sz w:val="20"/>
                <w:szCs w:val="20"/>
                <w:color w:val="auto"/>
              </w:rPr>
            </w:pPr>
            <w:r>
              <w:rPr>
                <w:rFonts w:ascii="Arial" w:cs="Arial" w:eastAsia="Arial" w:hAnsi="Arial"/>
                <w:sz w:val="20"/>
                <w:szCs w:val="20"/>
                <w:color w:val="231F20"/>
                <w:w w:val="99"/>
              </w:rPr>
              <w:t>Discount rate . . . . . . . . . . . . . . .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5.61 %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5.22 %</w:t>
            </w:r>
          </w:p>
        </w:tc>
      </w:tr>
      <w:tr>
        <w:trPr>
          <w:trHeight w:val="235"/>
        </w:trPr>
        <w:tc>
          <w:tcPr>
            <w:tcW w:w="6480" w:type="dxa"/>
            <w:vAlign w:val="bottom"/>
          </w:tcPr>
          <w:p>
            <w:pPr>
              <w:ind w:left="200"/>
              <w:spacing w:after="0"/>
              <w:rPr>
                <w:sz w:val="20"/>
                <w:szCs w:val="20"/>
                <w:color w:val="auto"/>
              </w:rPr>
            </w:pPr>
            <w:r>
              <w:rPr>
                <w:rFonts w:ascii="Arial" w:cs="Arial" w:eastAsia="Arial" w:hAnsi="Arial"/>
                <w:sz w:val="20"/>
                <w:szCs w:val="20"/>
                <w:color w:val="231F20"/>
              </w:rPr>
              <w:t>Expected return on assets . . . .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6.99 %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7.00 %</w:t>
            </w:r>
          </w:p>
        </w:tc>
      </w:tr>
      <w:tr>
        <w:trPr>
          <w:trHeight w:val="233"/>
        </w:trPr>
        <w:tc>
          <w:tcPr>
            <w:tcW w:w="6480" w:type="dxa"/>
            <w:vAlign w:val="bottom"/>
          </w:tcPr>
          <w:p>
            <w:pPr>
              <w:ind w:left="200"/>
              <w:spacing w:after="0"/>
              <w:rPr>
                <w:sz w:val="20"/>
                <w:szCs w:val="20"/>
                <w:color w:val="auto"/>
              </w:rPr>
            </w:pPr>
            <w:r>
              <w:rPr>
                <w:rFonts w:ascii="Arial" w:cs="Arial" w:eastAsia="Arial" w:hAnsi="Arial"/>
                <w:sz w:val="20"/>
                <w:szCs w:val="20"/>
                <w:color w:val="231F20"/>
              </w:rPr>
              <w:t>Rate of compensation increase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4.00 %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4.96 %</w:t>
            </w:r>
          </w:p>
        </w:tc>
      </w:tr>
      <w:tr>
        <w:trPr>
          <w:trHeight w:val="235"/>
        </w:trPr>
        <w:tc>
          <w:tcPr>
            <w:tcW w:w="6480" w:type="dxa"/>
            <w:vAlign w:val="bottom"/>
          </w:tcPr>
          <w:p>
            <w:pPr>
              <w:ind w:left="200"/>
              <w:spacing w:after="0"/>
              <w:rPr>
                <w:sz w:val="20"/>
                <w:szCs w:val="20"/>
                <w:color w:val="auto"/>
              </w:rPr>
            </w:pPr>
            <w:r>
              <w:rPr>
                <w:rFonts w:ascii="Arial" w:cs="Arial" w:eastAsia="Arial" w:hAnsi="Arial"/>
                <w:sz w:val="20"/>
                <w:szCs w:val="20"/>
                <w:color w:val="231F20"/>
                <w:w w:val="99"/>
              </w:rPr>
              <w:t>Interest crediting rate  . . . . . . . .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5.28 %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6.37 %</w:t>
            </w:r>
          </w:p>
        </w:tc>
      </w:tr>
      <w:tr>
        <w:trPr>
          <w:trHeight w:val="235"/>
        </w:trPr>
        <w:tc>
          <w:tcPr>
            <w:tcW w:w="6480" w:type="dxa"/>
            <w:vAlign w:val="bottom"/>
          </w:tcPr>
          <w:p>
            <w:pPr>
              <w:spacing w:after="0"/>
              <w:rPr>
                <w:sz w:val="20"/>
                <w:szCs w:val="20"/>
                <w:color w:val="auto"/>
              </w:rPr>
            </w:pPr>
            <w:r>
              <w:rPr>
                <w:rFonts w:ascii="Arial" w:cs="Arial" w:eastAsia="Arial" w:hAnsi="Arial"/>
                <w:sz w:val="20"/>
                <w:szCs w:val="20"/>
                <w:b w:val="1"/>
                <w:bCs w:val="1"/>
                <w:color w:val="231F20"/>
              </w:rPr>
              <w:t>Postretirement</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6480" w:type="dxa"/>
            <w:vAlign w:val="bottom"/>
          </w:tcPr>
          <w:p>
            <w:pPr>
              <w:spacing w:after="0"/>
              <w:rPr>
                <w:sz w:val="20"/>
                <w:szCs w:val="20"/>
                <w:color w:val="auto"/>
              </w:rPr>
            </w:pPr>
            <w:r>
              <w:rPr>
                <w:rFonts w:ascii="Arial" w:cs="Arial" w:eastAsia="Arial" w:hAnsi="Arial"/>
                <w:sz w:val="20"/>
                <w:szCs w:val="20"/>
                <w:i w:val="1"/>
                <w:iCs w:val="1"/>
                <w:color w:val="231F20"/>
              </w:rPr>
              <w:t>Benefit Obligation Assumptions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6480" w:type="dxa"/>
            <w:vAlign w:val="bottom"/>
          </w:tcPr>
          <w:p>
            <w:pPr>
              <w:ind w:left="200"/>
              <w:spacing w:after="0"/>
              <w:rPr>
                <w:sz w:val="20"/>
                <w:szCs w:val="20"/>
                <w:color w:val="auto"/>
              </w:rPr>
            </w:pPr>
            <w:r>
              <w:rPr>
                <w:rFonts w:ascii="Arial" w:cs="Arial" w:eastAsia="Arial" w:hAnsi="Arial"/>
                <w:sz w:val="20"/>
                <w:szCs w:val="20"/>
                <w:color w:val="231F20"/>
                <w:w w:val="99"/>
              </w:rPr>
              <w:t>Discount rate . . . . . . . . . . . . . . .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5.18 %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5.50 %</w:t>
            </w:r>
          </w:p>
        </w:tc>
      </w:tr>
      <w:tr>
        <w:trPr>
          <w:trHeight w:val="235"/>
        </w:trPr>
        <w:tc>
          <w:tcPr>
            <w:tcW w:w="6480" w:type="dxa"/>
            <w:vAlign w:val="bottom"/>
          </w:tcPr>
          <w:p>
            <w:pPr>
              <w:spacing w:after="0"/>
              <w:rPr>
                <w:sz w:val="20"/>
                <w:szCs w:val="20"/>
                <w:color w:val="auto"/>
              </w:rPr>
            </w:pPr>
            <w:r>
              <w:rPr>
                <w:rFonts w:ascii="Arial" w:cs="Arial" w:eastAsia="Arial" w:hAnsi="Arial"/>
                <w:sz w:val="20"/>
                <w:szCs w:val="20"/>
                <w:i w:val="1"/>
                <w:iCs w:val="1"/>
                <w:color w:val="231F20"/>
              </w:rPr>
              <w:t>Net Periodic Benefit Cost Assumptions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6480" w:type="dxa"/>
            <w:vAlign w:val="bottom"/>
          </w:tcPr>
          <w:p>
            <w:pPr>
              <w:ind w:left="200"/>
              <w:spacing w:after="0"/>
              <w:rPr>
                <w:sz w:val="20"/>
                <w:szCs w:val="20"/>
                <w:color w:val="auto"/>
              </w:rPr>
            </w:pPr>
            <w:r>
              <w:rPr>
                <w:rFonts w:ascii="Arial" w:cs="Arial" w:eastAsia="Arial" w:hAnsi="Arial"/>
                <w:sz w:val="20"/>
                <w:szCs w:val="20"/>
                <w:color w:val="231F20"/>
                <w:w w:val="99"/>
              </w:rPr>
              <w:t>Discount rate . . . . . . . . . . . . . . .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5.51 %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5.13 %</w:t>
            </w:r>
          </w:p>
        </w:tc>
      </w:tr>
      <w:tr>
        <w:trPr>
          <w:trHeight w:val="235"/>
        </w:trPr>
        <w:tc>
          <w:tcPr>
            <w:tcW w:w="6480" w:type="dxa"/>
            <w:vAlign w:val="bottom"/>
          </w:tcPr>
          <w:p>
            <w:pPr>
              <w:ind w:left="200"/>
              <w:spacing w:after="0"/>
              <w:rPr>
                <w:sz w:val="20"/>
                <w:szCs w:val="20"/>
                <w:color w:val="auto"/>
              </w:rPr>
            </w:pPr>
            <w:r>
              <w:rPr>
                <w:rFonts w:ascii="Arial" w:cs="Arial" w:eastAsia="Arial" w:hAnsi="Arial"/>
                <w:sz w:val="20"/>
                <w:szCs w:val="20"/>
                <w:color w:val="231F20"/>
              </w:rPr>
              <w:t>Expected return on assets . . . . . . . . . . . . . . . . . . . . . . . . . . . . . . . . . . .</w:t>
            </w:r>
          </w:p>
        </w:tc>
        <w:tc>
          <w:tcPr>
            <w:tcW w:w="1220" w:type="dxa"/>
            <w:vAlign w:val="bottom"/>
          </w:tcPr>
          <w:p>
            <w:pPr>
              <w:jc w:val="right"/>
              <w:spacing w:after="0"/>
              <w:rPr>
                <w:sz w:val="20"/>
                <w:szCs w:val="20"/>
                <w:color w:val="auto"/>
              </w:rPr>
            </w:pPr>
            <w:r>
              <w:rPr>
                <w:rFonts w:ascii="Arial" w:cs="Arial" w:eastAsia="Arial" w:hAnsi="Arial"/>
                <w:sz w:val="20"/>
                <w:szCs w:val="20"/>
                <w:color w:val="231F20"/>
              </w:rPr>
              <w:t>6.99 %</w:t>
            </w:r>
          </w:p>
        </w:tc>
        <w:tc>
          <w:tcPr>
            <w:tcW w:w="1420" w:type="dxa"/>
            <w:vAlign w:val="bottom"/>
            <w:gridSpan w:val="2"/>
          </w:tcPr>
          <w:p>
            <w:pPr>
              <w:jc w:val="right"/>
              <w:spacing w:after="0"/>
              <w:rPr>
                <w:sz w:val="20"/>
                <w:szCs w:val="20"/>
                <w:color w:val="auto"/>
              </w:rPr>
            </w:pPr>
            <w:r>
              <w:rPr>
                <w:rFonts w:ascii="Arial" w:cs="Arial" w:eastAsia="Arial" w:hAnsi="Arial"/>
                <w:sz w:val="20"/>
                <w:szCs w:val="20"/>
                <w:color w:val="231F20"/>
              </w:rPr>
              <w:t>6.99 %</w:t>
            </w:r>
          </w:p>
        </w:tc>
      </w:tr>
    </w:tbl>
    <w:p>
      <w:pPr>
        <w:spacing w:after="0" w:line="207"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For pension plans and postretirement benefit plans that we or our subsidiaries sponsor, we based the discount rate on the FTSE Above Median AA yield curve in 2025 and in 2024. The weighted-average rate of increase in future compensation levels is consistent with our past and anticipated future compensation increases for employees participating in pension plans that determine benefits using compensation. The assumed return on assets is estimated with regard to current market factors but within the context of historical returns for the asset mix that exists at year end.</w:t>
      </w:r>
    </w:p>
    <w:p>
      <w:pPr>
        <w:sectPr>
          <w:pgSz w:w="11880" w:h="15480" w:orient="portrait"/>
          <w:cols w:equalWidth="0" w:num="1">
            <w:col w:w="9120"/>
          </w:cols>
          <w:pgMar w:left="1380" w:top="1316" w:right="1380" w:bottom="66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138</w:t>
      </w:r>
    </w:p>
    <w:p>
      <w:pPr>
        <w:sectPr>
          <w:pgSz w:w="11880" w:h="15480" w:orient="portrait"/>
          <w:cols w:equalWidth="0" w:num="1">
            <w:col w:w="9120"/>
          </w:cols>
          <w:pgMar w:left="1380" w:top="1316" w:right="1380" w:bottom="660" w:gutter="0" w:footer="0" w:header="0"/>
          <w:type w:val="continuous"/>
        </w:sectPr>
      </w:pPr>
    </w:p>
    <w:bookmarkStart w:id="142" w:name="page143"/>
    <w:bookmarkEnd w:id="142"/>
    <w:p>
      <w:pPr>
        <w:jc w:val="both"/>
        <w:ind w:right="240" w:firstLine="300"/>
        <w:spacing w:after="0" w:line="246" w:lineRule="auto"/>
        <w:rPr>
          <w:sz w:val="20"/>
          <w:szCs w:val="20"/>
          <w:color w:val="auto"/>
        </w:rPr>
      </w:pPr>
      <w:r>
        <w:rPr>
          <w:rFonts w:ascii="Arial" w:cs="Arial" w:eastAsia="Arial" w:hAnsi="Arial"/>
          <w:sz w:val="20"/>
          <w:szCs w:val="20"/>
          <w:color w:val="231F20"/>
        </w:rPr>
        <w:t>In 2025 and 2024, we used the Society of Actuaries Pri-2012 mortality assumptions reflecting the MP-2021 scale which plan sponsors in the U.S. use in the actuarial valuations that determine a plan sponsor’s pension and postretirement obligations.</w:t>
      </w:r>
    </w:p>
    <w:p>
      <w:pPr>
        <w:spacing w:after="0" w:line="155" w:lineRule="exact"/>
        <w:rPr>
          <w:sz w:val="20"/>
          <w:szCs w:val="20"/>
          <w:color w:val="auto"/>
        </w:rPr>
      </w:pPr>
    </w:p>
    <w:p>
      <w:pPr>
        <w:ind w:right="140" w:firstLine="300"/>
        <w:spacing w:after="0" w:line="249" w:lineRule="auto"/>
        <w:rPr>
          <w:sz w:val="20"/>
          <w:szCs w:val="20"/>
          <w:color w:val="auto"/>
        </w:rPr>
      </w:pPr>
      <w:r>
        <w:rPr>
          <w:rFonts w:ascii="Arial" w:cs="Arial" w:eastAsia="Arial" w:hAnsi="Arial"/>
          <w:sz w:val="20"/>
          <w:szCs w:val="20"/>
          <w:color w:val="231F20"/>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2.4% and 2.45% as of December 31, 2025 and 2024, respectively. Under the terms of our postretirement plans, participants other than certain union employees pay for all medical cost increases in excess of increases in the CPI. For those union employees, we projected that, as of December 31, 2025, health care cost trend rates would be 8.00% in 2026 decreasing until they reach 4.00% in 2034 and remain at 4.00% thereafter. For those union employees, we projected that, as of December 31, 2024, health care cost trend rates would be 6.50% in 2025 decreasing until they reach 4.50% in 2033 and remain at 4.50% thereafter.</w:t>
      </w:r>
    </w:p>
    <w:p>
      <w:pPr>
        <w:spacing w:after="0" w:line="156" w:lineRule="exact"/>
        <w:rPr>
          <w:sz w:val="20"/>
          <w:szCs w:val="20"/>
          <w:color w:val="auto"/>
        </w:rPr>
      </w:pPr>
    </w:p>
    <w:p>
      <w:pPr>
        <w:ind w:right="80" w:firstLine="300"/>
        <w:spacing w:after="0" w:line="247" w:lineRule="auto"/>
        <w:rPr>
          <w:sz w:val="20"/>
          <w:szCs w:val="20"/>
          <w:color w:val="auto"/>
        </w:rPr>
      </w:pPr>
      <w:r>
        <w:rPr>
          <w:rFonts w:ascii="Arial" w:cs="Arial" w:eastAsia="Arial" w:hAnsi="Arial"/>
          <w:sz w:val="20"/>
          <w:szCs w:val="20"/>
          <w:color w:val="231F20"/>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Fair Value of Plan Assets</w:t>
      </w:r>
    </w:p>
    <w:p>
      <w:pPr>
        <w:spacing w:after="0" w:line="157" w:lineRule="exact"/>
        <w:rPr>
          <w:sz w:val="20"/>
          <w:szCs w:val="20"/>
          <w:color w:val="auto"/>
        </w:rPr>
      </w:pPr>
    </w:p>
    <w:p>
      <w:pPr>
        <w:ind w:firstLine="300"/>
        <w:spacing w:after="0" w:line="264" w:lineRule="auto"/>
        <w:rPr>
          <w:sz w:val="20"/>
          <w:szCs w:val="20"/>
          <w:color w:val="auto"/>
        </w:rPr>
      </w:pPr>
      <w:r>
        <w:rPr>
          <w:rFonts w:ascii="Arial" w:cs="Arial" w:eastAsia="Arial" w:hAnsi="Arial"/>
          <w:sz w:val="19"/>
          <w:szCs w:val="19"/>
          <w:color w:val="231F20"/>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both 2025 and 2024, the target allocation of pension plan assets was 45% equity securities and 55% debt securities. Investment performance was measured and monitored on an ongoing basis through quarterly investment portfolio and manager guideline compliance reviews, annual liability measurements and periodic studies.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fair values of our pension plan assets by asset category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980" w:type="dxa"/>
            <w:vAlign w:val="bottom"/>
            <w:gridSpan w:val="8"/>
          </w:tcPr>
          <w:p>
            <w:pPr>
              <w:jc w:val="center"/>
              <w:ind w:right="220"/>
              <w:spacing w:after="0"/>
              <w:rPr>
                <w:sz w:val="20"/>
                <w:szCs w:val="20"/>
                <w:color w:val="auto"/>
              </w:rPr>
            </w:pPr>
            <w:r>
              <w:rPr>
                <w:rFonts w:ascii="Arial" w:cs="Arial" w:eastAsia="Arial" w:hAnsi="Arial"/>
                <w:sz w:val="20"/>
                <w:szCs w:val="20"/>
                <w:b w:val="1"/>
                <w:bCs w:val="1"/>
                <w:color w:val="231F20"/>
                <w:w w:val="99"/>
              </w:rPr>
              <w:t>Fair Value Measurements at</w:t>
            </w:r>
          </w:p>
        </w:tc>
        <w:tc>
          <w:tcPr>
            <w:tcW w:w="860" w:type="dxa"/>
            <w:vAlign w:val="bottom"/>
          </w:tcPr>
          <w:p>
            <w:pPr>
              <w:spacing w:after="0"/>
              <w:rPr>
                <w:sz w:val="19"/>
                <w:szCs w:val="19"/>
                <w:color w:val="auto"/>
              </w:rPr>
            </w:pPr>
          </w:p>
        </w:tc>
      </w:tr>
      <w:tr>
        <w:trPr>
          <w:trHeight w:val="246"/>
        </w:trPr>
        <w:tc>
          <w:tcPr>
            <w:tcW w:w="420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2600" w:type="dxa"/>
            <w:vAlign w:val="bottom"/>
            <w:tcBorders>
              <w:bottom w:val="single" w:sz="8" w:color="231F20"/>
            </w:tcBorders>
            <w:gridSpan w:val="6"/>
          </w:tcPr>
          <w:p>
            <w:pPr>
              <w:jc w:val="center"/>
              <w:ind w:right="600"/>
              <w:spacing w:after="0" w:line="228" w:lineRule="exact"/>
              <w:rPr>
                <w:sz w:val="20"/>
                <w:szCs w:val="20"/>
                <w:color w:val="auto"/>
              </w:rPr>
            </w:pPr>
            <w:r>
              <w:rPr>
                <w:rFonts w:ascii="Arial" w:cs="Arial" w:eastAsia="Arial" w:hAnsi="Arial"/>
                <w:sz w:val="20"/>
                <w:szCs w:val="20"/>
                <w:b w:val="1"/>
                <w:bCs w:val="1"/>
                <w:color w:val="231F20"/>
                <w:w w:val="99"/>
              </w:rPr>
              <w:t>December 31, 2025</w:t>
            </w:r>
          </w:p>
        </w:tc>
        <w:tc>
          <w:tcPr>
            <w:tcW w:w="860" w:type="dxa"/>
            <w:vAlign w:val="bottom"/>
            <w:tcBorders>
              <w:bottom w:val="single" w:sz="8" w:color="231F20"/>
            </w:tcBorders>
          </w:tcPr>
          <w:p>
            <w:pPr>
              <w:spacing w:after="0"/>
              <w:rPr>
                <w:sz w:val="21"/>
                <w:szCs w:val="21"/>
                <w:color w:val="auto"/>
              </w:rPr>
            </w:pPr>
          </w:p>
        </w:tc>
      </w:tr>
      <w:tr>
        <w:trPr>
          <w:trHeight w:val="260"/>
        </w:trPr>
        <w:tc>
          <w:tcPr>
            <w:tcW w:w="420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100"/>
              <w:spacing w:after="0"/>
              <w:rPr>
                <w:sz w:val="20"/>
                <w:szCs w:val="20"/>
                <w:color w:val="auto"/>
              </w:rPr>
            </w:pPr>
            <w:r>
              <w:rPr>
                <w:rFonts w:ascii="Arial" w:cs="Arial" w:eastAsia="Arial" w:hAnsi="Arial"/>
                <w:sz w:val="20"/>
                <w:szCs w:val="20"/>
                <w:b w:val="1"/>
                <w:bCs w:val="1"/>
                <w:color w:val="231F20"/>
              </w:rPr>
              <w:t>Level 1</w:t>
            </w:r>
          </w:p>
        </w:tc>
        <w:tc>
          <w:tcPr>
            <w:tcW w:w="20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103"/>
              <w:spacing w:after="0"/>
              <w:rPr>
                <w:sz w:val="20"/>
                <w:szCs w:val="20"/>
                <w:color w:val="auto"/>
              </w:rPr>
            </w:pPr>
            <w:r>
              <w:rPr>
                <w:rFonts w:ascii="Arial" w:cs="Arial" w:eastAsia="Arial" w:hAnsi="Arial"/>
                <w:sz w:val="20"/>
                <w:szCs w:val="20"/>
                <w:b w:val="1"/>
                <w:bCs w:val="1"/>
                <w:color w:val="231F20"/>
              </w:rPr>
              <w:t>Level 2</w:t>
            </w:r>
          </w:p>
        </w:tc>
        <w:tc>
          <w:tcPr>
            <w:tcW w:w="20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ind w:left="20"/>
              <w:spacing w:after="0"/>
              <w:rPr>
                <w:sz w:val="20"/>
                <w:szCs w:val="20"/>
                <w:color w:val="auto"/>
              </w:rPr>
            </w:pPr>
            <w:r>
              <w:rPr>
                <w:rFonts w:ascii="Arial" w:cs="Arial" w:eastAsia="Arial" w:hAnsi="Arial"/>
                <w:sz w:val="20"/>
                <w:szCs w:val="20"/>
                <w:b w:val="1"/>
                <w:bCs w:val="1"/>
                <w:color w:val="231F20"/>
              </w:rPr>
              <w:t>Level 3</w:t>
            </w:r>
          </w:p>
        </w:tc>
        <w:tc>
          <w:tcPr>
            <w:tcW w:w="20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00"/>
              <w:spacing w:after="0"/>
              <w:rPr>
                <w:sz w:val="20"/>
                <w:szCs w:val="20"/>
                <w:color w:val="auto"/>
              </w:rPr>
            </w:pPr>
            <w:r>
              <w:rPr>
                <w:rFonts w:ascii="Arial" w:cs="Arial" w:eastAsia="Arial" w:hAnsi="Arial"/>
                <w:sz w:val="20"/>
                <w:szCs w:val="20"/>
                <w:b w:val="1"/>
                <w:bCs w:val="1"/>
                <w:color w:val="231F20"/>
              </w:rPr>
              <w:t>Total</w:t>
            </w:r>
          </w:p>
        </w:tc>
      </w:tr>
      <w:tr>
        <w:trPr>
          <w:trHeight w:val="277"/>
        </w:trPr>
        <w:tc>
          <w:tcPr>
            <w:tcW w:w="4200" w:type="dxa"/>
            <w:vAlign w:val="bottom"/>
          </w:tcPr>
          <w:p>
            <w:pPr>
              <w:spacing w:after="0"/>
              <w:rPr>
                <w:sz w:val="20"/>
                <w:szCs w:val="20"/>
                <w:color w:val="auto"/>
              </w:rPr>
            </w:pPr>
            <w:r>
              <w:rPr>
                <w:rFonts w:ascii="Arial" w:cs="Arial" w:eastAsia="Arial" w:hAnsi="Arial"/>
                <w:sz w:val="20"/>
                <w:szCs w:val="20"/>
                <w:color w:val="231F20"/>
              </w:rPr>
              <w:t>Asset Class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ind w:left="640"/>
              <w:spacing w:after="0"/>
              <w:rPr>
                <w:sz w:val="20"/>
                <w:szCs w:val="20"/>
                <w:color w:val="auto"/>
              </w:rPr>
            </w:pPr>
            <w:r>
              <w:rPr>
                <w:rFonts w:ascii="Arial" w:cs="Arial" w:eastAsia="Arial" w:hAnsi="Arial"/>
                <w:sz w:val="16"/>
                <w:szCs w:val="16"/>
                <w:color w:val="231F20"/>
              </w:rPr>
              <w:t>(in millions)</w:t>
            </w:r>
          </w:p>
        </w:tc>
        <w:tc>
          <w:tcPr>
            <w:tcW w:w="860" w:type="dxa"/>
            <w:vAlign w:val="bottom"/>
          </w:tcPr>
          <w:p>
            <w:pPr>
              <w:spacing w:after="0"/>
              <w:rPr>
                <w:sz w:val="24"/>
                <w:szCs w:val="24"/>
                <w:color w:val="auto"/>
              </w:rPr>
            </w:pPr>
          </w:p>
        </w:tc>
      </w:tr>
      <w:tr>
        <w:trPr>
          <w:trHeight w:val="233"/>
        </w:trPr>
        <w:tc>
          <w:tcPr>
            <w:tcW w:w="4200" w:type="dxa"/>
            <w:vAlign w:val="bottom"/>
          </w:tcPr>
          <w:p>
            <w:pPr>
              <w:spacing w:after="0"/>
              <w:rPr>
                <w:sz w:val="20"/>
                <w:szCs w:val="20"/>
                <w:color w:val="auto"/>
              </w:rPr>
            </w:pPr>
            <w:r>
              <w:rPr>
                <w:rFonts w:ascii="Arial" w:cs="Arial" w:eastAsia="Arial" w:hAnsi="Arial"/>
                <w:sz w:val="20"/>
                <w:szCs w:val="20"/>
                <w:color w:val="231F20"/>
              </w:rPr>
              <w:t>Commingled funds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5"/>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Bonds . . . . . . . . . . .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170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188</w:t>
            </w:r>
          </w:p>
        </w:tc>
      </w:tr>
      <w:tr>
        <w:trPr>
          <w:trHeight w:val="235"/>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Commodities  . . . . .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11</w:t>
            </w:r>
          </w:p>
        </w:tc>
      </w:tr>
      <w:tr>
        <w:trPr>
          <w:trHeight w:val="235"/>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U.S. equity  . . . . . . .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73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73</w:t>
            </w:r>
          </w:p>
        </w:tc>
      </w:tr>
      <w:tr>
        <w:trPr>
          <w:trHeight w:val="237"/>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International equity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40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34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74</w:t>
            </w:r>
          </w:p>
        </w:tc>
      </w:tr>
      <w:tr>
        <w:trPr>
          <w:trHeight w:val="28"/>
        </w:trPr>
        <w:tc>
          <w:tcPr>
            <w:tcW w:w="4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r>
      <w:tr>
        <w:trPr>
          <w:trHeight w:val="265"/>
        </w:trPr>
        <w:tc>
          <w:tcPr>
            <w:tcW w:w="4200" w:type="dxa"/>
            <w:vAlign w:val="bottom"/>
          </w:tcPr>
          <w:p>
            <w:pPr>
              <w:jc w:val="right"/>
              <w:ind w:right="100"/>
              <w:spacing w:after="0"/>
              <w:rPr>
                <w:sz w:val="20"/>
                <w:szCs w:val="20"/>
                <w:color w:val="auto"/>
              </w:rPr>
            </w:pPr>
            <w:r>
              <w:rPr>
                <w:rFonts w:ascii="Arial" w:cs="Arial" w:eastAsia="Arial" w:hAnsi="Arial"/>
                <w:sz w:val="20"/>
                <w:szCs w:val="20"/>
                <w:color w:val="231F20"/>
                <w:w w:val="98"/>
              </w:rPr>
              <w:t>Total pension plan assets . . . . . . . . . . . . . . . .</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69</w:t>
            </w:r>
          </w:p>
        </w:tc>
        <w:tc>
          <w:tcPr>
            <w:tcW w:w="380" w:type="dxa"/>
            <w:vAlign w:val="bottom"/>
            <w:gridSpan w:val="2"/>
          </w:tcPr>
          <w:p>
            <w:pPr>
              <w:jc w:val="right"/>
              <w:ind w:right="2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277</w:t>
            </w:r>
          </w:p>
        </w:tc>
        <w:tc>
          <w:tcPr>
            <w:tcW w:w="3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   $</w:t>
            </w:r>
          </w:p>
        </w:tc>
        <w:tc>
          <w:tcPr>
            <w:tcW w:w="860" w:type="dxa"/>
            <w:vAlign w:val="bottom"/>
          </w:tcPr>
          <w:p>
            <w:pPr>
              <w:jc w:val="right"/>
              <w:spacing w:after="0"/>
              <w:rPr>
                <w:sz w:val="20"/>
                <w:szCs w:val="20"/>
                <w:color w:val="auto"/>
              </w:rPr>
            </w:pPr>
            <w:r>
              <w:rPr>
                <w:rFonts w:ascii="Arial" w:cs="Arial" w:eastAsia="Arial" w:hAnsi="Arial"/>
                <w:sz w:val="20"/>
                <w:szCs w:val="20"/>
                <w:color w:val="231F20"/>
              </w:rPr>
              <w:t>346</w:t>
            </w:r>
          </w:p>
        </w:tc>
      </w:tr>
      <w:tr>
        <w:trPr>
          <w:trHeight w:val="30"/>
        </w:trPr>
        <w:tc>
          <w:tcPr>
            <w:tcW w:w="4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40" w:type="dxa"/>
            <w:vAlign w:val="bottom"/>
            <w:gridSpan w:val="8"/>
          </w:tcPr>
          <w:p>
            <w:pPr>
              <w:jc w:val="center"/>
              <w:ind w:right="160"/>
              <w:spacing w:after="0"/>
              <w:rPr>
                <w:sz w:val="20"/>
                <w:szCs w:val="20"/>
                <w:color w:val="auto"/>
              </w:rPr>
            </w:pPr>
            <w:r>
              <w:rPr>
                <w:rFonts w:ascii="Arial" w:cs="Arial" w:eastAsia="Arial" w:hAnsi="Arial"/>
                <w:sz w:val="20"/>
                <w:szCs w:val="20"/>
                <w:b w:val="1"/>
                <w:bCs w:val="1"/>
                <w:color w:val="231F20"/>
                <w:w w:val="99"/>
              </w:rPr>
              <w:t>Fair Value Measurements at</w:t>
            </w:r>
          </w:p>
        </w:tc>
        <w:tc>
          <w:tcPr>
            <w:tcW w:w="920" w:type="dxa"/>
            <w:vAlign w:val="bottom"/>
          </w:tcPr>
          <w:p>
            <w:pPr>
              <w:spacing w:after="0"/>
              <w:rPr>
                <w:sz w:val="19"/>
                <w:szCs w:val="19"/>
                <w:color w:val="auto"/>
              </w:rPr>
            </w:pPr>
          </w:p>
        </w:tc>
      </w:tr>
      <w:tr>
        <w:trPr>
          <w:trHeight w:val="246"/>
        </w:trPr>
        <w:tc>
          <w:tcPr>
            <w:tcW w:w="408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2680" w:type="dxa"/>
            <w:vAlign w:val="bottom"/>
            <w:tcBorders>
              <w:bottom w:val="single" w:sz="8" w:color="231F20"/>
            </w:tcBorders>
            <w:gridSpan w:val="6"/>
          </w:tcPr>
          <w:p>
            <w:pPr>
              <w:jc w:val="center"/>
              <w:ind w:right="520"/>
              <w:spacing w:after="0" w:line="228" w:lineRule="exact"/>
              <w:rPr>
                <w:sz w:val="20"/>
                <w:szCs w:val="20"/>
                <w:color w:val="auto"/>
              </w:rPr>
            </w:pPr>
            <w:r>
              <w:rPr>
                <w:rFonts w:ascii="Arial" w:cs="Arial" w:eastAsia="Arial" w:hAnsi="Arial"/>
                <w:sz w:val="20"/>
                <w:szCs w:val="20"/>
                <w:b w:val="1"/>
                <w:bCs w:val="1"/>
                <w:color w:val="231F20"/>
                <w:w w:val="99"/>
              </w:rPr>
              <w:t>December 31, 2024</w:t>
            </w:r>
          </w:p>
        </w:tc>
        <w:tc>
          <w:tcPr>
            <w:tcW w:w="920" w:type="dxa"/>
            <w:vAlign w:val="bottom"/>
            <w:tcBorders>
              <w:bottom w:val="single" w:sz="8" w:color="231F20"/>
            </w:tcBorders>
          </w:tcPr>
          <w:p>
            <w:pPr>
              <w:spacing w:after="0"/>
              <w:rPr>
                <w:sz w:val="21"/>
                <w:szCs w:val="21"/>
                <w:color w:val="auto"/>
              </w:rPr>
            </w:pPr>
          </w:p>
        </w:tc>
      </w:tr>
      <w:tr>
        <w:trPr>
          <w:trHeight w:val="260"/>
        </w:trPr>
        <w:tc>
          <w:tcPr>
            <w:tcW w:w="408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100"/>
              <w:spacing w:after="0"/>
              <w:rPr>
                <w:sz w:val="20"/>
                <w:szCs w:val="20"/>
                <w:color w:val="auto"/>
              </w:rPr>
            </w:pPr>
            <w:r>
              <w:rPr>
                <w:rFonts w:ascii="Arial" w:cs="Arial" w:eastAsia="Arial" w:hAnsi="Arial"/>
                <w:sz w:val="20"/>
                <w:szCs w:val="20"/>
                <w:b w:val="1"/>
                <w:bCs w:val="1"/>
                <w:color w:val="231F20"/>
              </w:rPr>
              <w:t>Level 1</w:t>
            </w:r>
          </w:p>
        </w:tc>
        <w:tc>
          <w:tcPr>
            <w:tcW w:w="20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143"/>
              <w:spacing w:after="0"/>
              <w:rPr>
                <w:sz w:val="20"/>
                <w:szCs w:val="20"/>
                <w:color w:val="auto"/>
              </w:rPr>
            </w:pPr>
            <w:r>
              <w:rPr>
                <w:rFonts w:ascii="Arial" w:cs="Arial" w:eastAsia="Arial" w:hAnsi="Arial"/>
                <w:sz w:val="20"/>
                <w:szCs w:val="20"/>
                <w:b w:val="1"/>
                <w:bCs w:val="1"/>
                <w:color w:val="231F20"/>
              </w:rPr>
              <w:t>Level 2</w:t>
            </w:r>
          </w:p>
        </w:tc>
        <w:tc>
          <w:tcPr>
            <w:tcW w:w="20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ind w:left="20"/>
              <w:spacing w:after="0"/>
              <w:rPr>
                <w:sz w:val="20"/>
                <w:szCs w:val="20"/>
                <w:color w:val="auto"/>
              </w:rPr>
            </w:pPr>
            <w:r>
              <w:rPr>
                <w:rFonts w:ascii="Arial" w:cs="Arial" w:eastAsia="Arial" w:hAnsi="Arial"/>
                <w:sz w:val="20"/>
                <w:szCs w:val="20"/>
                <w:b w:val="1"/>
                <w:bCs w:val="1"/>
                <w:color w:val="231F20"/>
              </w:rPr>
              <w:t>Level 3</w:t>
            </w:r>
          </w:p>
        </w:tc>
        <w:tc>
          <w:tcPr>
            <w:tcW w:w="20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240"/>
              <w:spacing w:after="0"/>
              <w:rPr>
                <w:sz w:val="20"/>
                <w:szCs w:val="20"/>
                <w:color w:val="auto"/>
              </w:rPr>
            </w:pPr>
            <w:r>
              <w:rPr>
                <w:rFonts w:ascii="Arial" w:cs="Arial" w:eastAsia="Arial" w:hAnsi="Arial"/>
                <w:sz w:val="20"/>
                <w:szCs w:val="20"/>
                <w:b w:val="1"/>
                <w:bCs w:val="1"/>
                <w:color w:val="231F20"/>
              </w:rPr>
              <w:t>Total</w:t>
            </w:r>
          </w:p>
        </w:tc>
      </w:tr>
      <w:tr>
        <w:trPr>
          <w:trHeight w:val="280"/>
        </w:trPr>
        <w:tc>
          <w:tcPr>
            <w:tcW w:w="4080" w:type="dxa"/>
            <w:vAlign w:val="bottom"/>
          </w:tcPr>
          <w:p>
            <w:pPr>
              <w:spacing w:after="0"/>
              <w:rPr>
                <w:sz w:val="20"/>
                <w:szCs w:val="20"/>
                <w:color w:val="auto"/>
              </w:rPr>
            </w:pPr>
            <w:r>
              <w:rPr>
                <w:rFonts w:ascii="Arial" w:cs="Arial" w:eastAsia="Arial" w:hAnsi="Arial"/>
                <w:sz w:val="20"/>
                <w:szCs w:val="20"/>
                <w:color w:val="231F20"/>
              </w:rPr>
              <w:t>Asset Class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6"/>
          </w:tcPr>
          <w:p>
            <w:pPr>
              <w:ind w:left="740"/>
              <w:spacing w:after="0"/>
              <w:rPr>
                <w:sz w:val="20"/>
                <w:szCs w:val="20"/>
                <w:color w:val="auto"/>
              </w:rPr>
            </w:pPr>
            <w:r>
              <w:rPr>
                <w:rFonts w:ascii="Arial" w:cs="Arial" w:eastAsia="Arial" w:hAnsi="Arial"/>
                <w:sz w:val="16"/>
                <w:szCs w:val="16"/>
                <w:color w:val="231F20"/>
              </w:rPr>
              <w:t>(in millions)</w:t>
            </w:r>
          </w:p>
        </w:tc>
        <w:tc>
          <w:tcPr>
            <w:tcW w:w="920" w:type="dxa"/>
            <w:vAlign w:val="bottom"/>
          </w:tcPr>
          <w:p>
            <w:pPr>
              <w:spacing w:after="0"/>
              <w:rPr>
                <w:sz w:val="24"/>
                <w:szCs w:val="24"/>
                <w:color w:val="auto"/>
              </w:rPr>
            </w:pPr>
          </w:p>
        </w:tc>
      </w:tr>
      <w:tr>
        <w:trPr>
          <w:trHeight w:val="240"/>
        </w:trPr>
        <w:tc>
          <w:tcPr>
            <w:tcW w:w="4080" w:type="dxa"/>
            <w:vAlign w:val="bottom"/>
          </w:tcPr>
          <w:p>
            <w:pPr>
              <w:spacing w:after="0"/>
              <w:rPr>
                <w:sz w:val="20"/>
                <w:szCs w:val="20"/>
                <w:color w:val="auto"/>
              </w:rPr>
            </w:pPr>
            <w:r>
              <w:rPr>
                <w:rFonts w:ascii="Arial" w:cs="Arial" w:eastAsia="Arial" w:hAnsi="Arial"/>
                <w:sz w:val="20"/>
                <w:szCs w:val="20"/>
                <w:color w:val="231F20"/>
              </w:rPr>
              <w:t>Commingled funds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4080" w:type="dxa"/>
            <w:vAlign w:val="bottom"/>
          </w:tcPr>
          <w:p>
            <w:pPr>
              <w:jc w:val="right"/>
              <w:ind w:right="100"/>
              <w:spacing w:after="0"/>
              <w:rPr>
                <w:sz w:val="20"/>
                <w:szCs w:val="20"/>
                <w:color w:val="auto"/>
              </w:rPr>
            </w:pPr>
            <w:r>
              <w:rPr>
                <w:rFonts w:ascii="Arial" w:cs="Arial" w:eastAsia="Arial" w:hAnsi="Arial"/>
                <w:sz w:val="20"/>
                <w:szCs w:val="20"/>
                <w:color w:val="231F20"/>
              </w:rPr>
              <w:t>Bonds . . . . . . . . . . . . . .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231F20"/>
              </w:rPr>
              <w:t>162</w:t>
            </w: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186</w:t>
            </w:r>
          </w:p>
        </w:tc>
      </w:tr>
      <w:tr>
        <w:trPr>
          <w:trHeight w:val="240"/>
        </w:trPr>
        <w:tc>
          <w:tcPr>
            <w:tcW w:w="4080" w:type="dxa"/>
            <w:vAlign w:val="bottom"/>
          </w:tcPr>
          <w:p>
            <w:pPr>
              <w:jc w:val="right"/>
              <w:ind w:right="100"/>
              <w:spacing w:after="0"/>
              <w:rPr>
                <w:sz w:val="20"/>
                <w:szCs w:val="20"/>
                <w:color w:val="auto"/>
              </w:rPr>
            </w:pPr>
            <w:r>
              <w:rPr>
                <w:rFonts w:ascii="Arial" w:cs="Arial" w:eastAsia="Arial" w:hAnsi="Arial"/>
                <w:sz w:val="20"/>
                <w:szCs w:val="20"/>
                <w:color w:val="231F20"/>
              </w:rPr>
              <w:t>Commodities  . . . . . . . .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231F20"/>
              </w:rPr>
              <w:t>—</w:t>
            </w: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17</w:t>
            </w:r>
          </w:p>
        </w:tc>
      </w:tr>
      <w:tr>
        <w:trPr>
          <w:trHeight w:val="240"/>
        </w:trPr>
        <w:tc>
          <w:tcPr>
            <w:tcW w:w="4080" w:type="dxa"/>
            <w:vAlign w:val="bottom"/>
          </w:tcPr>
          <w:p>
            <w:pPr>
              <w:jc w:val="right"/>
              <w:ind w:right="100"/>
              <w:spacing w:after="0"/>
              <w:rPr>
                <w:sz w:val="20"/>
                <w:szCs w:val="20"/>
                <w:color w:val="auto"/>
              </w:rPr>
            </w:pPr>
            <w:r>
              <w:rPr>
                <w:rFonts w:ascii="Arial" w:cs="Arial" w:eastAsia="Arial" w:hAnsi="Arial"/>
                <w:sz w:val="20"/>
                <w:szCs w:val="20"/>
                <w:color w:val="231F20"/>
              </w:rPr>
              <w:t>U.S. equity . . . . . . . . . .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231F20"/>
              </w:rPr>
              <w:t>84</w:t>
            </w: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84</w:t>
            </w:r>
          </w:p>
        </w:tc>
      </w:tr>
      <w:tr>
        <w:trPr>
          <w:trHeight w:val="240"/>
        </w:trPr>
        <w:tc>
          <w:tcPr>
            <w:tcW w:w="4080" w:type="dxa"/>
            <w:vAlign w:val="bottom"/>
          </w:tcPr>
          <w:p>
            <w:pPr>
              <w:jc w:val="right"/>
              <w:ind w:right="100"/>
              <w:spacing w:after="0"/>
              <w:rPr>
                <w:sz w:val="20"/>
                <w:szCs w:val="20"/>
                <w:color w:val="auto"/>
              </w:rPr>
            </w:pPr>
            <w:r>
              <w:rPr>
                <w:rFonts w:ascii="Arial" w:cs="Arial" w:eastAsia="Arial" w:hAnsi="Arial"/>
                <w:sz w:val="20"/>
                <w:szCs w:val="20"/>
                <w:color w:val="231F20"/>
              </w:rPr>
              <w:t>International equity  . . .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231F20"/>
              </w:rPr>
              <w:t>20</w:t>
            </w: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44</w:t>
            </w:r>
          </w:p>
        </w:tc>
      </w:tr>
      <w:tr>
        <w:trPr>
          <w:trHeight w:val="30"/>
        </w:trPr>
        <w:tc>
          <w:tcPr>
            <w:tcW w:w="408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r>
      <w:tr>
        <w:trPr>
          <w:trHeight w:val="270"/>
        </w:trPr>
        <w:tc>
          <w:tcPr>
            <w:tcW w:w="4080" w:type="dxa"/>
            <w:vAlign w:val="bottom"/>
          </w:tcPr>
          <w:p>
            <w:pPr>
              <w:jc w:val="right"/>
              <w:ind w:right="100"/>
              <w:spacing w:after="0"/>
              <w:rPr>
                <w:sz w:val="20"/>
                <w:szCs w:val="20"/>
                <w:color w:val="auto"/>
              </w:rPr>
            </w:pPr>
            <w:r>
              <w:rPr>
                <w:rFonts w:ascii="Arial" w:cs="Arial" w:eastAsia="Arial" w:hAnsi="Arial"/>
                <w:sz w:val="20"/>
                <w:szCs w:val="20"/>
                <w:color w:val="231F20"/>
                <w:w w:val="98"/>
              </w:rPr>
              <w:t>Total pension plan assets . . . . . . . . . . . . . . .</w:t>
            </w:r>
          </w:p>
        </w:tc>
        <w:tc>
          <w:tcPr>
            <w:tcW w:w="160" w:type="dxa"/>
            <w:vAlign w:val="bottom"/>
          </w:tcPr>
          <w:p>
            <w:pPr>
              <w:jc w:val="right"/>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65</w:t>
            </w:r>
          </w:p>
        </w:tc>
        <w:tc>
          <w:tcPr>
            <w:tcW w:w="36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231F20"/>
              </w:rPr>
              <w:t>266</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   $</w:t>
            </w:r>
          </w:p>
        </w:tc>
        <w:tc>
          <w:tcPr>
            <w:tcW w:w="920" w:type="dxa"/>
            <w:vAlign w:val="bottom"/>
          </w:tcPr>
          <w:p>
            <w:pPr>
              <w:jc w:val="right"/>
              <w:spacing w:after="0"/>
              <w:rPr>
                <w:sz w:val="20"/>
                <w:szCs w:val="20"/>
                <w:color w:val="auto"/>
              </w:rPr>
            </w:pPr>
            <w:r>
              <w:rPr>
                <w:rFonts w:ascii="Arial" w:cs="Arial" w:eastAsia="Arial" w:hAnsi="Arial"/>
                <w:sz w:val="20"/>
                <w:szCs w:val="20"/>
                <w:color w:val="231F20"/>
              </w:rPr>
              <w:t>331</w:t>
            </w:r>
          </w:p>
        </w:tc>
      </w:tr>
      <w:tr>
        <w:trPr>
          <w:trHeight w:val="30"/>
        </w:trPr>
        <w:tc>
          <w:tcPr>
            <w:tcW w:w="408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139</w:t>
      </w:r>
    </w:p>
    <w:p>
      <w:pPr>
        <w:sectPr>
          <w:pgSz w:w="11880" w:h="15480" w:orient="portrait"/>
          <w:cols w:equalWidth="0" w:num="1">
            <w:col w:w="9120"/>
          </w:cols>
          <w:pgMar w:left="1380" w:top="1316" w:right="1380" w:bottom="660" w:gutter="0" w:footer="0" w:header="0"/>
          <w:type w:val="continuous"/>
        </w:sectPr>
      </w:pPr>
    </w:p>
    <w:bookmarkStart w:id="143" w:name="page144"/>
    <w:bookmarkEnd w:id="143"/>
    <w:p>
      <w:pPr>
        <w:ind w:left="300"/>
        <w:spacing w:after="0"/>
        <w:rPr>
          <w:sz w:val="20"/>
          <w:szCs w:val="20"/>
          <w:color w:val="auto"/>
        </w:rPr>
      </w:pPr>
      <w:r>
        <w:rPr>
          <w:rFonts w:ascii="Arial" w:cs="Arial" w:eastAsia="Arial" w:hAnsi="Arial"/>
          <w:sz w:val="20"/>
          <w:szCs w:val="20"/>
          <w:color w:val="231F20"/>
        </w:rPr>
        <w:t>The fair values of our postretirement benefit plan assets by asset category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0" w:type="dxa"/>
            <w:vAlign w:val="bottom"/>
            <w:gridSpan w:val="8"/>
          </w:tcPr>
          <w:p>
            <w:pPr>
              <w:jc w:val="center"/>
              <w:ind w:right="240"/>
              <w:spacing w:after="0"/>
              <w:rPr>
                <w:sz w:val="20"/>
                <w:szCs w:val="20"/>
                <w:color w:val="auto"/>
              </w:rPr>
            </w:pPr>
            <w:r>
              <w:rPr>
                <w:rFonts w:ascii="Arial" w:cs="Arial" w:eastAsia="Arial" w:hAnsi="Arial"/>
                <w:sz w:val="20"/>
                <w:szCs w:val="20"/>
                <w:b w:val="1"/>
                <w:bCs w:val="1"/>
                <w:color w:val="231F20"/>
                <w:w w:val="99"/>
              </w:rPr>
              <w:t>Fair Value Measurements at</w:t>
            </w:r>
          </w:p>
        </w:tc>
        <w:tc>
          <w:tcPr>
            <w:tcW w:w="840" w:type="dxa"/>
            <w:vAlign w:val="bottom"/>
          </w:tcPr>
          <w:p>
            <w:pPr>
              <w:spacing w:after="0"/>
              <w:rPr>
                <w:sz w:val="19"/>
                <w:szCs w:val="19"/>
                <w:color w:val="auto"/>
              </w:rPr>
            </w:pPr>
          </w:p>
        </w:tc>
      </w:tr>
      <w:tr>
        <w:trPr>
          <w:trHeight w:val="248"/>
        </w:trPr>
        <w:tc>
          <w:tcPr>
            <w:tcW w:w="420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2620" w:type="dxa"/>
            <w:vAlign w:val="bottom"/>
            <w:tcBorders>
              <w:bottom w:val="single" w:sz="8" w:color="231F20"/>
            </w:tcBorders>
            <w:gridSpan w:val="6"/>
          </w:tcPr>
          <w:p>
            <w:pPr>
              <w:jc w:val="center"/>
              <w:ind w:right="620"/>
              <w:spacing w:after="0" w:line="228" w:lineRule="exact"/>
              <w:rPr>
                <w:sz w:val="20"/>
                <w:szCs w:val="20"/>
                <w:color w:val="auto"/>
              </w:rPr>
            </w:pPr>
            <w:r>
              <w:rPr>
                <w:rFonts w:ascii="Arial" w:cs="Arial" w:eastAsia="Arial" w:hAnsi="Arial"/>
                <w:sz w:val="20"/>
                <w:szCs w:val="20"/>
                <w:b w:val="1"/>
                <w:bCs w:val="1"/>
                <w:color w:val="231F20"/>
                <w:w w:val="99"/>
              </w:rPr>
              <w:t>December 31, 2025</w:t>
            </w:r>
          </w:p>
        </w:tc>
        <w:tc>
          <w:tcPr>
            <w:tcW w:w="840" w:type="dxa"/>
            <w:vAlign w:val="bottom"/>
            <w:tcBorders>
              <w:bottom w:val="single" w:sz="8" w:color="231F20"/>
            </w:tcBorders>
          </w:tcPr>
          <w:p>
            <w:pPr>
              <w:spacing w:after="0"/>
              <w:rPr>
                <w:sz w:val="21"/>
                <w:szCs w:val="21"/>
                <w:color w:val="auto"/>
              </w:rPr>
            </w:pPr>
          </w:p>
        </w:tc>
      </w:tr>
      <w:tr>
        <w:trPr>
          <w:trHeight w:val="260"/>
        </w:trPr>
        <w:tc>
          <w:tcPr>
            <w:tcW w:w="420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100"/>
              <w:spacing w:after="0"/>
              <w:rPr>
                <w:sz w:val="20"/>
                <w:szCs w:val="20"/>
                <w:color w:val="auto"/>
              </w:rPr>
            </w:pPr>
            <w:r>
              <w:rPr>
                <w:rFonts w:ascii="Arial" w:cs="Arial" w:eastAsia="Arial" w:hAnsi="Arial"/>
                <w:sz w:val="20"/>
                <w:szCs w:val="20"/>
                <w:b w:val="1"/>
                <w:bCs w:val="1"/>
                <w:color w:val="231F20"/>
              </w:rPr>
              <w:t>Level 1</w:t>
            </w:r>
          </w:p>
        </w:tc>
        <w:tc>
          <w:tcPr>
            <w:tcW w:w="20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103"/>
              <w:spacing w:after="0"/>
              <w:rPr>
                <w:sz w:val="20"/>
                <w:szCs w:val="20"/>
                <w:color w:val="auto"/>
              </w:rPr>
            </w:pPr>
            <w:r>
              <w:rPr>
                <w:rFonts w:ascii="Arial" w:cs="Arial" w:eastAsia="Arial" w:hAnsi="Arial"/>
                <w:sz w:val="20"/>
                <w:szCs w:val="20"/>
                <w:b w:val="1"/>
                <w:bCs w:val="1"/>
                <w:color w:val="231F20"/>
              </w:rPr>
              <w:t>Level 2</w:t>
            </w:r>
          </w:p>
        </w:tc>
        <w:tc>
          <w:tcPr>
            <w:tcW w:w="20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ind w:left="20"/>
              <w:spacing w:after="0"/>
              <w:rPr>
                <w:sz w:val="20"/>
                <w:szCs w:val="20"/>
                <w:color w:val="auto"/>
              </w:rPr>
            </w:pPr>
            <w:r>
              <w:rPr>
                <w:rFonts w:ascii="Arial" w:cs="Arial" w:eastAsia="Arial" w:hAnsi="Arial"/>
                <w:sz w:val="20"/>
                <w:szCs w:val="20"/>
                <w:b w:val="1"/>
                <w:bCs w:val="1"/>
                <w:color w:val="231F20"/>
              </w:rPr>
              <w:t>Level 3</w:t>
            </w:r>
          </w:p>
        </w:tc>
        <w:tc>
          <w:tcPr>
            <w:tcW w:w="2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200"/>
              <w:spacing w:after="0"/>
              <w:rPr>
                <w:sz w:val="20"/>
                <w:szCs w:val="20"/>
                <w:color w:val="auto"/>
              </w:rPr>
            </w:pPr>
            <w:r>
              <w:rPr>
                <w:rFonts w:ascii="Arial" w:cs="Arial" w:eastAsia="Arial" w:hAnsi="Arial"/>
                <w:sz w:val="20"/>
                <w:szCs w:val="20"/>
                <w:b w:val="1"/>
                <w:bCs w:val="1"/>
                <w:color w:val="231F20"/>
              </w:rPr>
              <w:t>Total</w:t>
            </w:r>
          </w:p>
        </w:tc>
      </w:tr>
      <w:tr>
        <w:trPr>
          <w:trHeight w:val="282"/>
        </w:trPr>
        <w:tc>
          <w:tcPr>
            <w:tcW w:w="4200" w:type="dxa"/>
            <w:vAlign w:val="bottom"/>
          </w:tcPr>
          <w:p>
            <w:pPr>
              <w:spacing w:after="0"/>
              <w:rPr>
                <w:sz w:val="20"/>
                <w:szCs w:val="20"/>
                <w:color w:val="auto"/>
              </w:rPr>
            </w:pPr>
            <w:r>
              <w:rPr>
                <w:rFonts w:ascii="Arial" w:cs="Arial" w:eastAsia="Arial" w:hAnsi="Arial"/>
                <w:sz w:val="20"/>
                <w:szCs w:val="20"/>
                <w:color w:val="231F20"/>
              </w:rPr>
              <w:t>Asset Class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6"/>
          </w:tcPr>
          <w:p>
            <w:pPr>
              <w:jc w:val="center"/>
              <w:ind w:right="580"/>
              <w:spacing w:after="0"/>
              <w:rPr>
                <w:sz w:val="20"/>
                <w:szCs w:val="20"/>
                <w:color w:val="auto"/>
              </w:rPr>
            </w:pPr>
            <w:r>
              <w:rPr>
                <w:rFonts w:ascii="Arial" w:cs="Arial" w:eastAsia="Arial" w:hAnsi="Arial"/>
                <w:sz w:val="16"/>
                <w:szCs w:val="16"/>
                <w:color w:val="231F20"/>
                <w:w w:val="98"/>
              </w:rPr>
              <w:t>(in millions)</w:t>
            </w:r>
          </w:p>
        </w:tc>
        <w:tc>
          <w:tcPr>
            <w:tcW w:w="840" w:type="dxa"/>
            <w:vAlign w:val="bottom"/>
          </w:tcPr>
          <w:p>
            <w:pPr>
              <w:spacing w:after="0"/>
              <w:rPr>
                <w:sz w:val="24"/>
                <w:szCs w:val="24"/>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231F20"/>
              </w:rPr>
              <w:t>Commingled funds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Bonds . . . . . . . . . . .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29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32</w:t>
            </w: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Commodities  . . . . .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2</w:t>
            </w: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U.S. equity  . . . . . . .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12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12</w:t>
            </w: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International equity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12</w:t>
            </w:r>
          </w:p>
        </w:tc>
      </w:tr>
      <w:tr>
        <w:trPr>
          <w:trHeight w:val="28"/>
        </w:trPr>
        <w:tc>
          <w:tcPr>
            <w:tcW w:w="4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70"/>
        </w:trPr>
        <w:tc>
          <w:tcPr>
            <w:tcW w:w="4200" w:type="dxa"/>
            <w:vAlign w:val="bottom"/>
          </w:tcPr>
          <w:p>
            <w:pPr>
              <w:jc w:val="right"/>
              <w:ind w:right="100"/>
              <w:spacing w:after="0"/>
              <w:rPr>
                <w:sz w:val="20"/>
                <w:szCs w:val="20"/>
                <w:color w:val="auto"/>
              </w:rPr>
            </w:pPr>
            <w:r>
              <w:rPr>
                <w:rFonts w:ascii="Arial" w:cs="Arial" w:eastAsia="Arial" w:hAnsi="Arial"/>
                <w:sz w:val="20"/>
                <w:szCs w:val="20"/>
                <w:color w:val="231F20"/>
                <w:w w:val="98"/>
              </w:rPr>
              <w:t>Total pension plan assets . . . . . . . . . . . . . . . .</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13</w:t>
            </w:r>
          </w:p>
        </w:tc>
        <w:tc>
          <w:tcPr>
            <w:tcW w:w="380" w:type="dxa"/>
            <w:vAlign w:val="bottom"/>
            <w:gridSpan w:val="2"/>
          </w:tcPr>
          <w:p>
            <w:pPr>
              <w:jc w:val="right"/>
              <w:ind w:right="2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45</w:t>
            </w:r>
          </w:p>
        </w:tc>
        <w:tc>
          <w:tcPr>
            <w:tcW w:w="3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340" w:type="dxa"/>
            <w:vAlign w:val="bottom"/>
            <w:gridSpan w:val="3"/>
          </w:tcPr>
          <w:p>
            <w:pPr>
              <w:ind w:left="660"/>
              <w:spacing w:after="0"/>
              <w:rPr>
                <w:sz w:val="20"/>
                <w:szCs w:val="20"/>
                <w:color w:val="auto"/>
              </w:rPr>
            </w:pPr>
            <w:r>
              <w:rPr>
                <w:rFonts w:ascii="Arial" w:cs="Arial" w:eastAsia="Arial" w:hAnsi="Arial"/>
                <w:sz w:val="20"/>
                <w:szCs w:val="20"/>
                <w:color w:val="231F20"/>
              </w:rPr>
              <w:t>—    $</w:t>
            </w:r>
          </w:p>
        </w:tc>
        <w:tc>
          <w:tcPr>
            <w:tcW w:w="840" w:type="dxa"/>
            <w:vAlign w:val="bottom"/>
          </w:tcPr>
          <w:p>
            <w:pPr>
              <w:jc w:val="right"/>
              <w:spacing w:after="0"/>
              <w:rPr>
                <w:sz w:val="20"/>
                <w:szCs w:val="20"/>
                <w:color w:val="auto"/>
              </w:rPr>
            </w:pPr>
            <w:r>
              <w:rPr>
                <w:rFonts w:ascii="Arial" w:cs="Arial" w:eastAsia="Arial" w:hAnsi="Arial"/>
                <w:sz w:val="20"/>
                <w:szCs w:val="20"/>
                <w:color w:val="231F20"/>
              </w:rPr>
              <w:t>58</w:t>
            </w:r>
          </w:p>
        </w:tc>
      </w:tr>
      <w:tr>
        <w:trPr>
          <w:trHeight w:val="30"/>
        </w:trPr>
        <w:tc>
          <w:tcPr>
            <w:tcW w:w="4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980" w:type="dxa"/>
            <w:vAlign w:val="bottom"/>
            <w:gridSpan w:val="8"/>
          </w:tcPr>
          <w:p>
            <w:pPr>
              <w:jc w:val="center"/>
              <w:ind w:right="220"/>
              <w:spacing w:after="0"/>
              <w:rPr>
                <w:sz w:val="20"/>
                <w:szCs w:val="20"/>
                <w:color w:val="auto"/>
              </w:rPr>
            </w:pPr>
            <w:r>
              <w:rPr>
                <w:rFonts w:ascii="Arial" w:cs="Arial" w:eastAsia="Arial" w:hAnsi="Arial"/>
                <w:sz w:val="20"/>
                <w:szCs w:val="20"/>
                <w:b w:val="1"/>
                <w:bCs w:val="1"/>
                <w:color w:val="231F20"/>
                <w:w w:val="99"/>
              </w:rPr>
              <w:t>Fair Value Measurements at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6"/>
          </w:tcPr>
          <w:p>
            <w:pPr>
              <w:jc w:val="center"/>
              <w:ind w:right="600"/>
              <w:spacing w:after="0" w:line="228" w:lineRule="exact"/>
              <w:rPr>
                <w:sz w:val="20"/>
                <w:szCs w:val="20"/>
                <w:color w:val="auto"/>
              </w:rPr>
            </w:pPr>
            <w:r>
              <w:rPr>
                <w:rFonts w:ascii="Arial" w:cs="Arial" w:eastAsia="Arial" w:hAnsi="Arial"/>
                <w:sz w:val="20"/>
                <w:szCs w:val="20"/>
                <w:b w:val="1"/>
                <w:bCs w:val="1"/>
                <w:color w:val="231F20"/>
                <w:w w:val="99"/>
              </w:rPr>
              <w:t>December 31, 2024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0"/>
              <w:spacing w:after="0"/>
              <w:rPr>
                <w:sz w:val="20"/>
                <w:szCs w:val="20"/>
                <w:color w:val="auto"/>
              </w:rPr>
            </w:pPr>
            <w:r>
              <w:rPr>
                <w:rFonts w:ascii="Arial" w:cs="Arial" w:eastAsia="Arial" w:hAnsi="Arial"/>
                <w:sz w:val="20"/>
                <w:szCs w:val="20"/>
                <w:b w:val="1"/>
                <w:bCs w:val="1"/>
                <w:color w:val="231F20"/>
              </w:rPr>
              <w:t>Level 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03"/>
              <w:spacing w:after="0"/>
              <w:rPr>
                <w:sz w:val="20"/>
                <w:szCs w:val="20"/>
                <w:color w:val="auto"/>
              </w:rPr>
            </w:pPr>
            <w:r>
              <w:rPr>
                <w:rFonts w:ascii="Arial" w:cs="Arial" w:eastAsia="Arial" w:hAnsi="Arial"/>
                <w:sz w:val="20"/>
                <w:szCs w:val="20"/>
                <w:b w:val="1"/>
                <w:bCs w:val="1"/>
                <w:color w:val="231F20"/>
              </w:rPr>
              <w:t>Level 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20"/>
                <w:szCs w:val="20"/>
                <w:b w:val="1"/>
                <w:bCs w:val="1"/>
                <w:color w:val="231F20"/>
              </w:rPr>
              <w:t>Level 3</w:t>
            </w:r>
          </w:p>
        </w:tc>
        <w:tc>
          <w:tcPr>
            <w:tcW w:w="860" w:type="dxa"/>
            <w:vAlign w:val="bottom"/>
          </w:tcPr>
          <w:p>
            <w:pPr>
              <w:jc w:val="right"/>
              <w:ind w:right="200"/>
              <w:spacing w:after="0"/>
              <w:rPr>
                <w:sz w:val="20"/>
                <w:szCs w:val="20"/>
                <w:color w:val="auto"/>
              </w:rPr>
            </w:pPr>
            <w:r>
              <w:rPr>
                <w:rFonts w:ascii="Arial" w:cs="Arial" w:eastAsia="Arial" w:hAnsi="Arial"/>
                <w:sz w:val="20"/>
                <w:szCs w:val="20"/>
                <w:b w:val="1"/>
                <w:bCs w:val="1"/>
                <w:color w:val="231F20"/>
              </w:rPr>
              <w:t>Total</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20"/>
                <w:szCs w:val="20"/>
                <w:color w:val="231F20"/>
              </w:rPr>
              <w:t>Asset Class</w:t>
            </w: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231F20"/>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4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ind w:left="640"/>
              <w:spacing w:after="0"/>
              <w:rPr>
                <w:sz w:val="20"/>
                <w:szCs w:val="20"/>
                <w:color w:val="auto"/>
              </w:rPr>
            </w:pPr>
            <w:r>
              <w:rPr>
                <w:rFonts w:ascii="Arial" w:cs="Arial" w:eastAsia="Arial" w:hAnsi="Arial"/>
                <w:sz w:val="16"/>
                <w:szCs w:val="16"/>
                <w:color w:val="231F20"/>
              </w:rPr>
              <w:t>(in millions)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0" w:type="dxa"/>
            <w:vAlign w:val="bottom"/>
          </w:tcPr>
          <w:p>
            <w:pPr>
              <w:spacing w:after="0"/>
              <w:rPr>
                <w:sz w:val="20"/>
                <w:szCs w:val="20"/>
                <w:color w:val="auto"/>
              </w:rPr>
            </w:pPr>
            <w:r>
              <w:rPr>
                <w:rFonts w:ascii="Arial" w:cs="Arial" w:eastAsia="Arial" w:hAnsi="Arial"/>
                <w:sz w:val="20"/>
                <w:szCs w:val="20"/>
                <w:color w:val="231F20"/>
              </w:rPr>
              <w:t>Commingled funds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Bonds . . . . . . . . . . .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30</w:t>
            </w:r>
          </w:p>
        </w:tc>
        <w:tc>
          <w:tcPr>
            <w:tcW w:w="0" w:type="dxa"/>
            <w:vAlign w:val="bottom"/>
          </w:tcPr>
          <w:p>
            <w:pPr>
              <w:spacing w:after="0"/>
              <w:rPr>
                <w:sz w:val="1"/>
                <w:szCs w:val="1"/>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Commodities  . . . . .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3</w:t>
            </w:r>
          </w:p>
        </w:tc>
        <w:tc>
          <w:tcPr>
            <w:tcW w:w="0" w:type="dxa"/>
            <w:vAlign w:val="bottom"/>
          </w:tcPr>
          <w:p>
            <w:pPr>
              <w:spacing w:after="0"/>
              <w:rPr>
                <w:sz w:val="1"/>
                <w:szCs w:val="1"/>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U.S. equity  . . . . . . .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13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13</w:t>
            </w:r>
          </w:p>
        </w:tc>
        <w:tc>
          <w:tcPr>
            <w:tcW w:w="0" w:type="dxa"/>
            <w:vAlign w:val="bottom"/>
          </w:tcPr>
          <w:p>
            <w:pPr>
              <w:spacing w:after="0"/>
              <w:rPr>
                <w:sz w:val="1"/>
                <w:szCs w:val="1"/>
                <w:color w:val="auto"/>
              </w:rPr>
            </w:pPr>
          </w:p>
        </w:tc>
      </w:tr>
      <w:tr>
        <w:trPr>
          <w:trHeight w:val="240"/>
        </w:trPr>
        <w:tc>
          <w:tcPr>
            <w:tcW w:w="4200" w:type="dxa"/>
            <w:vAlign w:val="bottom"/>
          </w:tcPr>
          <w:p>
            <w:pPr>
              <w:jc w:val="right"/>
              <w:ind w:right="100"/>
              <w:spacing w:after="0"/>
              <w:rPr>
                <w:sz w:val="20"/>
                <w:szCs w:val="20"/>
                <w:color w:val="auto"/>
              </w:rPr>
            </w:pPr>
            <w:r>
              <w:rPr>
                <w:rFonts w:ascii="Arial" w:cs="Arial" w:eastAsia="Arial" w:hAnsi="Arial"/>
                <w:sz w:val="20"/>
                <w:szCs w:val="20"/>
                <w:color w:val="231F20"/>
              </w:rPr>
              <w:t>International equity  . . . . . . . . . . . . . . . . . .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6</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200" w:type="dxa"/>
            <w:vAlign w:val="bottom"/>
          </w:tcPr>
          <w:p>
            <w:pPr>
              <w:jc w:val="right"/>
              <w:ind w:right="100"/>
              <w:spacing w:after="0"/>
              <w:rPr>
                <w:sz w:val="20"/>
                <w:szCs w:val="20"/>
                <w:color w:val="auto"/>
              </w:rPr>
            </w:pPr>
            <w:r>
              <w:rPr>
                <w:rFonts w:ascii="Arial" w:cs="Arial" w:eastAsia="Arial" w:hAnsi="Arial"/>
                <w:sz w:val="20"/>
                <w:szCs w:val="20"/>
                <w:color w:val="231F20"/>
                <w:w w:val="98"/>
              </w:rPr>
              <w:t>Total pension plan assets . . . . . . . . . . . . . . . .</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11</w:t>
            </w:r>
          </w:p>
        </w:tc>
        <w:tc>
          <w:tcPr>
            <w:tcW w:w="3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41</w:t>
            </w:r>
          </w:p>
        </w:tc>
        <w:tc>
          <w:tcPr>
            <w:tcW w:w="38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320" w:type="dxa"/>
            <w:vAlign w:val="bottom"/>
            <w:gridSpan w:val="3"/>
          </w:tcPr>
          <w:p>
            <w:pPr>
              <w:ind w:left="660"/>
              <w:spacing w:after="0"/>
              <w:rPr>
                <w:sz w:val="20"/>
                <w:szCs w:val="20"/>
                <w:color w:val="auto"/>
              </w:rPr>
            </w:pPr>
            <w:r>
              <w:rPr>
                <w:rFonts w:ascii="Arial" w:cs="Arial" w:eastAsia="Arial" w:hAnsi="Arial"/>
                <w:sz w:val="20"/>
                <w:szCs w:val="20"/>
                <w:color w:val="231F20"/>
              </w:rPr>
              <w:t>—   $</w:t>
            </w:r>
          </w:p>
        </w:tc>
        <w:tc>
          <w:tcPr>
            <w:tcW w:w="860" w:type="dxa"/>
            <w:vAlign w:val="bottom"/>
          </w:tcPr>
          <w:p>
            <w:pPr>
              <w:jc w:val="right"/>
              <w:spacing w:after="0"/>
              <w:rPr>
                <w:sz w:val="20"/>
                <w:szCs w:val="20"/>
                <w:color w:val="auto"/>
              </w:rPr>
            </w:pPr>
            <w:r>
              <w:rPr>
                <w:rFonts w:ascii="Arial" w:cs="Arial" w:eastAsia="Arial" w:hAnsi="Arial"/>
                <w:sz w:val="20"/>
                <w:szCs w:val="20"/>
                <w:color w:val="231F20"/>
              </w:rPr>
              <w:t>52</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Expected Contributions and Benefit Payments</w:t>
      </w:r>
    </w:p>
    <w:p>
      <w:pPr>
        <w:spacing w:after="0" w:line="201" w:lineRule="exact"/>
        <w:rPr>
          <w:sz w:val="20"/>
          <w:szCs w:val="20"/>
          <w:color w:val="auto"/>
        </w:rPr>
      </w:pPr>
    </w:p>
    <w:p>
      <w:pPr>
        <w:jc w:val="both"/>
        <w:ind w:right="780" w:firstLine="300"/>
        <w:spacing w:after="0" w:line="266" w:lineRule="auto"/>
        <w:rPr>
          <w:sz w:val="20"/>
          <w:szCs w:val="20"/>
          <w:color w:val="auto"/>
        </w:rPr>
      </w:pPr>
      <w:r>
        <w:rPr>
          <w:rFonts w:ascii="Arial" w:cs="Arial" w:eastAsia="Arial" w:hAnsi="Arial"/>
          <w:sz w:val="19"/>
          <w:szCs w:val="19"/>
          <w:color w:val="231F20"/>
        </w:rPr>
        <w:t>In 2026, we expect to contribute an insignificant amount to our pension plans and expect to contribute $6 million to our postretirement benefit plans. Estimated future undiscounted benefit payments by the plans, which reflect expected future service, as appropriate,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231F20"/>
              </w:rPr>
              <w:t>Pension</w:t>
            </w:r>
          </w:p>
        </w:tc>
        <w:tc>
          <w:tcPr>
            <w:tcW w:w="2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20"/>
                <w:szCs w:val="20"/>
                <w:b w:val="1"/>
                <w:bCs w:val="1"/>
                <w:color w:val="231F20"/>
              </w:rPr>
              <w:t>Postretirement</w:t>
            </w:r>
          </w:p>
        </w:tc>
      </w:tr>
      <w:tr>
        <w:trPr>
          <w:trHeight w:val="248"/>
        </w:trPr>
        <w:tc>
          <w:tcPr>
            <w:tcW w:w="6120" w:type="dxa"/>
            <w:vAlign w:val="bottom"/>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Benefits</w:t>
            </w:r>
          </w:p>
        </w:tc>
        <w:tc>
          <w:tcPr>
            <w:tcW w:w="260" w:type="dxa"/>
            <w:vAlign w:val="bottom"/>
            <w:tcBorders>
              <w:bottom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Benefits</w:t>
            </w:r>
          </w:p>
        </w:tc>
        <w:tc>
          <w:tcPr>
            <w:tcW w:w="280" w:type="dxa"/>
            <w:vAlign w:val="bottom"/>
            <w:tcBorders>
              <w:bottom w:val="single" w:sz="8" w:color="231F20"/>
            </w:tcBorders>
          </w:tcPr>
          <w:p>
            <w:pPr>
              <w:spacing w:after="0"/>
              <w:rPr>
                <w:sz w:val="21"/>
                <w:szCs w:val="21"/>
                <w:color w:val="auto"/>
              </w:rPr>
            </w:pPr>
          </w:p>
        </w:tc>
      </w:tr>
      <w:tr>
        <w:trPr>
          <w:trHeight w:val="282"/>
        </w:trPr>
        <w:tc>
          <w:tcPr>
            <w:tcW w:w="6120" w:type="dxa"/>
            <w:vAlign w:val="bottom"/>
          </w:tcPr>
          <w:p>
            <w:pPr>
              <w:spacing w:after="0"/>
              <w:rPr>
                <w:sz w:val="20"/>
                <w:szCs w:val="20"/>
                <w:color w:val="auto"/>
              </w:rPr>
            </w:pPr>
            <w:r>
              <w:rPr>
                <w:rFonts w:ascii="Arial" w:cs="Arial" w:eastAsia="Arial" w:hAnsi="Arial"/>
                <w:sz w:val="20"/>
                <w:szCs w:val="20"/>
                <w:b w:val="1"/>
                <w:bCs w:val="1"/>
                <w:color w:val="231F20"/>
              </w:rPr>
              <w:t>For the years ended December 31,</w:t>
            </w:r>
          </w:p>
        </w:tc>
        <w:tc>
          <w:tcPr>
            <w:tcW w:w="112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color w:val="231F20"/>
              </w:rPr>
              <w:t>(in millions)</w:t>
            </w:r>
          </w:p>
        </w:tc>
        <w:tc>
          <w:tcPr>
            <w:tcW w:w="280" w:type="dxa"/>
            <w:vAlign w:val="bottom"/>
          </w:tcPr>
          <w:p>
            <w:pPr>
              <w:spacing w:after="0"/>
              <w:rPr>
                <w:sz w:val="24"/>
                <w:szCs w:val="24"/>
                <w:color w:val="auto"/>
              </w:rPr>
            </w:pP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231F20"/>
                <w:w w:val="98"/>
              </w:rPr>
              <w:t>2026  . . . . . . . . . . . . . . . . . . . . . . . . . . . . . . . . . . . . . . . . . . . . . . . . . . .</w:t>
            </w:r>
          </w:p>
        </w:tc>
        <w:tc>
          <w:tcPr>
            <w:tcW w:w="1120" w:type="dxa"/>
            <w:vAlign w:val="bottom"/>
          </w:tcPr>
          <w:p>
            <w:pPr>
              <w:jc w:val="right"/>
              <w:ind w:right="860"/>
              <w:spacing w:after="0"/>
              <w:rPr>
                <w:sz w:val="20"/>
                <w:szCs w:val="20"/>
                <w:color w:val="auto"/>
              </w:rPr>
            </w:pPr>
            <w:r>
              <w:rPr>
                <w:rFonts w:ascii="Arial" w:cs="Arial" w:eastAsia="Arial" w:hAnsi="Arial"/>
                <w:sz w:val="20"/>
                <w:szCs w:val="20"/>
                <w:color w:val="231F20"/>
              </w:rPr>
              <w:t>$</w:t>
            </w:r>
          </w:p>
        </w:tc>
        <w:tc>
          <w:tcPr>
            <w:tcW w:w="260" w:type="dxa"/>
            <w:vAlign w:val="bottom"/>
          </w:tcPr>
          <w:p>
            <w:pPr>
              <w:ind w:left="40"/>
              <w:spacing w:after="0"/>
              <w:rPr>
                <w:sz w:val="20"/>
                <w:szCs w:val="20"/>
                <w:color w:val="auto"/>
              </w:rPr>
            </w:pPr>
            <w:r>
              <w:rPr>
                <w:rFonts w:ascii="Arial" w:cs="Arial" w:eastAsia="Arial" w:hAnsi="Arial"/>
                <w:sz w:val="20"/>
                <w:szCs w:val="20"/>
                <w:color w:val="231F20"/>
                <w:w w:val="89"/>
              </w:rPr>
              <w:t>23</w:t>
            </w:r>
          </w:p>
        </w:tc>
        <w:tc>
          <w:tcPr>
            <w:tcW w:w="1340" w:type="dxa"/>
            <w:vAlign w:val="bottom"/>
            <w:gridSpan w:val="2"/>
          </w:tcPr>
          <w:p>
            <w:pPr>
              <w:jc w:val="right"/>
              <w:ind w:right="860"/>
              <w:spacing w:after="0"/>
              <w:rPr>
                <w:sz w:val="20"/>
                <w:szCs w:val="20"/>
                <w:color w:val="auto"/>
              </w:rPr>
            </w:pPr>
            <w:r>
              <w:rPr>
                <w:rFonts w:ascii="Arial" w:cs="Arial" w:eastAsia="Arial" w:hAnsi="Arial"/>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10</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231F20"/>
                <w:w w:val="98"/>
              </w:rPr>
              <w:t>2027  . . . . . . . . . . . . . . . . . . . . . . . . . . . . . . . . . . . . . . . . . . . . . . . . . . .</w:t>
            </w:r>
          </w:p>
        </w:tc>
        <w:tc>
          <w:tcPr>
            <w:tcW w:w="1120" w:type="dxa"/>
            <w:vAlign w:val="bottom"/>
          </w:tcPr>
          <w:p>
            <w:pPr>
              <w:jc w:val="right"/>
              <w:ind w:right="860"/>
              <w:spacing w:after="0"/>
              <w:rPr>
                <w:sz w:val="20"/>
                <w:szCs w:val="20"/>
                <w:color w:val="auto"/>
              </w:rPr>
            </w:pPr>
            <w:r>
              <w:rPr>
                <w:rFonts w:ascii="Arial" w:cs="Arial" w:eastAsia="Arial" w:hAnsi="Arial"/>
                <w:sz w:val="20"/>
                <w:szCs w:val="20"/>
                <w:color w:val="231F20"/>
              </w:rPr>
              <w:t>$</w:t>
            </w:r>
          </w:p>
        </w:tc>
        <w:tc>
          <w:tcPr>
            <w:tcW w:w="260" w:type="dxa"/>
            <w:vAlign w:val="bottom"/>
          </w:tcPr>
          <w:p>
            <w:pPr>
              <w:ind w:left="40"/>
              <w:spacing w:after="0"/>
              <w:rPr>
                <w:sz w:val="20"/>
                <w:szCs w:val="20"/>
                <w:color w:val="auto"/>
              </w:rPr>
            </w:pPr>
            <w:r>
              <w:rPr>
                <w:rFonts w:ascii="Arial" w:cs="Arial" w:eastAsia="Arial" w:hAnsi="Arial"/>
                <w:sz w:val="20"/>
                <w:szCs w:val="20"/>
                <w:color w:val="231F20"/>
                <w:w w:val="89"/>
              </w:rPr>
              <w:t>15</w:t>
            </w:r>
          </w:p>
        </w:tc>
        <w:tc>
          <w:tcPr>
            <w:tcW w:w="1340" w:type="dxa"/>
            <w:vAlign w:val="bottom"/>
            <w:gridSpan w:val="2"/>
          </w:tcPr>
          <w:p>
            <w:pPr>
              <w:jc w:val="right"/>
              <w:ind w:right="860"/>
              <w:spacing w:after="0"/>
              <w:rPr>
                <w:sz w:val="20"/>
                <w:szCs w:val="20"/>
                <w:color w:val="auto"/>
              </w:rPr>
            </w:pPr>
            <w:r>
              <w:rPr>
                <w:rFonts w:ascii="Arial" w:cs="Arial" w:eastAsia="Arial" w:hAnsi="Arial"/>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9</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231F20"/>
                <w:w w:val="98"/>
              </w:rPr>
              <w:t>2028  . . . . . . . . . . . . . . . . . . . . . . . . . . . . . . . . . . . . . . . . . . . . . . . . . . .</w:t>
            </w:r>
          </w:p>
        </w:tc>
        <w:tc>
          <w:tcPr>
            <w:tcW w:w="1120" w:type="dxa"/>
            <w:vAlign w:val="bottom"/>
          </w:tcPr>
          <w:p>
            <w:pPr>
              <w:jc w:val="right"/>
              <w:ind w:right="860"/>
              <w:spacing w:after="0"/>
              <w:rPr>
                <w:sz w:val="20"/>
                <w:szCs w:val="20"/>
                <w:color w:val="auto"/>
              </w:rPr>
            </w:pPr>
            <w:r>
              <w:rPr>
                <w:rFonts w:ascii="Arial" w:cs="Arial" w:eastAsia="Arial" w:hAnsi="Arial"/>
                <w:sz w:val="20"/>
                <w:szCs w:val="20"/>
                <w:color w:val="231F20"/>
              </w:rPr>
              <w:t>$</w:t>
            </w:r>
          </w:p>
        </w:tc>
        <w:tc>
          <w:tcPr>
            <w:tcW w:w="260" w:type="dxa"/>
            <w:vAlign w:val="bottom"/>
          </w:tcPr>
          <w:p>
            <w:pPr>
              <w:ind w:left="40"/>
              <w:spacing w:after="0"/>
              <w:rPr>
                <w:sz w:val="20"/>
                <w:szCs w:val="20"/>
                <w:color w:val="auto"/>
              </w:rPr>
            </w:pPr>
            <w:r>
              <w:rPr>
                <w:rFonts w:ascii="Arial" w:cs="Arial" w:eastAsia="Arial" w:hAnsi="Arial"/>
                <w:sz w:val="20"/>
                <w:szCs w:val="20"/>
                <w:color w:val="231F20"/>
                <w:w w:val="89"/>
              </w:rPr>
              <w:t>18</w:t>
            </w:r>
          </w:p>
        </w:tc>
        <w:tc>
          <w:tcPr>
            <w:tcW w:w="1340" w:type="dxa"/>
            <w:vAlign w:val="bottom"/>
            <w:gridSpan w:val="2"/>
          </w:tcPr>
          <w:p>
            <w:pPr>
              <w:jc w:val="right"/>
              <w:ind w:right="860"/>
              <w:spacing w:after="0"/>
              <w:rPr>
                <w:sz w:val="20"/>
                <w:szCs w:val="20"/>
                <w:color w:val="auto"/>
              </w:rPr>
            </w:pPr>
            <w:r>
              <w:rPr>
                <w:rFonts w:ascii="Arial" w:cs="Arial" w:eastAsia="Arial" w:hAnsi="Arial"/>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8</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231F20"/>
                <w:w w:val="98"/>
              </w:rPr>
              <w:t>2029  . . . . . . . . . . . . . . . . . . . . . . . . . . . . . . . . . . . . . . . . . . . . . . . . . . .</w:t>
            </w:r>
          </w:p>
        </w:tc>
        <w:tc>
          <w:tcPr>
            <w:tcW w:w="1120" w:type="dxa"/>
            <w:vAlign w:val="bottom"/>
          </w:tcPr>
          <w:p>
            <w:pPr>
              <w:jc w:val="right"/>
              <w:ind w:right="860"/>
              <w:spacing w:after="0"/>
              <w:rPr>
                <w:sz w:val="20"/>
                <w:szCs w:val="20"/>
                <w:color w:val="auto"/>
              </w:rPr>
            </w:pPr>
            <w:r>
              <w:rPr>
                <w:rFonts w:ascii="Arial" w:cs="Arial" w:eastAsia="Arial" w:hAnsi="Arial"/>
                <w:sz w:val="20"/>
                <w:szCs w:val="20"/>
                <w:color w:val="231F20"/>
              </w:rPr>
              <w:t>$</w:t>
            </w:r>
          </w:p>
        </w:tc>
        <w:tc>
          <w:tcPr>
            <w:tcW w:w="260" w:type="dxa"/>
            <w:vAlign w:val="bottom"/>
          </w:tcPr>
          <w:p>
            <w:pPr>
              <w:ind w:left="40"/>
              <w:spacing w:after="0"/>
              <w:rPr>
                <w:sz w:val="20"/>
                <w:szCs w:val="20"/>
                <w:color w:val="auto"/>
              </w:rPr>
            </w:pPr>
            <w:r>
              <w:rPr>
                <w:rFonts w:ascii="Arial" w:cs="Arial" w:eastAsia="Arial" w:hAnsi="Arial"/>
                <w:sz w:val="20"/>
                <w:szCs w:val="20"/>
                <w:color w:val="231F20"/>
                <w:w w:val="89"/>
              </w:rPr>
              <w:t>16</w:t>
            </w:r>
          </w:p>
        </w:tc>
        <w:tc>
          <w:tcPr>
            <w:tcW w:w="1340" w:type="dxa"/>
            <w:vAlign w:val="bottom"/>
            <w:gridSpan w:val="2"/>
          </w:tcPr>
          <w:p>
            <w:pPr>
              <w:jc w:val="right"/>
              <w:ind w:right="860"/>
              <w:spacing w:after="0"/>
              <w:rPr>
                <w:sz w:val="20"/>
                <w:szCs w:val="20"/>
                <w:color w:val="auto"/>
              </w:rPr>
            </w:pPr>
            <w:r>
              <w:rPr>
                <w:rFonts w:ascii="Arial" w:cs="Arial" w:eastAsia="Arial" w:hAnsi="Arial"/>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8</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231F20"/>
                <w:w w:val="98"/>
              </w:rPr>
              <w:t>2030  . . . . . . . . . . . . . . . . . . . . . . . . . . . . . . . . . . . . . . . . . . . . . . . . . . .</w:t>
            </w:r>
          </w:p>
        </w:tc>
        <w:tc>
          <w:tcPr>
            <w:tcW w:w="1120" w:type="dxa"/>
            <w:vAlign w:val="bottom"/>
          </w:tcPr>
          <w:p>
            <w:pPr>
              <w:jc w:val="right"/>
              <w:ind w:right="860"/>
              <w:spacing w:after="0"/>
              <w:rPr>
                <w:sz w:val="20"/>
                <w:szCs w:val="20"/>
                <w:color w:val="auto"/>
              </w:rPr>
            </w:pPr>
            <w:r>
              <w:rPr>
                <w:rFonts w:ascii="Arial" w:cs="Arial" w:eastAsia="Arial" w:hAnsi="Arial"/>
                <w:sz w:val="20"/>
                <w:szCs w:val="20"/>
                <w:color w:val="231F20"/>
              </w:rPr>
              <w:t>$</w:t>
            </w:r>
          </w:p>
        </w:tc>
        <w:tc>
          <w:tcPr>
            <w:tcW w:w="260" w:type="dxa"/>
            <w:vAlign w:val="bottom"/>
          </w:tcPr>
          <w:p>
            <w:pPr>
              <w:ind w:left="40"/>
              <w:spacing w:after="0"/>
              <w:rPr>
                <w:sz w:val="20"/>
                <w:szCs w:val="20"/>
                <w:color w:val="auto"/>
              </w:rPr>
            </w:pPr>
            <w:r>
              <w:rPr>
                <w:rFonts w:ascii="Arial" w:cs="Arial" w:eastAsia="Arial" w:hAnsi="Arial"/>
                <w:sz w:val="20"/>
                <w:szCs w:val="20"/>
                <w:color w:val="231F20"/>
                <w:w w:val="89"/>
              </w:rPr>
              <w:t>16</w:t>
            </w:r>
          </w:p>
        </w:tc>
        <w:tc>
          <w:tcPr>
            <w:tcW w:w="1340" w:type="dxa"/>
            <w:vAlign w:val="bottom"/>
            <w:gridSpan w:val="2"/>
          </w:tcPr>
          <w:p>
            <w:pPr>
              <w:jc w:val="right"/>
              <w:ind w:right="860"/>
              <w:spacing w:after="0"/>
              <w:rPr>
                <w:sz w:val="20"/>
                <w:szCs w:val="20"/>
                <w:color w:val="auto"/>
              </w:rPr>
            </w:pPr>
            <w:r>
              <w:rPr>
                <w:rFonts w:ascii="Arial" w:cs="Arial" w:eastAsia="Arial" w:hAnsi="Arial"/>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8</w:t>
            </w:r>
          </w:p>
        </w:tc>
      </w:tr>
      <w:tr>
        <w:trPr>
          <w:trHeight w:val="240"/>
        </w:trPr>
        <w:tc>
          <w:tcPr>
            <w:tcW w:w="6120" w:type="dxa"/>
            <w:vAlign w:val="bottom"/>
          </w:tcPr>
          <w:p>
            <w:pPr>
              <w:spacing w:after="0"/>
              <w:rPr>
                <w:sz w:val="20"/>
                <w:szCs w:val="20"/>
                <w:color w:val="auto"/>
              </w:rPr>
            </w:pPr>
            <w:r>
              <w:rPr>
                <w:rFonts w:ascii="Arial" w:cs="Arial" w:eastAsia="Arial" w:hAnsi="Arial"/>
                <w:sz w:val="20"/>
                <w:szCs w:val="20"/>
                <w:color w:val="231F20"/>
                <w:w w:val="99"/>
              </w:rPr>
              <w:t>2031 - 2035  . . . . . . . . . . . . . . . . . . . . . . . . . . . . . . . . . . . . . . . . . . . . .</w:t>
            </w:r>
          </w:p>
        </w:tc>
        <w:tc>
          <w:tcPr>
            <w:tcW w:w="1120" w:type="dxa"/>
            <w:vAlign w:val="bottom"/>
          </w:tcPr>
          <w:p>
            <w:pPr>
              <w:jc w:val="right"/>
              <w:ind w:right="860"/>
              <w:spacing w:after="0"/>
              <w:rPr>
                <w:sz w:val="20"/>
                <w:szCs w:val="20"/>
                <w:color w:val="auto"/>
              </w:rPr>
            </w:pPr>
            <w:r>
              <w:rPr>
                <w:rFonts w:ascii="Arial" w:cs="Arial" w:eastAsia="Arial" w:hAnsi="Arial"/>
                <w:sz w:val="20"/>
                <w:szCs w:val="20"/>
                <w:color w:val="231F20"/>
              </w:rPr>
              <w:t>$</w:t>
            </w:r>
          </w:p>
        </w:tc>
        <w:tc>
          <w:tcPr>
            <w:tcW w:w="260" w:type="dxa"/>
            <w:vAlign w:val="bottom"/>
          </w:tcPr>
          <w:p>
            <w:pPr>
              <w:ind w:left="40"/>
              <w:spacing w:after="0"/>
              <w:rPr>
                <w:sz w:val="20"/>
                <w:szCs w:val="20"/>
                <w:color w:val="auto"/>
              </w:rPr>
            </w:pPr>
            <w:r>
              <w:rPr>
                <w:rFonts w:ascii="Arial" w:cs="Arial" w:eastAsia="Arial" w:hAnsi="Arial"/>
                <w:sz w:val="20"/>
                <w:szCs w:val="20"/>
                <w:color w:val="231F20"/>
                <w:w w:val="89"/>
              </w:rPr>
              <w:t>76</w:t>
            </w:r>
          </w:p>
        </w:tc>
        <w:tc>
          <w:tcPr>
            <w:tcW w:w="1340" w:type="dxa"/>
            <w:vAlign w:val="bottom"/>
            <w:gridSpan w:val="2"/>
          </w:tcPr>
          <w:p>
            <w:pPr>
              <w:jc w:val="right"/>
              <w:ind w:right="860"/>
              <w:spacing w:after="0"/>
              <w:rPr>
                <w:sz w:val="20"/>
                <w:szCs w:val="20"/>
                <w:color w:val="auto"/>
              </w:rPr>
            </w:pPr>
            <w:r>
              <w:rPr>
                <w:rFonts w:ascii="Arial" w:cs="Arial" w:eastAsia="Arial" w:hAnsi="Arial"/>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40</w:t>
            </w:r>
          </w:p>
        </w:tc>
      </w:tr>
    </w:tbl>
    <w:p>
      <w:pPr>
        <w:spacing w:after="0" w:line="19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231F20"/>
        </w:rPr>
        <w:t>NOTE 15</w:t>
      </w:r>
      <w:r>
        <w:rPr>
          <w:sz w:val="20"/>
          <w:szCs w:val="20"/>
          <w:color w:val="auto"/>
        </w:rPr>
        <w:tab/>
      </w:r>
      <w:r>
        <w:rPr>
          <w:rFonts w:ascii="Arial" w:cs="Arial" w:eastAsia="Arial" w:hAnsi="Arial"/>
          <w:sz w:val="19"/>
          <w:szCs w:val="19"/>
          <w:b w:val="1"/>
          <w:bCs w:val="1"/>
          <w:color w:val="231F20"/>
        </w:rPr>
        <w:t>REVENUE</w:t>
      </w:r>
    </w:p>
    <w:p>
      <w:pPr>
        <w:spacing w:after="0" w:line="203" w:lineRule="exact"/>
        <w:rPr>
          <w:sz w:val="20"/>
          <w:szCs w:val="20"/>
          <w:color w:val="auto"/>
        </w:rPr>
      </w:pPr>
    </w:p>
    <w:p>
      <w:pPr>
        <w:jc w:val="both"/>
        <w:ind w:right="140" w:firstLine="300"/>
        <w:spacing w:after="0" w:line="246" w:lineRule="auto"/>
        <w:rPr>
          <w:sz w:val="20"/>
          <w:szCs w:val="20"/>
          <w:color w:val="auto"/>
        </w:rPr>
      </w:pPr>
      <w:r>
        <w:rPr>
          <w:rFonts w:ascii="Arial" w:cs="Arial" w:eastAsia="Arial" w:hAnsi="Arial"/>
          <w:sz w:val="20"/>
          <w:szCs w:val="20"/>
          <w:color w:val="231F20"/>
        </w:rPr>
        <w:t>The following is a description of our principal activities from which we generate revenue. Revenue from customers is recognized when a customer obtains control of promised goods and the obligations under the terms of a contract are satisfied.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Sales of our Produced Oil, Natural Gas and NGLs</w:t>
      </w:r>
    </w:p>
    <w:p>
      <w:pPr>
        <w:spacing w:after="0" w:line="201" w:lineRule="exact"/>
        <w:rPr>
          <w:sz w:val="20"/>
          <w:szCs w:val="20"/>
          <w:color w:val="auto"/>
        </w:rPr>
      </w:pPr>
    </w:p>
    <w:p>
      <w:pPr>
        <w:ind w:right="180" w:firstLine="300"/>
        <w:spacing w:after="0" w:line="248" w:lineRule="auto"/>
        <w:rPr>
          <w:sz w:val="20"/>
          <w:szCs w:val="20"/>
          <w:color w:val="auto"/>
        </w:rPr>
      </w:pPr>
      <w:r>
        <w:rPr>
          <w:rFonts w:ascii="Arial" w:cs="Arial" w:eastAsia="Arial" w:hAnsi="Arial"/>
          <w:sz w:val="20"/>
          <w:szCs w:val="20"/>
          <w:color w:val="231F20"/>
        </w:rPr>
        <w:t>Revenue from sales of our oil, natural gas and NGL production is recognized upon delivery (and transfer of control) of the commodity to the customer. In certain instances, transportation and processing fees are incurred by us prior to delivery to customers. We record these transportation and processing fees as transportation costs on our consolidated statements of operations.</w:t>
      </w:r>
    </w:p>
    <w:p>
      <w:pPr>
        <w:sectPr>
          <w:pgSz w:w="11880" w:h="15480" w:orient="portrait"/>
          <w:cols w:equalWidth="0" w:num="1">
            <w:col w:w="9120"/>
          </w:cols>
          <w:pgMar w:left="1380" w:top="1310" w:right="1380" w:bottom="66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140</w:t>
      </w:r>
    </w:p>
    <w:p>
      <w:pPr>
        <w:sectPr>
          <w:pgSz w:w="11880" w:h="15480" w:orient="portrait"/>
          <w:cols w:equalWidth="0" w:num="1">
            <w:col w:w="9120"/>
          </w:cols>
          <w:pgMar w:left="1380" w:top="1310" w:right="1380" w:bottom="660" w:gutter="0" w:footer="0" w:header="0"/>
          <w:type w:val="continuous"/>
        </w:sectPr>
      </w:pPr>
    </w:p>
    <w:bookmarkStart w:id="144" w:name="page145"/>
    <w:bookmarkEnd w:id="144"/>
    <w:p>
      <w:pPr>
        <w:ind w:right="160" w:firstLine="300"/>
        <w:spacing w:after="0" w:line="248" w:lineRule="auto"/>
        <w:rPr>
          <w:sz w:val="20"/>
          <w:szCs w:val="20"/>
          <w:color w:val="auto"/>
        </w:rPr>
      </w:pPr>
      <w:r>
        <w:rPr>
          <w:rFonts w:ascii="Arial" w:cs="Arial" w:eastAsia="Arial" w:hAnsi="Arial"/>
          <w:sz w:val="20"/>
          <w:szCs w:val="20"/>
          <w:color w:val="231F20"/>
        </w:rPr>
        <w:t>Our contracts with customers are generally less than a year and based on index prices. We recognize revenue in the amount that we expect to receive once we are able to adequately estimate the consideration (i.e., when market prices are known). Our contracts with customers typically require payment within 30 days following the month of delivery. The following table provides disaggregated revenue for sales of produced oil, natural gas and NGLs to external customers: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84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3060" w:type="dxa"/>
            <w:vAlign w:val="bottom"/>
            <w:tcBorders>
              <w:bottom w:val="single" w:sz="8" w:color="231F20"/>
            </w:tcBorders>
            <w:gridSpan w:val="6"/>
          </w:tcPr>
          <w:p>
            <w:pPr>
              <w:jc w:val="center"/>
              <w:ind w:left="520"/>
              <w:spacing w:after="0"/>
              <w:rPr>
                <w:sz w:val="20"/>
                <w:szCs w:val="20"/>
                <w:color w:val="auto"/>
              </w:rPr>
            </w:pPr>
            <w:r>
              <w:rPr>
                <w:rFonts w:ascii="Arial" w:cs="Arial" w:eastAsia="Arial" w:hAnsi="Arial"/>
                <w:sz w:val="20"/>
                <w:szCs w:val="20"/>
                <w:b w:val="1"/>
                <w:bCs w:val="1"/>
                <w:color w:val="231F20"/>
              </w:rPr>
              <w:t>Year ended December 31,</w:t>
            </w:r>
          </w:p>
        </w:tc>
        <w:tc>
          <w:tcPr>
            <w:tcW w:w="920" w:type="dxa"/>
            <w:vAlign w:val="bottom"/>
            <w:tcBorders>
              <w:bottom w:val="single" w:sz="8" w:color="231F20"/>
            </w:tcBorders>
          </w:tcPr>
          <w:p>
            <w:pPr>
              <w:spacing w:after="0"/>
              <w:rPr>
                <w:sz w:val="21"/>
                <w:szCs w:val="21"/>
                <w:color w:val="auto"/>
              </w:rPr>
            </w:pPr>
          </w:p>
        </w:tc>
      </w:tr>
      <w:tr>
        <w:trPr>
          <w:trHeight w:val="260"/>
        </w:trPr>
        <w:tc>
          <w:tcPr>
            <w:tcW w:w="484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360"/>
              <w:spacing w:after="0"/>
              <w:rPr>
                <w:sz w:val="20"/>
                <w:szCs w:val="20"/>
                <w:color w:val="auto"/>
              </w:rPr>
            </w:pPr>
            <w:r>
              <w:rPr>
                <w:rFonts w:ascii="Arial" w:cs="Arial" w:eastAsia="Arial" w:hAnsi="Arial"/>
                <w:sz w:val="20"/>
                <w:szCs w:val="20"/>
                <w:b w:val="1"/>
                <w:bCs w:val="1"/>
                <w:color w:val="231F20"/>
              </w:rPr>
              <w:t>2025</w:t>
            </w:r>
          </w:p>
        </w:tc>
        <w:tc>
          <w:tcPr>
            <w:tcW w:w="10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center"/>
              <w:ind w:right="123"/>
              <w:spacing w:after="0"/>
              <w:rPr>
                <w:sz w:val="20"/>
                <w:szCs w:val="20"/>
                <w:color w:val="auto"/>
              </w:rPr>
            </w:pPr>
            <w:r>
              <w:rPr>
                <w:rFonts w:ascii="Arial" w:cs="Arial" w:eastAsia="Arial" w:hAnsi="Arial"/>
                <w:sz w:val="20"/>
                <w:szCs w:val="20"/>
                <w:b w:val="1"/>
                <w:bCs w:val="1"/>
                <w:color w:val="231F20"/>
                <w:w w:val="98"/>
              </w:rPr>
              <w:t>2024</w:t>
            </w:r>
          </w:p>
        </w:tc>
        <w:tc>
          <w:tcPr>
            <w:tcW w:w="100" w:type="dxa"/>
            <w:vAlign w:val="bottom"/>
          </w:tcPr>
          <w:p>
            <w:pPr>
              <w:spacing w:after="0"/>
              <w:rPr>
                <w:sz w:val="22"/>
                <w:szCs w:val="22"/>
                <w:color w:val="auto"/>
              </w:rPr>
            </w:pPr>
          </w:p>
        </w:tc>
        <w:tc>
          <w:tcPr>
            <w:tcW w:w="44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360"/>
              <w:spacing w:after="0"/>
              <w:rPr>
                <w:sz w:val="20"/>
                <w:szCs w:val="20"/>
                <w:color w:val="auto"/>
              </w:rPr>
            </w:pPr>
            <w:r>
              <w:rPr>
                <w:rFonts w:ascii="Arial" w:cs="Arial" w:eastAsia="Arial" w:hAnsi="Arial"/>
                <w:sz w:val="20"/>
                <w:szCs w:val="20"/>
                <w:b w:val="1"/>
                <w:bCs w:val="1"/>
                <w:color w:val="231F20"/>
                <w:w w:val="98"/>
              </w:rPr>
              <w:t>2023</w:t>
            </w:r>
          </w:p>
        </w:tc>
      </w:tr>
      <w:tr>
        <w:trPr>
          <w:trHeight w:val="192"/>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color w:val="231F20"/>
                <w:w w:val="98"/>
              </w:rPr>
              <w:t>(in millions)</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4840" w:type="dxa"/>
            <w:vAlign w:val="bottom"/>
          </w:tcPr>
          <w:p>
            <w:pPr>
              <w:jc w:val="right"/>
              <w:spacing w:after="0"/>
              <w:rPr>
                <w:sz w:val="20"/>
                <w:szCs w:val="20"/>
                <w:color w:val="auto"/>
              </w:rPr>
            </w:pPr>
            <w:r>
              <w:rPr>
                <w:rFonts w:ascii="Arial" w:cs="Arial" w:eastAsia="Arial" w:hAnsi="Arial"/>
                <w:sz w:val="20"/>
                <w:szCs w:val="20"/>
                <w:color w:val="231F20"/>
                <w:w w:val="96"/>
              </w:rPr>
              <w:t>Oil . . . . . . . . . . . . . . . . . . . . . . . . . . . . . . . . . . . . . . . . . .</w:t>
            </w:r>
          </w:p>
        </w:tc>
        <w:tc>
          <w:tcPr>
            <w:tcW w:w="30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tcPr>
          <w:p>
            <w:pPr>
              <w:jc w:val="right"/>
              <w:spacing w:after="0"/>
              <w:rPr>
                <w:sz w:val="20"/>
                <w:szCs w:val="20"/>
                <w:color w:val="auto"/>
              </w:rPr>
            </w:pPr>
            <w:r>
              <w:rPr>
                <w:rFonts w:ascii="Arial" w:cs="Arial" w:eastAsia="Arial" w:hAnsi="Arial"/>
                <w:sz w:val="20"/>
                <w:szCs w:val="20"/>
                <w:color w:val="231F20"/>
              </w:rPr>
              <w:t>2,647</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231F20"/>
              </w:rPr>
              <w:t>2,255</w:t>
            </w:r>
          </w:p>
        </w:tc>
        <w:tc>
          <w:tcPr>
            <w:tcW w:w="440" w:type="dxa"/>
            <w:vAlign w:val="bottom"/>
          </w:tcPr>
          <w:p>
            <w:pPr>
              <w:jc w:val="right"/>
              <w:ind w:right="18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1,534</w:t>
            </w:r>
          </w:p>
        </w:tc>
      </w:tr>
      <w:tr>
        <w:trPr>
          <w:trHeight w:val="240"/>
        </w:trPr>
        <w:tc>
          <w:tcPr>
            <w:tcW w:w="4840" w:type="dxa"/>
            <w:vAlign w:val="bottom"/>
          </w:tcPr>
          <w:p>
            <w:pPr>
              <w:jc w:val="right"/>
              <w:spacing w:after="0"/>
              <w:rPr>
                <w:sz w:val="20"/>
                <w:szCs w:val="20"/>
                <w:color w:val="auto"/>
              </w:rPr>
            </w:pPr>
            <w:r>
              <w:rPr>
                <w:rFonts w:ascii="Arial" w:cs="Arial" w:eastAsia="Arial" w:hAnsi="Arial"/>
                <w:sz w:val="20"/>
                <w:szCs w:val="20"/>
                <w:color w:val="231F20"/>
                <w:w w:val="96"/>
              </w:rPr>
              <w:t>Natural gas . . . . . . . . . . . . . . . . . . . . . . . . . . . . . . . . . .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231F20"/>
              </w:rPr>
              <w:t>96</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309</w:t>
            </w:r>
          </w:p>
        </w:tc>
      </w:tr>
      <w:tr>
        <w:trPr>
          <w:trHeight w:val="240"/>
        </w:trPr>
        <w:tc>
          <w:tcPr>
            <w:tcW w:w="4840" w:type="dxa"/>
            <w:vAlign w:val="bottom"/>
          </w:tcPr>
          <w:p>
            <w:pPr>
              <w:jc w:val="right"/>
              <w:spacing w:after="0"/>
              <w:rPr>
                <w:sz w:val="20"/>
                <w:szCs w:val="20"/>
                <w:color w:val="auto"/>
              </w:rPr>
            </w:pPr>
            <w:r>
              <w:rPr>
                <w:rFonts w:ascii="Arial" w:cs="Arial" w:eastAsia="Arial" w:hAnsi="Arial"/>
                <w:sz w:val="20"/>
                <w:szCs w:val="20"/>
                <w:color w:val="231F20"/>
                <w:w w:val="96"/>
              </w:rPr>
              <w:t>Natural gas liquids . . . . . . . . . . . . . . . . . . . . . . . . . . . . .</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231F20"/>
              </w:rPr>
              <w:t>164</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231F20"/>
              </w:rPr>
              <w:t>186</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198</w:t>
            </w:r>
          </w:p>
        </w:tc>
      </w:tr>
      <w:tr>
        <w:trPr>
          <w:trHeight w:val="28"/>
        </w:trPr>
        <w:tc>
          <w:tcPr>
            <w:tcW w:w="484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r>
      <w:tr>
        <w:trPr>
          <w:trHeight w:val="270"/>
        </w:trPr>
        <w:tc>
          <w:tcPr>
            <w:tcW w:w="4840" w:type="dxa"/>
            <w:vAlign w:val="bottom"/>
          </w:tcPr>
          <w:p>
            <w:pPr>
              <w:jc w:val="right"/>
              <w:spacing w:after="0"/>
              <w:rPr>
                <w:sz w:val="20"/>
                <w:szCs w:val="20"/>
                <w:color w:val="auto"/>
              </w:rPr>
            </w:pPr>
            <w:r>
              <w:rPr>
                <w:rFonts w:ascii="Arial" w:cs="Arial" w:eastAsia="Arial" w:hAnsi="Arial"/>
                <w:sz w:val="20"/>
                <w:szCs w:val="20"/>
                <w:color w:val="231F20"/>
              </w:rPr>
              <w:t>Oil, natural gas and natural gas liquids sales  . . . . .</w:t>
            </w:r>
          </w:p>
        </w:tc>
        <w:tc>
          <w:tcPr>
            <w:tcW w:w="300" w:type="dxa"/>
            <w:vAlign w:val="bottom"/>
          </w:tcPr>
          <w:p>
            <w:pPr>
              <w:jc w:val="right"/>
              <w:ind w:right="40"/>
              <w:spacing w:after="0"/>
              <w:rPr>
                <w:sz w:val="20"/>
                <w:szCs w:val="20"/>
                <w:color w:val="auto"/>
              </w:rPr>
            </w:pPr>
            <w:r>
              <w:rPr>
                <w:rFonts w:ascii="Arial" w:cs="Arial" w:eastAsia="Arial" w:hAnsi="Arial"/>
                <w:sz w:val="20"/>
                <w:szCs w:val="20"/>
                <w:color w:val="231F20"/>
              </w:rPr>
              <w:t>$</w:t>
            </w:r>
          </w:p>
        </w:tc>
        <w:tc>
          <w:tcPr>
            <w:tcW w:w="1060" w:type="dxa"/>
            <w:vAlign w:val="bottom"/>
          </w:tcPr>
          <w:p>
            <w:pPr>
              <w:jc w:val="right"/>
              <w:spacing w:after="0"/>
              <w:rPr>
                <w:sz w:val="20"/>
                <w:szCs w:val="20"/>
                <w:color w:val="auto"/>
              </w:rPr>
            </w:pPr>
            <w:r>
              <w:rPr>
                <w:rFonts w:ascii="Arial" w:cs="Arial" w:eastAsia="Arial" w:hAnsi="Arial"/>
                <w:sz w:val="20"/>
                <w:szCs w:val="20"/>
                <w:color w:val="231F20"/>
              </w:rPr>
              <w:t>2,910</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1240" w:type="dxa"/>
            <w:vAlign w:val="bottom"/>
            <w:gridSpan w:val="2"/>
          </w:tcPr>
          <w:p>
            <w:pPr>
              <w:jc w:val="right"/>
              <w:ind w:right="100"/>
              <w:spacing w:after="0"/>
              <w:rPr>
                <w:sz w:val="20"/>
                <w:szCs w:val="20"/>
                <w:color w:val="auto"/>
              </w:rPr>
            </w:pPr>
            <w:r>
              <w:rPr>
                <w:rFonts w:ascii="Arial" w:cs="Arial" w:eastAsia="Arial" w:hAnsi="Arial"/>
                <w:sz w:val="20"/>
                <w:szCs w:val="20"/>
                <w:color w:val="231F20"/>
              </w:rPr>
              <w:t>2,537</w:t>
            </w:r>
          </w:p>
        </w:tc>
        <w:tc>
          <w:tcPr>
            <w:tcW w:w="440" w:type="dxa"/>
            <w:vAlign w:val="bottom"/>
          </w:tcPr>
          <w:p>
            <w:pPr>
              <w:jc w:val="right"/>
              <w:ind w:right="18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2,041</w:t>
            </w:r>
          </w:p>
        </w:tc>
      </w:tr>
      <w:tr>
        <w:trPr>
          <w:trHeight w:val="30"/>
        </w:trPr>
        <w:tc>
          <w:tcPr>
            <w:tcW w:w="484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r>
    </w:tbl>
    <w:p>
      <w:pPr>
        <w:spacing w:after="0" w:line="290"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231F20"/>
        </w:rPr>
        <w:t>We also process third-party wet gas at one of our gas processing facilities and the purity products are then sold to customers. We recognized $3 million, $3 million and $15 million included in other revenue on our consolidated statements of operations for the years ended December 31, 2025, 2024 and 2023,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Electricity Revenue</w:t>
      </w:r>
    </w:p>
    <w:p>
      <w:pPr>
        <w:spacing w:after="0" w:line="248"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The electrical output of our Elk Hills power plant that is not used in our operations is primarily sold into the California Independent System Operator (CAISO) wholesale power market. We also enter into contracts with load-serving entities to ensure there is sufficient capacity to support forecasted demand in the California market. Our contracts for capacity are at market prices and generally for a term that does not exceed twelve months. For the twelve months ended December 31, 2023, we sold power to a California utility under a power purchase and sales agreement (PPA), which included a monthly capacity payment plus a variable payment based on the quantity of power purchased each month.</w:t>
      </w:r>
    </w:p>
    <w:p>
      <w:pPr>
        <w:spacing w:after="0" w:line="289" w:lineRule="exact"/>
        <w:rPr>
          <w:sz w:val="20"/>
          <w:szCs w:val="20"/>
          <w:color w:val="auto"/>
        </w:rPr>
      </w:pPr>
    </w:p>
    <w:p>
      <w:pPr>
        <w:ind w:right="120" w:firstLine="300"/>
        <w:spacing w:after="0" w:line="247" w:lineRule="auto"/>
        <w:rPr>
          <w:sz w:val="20"/>
          <w:szCs w:val="20"/>
          <w:color w:val="auto"/>
        </w:rPr>
      </w:pPr>
      <w:r>
        <w:rPr>
          <w:rFonts w:ascii="Arial" w:cs="Arial" w:eastAsia="Arial" w:hAnsi="Arial"/>
          <w:sz w:val="20"/>
          <w:szCs w:val="20"/>
          <w:color w:val="231F20"/>
        </w:rPr>
        <w:t>As part of the Berry Merger, we acquired four cogeneration plants. The electrical output of one of these plants that is not used in our operations is sold to a California investor-owned utility, Pacific Gas and Electric under a power purchase and sales agreement that expires in November 2026.</w:t>
      </w:r>
    </w:p>
    <w:p>
      <w:pPr>
        <w:spacing w:after="0" w:line="289" w:lineRule="exact"/>
        <w:rPr>
          <w:sz w:val="20"/>
          <w:szCs w:val="20"/>
          <w:color w:val="auto"/>
        </w:rPr>
      </w:pPr>
    </w:p>
    <w:p>
      <w:pPr>
        <w:ind w:right="40" w:firstLine="300"/>
        <w:spacing w:after="0" w:line="249" w:lineRule="auto"/>
        <w:rPr>
          <w:sz w:val="20"/>
          <w:szCs w:val="20"/>
          <w:color w:val="auto"/>
        </w:rPr>
      </w:pPr>
      <w:r>
        <w:rPr>
          <w:rFonts w:ascii="Arial" w:cs="Arial" w:eastAsia="Arial" w:hAnsi="Arial"/>
          <w:sz w:val="20"/>
          <w:szCs w:val="20"/>
          <w:color w:val="231F20"/>
        </w:rPr>
        <w:t>Revenue is recognized when obligations under the terms of a contract are satisfied; generally, this occurs upon delivery of the electricity. Revenue is measured as the amount of consideration we expect to receive based on CAISO market pricing with payment due the month following delivery. We recognize electricity revenue using the output method and consider our performance obligations to be satisfied upon delivery of electricity or as the contracted amount of capacity is made available to the customer in the case of capacity payments.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Revenue from Marketing of Purchased Commodities</w:t>
      </w:r>
    </w:p>
    <w:p>
      <w:pPr>
        <w:spacing w:after="0" w:line="248" w:lineRule="exact"/>
        <w:rPr>
          <w:sz w:val="20"/>
          <w:szCs w:val="20"/>
          <w:color w:val="auto"/>
        </w:rPr>
      </w:pPr>
    </w:p>
    <w:p>
      <w:pPr>
        <w:ind w:right="60" w:firstLine="300"/>
        <w:spacing w:after="0" w:line="249" w:lineRule="auto"/>
        <w:rPr>
          <w:sz w:val="20"/>
          <w:szCs w:val="20"/>
          <w:color w:val="auto"/>
        </w:rPr>
      </w:pPr>
      <w:r>
        <w:rPr>
          <w:rFonts w:ascii="Arial" w:cs="Arial" w:eastAsia="Arial" w:hAnsi="Arial"/>
          <w:sz w:val="20"/>
          <w:szCs w:val="20"/>
          <w:color w:val="231F20"/>
        </w:rPr>
        <w:t>From time-to-time, we enter into transactions for third-party production, which we report as revenue from marketing of purchased commodities on our consolidated statements of operations. Revenues from marketing of purchased commodities results from (1) the storage or transportation of natural gas to take advantage of differences in pricing or location, (2) marketing oil sales that have resulted from third-party purchases or (3) sales of NGLs from inventory storage. To transport our natural gas as well as third-party volumes, we have entered into firm pipeline transportation commitments. We report associated expense related to the cost of marketing purchased commodities in operating expenses on our consolidated statements of operations. We consider our performance obligations to be satisfied upon transfer of control of the commodity.</w:t>
      </w:r>
    </w:p>
    <w:p>
      <w:pPr>
        <w:sectPr>
          <w:pgSz w:w="11880" w:h="15480" w:orient="portrait"/>
          <w:cols w:equalWidth="0" w:num="1">
            <w:col w:w="9120"/>
          </w:cols>
          <w:pgMar w:left="1380" w:top="1316" w:right="1380" w:bottom="66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141</w:t>
      </w:r>
    </w:p>
    <w:p>
      <w:pPr>
        <w:sectPr>
          <w:pgSz w:w="11880" w:h="15480" w:orient="portrait"/>
          <w:cols w:equalWidth="0" w:num="1">
            <w:col w:w="9120"/>
          </w:cols>
          <w:pgMar w:left="1380" w:top="1316" w:right="1380" w:bottom="66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50"/>
        </w:trPr>
        <w:tc>
          <w:tcPr>
            <w:tcW w:w="5340" w:type="dxa"/>
            <w:vAlign w:val="bottom"/>
          </w:tcPr>
          <w:p>
            <w:pPr>
              <w:spacing w:after="0"/>
              <w:rPr>
                <w:sz w:val="21"/>
                <w:szCs w:val="21"/>
                <w:color w:val="auto"/>
              </w:rPr>
            </w:pPr>
          </w:p>
        </w:tc>
        <w:tc>
          <w:tcPr>
            <w:tcW w:w="3780" w:type="dxa"/>
            <w:vAlign w:val="bottom"/>
            <w:tcBorders>
              <w:bottom w:val="single" w:sz="8" w:color="231F20"/>
            </w:tcBorders>
            <w:gridSpan w:val="8"/>
          </w:tcPr>
          <w:p>
            <w:pPr>
              <w:jc w:val="center"/>
              <w:spacing w:after="0"/>
              <w:rPr>
                <w:sz w:val="20"/>
                <w:szCs w:val="20"/>
                <w:color w:val="auto"/>
              </w:rPr>
            </w:pPr>
            <w:r>
              <w:rPr>
                <w:rFonts w:ascii="Arial" w:cs="Arial" w:eastAsia="Arial" w:hAnsi="Arial"/>
                <w:sz w:val="20"/>
                <w:szCs w:val="20"/>
                <w:b w:val="1"/>
                <w:bCs w:val="1"/>
                <w:color w:val="231F20"/>
                <w:w w:val="99"/>
              </w:rPr>
              <w:t>Year ended December 31,</w:t>
            </w:r>
          </w:p>
        </w:tc>
      </w:tr>
      <w:tr>
        <w:trPr>
          <w:trHeight w:val="260"/>
        </w:trPr>
        <w:tc>
          <w:tcPr>
            <w:tcW w:w="5340" w:type="dxa"/>
            <w:vAlign w:val="bottom"/>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20"/>
                <w:szCs w:val="20"/>
                <w:b w:val="1"/>
                <w:bCs w:val="1"/>
                <w:color w:val="231F20"/>
              </w:rPr>
              <w:t>2025</w:t>
            </w:r>
          </w:p>
        </w:tc>
        <w:tc>
          <w:tcPr>
            <w:tcW w:w="360" w:type="dxa"/>
            <w:vAlign w:val="bottom"/>
            <w:tcBorders>
              <w:bottom w:val="single" w:sz="8" w:color="231F20"/>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center"/>
              <w:ind w:right="63"/>
              <w:spacing w:after="0"/>
              <w:rPr>
                <w:sz w:val="20"/>
                <w:szCs w:val="20"/>
                <w:color w:val="auto"/>
              </w:rPr>
            </w:pPr>
            <w:r>
              <w:rPr>
                <w:rFonts w:ascii="Arial" w:cs="Arial" w:eastAsia="Arial" w:hAnsi="Arial"/>
                <w:sz w:val="20"/>
                <w:szCs w:val="20"/>
                <w:b w:val="1"/>
                <w:bCs w:val="1"/>
                <w:color w:val="231F20"/>
              </w:rPr>
              <w:t>2024</w:t>
            </w:r>
          </w:p>
        </w:tc>
        <w:tc>
          <w:tcPr>
            <w:tcW w:w="10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280"/>
              <w:spacing w:after="0"/>
              <w:rPr>
                <w:sz w:val="20"/>
                <w:szCs w:val="20"/>
                <w:color w:val="auto"/>
              </w:rPr>
            </w:pPr>
            <w:r>
              <w:rPr>
                <w:rFonts w:ascii="Arial" w:cs="Arial" w:eastAsia="Arial" w:hAnsi="Arial"/>
                <w:sz w:val="20"/>
                <w:szCs w:val="20"/>
                <w:b w:val="1"/>
                <w:bCs w:val="1"/>
                <w:color w:val="231F20"/>
              </w:rPr>
              <w:t>2023</w:t>
            </w:r>
          </w:p>
        </w:tc>
      </w:tr>
      <w:tr>
        <w:trPr>
          <w:trHeight w:val="192"/>
        </w:trPr>
        <w:tc>
          <w:tcPr>
            <w:tcW w:w="5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231F20"/>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5340" w:type="dxa"/>
            <w:vAlign w:val="bottom"/>
          </w:tcPr>
          <w:p>
            <w:pPr>
              <w:jc w:val="right"/>
              <w:spacing w:after="0"/>
              <w:rPr>
                <w:sz w:val="20"/>
                <w:szCs w:val="20"/>
                <w:color w:val="auto"/>
              </w:rPr>
            </w:pPr>
            <w:r>
              <w:rPr>
                <w:rFonts w:ascii="Arial" w:cs="Arial" w:eastAsia="Arial" w:hAnsi="Arial"/>
                <w:sz w:val="20"/>
                <w:szCs w:val="20"/>
                <w:color w:val="231F20"/>
                <w:w w:val="95"/>
              </w:rPr>
              <w:t>Oil . . . . . . . . . . . . . . . . . . . . . . . . . . . . . . . . . . . . . . . . . . . . . . .</w:t>
            </w:r>
          </w:p>
        </w:tc>
        <w:tc>
          <w:tcPr>
            <w:tcW w:w="840" w:type="dxa"/>
            <w:vAlign w:val="bottom"/>
          </w:tcPr>
          <w:p>
            <w:pPr>
              <w:jc w:val="right"/>
              <w:ind w:right="580"/>
              <w:spacing w:after="0"/>
              <w:rPr>
                <w:sz w:val="20"/>
                <w:szCs w:val="20"/>
                <w:color w:val="auto"/>
              </w:rPr>
            </w:pPr>
            <w:r>
              <w:rPr>
                <w:rFonts w:ascii="Arial" w:cs="Arial" w:eastAsia="Arial" w:hAnsi="Arial"/>
                <w:sz w:val="20"/>
                <w:szCs w:val="20"/>
                <w:color w:val="231F20"/>
              </w:rPr>
              <w:t>$</w:t>
            </w:r>
          </w:p>
        </w:tc>
        <w:tc>
          <w:tcPr>
            <w:tcW w:w="360" w:type="dxa"/>
            <w:vAlign w:val="bottom"/>
          </w:tcPr>
          <w:p>
            <w:pPr>
              <w:jc w:val="right"/>
              <w:spacing w:after="0"/>
              <w:rPr>
                <w:sz w:val="20"/>
                <w:szCs w:val="20"/>
                <w:color w:val="auto"/>
              </w:rPr>
            </w:pPr>
            <w:r>
              <w:rPr>
                <w:rFonts w:ascii="Arial" w:cs="Arial" w:eastAsia="Arial" w:hAnsi="Arial"/>
                <w:sz w:val="20"/>
                <w:szCs w:val="20"/>
                <w:color w:val="231F20"/>
              </w:rPr>
              <w:t>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231F20"/>
              </w:rPr>
              <w:t>99</w:t>
            </w: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5340" w:type="dxa"/>
            <w:vAlign w:val="bottom"/>
          </w:tcPr>
          <w:p>
            <w:pPr>
              <w:jc w:val="right"/>
              <w:spacing w:after="0"/>
              <w:rPr>
                <w:sz w:val="20"/>
                <w:szCs w:val="20"/>
                <w:color w:val="auto"/>
              </w:rPr>
            </w:pPr>
            <w:r>
              <w:rPr>
                <w:rFonts w:ascii="Arial" w:cs="Arial" w:eastAsia="Arial" w:hAnsi="Arial"/>
                <w:sz w:val="20"/>
                <w:szCs w:val="20"/>
                <w:color w:val="231F20"/>
                <w:w w:val="96"/>
              </w:rPr>
              <w:t>Natural gas  . . . . . . . . . . . . . . . . . . . . . . . . . . . . . . . . . . . . . . .</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31F20"/>
              </w:rPr>
              <w:t>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231F20"/>
              </w:rPr>
              <w:t>128</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401</w:t>
            </w:r>
          </w:p>
        </w:tc>
      </w:tr>
      <w:tr>
        <w:trPr>
          <w:trHeight w:val="240"/>
        </w:trPr>
        <w:tc>
          <w:tcPr>
            <w:tcW w:w="5340" w:type="dxa"/>
            <w:vAlign w:val="bottom"/>
          </w:tcPr>
          <w:p>
            <w:pPr>
              <w:jc w:val="right"/>
              <w:spacing w:after="0"/>
              <w:rPr>
                <w:sz w:val="20"/>
                <w:szCs w:val="20"/>
                <w:color w:val="auto"/>
              </w:rPr>
            </w:pPr>
            <w:r>
              <w:rPr>
                <w:rFonts w:ascii="Arial" w:cs="Arial" w:eastAsia="Arial" w:hAnsi="Arial"/>
                <w:sz w:val="20"/>
                <w:szCs w:val="20"/>
                <w:color w:val="231F20"/>
                <w:w w:val="97"/>
              </w:rPr>
              <w:t>Natural gas liquids  . . . . . . . . . . . . . . . . . . . . . . . . . . . . . . . . .</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31F20"/>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231F20"/>
              </w:rPr>
              <w:t>8</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6</w:t>
            </w:r>
          </w:p>
        </w:tc>
      </w:tr>
      <w:tr>
        <w:trPr>
          <w:trHeight w:val="28"/>
        </w:trPr>
        <w:tc>
          <w:tcPr>
            <w:tcW w:w="5340" w:type="dxa"/>
            <w:vAlign w:val="bottom"/>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r>
      <w:tr>
        <w:trPr>
          <w:trHeight w:val="270"/>
        </w:trPr>
        <w:tc>
          <w:tcPr>
            <w:tcW w:w="5340" w:type="dxa"/>
            <w:vAlign w:val="bottom"/>
          </w:tcPr>
          <w:p>
            <w:pPr>
              <w:jc w:val="right"/>
              <w:spacing w:after="0"/>
              <w:rPr>
                <w:sz w:val="20"/>
                <w:szCs w:val="20"/>
                <w:color w:val="auto"/>
              </w:rPr>
            </w:pPr>
            <w:r>
              <w:rPr>
                <w:rFonts w:ascii="Arial" w:cs="Arial" w:eastAsia="Arial" w:hAnsi="Arial"/>
                <w:sz w:val="20"/>
                <w:szCs w:val="20"/>
                <w:color w:val="231F20"/>
              </w:rPr>
              <w:t>Revenue from marketing of purchased commodities . . . .</w:t>
            </w:r>
          </w:p>
        </w:tc>
        <w:tc>
          <w:tcPr>
            <w:tcW w:w="840" w:type="dxa"/>
            <w:vAlign w:val="bottom"/>
          </w:tcPr>
          <w:p>
            <w:pPr>
              <w:jc w:val="right"/>
              <w:ind w:right="580"/>
              <w:spacing w:after="0"/>
              <w:rPr>
                <w:sz w:val="20"/>
                <w:szCs w:val="20"/>
                <w:color w:val="auto"/>
              </w:rPr>
            </w:pPr>
            <w:r>
              <w:rPr>
                <w:rFonts w:ascii="Arial" w:cs="Arial" w:eastAsia="Arial" w:hAnsi="Arial"/>
                <w:sz w:val="20"/>
                <w:szCs w:val="20"/>
                <w:color w:val="231F20"/>
              </w:rPr>
              <w:t>$</w:t>
            </w:r>
          </w:p>
        </w:tc>
        <w:tc>
          <w:tcPr>
            <w:tcW w:w="360" w:type="dxa"/>
            <w:vAlign w:val="bottom"/>
          </w:tcPr>
          <w:p>
            <w:pPr>
              <w:jc w:val="right"/>
              <w:spacing w:after="0"/>
              <w:rPr>
                <w:sz w:val="20"/>
                <w:szCs w:val="20"/>
                <w:color w:val="auto"/>
              </w:rPr>
            </w:pPr>
            <w:r>
              <w:rPr>
                <w:rFonts w:ascii="Arial" w:cs="Arial" w:eastAsia="Arial" w:hAnsi="Arial"/>
                <w:sz w:val="20"/>
                <w:szCs w:val="20"/>
                <w:color w:val="231F20"/>
              </w:rPr>
              <w:t>238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231F20"/>
              </w:rPr>
              <w:t>$</w:t>
            </w: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231F20"/>
              </w:rPr>
              <w:t>235</w:t>
            </w: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407</w:t>
            </w:r>
          </w:p>
        </w:tc>
      </w:tr>
      <w:tr>
        <w:trPr>
          <w:trHeight w:val="30"/>
        </w:trPr>
        <w:tc>
          <w:tcPr>
            <w:tcW w:w="5340" w:type="dxa"/>
            <w:vAlign w:val="bottom"/>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r>
    </w:tbl>
    <w:p>
      <w:pPr>
        <w:spacing w:after="0" w:line="250"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231F20"/>
        </w:rPr>
        <w:t>NOTE 16</w:t>
      </w:r>
      <w:r>
        <w:rPr>
          <w:sz w:val="20"/>
          <w:szCs w:val="20"/>
          <w:color w:val="auto"/>
        </w:rPr>
        <w:tab/>
      </w:r>
      <w:r>
        <w:rPr>
          <w:rFonts w:ascii="Arial" w:cs="Arial" w:eastAsia="Arial" w:hAnsi="Arial"/>
          <w:sz w:val="19"/>
          <w:szCs w:val="19"/>
          <w:b w:val="1"/>
          <w:bCs w:val="1"/>
          <w:color w:val="231F20"/>
        </w:rPr>
        <w:t>SEGMENT INFORMATION</w:t>
      </w:r>
    </w:p>
    <w:p>
      <w:pPr>
        <w:spacing w:after="0" w:line="217" w:lineRule="exact"/>
        <w:rPr>
          <w:sz w:val="20"/>
          <w:szCs w:val="20"/>
          <w:color w:val="auto"/>
        </w:rPr>
      </w:pPr>
    </w:p>
    <w:p>
      <w:pPr>
        <w:ind w:firstLine="300"/>
        <w:spacing w:after="0" w:line="239" w:lineRule="auto"/>
        <w:rPr>
          <w:sz w:val="20"/>
          <w:szCs w:val="20"/>
          <w:color w:val="auto"/>
        </w:rPr>
      </w:pPr>
      <w:r>
        <w:rPr>
          <w:rFonts w:ascii="Arial" w:cs="Arial" w:eastAsia="Arial" w:hAnsi="Arial"/>
          <w:sz w:val="20"/>
          <w:szCs w:val="20"/>
          <w:color w:val="231F20"/>
        </w:rPr>
        <w:t>We conduct our business primarily through two reportable segments: (1) oil and natural gas exploration and production and (2) carbon management. We identified these segments based on the nature of their activities, the types of products sold and services to be provided. Our oil and natural gas segment explores for, develops, and produces oil and condensate, natural gas liquids and natural gas. Our carbon management segment, that we refer to as Carbon TerraVault, is expected to build, install, operate and maintain CO</w:t>
      </w:r>
      <w:r>
        <w:rPr>
          <w:rFonts w:ascii="Arial" w:cs="Arial" w:eastAsia="Arial" w:hAnsi="Arial"/>
          <w:sz w:val="26"/>
          <w:szCs w:val="26"/>
          <w:color w:val="231F20"/>
          <w:vertAlign w:val="subscript"/>
        </w:rPr>
        <w:t>2</w:t>
      </w:r>
      <w:r>
        <w:rPr>
          <w:rFonts w:ascii="Arial" w:cs="Arial" w:eastAsia="Arial" w:hAnsi="Arial"/>
          <w:sz w:val="20"/>
          <w:szCs w:val="20"/>
          <w:color w:val="231F20"/>
        </w:rPr>
        <w:t xml:space="preserve"> capture equipment, transportation assets and storage facilities. Our oil and natural gas segment operates assets located in California and Utah. Our carbon management segment operates exclusively in California.</w:t>
      </w:r>
    </w:p>
    <w:p>
      <w:pPr>
        <w:spacing w:after="0" w:line="219" w:lineRule="exact"/>
        <w:rPr>
          <w:sz w:val="20"/>
          <w:szCs w:val="20"/>
          <w:color w:val="auto"/>
        </w:rPr>
      </w:pPr>
    </w:p>
    <w:p>
      <w:pPr>
        <w:jc w:val="both"/>
        <w:ind w:right="340" w:firstLine="300"/>
        <w:spacing w:after="0" w:line="247" w:lineRule="auto"/>
        <w:rPr>
          <w:sz w:val="20"/>
          <w:szCs w:val="20"/>
          <w:color w:val="auto"/>
        </w:rPr>
      </w:pPr>
      <w:r>
        <w:rPr>
          <w:rFonts w:ascii="Arial" w:cs="Arial" w:eastAsia="Arial" w:hAnsi="Arial"/>
          <w:sz w:val="20"/>
          <w:szCs w:val="20"/>
          <w:color w:val="231F20"/>
        </w:rPr>
        <w:t>Our chief operating decision maker (CODM), the Chief Executive Officer, uses segment profit or loss to assess the performance of each business, as well as our overall performance, and to make decisions about resources to be allocated to each segment, including capital investments.</w:t>
      </w:r>
    </w:p>
    <w:p>
      <w:pPr>
        <w:spacing w:after="0" w:line="210" w:lineRule="exact"/>
        <w:rPr>
          <w:sz w:val="20"/>
          <w:szCs w:val="20"/>
          <w:color w:val="auto"/>
        </w:rPr>
      </w:pPr>
    </w:p>
    <w:p>
      <w:pPr>
        <w:ind w:firstLine="300"/>
        <w:spacing w:after="0" w:line="247" w:lineRule="auto"/>
        <w:rPr>
          <w:sz w:val="20"/>
          <w:szCs w:val="20"/>
          <w:color w:val="auto"/>
        </w:rPr>
      </w:pPr>
      <w:r>
        <w:rPr>
          <w:rFonts w:ascii="Arial" w:cs="Arial" w:eastAsia="Arial" w:hAnsi="Arial"/>
          <w:sz w:val="20"/>
          <w:szCs w:val="20"/>
          <w:color w:val="231F20"/>
        </w:rPr>
        <w:t>The following tables provide segment profit or loss and reconciliations to consolidated income before income taxes for the years ended December 31, 2025, 2024, and 2023. The consolidation and elimination entries necessary to arrive at our consolidated financial information is presented separately.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18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3360" w:type="dxa"/>
            <w:vAlign w:val="bottom"/>
            <w:tcBorders>
              <w:bottom w:val="single" w:sz="8" w:color="231F20"/>
            </w:tcBorders>
            <w:gridSpan w:val="6"/>
          </w:tcPr>
          <w:p>
            <w:pPr>
              <w:ind w:left="320"/>
              <w:spacing w:after="0"/>
              <w:rPr>
                <w:sz w:val="20"/>
                <w:szCs w:val="20"/>
                <w:color w:val="auto"/>
              </w:rPr>
            </w:pPr>
            <w:r>
              <w:rPr>
                <w:rFonts w:ascii="Arial" w:cs="Arial" w:eastAsia="Arial" w:hAnsi="Arial"/>
                <w:sz w:val="20"/>
                <w:szCs w:val="20"/>
                <w:b w:val="1"/>
                <w:bCs w:val="1"/>
                <w:color w:val="231F20"/>
              </w:rPr>
              <w:t>Year ended December 31, 2025</w:t>
            </w:r>
          </w:p>
        </w:tc>
        <w:tc>
          <w:tcPr>
            <w:tcW w:w="44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20"/>
                <w:szCs w:val="20"/>
                <w:b w:val="1"/>
                <w:bCs w:val="1"/>
                <w:color w:val="231F20"/>
              </w:rPr>
              <w:t>Oil and</w:t>
            </w:r>
          </w:p>
        </w:tc>
        <w:tc>
          <w:tcPr>
            <w:tcW w:w="220" w:type="dxa"/>
            <w:vAlign w:val="bottom"/>
          </w:tcPr>
          <w:p>
            <w:pPr>
              <w:spacing w:after="0"/>
              <w:rPr>
                <w:sz w:val="18"/>
                <w:szCs w:val="18"/>
                <w:color w:val="auto"/>
              </w:rPr>
            </w:pPr>
          </w:p>
        </w:tc>
        <w:tc>
          <w:tcPr>
            <w:tcW w:w="1040" w:type="dxa"/>
            <w:vAlign w:val="bottom"/>
            <w:vMerge w:val="restart"/>
          </w:tcPr>
          <w:p>
            <w:pPr>
              <w:jc w:val="center"/>
              <w:ind w:right="120"/>
              <w:spacing w:after="0"/>
              <w:rPr>
                <w:sz w:val="20"/>
                <w:szCs w:val="20"/>
                <w:color w:val="auto"/>
              </w:rPr>
            </w:pPr>
            <w:r>
              <w:rPr>
                <w:rFonts w:ascii="Arial" w:cs="Arial" w:eastAsia="Arial" w:hAnsi="Arial"/>
                <w:sz w:val="20"/>
                <w:szCs w:val="20"/>
                <w:b w:val="1"/>
                <w:bCs w:val="1"/>
                <w:color w:val="231F20"/>
                <w:w w:val="99"/>
              </w:rPr>
              <w:t>Carbon</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ind w:right="460"/>
              <w:spacing w:after="0" w:line="214" w:lineRule="exact"/>
              <w:rPr>
                <w:sz w:val="20"/>
                <w:szCs w:val="20"/>
                <w:color w:val="auto"/>
              </w:rPr>
            </w:pPr>
            <w:r>
              <w:rPr>
                <w:rFonts w:ascii="Arial" w:cs="Arial" w:eastAsia="Arial" w:hAnsi="Arial"/>
                <w:sz w:val="20"/>
                <w:szCs w:val="20"/>
                <w:b w:val="1"/>
                <w:bCs w:val="1"/>
                <w:color w:val="231F20"/>
              </w:rPr>
              <w:t>Total</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center"/>
              <w:ind w:right="180"/>
              <w:spacing w:after="0" w:line="198" w:lineRule="exact"/>
              <w:rPr>
                <w:sz w:val="20"/>
                <w:szCs w:val="20"/>
                <w:color w:val="auto"/>
              </w:rPr>
            </w:pPr>
            <w:r>
              <w:rPr>
                <w:rFonts w:ascii="Arial" w:cs="Arial" w:eastAsia="Arial" w:hAnsi="Arial"/>
                <w:sz w:val="20"/>
                <w:szCs w:val="20"/>
                <w:b w:val="1"/>
                <w:bCs w:val="1"/>
                <w:color w:val="231F20"/>
                <w:w w:val="99"/>
              </w:rPr>
              <w:t>Reportable</w:t>
            </w: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180" w:type="dxa"/>
            <w:vAlign w:val="bottom"/>
          </w:tcPr>
          <w:p>
            <w:pPr>
              <w:spacing w:after="0"/>
              <w:rPr>
                <w:sz w:val="21"/>
                <w:szCs w:val="21"/>
                <w:color w:val="auto"/>
              </w:rPr>
            </w:pPr>
          </w:p>
        </w:tc>
        <w:tc>
          <w:tcPr>
            <w:tcW w:w="1260" w:type="dxa"/>
            <w:vAlign w:val="bottom"/>
            <w:tcBorders>
              <w:bottom w:val="single" w:sz="8" w:color="231F20"/>
            </w:tcBorders>
            <w:gridSpan w:val="2"/>
          </w:tcPr>
          <w:p>
            <w:pPr>
              <w:ind w:left="80"/>
              <w:spacing w:after="0"/>
              <w:rPr>
                <w:sz w:val="20"/>
                <w:szCs w:val="20"/>
                <w:color w:val="auto"/>
              </w:rPr>
            </w:pPr>
            <w:r>
              <w:rPr>
                <w:rFonts w:ascii="Arial" w:cs="Arial" w:eastAsia="Arial" w:hAnsi="Arial"/>
                <w:sz w:val="20"/>
                <w:szCs w:val="20"/>
                <w:b w:val="1"/>
                <w:bCs w:val="1"/>
                <w:color w:val="231F20"/>
              </w:rPr>
              <w:t>Natural Gas</w:t>
            </w:r>
          </w:p>
        </w:tc>
        <w:tc>
          <w:tcPr>
            <w:tcW w:w="200" w:type="dxa"/>
            <w:vAlign w:val="bottom"/>
          </w:tcPr>
          <w:p>
            <w:pPr>
              <w:spacing w:after="0"/>
              <w:rPr>
                <w:sz w:val="21"/>
                <w:szCs w:val="21"/>
                <w:color w:val="auto"/>
              </w:rPr>
            </w:pPr>
          </w:p>
        </w:tc>
        <w:tc>
          <w:tcPr>
            <w:tcW w:w="1260" w:type="dxa"/>
            <w:vAlign w:val="bottom"/>
            <w:tcBorders>
              <w:bottom w:val="single" w:sz="8" w:color="231F20"/>
            </w:tcBorders>
            <w:gridSpan w:val="2"/>
          </w:tcPr>
          <w:p>
            <w:pPr>
              <w:jc w:val="center"/>
              <w:spacing w:after="0"/>
              <w:rPr>
                <w:sz w:val="20"/>
                <w:szCs w:val="20"/>
                <w:color w:val="auto"/>
              </w:rPr>
            </w:pPr>
            <w:r>
              <w:rPr>
                <w:rFonts w:ascii="Arial" w:cs="Arial" w:eastAsia="Arial" w:hAnsi="Arial"/>
                <w:sz w:val="20"/>
                <w:szCs w:val="20"/>
                <w:b w:val="1"/>
                <w:bCs w:val="1"/>
                <w:color w:val="231F20"/>
                <w:w w:val="99"/>
              </w:rPr>
              <w:t>Management</w:t>
            </w:r>
          </w:p>
        </w:tc>
        <w:tc>
          <w:tcPr>
            <w:tcW w:w="200" w:type="dxa"/>
            <w:vAlign w:val="bottom"/>
          </w:tcPr>
          <w:p>
            <w:pPr>
              <w:spacing w:after="0"/>
              <w:rPr>
                <w:sz w:val="21"/>
                <w:szCs w:val="21"/>
                <w:color w:val="auto"/>
              </w:rPr>
            </w:pPr>
          </w:p>
        </w:tc>
        <w:tc>
          <w:tcPr>
            <w:tcW w:w="1260" w:type="dxa"/>
            <w:vAlign w:val="bottom"/>
            <w:tcBorders>
              <w:bottom w:val="single" w:sz="8" w:color="231F20"/>
            </w:tcBorders>
            <w:gridSpan w:val="2"/>
          </w:tcPr>
          <w:p>
            <w:pPr>
              <w:jc w:val="center"/>
              <w:spacing w:after="0"/>
              <w:rPr>
                <w:sz w:val="20"/>
                <w:szCs w:val="20"/>
                <w:color w:val="auto"/>
              </w:rPr>
            </w:pPr>
            <w:r>
              <w:rPr>
                <w:rFonts w:ascii="Arial" w:cs="Arial" w:eastAsia="Arial" w:hAnsi="Arial"/>
                <w:sz w:val="20"/>
                <w:szCs w:val="20"/>
                <w:b w:val="1"/>
                <w:bCs w:val="1"/>
                <w:color w:val="231F20"/>
              </w:rPr>
              <w:t>Segments</w:t>
            </w:r>
          </w:p>
        </w:tc>
        <w:tc>
          <w:tcPr>
            <w:tcW w:w="200" w:type="dxa"/>
            <w:vAlign w:val="bottom"/>
          </w:tcPr>
          <w:p>
            <w:pPr>
              <w:spacing w:after="0"/>
              <w:rPr>
                <w:sz w:val="21"/>
                <w:szCs w:val="21"/>
                <w:color w:val="auto"/>
              </w:rPr>
            </w:pPr>
          </w:p>
        </w:tc>
        <w:tc>
          <w:tcPr>
            <w:tcW w:w="1100" w:type="dxa"/>
            <w:vAlign w:val="bottom"/>
            <w:tcBorders>
              <w:bottom w:val="single" w:sz="8" w:color="231F20"/>
            </w:tcBorders>
            <w:gridSpan w:val="2"/>
          </w:tcPr>
          <w:p>
            <w:pPr>
              <w:jc w:val="right"/>
              <w:spacing w:after="0"/>
              <w:rPr>
                <w:sz w:val="20"/>
                <w:szCs w:val="20"/>
                <w:color w:val="auto"/>
              </w:rPr>
            </w:pPr>
            <w:r>
              <w:rPr>
                <w:rFonts w:ascii="Arial" w:cs="Arial" w:eastAsia="Arial" w:hAnsi="Arial"/>
                <w:sz w:val="20"/>
                <w:szCs w:val="20"/>
                <w:b w:val="1"/>
                <w:bCs w:val="1"/>
                <w:color w:val="231F20"/>
              </w:rPr>
              <w:t>Elimination</w:t>
            </w:r>
          </w:p>
        </w:tc>
        <w:tc>
          <w:tcPr>
            <w:tcW w:w="20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300"/>
              <w:spacing w:after="0"/>
              <w:rPr>
                <w:sz w:val="20"/>
                <w:szCs w:val="20"/>
                <w:color w:val="auto"/>
              </w:rPr>
            </w:pPr>
            <w:r>
              <w:rPr>
                <w:rFonts w:ascii="Arial" w:cs="Arial" w:eastAsia="Arial" w:hAnsi="Arial"/>
                <w:sz w:val="20"/>
                <w:szCs w:val="20"/>
                <w:b w:val="1"/>
                <w:bCs w:val="1"/>
                <w:color w:val="231F20"/>
              </w:rPr>
              <w:t>Total</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6"/>
                <w:szCs w:val="16"/>
                <w:color w:val="231F20"/>
              </w:rPr>
              <w:t>(in millions)</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20"/>
                <w:szCs w:val="20"/>
                <w:color w:val="231F20"/>
              </w:rPr>
              <w:t>Oil, natural gas and</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180" w:type="dxa"/>
            <w:vAlign w:val="bottom"/>
          </w:tcPr>
          <w:p>
            <w:pPr>
              <w:spacing w:after="0"/>
              <w:rPr>
                <w:sz w:val="20"/>
                <w:szCs w:val="20"/>
                <w:color w:val="auto"/>
              </w:rPr>
            </w:pPr>
            <w:r>
              <w:rPr>
                <w:rFonts w:ascii="Arial" w:cs="Arial" w:eastAsia="Arial" w:hAnsi="Arial"/>
                <w:sz w:val="20"/>
                <w:szCs w:val="20"/>
                <w:color w:val="231F20"/>
              </w:rPr>
              <w:t>natural gas liquids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80" w:type="dxa"/>
            <w:vAlign w:val="bottom"/>
          </w:tcPr>
          <w:p>
            <w:pPr>
              <w:spacing w:after="0"/>
              <w:rPr>
                <w:sz w:val="20"/>
                <w:szCs w:val="20"/>
                <w:color w:val="auto"/>
              </w:rPr>
            </w:pPr>
            <w:r>
              <w:rPr>
                <w:rFonts w:ascii="Arial" w:cs="Arial" w:eastAsia="Arial" w:hAnsi="Arial"/>
                <w:sz w:val="20"/>
                <w:szCs w:val="20"/>
                <w:color w:val="231F20"/>
              </w:rPr>
              <w:t>sales . . . . . . . . . . . . . .</w:t>
            </w:r>
          </w:p>
        </w:tc>
        <w:tc>
          <w:tcPr>
            <w:tcW w:w="220" w:type="dxa"/>
            <w:vAlign w:val="bottom"/>
          </w:tcPr>
          <w:p>
            <w:pPr>
              <w:ind w:left="60"/>
              <w:spacing w:after="0"/>
              <w:rPr>
                <w:sz w:val="20"/>
                <w:szCs w:val="20"/>
                <w:color w:val="auto"/>
              </w:rPr>
            </w:pPr>
            <w:r>
              <w:rPr>
                <w:rFonts w:ascii="Arial" w:cs="Arial" w:eastAsia="Arial" w:hAnsi="Arial"/>
                <w:sz w:val="20"/>
                <w:szCs w:val="20"/>
                <w:color w:val="231F20"/>
              </w:rPr>
              <w:t>$</w:t>
            </w: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231F20"/>
              </w:rPr>
              <w:t>2,957</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1040" w:type="dxa"/>
            <w:vAlign w:val="bottom"/>
          </w:tcPr>
          <w:p>
            <w:pPr>
              <w:ind w:left="840"/>
              <w:spacing w:after="0"/>
              <w:rPr>
                <w:sz w:val="20"/>
                <w:szCs w:val="20"/>
                <w:color w:val="auto"/>
              </w:rPr>
            </w:pPr>
            <w:r>
              <w:rPr>
                <w:rFonts w:ascii="Arial" w:cs="Arial" w:eastAsia="Arial" w:hAnsi="Arial"/>
                <w:sz w:val="20"/>
                <w:szCs w:val="20"/>
                <w:color w:val="231F20"/>
                <w:w w:val="89"/>
              </w:rPr>
              <w:t>—</w:t>
            </w:r>
          </w:p>
        </w:tc>
        <w:tc>
          <w:tcPr>
            <w:tcW w:w="480" w:type="dxa"/>
            <w:vAlign w:val="bottom"/>
            <w:gridSpan w:val="2"/>
          </w:tcPr>
          <w:p>
            <w:pPr>
              <w:jc w:val="right"/>
              <w:ind w:right="27"/>
              <w:spacing w:after="0"/>
              <w:rPr>
                <w:sz w:val="20"/>
                <w:szCs w:val="20"/>
                <w:color w:val="auto"/>
              </w:rPr>
            </w:pPr>
            <w:r>
              <w:rPr>
                <w:rFonts w:ascii="Arial" w:cs="Arial" w:eastAsia="Arial" w:hAnsi="Arial"/>
                <w:sz w:val="20"/>
                <w:szCs w:val="20"/>
                <w:color w:val="231F20"/>
              </w:rPr>
              <w:t>$</w:t>
            </w: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231F20"/>
              </w:rPr>
              <w:t>2,957</w:t>
            </w:r>
          </w:p>
        </w:tc>
        <w:tc>
          <w:tcPr>
            <w:tcW w:w="660" w:type="dxa"/>
            <w:vAlign w:val="bottom"/>
          </w:tcPr>
          <w:p>
            <w:pPr>
              <w:jc w:val="right"/>
              <w:ind w:right="400"/>
              <w:spacing w:after="0"/>
              <w:rPr>
                <w:sz w:val="20"/>
                <w:szCs w:val="20"/>
                <w:color w:val="auto"/>
              </w:rPr>
            </w:pPr>
            <w:r>
              <w:rPr>
                <w:rFonts w:ascii="Arial" w:cs="Arial" w:eastAsia="Arial" w:hAnsi="Arial"/>
                <w:sz w:val="20"/>
                <w:szCs w:val="20"/>
                <w:color w:val="231F20"/>
              </w:rPr>
              <w:t>$</w:t>
            </w:r>
          </w:p>
        </w:tc>
        <w:tc>
          <w:tcPr>
            <w:tcW w:w="440" w:type="dxa"/>
            <w:vAlign w:val="bottom"/>
          </w:tcPr>
          <w:p>
            <w:pPr>
              <w:jc w:val="right"/>
              <w:spacing w:after="0"/>
              <w:rPr>
                <w:sz w:val="20"/>
                <w:szCs w:val="20"/>
                <w:color w:val="auto"/>
              </w:rPr>
            </w:pPr>
            <w:r>
              <w:rPr>
                <w:rFonts w:ascii="Arial" w:cs="Arial" w:eastAsia="Arial" w:hAnsi="Arial"/>
                <w:sz w:val="20"/>
                <w:szCs w:val="20"/>
                <w:color w:val="231F20"/>
              </w:rPr>
              <w:t>(47)</w:t>
            </w:r>
          </w:p>
        </w:tc>
        <w:tc>
          <w:tcPr>
            <w:tcW w:w="200" w:type="dxa"/>
            <w:vAlign w:val="bottom"/>
          </w:tcPr>
          <w:p>
            <w:pPr>
              <w:spacing w:after="0"/>
              <w:rPr>
                <w:sz w:val="20"/>
                <w:szCs w:val="20"/>
                <w:color w:val="auto"/>
              </w:rPr>
            </w:pP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980" w:type="dxa"/>
            <w:vAlign w:val="bottom"/>
          </w:tcPr>
          <w:p>
            <w:pPr>
              <w:jc w:val="right"/>
              <w:spacing w:after="0"/>
              <w:rPr>
                <w:sz w:val="20"/>
                <w:szCs w:val="20"/>
                <w:color w:val="auto"/>
              </w:rPr>
            </w:pPr>
            <w:r>
              <w:rPr>
                <w:rFonts w:ascii="Arial" w:cs="Arial" w:eastAsia="Arial" w:hAnsi="Arial"/>
                <w:sz w:val="20"/>
                <w:szCs w:val="20"/>
                <w:color w:val="231F20"/>
              </w:rPr>
              <w:t>2,910</w:t>
            </w:r>
          </w:p>
        </w:tc>
        <w:tc>
          <w:tcPr>
            <w:tcW w:w="0" w:type="dxa"/>
            <w:vAlign w:val="bottom"/>
          </w:tcPr>
          <w:p>
            <w:pPr>
              <w:spacing w:after="0"/>
              <w:rPr>
                <w:sz w:val="1"/>
                <w:szCs w:val="1"/>
                <w:color w:val="auto"/>
              </w:rPr>
            </w:pPr>
          </w:p>
        </w:tc>
      </w:tr>
      <w:tr>
        <w:trPr>
          <w:trHeight w:val="240"/>
        </w:trPr>
        <w:tc>
          <w:tcPr>
            <w:tcW w:w="2180" w:type="dxa"/>
            <w:vAlign w:val="bottom"/>
          </w:tcPr>
          <w:p>
            <w:pPr>
              <w:spacing w:after="0"/>
              <w:rPr>
                <w:sz w:val="20"/>
                <w:szCs w:val="20"/>
                <w:color w:val="auto"/>
              </w:rPr>
            </w:pPr>
            <w:r>
              <w:rPr>
                <w:rFonts w:ascii="Arial" w:cs="Arial" w:eastAsia="Arial" w:hAnsi="Arial"/>
                <w:sz w:val="20"/>
                <w:szCs w:val="20"/>
                <w:color w:val="231F20"/>
              </w:rPr>
              <w:t>Other revenue  . . . . . .</w:t>
            </w: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231F20"/>
              </w:rPr>
              <w:t>10</w:t>
            </w:r>
          </w:p>
        </w:tc>
        <w:tc>
          <w:tcPr>
            <w:tcW w:w="220" w:type="dxa"/>
            <w:vAlign w:val="bottom"/>
          </w:tcPr>
          <w:p>
            <w:pPr>
              <w:spacing w:after="0"/>
              <w:rPr>
                <w:sz w:val="20"/>
                <w:szCs w:val="20"/>
                <w:color w:val="auto"/>
              </w:rPr>
            </w:pPr>
          </w:p>
        </w:tc>
        <w:tc>
          <w:tcPr>
            <w:tcW w:w="1040" w:type="dxa"/>
            <w:vAlign w:val="bottom"/>
          </w:tcPr>
          <w:p>
            <w:pPr>
              <w:ind w:left="840"/>
              <w:spacing w:after="0"/>
              <w:rPr>
                <w:sz w:val="20"/>
                <w:szCs w:val="20"/>
                <w:color w:val="auto"/>
              </w:rPr>
            </w:pPr>
            <w:r>
              <w:rPr>
                <w:rFonts w:ascii="Arial" w:cs="Arial" w:eastAsia="Arial" w:hAnsi="Arial"/>
                <w:sz w:val="20"/>
                <w:szCs w:val="20"/>
                <w:color w:val="231F20"/>
                <w:w w:val="89"/>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231F20"/>
              </w:rPr>
              <w:t>10</w:t>
            </w:r>
          </w:p>
        </w:tc>
        <w:tc>
          <w:tcPr>
            <w:tcW w:w="66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20"/>
                <w:szCs w:val="20"/>
                <w:color w:val="231F20"/>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10</w:t>
            </w:r>
          </w:p>
        </w:tc>
        <w:tc>
          <w:tcPr>
            <w:tcW w:w="0" w:type="dxa"/>
            <w:vAlign w:val="bottom"/>
          </w:tcPr>
          <w:p>
            <w:pPr>
              <w:spacing w:after="0"/>
              <w:rPr>
                <w:sz w:val="1"/>
                <w:szCs w:val="1"/>
                <w:color w:val="auto"/>
              </w:rPr>
            </w:pPr>
          </w:p>
        </w:tc>
      </w:tr>
      <w:tr>
        <w:trPr>
          <w:trHeight w:val="28"/>
        </w:trPr>
        <w:tc>
          <w:tcPr>
            <w:tcW w:w="2180" w:type="dxa"/>
            <w:vAlign w:val="bottom"/>
            <w:vMerge w:val="restart"/>
          </w:tcPr>
          <w:p>
            <w:pPr>
              <w:spacing w:after="0"/>
              <w:rPr>
                <w:sz w:val="20"/>
                <w:szCs w:val="20"/>
                <w:color w:val="auto"/>
              </w:rPr>
            </w:pPr>
            <w:r>
              <w:rPr>
                <w:rFonts w:ascii="Arial" w:cs="Arial" w:eastAsia="Arial" w:hAnsi="Arial"/>
                <w:sz w:val="20"/>
                <w:szCs w:val="20"/>
                <w:color w:val="231F20"/>
              </w:rPr>
              <w:t>Segment operating</w:t>
            </w:r>
          </w:p>
        </w:tc>
        <w:tc>
          <w:tcPr>
            <w:tcW w:w="2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18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r>
              <w:rPr>
                <w:rFonts w:ascii="Arial" w:cs="Arial" w:eastAsia="Arial" w:hAnsi="Arial"/>
                <w:sz w:val="20"/>
                <w:szCs w:val="20"/>
                <w:color w:val="231F20"/>
              </w:rPr>
              <w:t>revenues  . . . . . . . . . .</w:t>
            </w: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20"/>
                <w:szCs w:val="20"/>
                <w:color w:val="231F20"/>
              </w:rPr>
              <w:t>2,967</w:t>
            </w:r>
          </w:p>
        </w:tc>
        <w:tc>
          <w:tcPr>
            <w:tcW w:w="220" w:type="dxa"/>
            <w:vAlign w:val="bottom"/>
          </w:tcPr>
          <w:p>
            <w:pPr>
              <w:spacing w:after="0"/>
              <w:rPr>
                <w:sz w:val="20"/>
                <w:szCs w:val="20"/>
                <w:color w:val="auto"/>
              </w:rPr>
            </w:pPr>
          </w:p>
        </w:tc>
        <w:tc>
          <w:tcPr>
            <w:tcW w:w="1040" w:type="dxa"/>
            <w:vAlign w:val="bottom"/>
          </w:tcPr>
          <w:p>
            <w:pPr>
              <w:ind w:left="840"/>
              <w:spacing w:after="0"/>
              <w:rPr>
                <w:sz w:val="20"/>
                <w:szCs w:val="20"/>
                <w:color w:val="auto"/>
              </w:rPr>
            </w:pPr>
            <w:r>
              <w:rPr>
                <w:rFonts w:ascii="Arial" w:cs="Arial" w:eastAsia="Arial" w:hAnsi="Arial"/>
                <w:sz w:val="20"/>
                <w:szCs w:val="20"/>
                <w:color w:val="231F20"/>
                <w:w w:val="89"/>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231F20"/>
              </w:rPr>
              <w:t>2,967</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spacing w:after="0"/>
              <w:rPr>
                <w:sz w:val="20"/>
                <w:szCs w:val="20"/>
                <w:color w:val="auto"/>
              </w:rPr>
            </w:pPr>
            <w:r>
              <w:rPr>
                <w:rFonts w:ascii="Arial" w:cs="Arial" w:eastAsia="Arial" w:hAnsi="Arial"/>
                <w:sz w:val="20"/>
                <w:szCs w:val="20"/>
                <w:color w:val="231F20"/>
              </w:rPr>
              <w:t>Other revenues and</w:t>
            </w:r>
          </w:p>
        </w:tc>
        <w:tc>
          <w:tcPr>
            <w:tcW w:w="2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18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180" w:type="dxa"/>
            <w:vAlign w:val="bottom"/>
          </w:tcPr>
          <w:p>
            <w:pPr>
              <w:spacing w:after="0" w:line="268" w:lineRule="exact"/>
              <w:rPr>
                <w:sz w:val="20"/>
                <w:szCs w:val="20"/>
                <w:color w:val="auto"/>
              </w:rPr>
            </w:pPr>
            <w:r>
              <w:rPr>
                <w:rFonts w:ascii="Arial" w:cs="Arial" w:eastAsia="Arial" w:hAnsi="Arial"/>
                <w:sz w:val="20"/>
                <w:szCs w:val="20"/>
                <w:color w:val="231F20"/>
              </w:rPr>
              <w:t>income</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20"/>
                <w:szCs w:val="20"/>
                <w:color w:val="231F20"/>
              </w:rPr>
              <w:t>749</w:t>
            </w:r>
          </w:p>
        </w:tc>
        <w:tc>
          <w:tcPr>
            <w:tcW w:w="28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749</w:t>
            </w:r>
          </w:p>
        </w:tc>
        <w:tc>
          <w:tcPr>
            <w:tcW w:w="0" w:type="dxa"/>
            <w:vAlign w:val="bottom"/>
          </w:tcPr>
          <w:p>
            <w:pPr>
              <w:spacing w:after="0"/>
              <w:rPr>
                <w:sz w:val="1"/>
                <w:szCs w:val="1"/>
                <w:color w:val="auto"/>
              </w:rPr>
            </w:pPr>
          </w:p>
        </w:tc>
      </w:tr>
      <w:tr>
        <w:trPr>
          <w:trHeight w:val="272"/>
        </w:trPr>
        <w:tc>
          <w:tcPr>
            <w:tcW w:w="2180" w:type="dxa"/>
            <w:vAlign w:val="bottom"/>
          </w:tcPr>
          <w:p>
            <w:pPr>
              <w:ind w:left="400"/>
              <w:spacing w:after="0"/>
              <w:rPr>
                <w:sz w:val="20"/>
                <w:szCs w:val="20"/>
                <w:color w:val="auto"/>
              </w:rPr>
            </w:pPr>
            <w:r>
              <w:rPr>
                <w:rFonts w:ascii="Arial" w:cs="Arial" w:eastAsia="Arial" w:hAnsi="Arial"/>
                <w:sz w:val="20"/>
                <w:szCs w:val="20"/>
                <w:color w:val="231F20"/>
              </w:rPr>
              <w:t>Total operating</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180" w:type="dxa"/>
            <w:vAlign w:val="bottom"/>
          </w:tcPr>
          <w:p>
            <w:pPr>
              <w:ind w:left="400"/>
              <w:spacing w:after="0"/>
              <w:rPr>
                <w:sz w:val="20"/>
                <w:szCs w:val="20"/>
                <w:color w:val="auto"/>
              </w:rPr>
            </w:pPr>
            <w:r>
              <w:rPr>
                <w:rFonts w:ascii="Arial" w:cs="Arial" w:eastAsia="Arial" w:hAnsi="Arial"/>
                <w:sz w:val="20"/>
                <w:szCs w:val="20"/>
                <w:color w:val="231F20"/>
              </w:rPr>
              <w:t>revenues . . . . . . .</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jc w:val="right"/>
              <w:ind w:right="20"/>
              <w:spacing w:after="0"/>
              <w:rPr>
                <w:sz w:val="20"/>
                <w:szCs w:val="20"/>
                <w:color w:val="auto"/>
              </w:rPr>
            </w:pPr>
            <w:r>
              <w:rPr>
                <w:rFonts w:ascii="Arial" w:cs="Arial" w:eastAsia="Arial" w:hAnsi="Arial"/>
                <w:sz w:val="20"/>
                <w:szCs w:val="20"/>
                <w:color w:val="231F20"/>
              </w:rPr>
              <w:t>$</w:t>
            </w:r>
          </w:p>
        </w:tc>
        <w:tc>
          <w:tcPr>
            <w:tcW w:w="980" w:type="dxa"/>
            <w:vAlign w:val="bottom"/>
          </w:tcPr>
          <w:p>
            <w:pPr>
              <w:jc w:val="right"/>
              <w:spacing w:after="0"/>
              <w:rPr>
                <w:sz w:val="20"/>
                <w:szCs w:val="20"/>
                <w:color w:val="auto"/>
              </w:rPr>
            </w:pPr>
            <w:r>
              <w:rPr>
                <w:rFonts w:ascii="Arial" w:cs="Arial" w:eastAsia="Arial" w:hAnsi="Arial"/>
                <w:sz w:val="20"/>
                <w:szCs w:val="20"/>
                <w:color w:val="231F20"/>
              </w:rPr>
              <w:t>3,669</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480" w:right="700" w:hanging="272"/>
        <w:spacing w:after="0" w:line="253" w:lineRule="auto"/>
        <w:tabs>
          <w:tab w:leader="none" w:pos="480" w:val="left"/>
        </w:tabs>
        <w:numPr>
          <w:ilvl w:val="0"/>
          <w:numId w:val="78"/>
        </w:numPr>
        <w:rPr>
          <w:rFonts w:ascii="Arial" w:cs="Arial" w:eastAsia="Arial" w:hAnsi="Arial"/>
          <w:sz w:val="16"/>
          <w:szCs w:val="16"/>
          <w:color w:val="231F20"/>
        </w:rPr>
      </w:pPr>
      <w:r>
        <w:rPr>
          <w:rFonts w:ascii="Arial" w:cs="Arial" w:eastAsia="Arial" w:hAnsi="Arial"/>
          <w:sz w:val="16"/>
          <w:szCs w:val="16"/>
          <w:color w:val="231F20"/>
        </w:rPr>
        <w:t>Other revenues and income includes net gain from commodity derivatives, revenue from marketing of purchased commodities, electricity sales and unallocated interest and other revenue.</w:t>
      </w:r>
    </w:p>
    <w:p>
      <w:pPr>
        <w:sectPr>
          <w:pgSz w:w="11880" w:h="15480" w:orient="portrait"/>
          <w:cols w:equalWidth="0" w:num="1">
            <w:col w:w="9120"/>
          </w:cols>
          <w:pgMar w:left="1380" w:top="1270"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142</w:t>
      </w:r>
    </w:p>
    <w:p>
      <w:pPr>
        <w:sectPr>
          <w:pgSz w:w="11880" w:h="15480" w:orient="portrait"/>
          <w:cols w:equalWidth="0" w:num="1">
            <w:col w:w="9120"/>
          </w:cols>
          <w:pgMar w:left="1380" w:top="1270" w:right="1380" w:bottom="66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50"/>
        </w:trPr>
        <w:tc>
          <w:tcPr>
            <w:tcW w:w="234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4080" w:type="dxa"/>
            <w:vAlign w:val="bottom"/>
            <w:tcBorders>
              <w:bottom w:val="single" w:sz="8" w:color="231F20"/>
            </w:tcBorders>
            <w:gridSpan w:val="9"/>
          </w:tcPr>
          <w:p>
            <w:pPr>
              <w:jc w:val="right"/>
              <w:ind w:right="1040"/>
              <w:spacing w:after="0"/>
              <w:rPr>
                <w:sz w:val="20"/>
                <w:szCs w:val="20"/>
                <w:color w:val="auto"/>
              </w:rPr>
            </w:pPr>
            <w:r>
              <w:rPr>
                <w:rFonts w:ascii="Arial" w:cs="Arial" w:eastAsia="Arial" w:hAnsi="Arial"/>
                <w:sz w:val="20"/>
                <w:szCs w:val="20"/>
                <w:b w:val="1"/>
                <w:bCs w:val="1"/>
                <w:color w:val="231F20"/>
              </w:rPr>
              <w:t>Year ended December 31, 2025</w:t>
            </w:r>
          </w:p>
        </w:tc>
        <w:tc>
          <w:tcPr>
            <w:tcW w:w="8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02"/>
              <w:spacing w:after="0" w:line="214" w:lineRule="exact"/>
              <w:rPr>
                <w:sz w:val="20"/>
                <w:szCs w:val="20"/>
                <w:color w:val="auto"/>
              </w:rPr>
            </w:pPr>
            <w:r>
              <w:rPr>
                <w:rFonts w:ascii="Arial" w:cs="Arial" w:eastAsia="Arial" w:hAnsi="Arial"/>
                <w:sz w:val="20"/>
                <w:szCs w:val="20"/>
                <w:b w:val="1"/>
                <w:bCs w:val="1"/>
                <w:color w:val="231F20"/>
              </w:rPr>
              <w:t>Total</w:t>
            </w:r>
          </w:p>
        </w:tc>
        <w:tc>
          <w:tcPr>
            <w:tcW w:w="2020" w:type="dxa"/>
            <w:vAlign w:val="bottom"/>
            <w:gridSpan w:val="4"/>
          </w:tcPr>
          <w:p>
            <w:pPr>
              <w:jc w:val="center"/>
              <w:ind w:right="240"/>
              <w:spacing w:after="0" w:line="214" w:lineRule="exact"/>
              <w:rPr>
                <w:sz w:val="20"/>
                <w:szCs w:val="20"/>
                <w:color w:val="auto"/>
              </w:rPr>
            </w:pPr>
            <w:r>
              <w:rPr>
                <w:rFonts w:ascii="Arial" w:cs="Arial" w:eastAsia="Arial" w:hAnsi="Arial"/>
                <w:sz w:val="20"/>
                <w:szCs w:val="20"/>
                <w:b w:val="1"/>
                <w:bCs w:val="1"/>
                <w:color w:val="231F20"/>
              </w:rPr>
              <w:t>Reconciliation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231F20"/>
              </w:rPr>
              <w:t>Oil and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60"/>
              <w:spacing w:after="0" w:line="200" w:lineRule="exact"/>
              <w:rPr>
                <w:sz w:val="20"/>
                <w:szCs w:val="20"/>
                <w:color w:val="auto"/>
              </w:rPr>
            </w:pPr>
            <w:r>
              <w:rPr>
                <w:rFonts w:ascii="Arial" w:cs="Arial" w:eastAsia="Arial" w:hAnsi="Arial"/>
                <w:sz w:val="20"/>
                <w:szCs w:val="20"/>
                <w:b w:val="1"/>
                <w:bCs w:val="1"/>
                <w:color w:val="231F20"/>
              </w:rPr>
              <w:t>Carbon</w:t>
            </w:r>
          </w:p>
        </w:tc>
        <w:tc>
          <w:tcPr>
            <w:tcW w:w="1120" w:type="dxa"/>
            <w:vAlign w:val="bottom"/>
            <w:gridSpan w:val="2"/>
          </w:tcPr>
          <w:p>
            <w:pPr>
              <w:jc w:val="center"/>
              <w:spacing w:after="0" w:line="200" w:lineRule="exact"/>
              <w:rPr>
                <w:sz w:val="20"/>
                <w:szCs w:val="20"/>
                <w:color w:val="auto"/>
              </w:rPr>
            </w:pPr>
            <w:r>
              <w:rPr>
                <w:rFonts w:ascii="Arial" w:cs="Arial" w:eastAsia="Arial" w:hAnsi="Arial"/>
                <w:sz w:val="20"/>
                <w:szCs w:val="20"/>
                <w:b w:val="1"/>
                <w:bCs w:val="1"/>
                <w:color w:val="231F20"/>
                <w:w w:val="99"/>
              </w:rPr>
              <w:t>Reportable</w:t>
            </w:r>
          </w:p>
        </w:tc>
        <w:tc>
          <w:tcPr>
            <w:tcW w:w="200" w:type="dxa"/>
            <w:vAlign w:val="bottom"/>
          </w:tcPr>
          <w:p>
            <w:pPr>
              <w:spacing w:after="0"/>
              <w:rPr>
                <w:sz w:val="17"/>
                <w:szCs w:val="17"/>
                <w:color w:val="auto"/>
              </w:rPr>
            </w:pPr>
          </w:p>
        </w:tc>
        <w:tc>
          <w:tcPr>
            <w:tcW w:w="1820" w:type="dxa"/>
            <w:vAlign w:val="bottom"/>
            <w:gridSpan w:val="3"/>
          </w:tcPr>
          <w:p>
            <w:pPr>
              <w:jc w:val="center"/>
              <w:ind w:right="380"/>
              <w:spacing w:after="0" w:line="200" w:lineRule="exact"/>
              <w:rPr>
                <w:sz w:val="20"/>
                <w:szCs w:val="20"/>
                <w:color w:val="auto"/>
              </w:rPr>
            </w:pPr>
            <w:r>
              <w:rPr>
                <w:rFonts w:ascii="Arial" w:cs="Arial" w:eastAsia="Arial" w:hAnsi="Arial"/>
                <w:sz w:val="20"/>
                <w:szCs w:val="20"/>
                <w:b w:val="1"/>
                <w:bCs w:val="1"/>
                <w:color w:val="231F20"/>
                <w:w w:val="98"/>
              </w:rPr>
              <w:t>(Income)/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340" w:type="dxa"/>
            <w:vAlign w:val="bottom"/>
          </w:tcPr>
          <w:p>
            <w:pPr>
              <w:spacing w:after="0"/>
              <w:rPr>
                <w:sz w:val="21"/>
                <w:szCs w:val="21"/>
                <w:color w:val="auto"/>
              </w:rPr>
            </w:pPr>
          </w:p>
        </w:tc>
        <w:tc>
          <w:tcPr>
            <w:tcW w:w="1140" w:type="dxa"/>
            <w:vAlign w:val="bottom"/>
            <w:gridSpan w:val="2"/>
          </w:tcPr>
          <w:p>
            <w:pPr>
              <w:spacing w:after="0" w:line="228" w:lineRule="exact"/>
              <w:rPr>
                <w:sz w:val="20"/>
                <w:szCs w:val="20"/>
                <w:color w:val="auto"/>
              </w:rPr>
            </w:pPr>
            <w:r>
              <w:rPr>
                <w:rFonts w:ascii="Arial" w:cs="Arial" w:eastAsia="Arial" w:hAnsi="Arial"/>
                <w:sz w:val="20"/>
                <w:szCs w:val="20"/>
                <w:b w:val="1"/>
                <w:bCs w:val="1"/>
                <w:color w:val="231F20"/>
                <w:w w:val="99"/>
              </w:rPr>
              <w:t>Natural Gas</w:t>
            </w:r>
          </w:p>
        </w:tc>
        <w:tc>
          <w:tcPr>
            <w:tcW w:w="200" w:type="dxa"/>
            <w:vAlign w:val="bottom"/>
          </w:tcPr>
          <w:p>
            <w:pPr>
              <w:spacing w:after="0"/>
              <w:rPr>
                <w:sz w:val="21"/>
                <w:szCs w:val="21"/>
                <w:color w:val="auto"/>
              </w:rPr>
            </w:pPr>
          </w:p>
        </w:tc>
        <w:tc>
          <w:tcPr>
            <w:tcW w:w="1420" w:type="dxa"/>
            <w:vAlign w:val="bottom"/>
            <w:gridSpan w:val="5"/>
          </w:tcPr>
          <w:p>
            <w:pPr>
              <w:spacing w:after="0" w:line="228" w:lineRule="exact"/>
              <w:rPr>
                <w:sz w:val="20"/>
                <w:szCs w:val="20"/>
                <w:color w:val="auto"/>
              </w:rPr>
            </w:pPr>
            <w:r>
              <w:rPr>
                <w:rFonts w:ascii="Arial" w:cs="Arial" w:eastAsia="Arial" w:hAnsi="Arial"/>
                <w:sz w:val="20"/>
                <w:szCs w:val="20"/>
                <w:b w:val="1"/>
                <w:bCs w:val="1"/>
                <w:color w:val="231F20"/>
              </w:rPr>
              <w:t>Management</w:t>
            </w:r>
          </w:p>
        </w:tc>
        <w:tc>
          <w:tcPr>
            <w:tcW w:w="1120" w:type="dxa"/>
            <w:vAlign w:val="bottom"/>
            <w:gridSpan w:val="2"/>
          </w:tcPr>
          <w:p>
            <w:pPr>
              <w:jc w:val="center"/>
              <w:spacing w:after="0" w:line="228" w:lineRule="exact"/>
              <w:rPr>
                <w:sz w:val="20"/>
                <w:szCs w:val="20"/>
                <w:color w:val="auto"/>
              </w:rPr>
            </w:pPr>
            <w:r>
              <w:rPr>
                <w:rFonts w:ascii="Arial" w:cs="Arial" w:eastAsia="Arial" w:hAnsi="Arial"/>
                <w:sz w:val="20"/>
                <w:szCs w:val="20"/>
                <w:b w:val="1"/>
                <w:bCs w:val="1"/>
                <w:color w:val="231F20"/>
              </w:rPr>
              <w:t>Segments</w:t>
            </w:r>
          </w:p>
        </w:tc>
        <w:tc>
          <w:tcPr>
            <w:tcW w:w="200" w:type="dxa"/>
            <w:vAlign w:val="bottom"/>
          </w:tcPr>
          <w:p>
            <w:pPr>
              <w:spacing w:after="0"/>
              <w:rPr>
                <w:sz w:val="21"/>
                <w:szCs w:val="21"/>
                <w:color w:val="auto"/>
              </w:rPr>
            </w:pPr>
          </w:p>
        </w:tc>
        <w:tc>
          <w:tcPr>
            <w:tcW w:w="1820" w:type="dxa"/>
            <w:vAlign w:val="bottom"/>
            <w:gridSpan w:val="3"/>
          </w:tcPr>
          <w:p>
            <w:pPr>
              <w:jc w:val="center"/>
              <w:ind w:right="440"/>
              <w:spacing w:after="0" w:line="228" w:lineRule="exact"/>
              <w:rPr>
                <w:sz w:val="20"/>
                <w:szCs w:val="20"/>
                <w:color w:val="auto"/>
              </w:rPr>
            </w:pPr>
            <w:r>
              <w:rPr>
                <w:rFonts w:ascii="Arial" w:cs="Arial" w:eastAsia="Arial" w:hAnsi="Arial"/>
                <w:sz w:val="20"/>
                <w:szCs w:val="20"/>
                <w:b w:val="1"/>
                <w:bCs w:val="1"/>
                <w:color w:val="231F20"/>
                <w:w w:val="99"/>
              </w:rPr>
              <w:t>Expense</w:t>
            </w:r>
          </w:p>
        </w:tc>
        <w:tc>
          <w:tcPr>
            <w:tcW w:w="880" w:type="dxa"/>
            <w:vAlign w:val="bottom"/>
          </w:tcPr>
          <w:p>
            <w:pPr>
              <w:jc w:val="right"/>
              <w:ind w:right="220"/>
              <w:spacing w:after="0" w:line="228" w:lineRule="exact"/>
              <w:rPr>
                <w:sz w:val="20"/>
                <w:szCs w:val="20"/>
                <w:color w:val="auto"/>
              </w:rPr>
            </w:pPr>
            <w:r>
              <w:rPr>
                <w:rFonts w:ascii="Arial" w:cs="Arial" w:eastAsia="Arial" w:hAnsi="Arial"/>
                <w:sz w:val="20"/>
                <w:szCs w:val="20"/>
                <w:b w:val="1"/>
                <w:bCs w:val="1"/>
                <w:color w:val="231F20"/>
              </w:rPr>
              <w:t>Total</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940" w:type="dxa"/>
            <w:vAlign w:val="bottom"/>
            <w:tcBorders>
              <w:top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280" w:type="dxa"/>
            <w:vAlign w:val="bottom"/>
            <w:tcBorders>
              <w:top w:val="single" w:sz="8" w:color="231F20"/>
            </w:tcBorders>
          </w:tcPr>
          <w:p>
            <w:pPr>
              <w:spacing w:after="0"/>
              <w:rPr>
                <w:sz w:val="16"/>
                <w:szCs w:val="16"/>
                <w:color w:val="auto"/>
              </w:rPr>
            </w:pPr>
          </w:p>
        </w:tc>
        <w:tc>
          <w:tcPr>
            <w:tcW w:w="540" w:type="dxa"/>
            <w:vAlign w:val="bottom"/>
            <w:tcBorders>
              <w:top w:val="single" w:sz="8" w:color="231F20"/>
            </w:tcBorders>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920" w:type="dxa"/>
            <w:vAlign w:val="bottom"/>
            <w:tcBorders>
              <w:top w:val="single" w:sz="8" w:color="231F20"/>
            </w:tcBorders>
          </w:tcPr>
          <w:p>
            <w:pPr>
              <w:jc w:val="right"/>
              <w:spacing w:after="0"/>
              <w:rPr>
                <w:sz w:val="20"/>
                <w:szCs w:val="20"/>
                <w:color w:val="auto"/>
              </w:rPr>
            </w:pPr>
            <w:r>
              <w:rPr>
                <w:rFonts w:ascii="Arial" w:cs="Arial" w:eastAsia="Arial" w:hAnsi="Arial"/>
                <w:sz w:val="16"/>
                <w:szCs w:val="16"/>
                <w:color w:val="231F20"/>
              </w:rPr>
              <w:t>(in millions)</w:t>
            </w:r>
          </w:p>
        </w:tc>
        <w:tc>
          <w:tcPr>
            <w:tcW w:w="200" w:type="dxa"/>
            <w:vAlign w:val="bottom"/>
          </w:tcPr>
          <w:p>
            <w:pPr>
              <w:spacing w:after="0"/>
              <w:rPr>
                <w:sz w:val="16"/>
                <w:szCs w:val="16"/>
                <w:color w:val="auto"/>
              </w:rPr>
            </w:pPr>
          </w:p>
        </w:tc>
        <w:tc>
          <w:tcPr>
            <w:tcW w:w="1380" w:type="dxa"/>
            <w:vAlign w:val="bottom"/>
            <w:tcBorders>
              <w:top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231F20"/>
            </w:tcBorders>
          </w:tcPr>
          <w:p>
            <w:pPr>
              <w:spacing w:after="0"/>
              <w:rPr>
                <w:sz w:val="16"/>
                <w:szCs w:val="16"/>
                <w:color w:val="auto"/>
              </w:rPr>
            </w:pPr>
          </w:p>
        </w:tc>
        <w:tc>
          <w:tcPr>
            <w:tcW w:w="880" w:type="dxa"/>
            <w:vAlign w:val="bottom"/>
            <w:tcBorders>
              <w:top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0"/>
                <w:szCs w:val="20"/>
                <w:color w:val="auto"/>
              </w:rPr>
            </w:pPr>
            <w:r>
              <w:rPr>
                <w:rFonts w:ascii="Arial" w:cs="Arial" w:eastAsia="Arial" w:hAnsi="Arial"/>
                <w:sz w:val="20"/>
                <w:szCs w:val="20"/>
                <w:color w:val="231F20"/>
              </w:rPr>
              <w:t>Segment operating</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340" w:type="dxa"/>
            <w:vAlign w:val="bottom"/>
          </w:tcPr>
          <w:p>
            <w:pPr>
              <w:spacing w:after="0"/>
              <w:rPr>
                <w:sz w:val="20"/>
                <w:szCs w:val="20"/>
                <w:color w:val="auto"/>
              </w:rPr>
            </w:pPr>
            <w:r>
              <w:rPr>
                <w:rFonts w:ascii="Arial" w:cs="Arial" w:eastAsia="Arial" w:hAnsi="Arial"/>
                <w:sz w:val="20"/>
                <w:szCs w:val="20"/>
                <w:color w:val="231F20"/>
              </w:rPr>
              <w:t>revenues . . . . . . . . . . . .</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2,967</w:t>
            </w:r>
          </w:p>
        </w:tc>
        <w:tc>
          <w:tcPr>
            <w:tcW w:w="680" w:type="dxa"/>
            <w:vAlign w:val="bottom"/>
            <w:gridSpan w:val="3"/>
          </w:tcPr>
          <w:p>
            <w:pPr>
              <w:ind w:left="440"/>
              <w:spacing w:after="0"/>
              <w:rPr>
                <w:sz w:val="20"/>
                <w:szCs w:val="20"/>
                <w:color w:val="auto"/>
              </w:rPr>
            </w:pPr>
            <w:r>
              <w:rPr>
                <w:rFonts w:ascii="Arial" w:cs="Arial" w:eastAsia="Arial" w:hAnsi="Arial"/>
                <w:sz w:val="20"/>
                <w:szCs w:val="20"/>
                <w:color w:val="231F20"/>
              </w:rPr>
              <w:t>$</w:t>
            </w:r>
          </w:p>
        </w:tc>
        <w:tc>
          <w:tcPr>
            <w:tcW w:w="940" w:type="dxa"/>
            <w:vAlign w:val="bottom"/>
            <w:gridSpan w:val="3"/>
          </w:tcPr>
          <w:p>
            <w:pPr>
              <w:jc w:val="right"/>
              <w:ind w:right="460"/>
              <w:spacing w:after="0"/>
              <w:rPr>
                <w:sz w:val="20"/>
                <w:szCs w:val="20"/>
                <w:color w:val="auto"/>
              </w:rPr>
            </w:pPr>
            <w:r>
              <w:rPr>
                <w:rFonts w:ascii="Arial" w:cs="Arial" w:eastAsia="Arial" w:hAnsi="Arial"/>
                <w:sz w:val="20"/>
                <w:szCs w:val="20"/>
                <w:color w:val="231F20"/>
              </w:rPr>
              <w:t>—</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2,967</w:t>
            </w:r>
          </w:p>
        </w:tc>
        <w:tc>
          <w:tcPr>
            <w:tcW w:w="2020" w:type="dxa"/>
            <w:vAlign w:val="bottom"/>
            <w:gridSpan w:val="4"/>
          </w:tcPr>
          <w:p>
            <w:pPr>
              <w:jc w:val="right"/>
              <w:ind w:right="80"/>
              <w:spacing w:after="0"/>
              <w:rPr>
                <w:sz w:val="20"/>
                <w:szCs w:val="20"/>
                <w:color w:val="auto"/>
              </w:rPr>
            </w:pPr>
            <w:r>
              <w:rPr>
                <w:rFonts w:ascii="Arial" w:cs="Arial" w:eastAsia="Arial" w:hAnsi="Arial"/>
                <w:sz w:val="20"/>
                <w:szCs w:val="20"/>
                <w:color w:val="231F20"/>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2,967</w:t>
            </w: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r>
              <w:rPr>
                <w:rFonts w:ascii="Arial" w:cs="Arial" w:eastAsia="Arial" w:hAnsi="Arial"/>
                <w:sz w:val="20"/>
                <w:szCs w:val="20"/>
                <w:color w:val="231F20"/>
              </w:rPr>
              <w:t>Less: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340" w:type="dxa"/>
            <w:vAlign w:val="bottom"/>
          </w:tcPr>
          <w:p>
            <w:pPr>
              <w:ind w:left="400"/>
              <w:spacing w:after="0"/>
              <w:rPr>
                <w:sz w:val="20"/>
                <w:szCs w:val="20"/>
                <w:color w:val="auto"/>
              </w:rPr>
            </w:pPr>
            <w:r>
              <w:rPr>
                <w:rFonts w:ascii="Arial" w:cs="Arial" w:eastAsia="Arial" w:hAnsi="Arial"/>
                <w:sz w:val="20"/>
                <w:szCs w:val="20"/>
                <w:color w:val="231F20"/>
              </w:rPr>
              <w:t>Operating costs: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800"/>
              <w:spacing w:after="0"/>
              <w:rPr>
                <w:sz w:val="20"/>
                <w:szCs w:val="20"/>
                <w:color w:val="auto"/>
              </w:rPr>
            </w:pPr>
            <w:r>
              <w:rPr>
                <w:rFonts w:ascii="Arial" w:cs="Arial" w:eastAsia="Arial" w:hAnsi="Arial"/>
                <w:sz w:val="20"/>
                <w:szCs w:val="20"/>
                <w:color w:val="231F20"/>
              </w:rPr>
              <w:t>Energy</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340" w:type="dxa"/>
            <w:vAlign w:val="bottom"/>
          </w:tcPr>
          <w:p>
            <w:pPr>
              <w:ind w:left="800"/>
              <w:spacing w:after="0"/>
              <w:rPr>
                <w:sz w:val="20"/>
                <w:szCs w:val="20"/>
                <w:color w:val="auto"/>
              </w:rPr>
            </w:pPr>
            <w:r>
              <w:rPr>
                <w:rFonts w:ascii="Arial" w:cs="Arial" w:eastAsia="Arial" w:hAnsi="Arial"/>
                <w:sz w:val="20"/>
                <w:szCs w:val="20"/>
                <w:color w:val="231F20"/>
              </w:rPr>
              <w:t>operating</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40" w:type="dxa"/>
            <w:vAlign w:val="bottom"/>
          </w:tcPr>
          <w:p>
            <w:pPr>
              <w:ind w:left="800"/>
              <w:spacing w:after="0"/>
              <w:rPr>
                <w:sz w:val="20"/>
                <w:szCs w:val="20"/>
                <w:color w:val="auto"/>
              </w:rPr>
            </w:pPr>
            <w:r>
              <w:rPr>
                <w:rFonts w:ascii="Arial" w:cs="Arial" w:eastAsia="Arial" w:hAnsi="Arial"/>
                <w:sz w:val="20"/>
                <w:szCs w:val="20"/>
                <w:color w:val="231F20"/>
              </w:rPr>
              <w:t>costs . . . . . . .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405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405</w:t>
            </w: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231F20"/>
              </w:rPr>
              <w:t>(31)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374</w:t>
            </w:r>
          </w:p>
        </w:tc>
        <w:tc>
          <w:tcPr>
            <w:tcW w:w="0" w:type="dxa"/>
            <w:vAlign w:val="bottom"/>
          </w:tcPr>
          <w:p>
            <w:pPr>
              <w:spacing w:after="0"/>
              <w:rPr>
                <w:sz w:val="1"/>
                <w:szCs w:val="1"/>
                <w:color w:val="auto"/>
              </w:rPr>
            </w:pPr>
          </w:p>
        </w:tc>
      </w:tr>
      <w:tr>
        <w:trPr>
          <w:trHeight w:val="235"/>
        </w:trPr>
        <w:tc>
          <w:tcPr>
            <w:tcW w:w="2340" w:type="dxa"/>
            <w:vAlign w:val="bottom"/>
          </w:tcPr>
          <w:p>
            <w:pPr>
              <w:ind w:left="800"/>
              <w:spacing w:after="0"/>
              <w:rPr>
                <w:sz w:val="20"/>
                <w:szCs w:val="20"/>
                <w:color w:val="auto"/>
              </w:rPr>
            </w:pPr>
            <w:r>
              <w:rPr>
                <w:rFonts w:ascii="Arial" w:cs="Arial" w:eastAsia="Arial" w:hAnsi="Arial"/>
                <w:sz w:val="20"/>
                <w:szCs w:val="20"/>
                <w:color w:val="231F20"/>
              </w:rPr>
              <w:t>Gas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800"/>
              <w:spacing w:after="0"/>
              <w:rPr>
                <w:sz w:val="20"/>
                <w:szCs w:val="20"/>
                <w:color w:val="auto"/>
              </w:rPr>
            </w:pPr>
            <w:r>
              <w:rPr>
                <w:rFonts w:ascii="Arial" w:cs="Arial" w:eastAsia="Arial" w:hAnsi="Arial"/>
                <w:sz w:val="20"/>
                <w:szCs w:val="20"/>
                <w:color w:val="231F20"/>
              </w:rPr>
              <w:t>processing</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800"/>
              <w:spacing w:after="0"/>
              <w:rPr>
                <w:sz w:val="20"/>
                <w:szCs w:val="20"/>
                <w:color w:val="auto"/>
              </w:rPr>
            </w:pPr>
            <w:r>
              <w:rPr>
                <w:rFonts w:ascii="Arial" w:cs="Arial" w:eastAsia="Arial" w:hAnsi="Arial"/>
                <w:sz w:val="20"/>
                <w:szCs w:val="20"/>
                <w:color w:val="231F20"/>
              </w:rPr>
              <w:t>costs . . . . . . .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19</w:t>
            </w:r>
          </w:p>
        </w:tc>
        <w:tc>
          <w:tcPr>
            <w:tcW w:w="200" w:type="dxa"/>
            <w:vAlign w:val="bottom"/>
          </w:tcPr>
          <w:p>
            <w:pPr>
              <w:spacing w:after="0"/>
              <w:rPr>
                <w:sz w:val="20"/>
                <w:szCs w:val="20"/>
                <w:color w:val="auto"/>
              </w:rPr>
            </w:pPr>
          </w:p>
        </w:tc>
        <w:tc>
          <w:tcPr>
            <w:tcW w:w="1820" w:type="dxa"/>
            <w:vAlign w:val="bottom"/>
            <w:gridSpan w:val="3"/>
          </w:tcPr>
          <w:p>
            <w:pPr>
              <w:jc w:val="right"/>
              <w:ind w:right="800"/>
              <w:spacing w:after="0"/>
              <w:rPr>
                <w:sz w:val="20"/>
                <w:szCs w:val="20"/>
                <w:color w:val="auto"/>
              </w:rPr>
            </w:pPr>
            <w:r>
              <w:rPr>
                <w:rFonts w:ascii="Arial" w:cs="Arial" w:eastAsia="Arial" w:hAnsi="Arial"/>
                <w:sz w:val="20"/>
                <w:szCs w:val="20"/>
                <w:color w:val="231F20"/>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19</w:t>
            </w:r>
          </w:p>
        </w:tc>
        <w:tc>
          <w:tcPr>
            <w:tcW w:w="0" w:type="dxa"/>
            <w:vAlign w:val="bottom"/>
          </w:tcPr>
          <w:p>
            <w:pPr>
              <w:spacing w:after="0"/>
              <w:rPr>
                <w:sz w:val="1"/>
                <w:szCs w:val="1"/>
                <w:color w:val="auto"/>
              </w:rPr>
            </w:pPr>
          </w:p>
        </w:tc>
      </w:tr>
      <w:tr>
        <w:trPr>
          <w:trHeight w:val="236"/>
        </w:trPr>
        <w:tc>
          <w:tcPr>
            <w:tcW w:w="2340" w:type="dxa"/>
            <w:vAlign w:val="bottom"/>
          </w:tcPr>
          <w:p>
            <w:pPr>
              <w:ind w:left="800"/>
              <w:spacing w:after="0"/>
              <w:rPr>
                <w:sz w:val="20"/>
                <w:szCs w:val="20"/>
                <w:color w:val="auto"/>
              </w:rPr>
            </w:pPr>
            <w:r>
              <w:rPr>
                <w:rFonts w:ascii="Arial" w:cs="Arial" w:eastAsia="Arial" w:hAnsi="Arial"/>
                <w:sz w:val="20"/>
                <w:szCs w:val="20"/>
                <w:color w:val="231F20"/>
              </w:rPr>
              <w:t>Non-energy</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800"/>
              <w:spacing w:after="0"/>
              <w:rPr>
                <w:sz w:val="20"/>
                <w:szCs w:val="20"/>
                <w:color w:val="auto"/>
              </w:rPr>
            </w:pPr>
            <w:r>
              <w:rPr>
                <w:rFonts w:ascii="Arial" w:cs="Arial" w:eastAsia="Arial" w:hAnsi="Arial"/>
                <w:sz w:val="20"/>
                <w:szCs w:val="20"/>
                <w:color w:val="231F20"/>
              </w:rPr>
              <w:t>operating</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40" w:type="dxa"/>
            <w:vAlign w:val="bottom"/>
          </w:tcPr>
          <w:p>
            <w:pPr>
              <w:ind w:left="800"/>
              <w:spacing w:after="0"/>
              <w:rPr>
                <w:sz w:val="20"/>
                <w:szCs w:val="20"/>
                <w:color w:val="auto"/>
              </w:rPr>
            </w:pPr>
            <w:r>
              <w:rPr>
                <w:rFonts w:ascii="Arial" w:cs="Arial" w:eastAsia="Arial" w:hAnsi="Arial"/>
                <w:sz w:val="20"/>
                <w:szCs w:val="20"/>
                <w:color w:val="231F20"/>
              </w:rPr>
              <w:t>costs . . . . . . .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856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856</w:t>
            </w:r>
          </w:p>
        </w:tc>
        <w:tc>
          <w:tcPr>
            <w:tcW w:w="1580" w:type="dxa"/>
            <w:vAlign w:val="bottom"/>
            <w:gridSpan w:val="2"/>
          </w:tcPr>
          <w:p>
            <w:pPr>
              <w:jc w:val="right"/>
              <w:ind w:right="260"/>
              <w:spacing w:after="0"/>
              <w:rPr>
                <w:sz w:val="20"/>
                <w:szCs w:val="20"/>
                <w:color w:val="auto"/>
              </w:rPr>
            </w:pPr>
            <w:r>
              <w:rPr>
                <w:rFonts w:ascii="Arial" w:cs="Arial" w:eastAsia="Arial" w:hAnsi="Arial"/>
                <w:sz w:val="20"/>
                <w:szCs w:val="20"/>
                <w:color w:val="231F20"/>
              </w:rPr>
              <w:t>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859</w:t>
            </w:r>
          </w:p>
        </w:tc>
        <w:tc>
          <w:tcPr>
            <w:tcW w:w="0" w:type="dxa"/>
            <w:vAlign w:val="bottom"/>
          </w:tcPr>
          <w:p>
            <w:pPr>
              <w:spacing w:after="0"/>
              <w:rPr>
                <w:sz w:val="1"/>
                <w:szCs w:val="1"/>
                <w:color w:val="auto"/>
              </w:rPr>
            </w:pPr>
          </w:p>
        </w:tc>
      </w:tr>
      <w:tr>
        <w:trPr>
          <w:trHeight w:val="235"/>
        </w:trPr>
        <w:tc>
          <w:tcPr>
            <w:tcW w:w="2340" w:type="dxa"/>
            <w:vAlign w:val="bottom"/>
          </w:tcPr>
          <w:p>
            <w:pPr>
              <w:ind w:left="400"/>
              <w:spacing w:after="0"/>
              <w:rPr>
                <w:sz w:val="20"/>
                <w:szCs w:val="20"/>
                <w:color w:val="auto"/>
              </w:rPr>
            </w:pPr>
            <w:r>
              <w:rPr>
                <w:rFonts w:ascii="Arial" w:cs="Arial" w:eastAsia="Arial" w:hAnsi="Arial"/>
                <w:sz w:val="20"/>
                <w:szCs w:val="20"/>
                <w:color w:val="231F20"/>
              </w:rPr>
              <w:t>General and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400"/>
              <w:spacing w:after="0"/>
              <w:rPr>
                <w:sz w:val="20"/>
                <w:szCs w:val="20"/>
                <w:color w:val="auto"/>
              </w:rPr>
            </w:pPr>
            <w:r>
              <w:rPr>
                <w:rFonts w:ascii="Arial" w:cs="Arial" w:eastAsia="Arial" w:hAnsi="Arial"/>
                <w:sz w:val="20"/>
                <w:szCs w:val="20"/>
                <w:color w:val="231F20"/>
              </w:rPr>
              <w:t>administrative</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400"/>
              <w:spacing w:after="0"/>
              <w:rPr>
                <w:sz w:val="20"/>
                <w:szCs w:val="20"/>
                <w:color w:val="auto"/>
              </w:rPr>
            </w:pPr>
            <w:r>
              <w:rPr>
                <w:rFonts w:ascii="Arial" w:cs="Arial" w:eastAsia="Arial" w:hAnsi="Arial"/>
                <w:sz w:val="20"/>
                <w:szCs w:val="20"/>
                <w:color w:val="231F20"/>
              </w:rPr>
              <w:t>expenses . . . . . . .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43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231F20"/>
              </w:rPr>
              <w:t>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56</w:t>
            </w:r>
          </w:p>
        </w:tc>
        <w:tc>
          <w:tcPr>
            <w:tcW w:w="1580" w:type="dxa"/>
            <w:vAlign w:val="bottom"/>
            <w:gridSpan w:val="2"/>
          </w:tcPr>
          <w:p>
            <w:pPr>
              <w:jc w:val="right"/>
              <w:ind w:right="260"/>
              <w:spacing w:after="0"/>
              <w:rPr>
                <w:sz w:val="20"/>
                <w:szCs w:val="20"/>
                <w:color w:val="auto"/>
              </w:rPr>
            </w:pPr>
            <w:r>
              <w:rPr>
                <w:rFonts w:ascii="Arial" w:cs="Arial" w:eastAsia="Arial" w:hAnsi="Arial"/>
                <w:sz w:val="20"/>
                <w:szCs w:val="20"/>
                <w:color w:val="231F20"/>
              </w:rPr>
              <w:t>277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333</w:t>
            </w:r>
          </w:p>
        </w:tc>
        <w:tc>
          <w:tcPr>
            <w:tcW w:w="0" w:type="dxa"/>
            <w:vAlign w:val="bottom"/>
          </w:tcPr>
          <w:p>
            <w:pPr>
              <w:spacing w:after="0"/>
              <w:rPr>
                <w:sz w:val="1"/>
                <w:szCs w:val="1"/>
                <w:color w:val="auto"/>
              </w:rPr>
            </w:pPr>
          </w:p>
        </w:tc>
      </w:tr>
      <w:tr>
        <w:trPr>
          <w:trHeight w:val="238"/>
        </w:trPr>
        <w:tc>
          <w:tcPr>
            <w:tcW w:w="2340" w:type="dxa"/>
            <w:vAlign w:val="bottom"/>
          </w:tcPr>
          <w:p>
            <w:pPr>
              <w:ind w:left="400"/>
              <w:spacing w:after="0"/>
              <w:rPr>
                <w:sz w:val="20"/>
                <w:szCs w:val="20"/>
                <w:color w:val="auto"/>
              </w:rPr>
            </w:pPr>
            <w:r>
              <w:rPr>
                <w:rFonts w:ascii="Arial" w:cs="Arial" w:eastAsia="Arial" w:hAnsi="Arial"/>
                <w:sz w:val="20"/>
                <w:szCs w:val="20"/>
                <w:color w:val="231F20"/>
              </w:rPr>
              <w:t>Depreciation,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400"/>
              <w:spacing w:after="0"/>
              <w:rPr>
                <w:sz w:val="20"/>
                <w:szCs w:val="20"/>
                <w:color w:val="auto"/>
              </w:rPr>
            </w:pPr>
            <w:r>
              <w:rPr>
                <w:rFonts w:ascii="Arial" w:cs="Arial" w:eastAsia="Arial" w:hAnsi="Arial"/>
                <w:sz w:val="20"/>
                <w:szCs w:val="20"/>
                <w:color w:val="231F20"/>
              </w:rPr>
              <w:t>depletion and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40" w:type="dxa"/>
            <w:vAlign w:val="bottom"/>
          </w:tcPr>
          <w:p>
            <w:pPr>
              <w:ind w:left="400"/>
              <w:spacing w:after="0"/>
              <w:rPr>
                <w:sz w:val="20"/>
                <w:szCs w:val="20"/>
                <w:color w:val="auto"/>
              </w:rPr>
            </w:pPr>
            <w:r>
              <w:rPr>
                <w:rFonts w:ascii="Arial" w:cs="Arial" w:eastAsia="Arial" w:hAnsi="Arial"/>
                <w:sz w:val="20"/>
                <w:szCs w:val="20"/>
                <w:color w:val="231F20"/>
              </w:rPr>
              <w:t>amortization . . . . .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492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492</w:t>
            </w:r>
          </w:p>
        </w:tc>
        <w:tc>
          <w:tcPr>
            <w:tcW w:w="1580" w:type="dxa"/>
            <w:vAlign w:val="bottom"/>
            <w:gridSpan w:val="2"/>
          </w:tcPr>
          <w:p>
            <w:pPr>
              <w:jc w:val="right"/>
              <w:ind w:right="260"/>
              <w:spacing w:after="0"/>
              <w:rPr>
                <w:sz w:val="20"/>
                <w:szCs w:val="20"/>
                <w:color w:val="auto"/>
              </w:rPr>
            </w:pPr>
            <w:r>
              <w:rPr>
                <w:rFonts w:ascii="Arial" w:cs="Arial" w:eastAsia="Arial" w:hAnsi="Arial"/>
                <w:sz w:val="20"/>
                <w:szCs w:val="20"/>
                <w:color w:val="231F20"/>
              </w:rPr>
              <w:t>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511</w:t>
            </w:r>
          </w:p>
        </w:tc>
        <w:tc>
          <w:tcPr>
            <w:tcW w:w="0" w:type="dxa"/>
            <w:vAlign w:val="bottom"/>
          </w:tcPr>
          <w:p>
            <w:pPr>
              <w:spacing w:after="0"/>
              <w:rPr>
                <w:sz w:val="1"/>
                <w:szCs w:val="1"/>
                <w:color w:val="auto"/>
              </w:rPr>
            </w:pPr>
          </w:p>
        </w:tc>
      </w:tr>
      <w:tr>
        <w:trPr>
          <w:trHeight w:val="237"/>
        </w:trPr>
        <w:tc>
          <w:tcPr>
            <w:tcW w:w="2340" w:type="dxa"/>
            <w:vAlign w:val="bottom"/>
          </w:tcPr>
          <w:p>
            <w:pPr>
              <w:ind w:left="400"/>
              <w:spacing w:after="0"/>
              <w:rPr>
                <w:sz w:val="20"/>
                <w:szCs w:val="20"/>
                <w:color w:val="auto"/>
              </w:rPr>
            </w:pPr>
            <w:r>
              <w:rPr>
                <w:rFonts w:ascii="Arial" w:cs="Arial" w:eastAsia="Arial" w:hAnsi="Arial"/>
                <w:sz w:val="20"/>
                <w:szCs w:val="20"/>
                <w:color w:val="231F20"/>
              </w:rPr>
              <w:t>Taxes other than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40" w:type="dxa"/>
            <w:vAlign w:val="bottom"/>
          </w:tcPr>
          <w:p>
            <w:pPr>
              <w:ind w:left="400"/>
              <w:spacing w:after="0"/>
              <w:rPr>
                <w:sz w:val="20"/>
                <w:szCs w:val="20"/>
                <w:color w:val="auto"/>
              </w:rPr>
            </w:pPr>
            <w:r>
              <w:rPr>
                <w:rFonts w:ascii="Arial" w:cs="Arial" w:eastAsia="Arial" w:hAnsi="Arial"/>
                <w:sz w:val="20"/>
                <w:szCs w:val="20"/>
                <w:color w:val="231F20"/>
              </w:rPr>
              <w:t>on income  . . . . . .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203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203</w:t>
            </w:r>
          </w:p>
        </w:tc>
        <w:tc>
          <w:tcPr>
            <w:tcW w:w="1580" w:type="dxa"/>
            <w:vAlign w:val="bottom"/>
            <w:gridSpan w:val="2"/>
          </w:tcPr>
          <w:p>
            <w:pPr>
              <w:jc w:val="right"/>
              <w:ind w:right="260"/>
              <w:spacing w:after="0"/>
              <w:rPr>
                <w:sz w:val="20"/>
                <w:szCs w:val="20"/>
                <w:color w:val="auto"/>
              </w:rPr>
            </w:pPr>
            <w:r>
              <w:rPr>
                <w:rFonts w:ascii="Arial" w:cs="Arial" w:eastAsia="Arial" w:hAnsi="Arial"/>
                <w:sz w:val="20"/>
                <w:szCs w:val="20"/>
                <w:color w:val="231F20"/>
              </w:rPr>
              <w:t>39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242</w:t>
            </w:r>
          </w:p>
        </w:tc>
        <w:tc>
          <w:tcPr>
            <w:tcW w:w="0" w:type="dxa"/>
            <w:vAlign w:val="bottom"/>
          </w:tcPr>
          <w:p>
            <w:pPr>
              <w:spacing w:after="0"/>
              <w:rPr>
                <w:sz w:val="1"/>
                <w:szCs w:val="1"/>
                <w:color w:val="auto"/>
              </w:rPr>
            </w:pPr>
          </w:p>
        </w:tc>
      </w:tr>
      <w:tr>
        <w:trPr>
          <w:trHeight w:val="237"/>
        </w:trPr>
        <w:tc>
          <w:tcPr>
            <w:tcW w:w="2340" w:type="dxa"/>
            <w:vAlign w:val="bottom"/>
          </w:tcPr>
          <w:p>
            <w:pPr>
              <w:ind w:left="400"/>
              <w:spacing w:after="0"/>
              <w:rPr>
                <w:sz w:val="20"/>
                <w:szCs w:val="20"/>
                <w:color w:val="auto"/>
              </w:rPr>
            </w:pPr>
            <w:r>
              <w:rPr>
                <w:rFonts w:ascii="Arial" w:cs="Arial" w:eastAsia="Arial" w:hAnsi="Arial"/>
                <w:sz w:val="20"/>
                <w:szCs w:val="20"/>
                <w:color w:val="231F20"/>
              </w:rPr>
              <w:t>Interest and debt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40" w:type="dxa"/>
            <w:vAlign w:val="bottom"/>
          </w:tcPr>
          <w:p>
            <w:pPr>
              <w:ind w:left="400"/>
              <w:spacing w:after="0"/>
              <w:rPr>
                <w:sz w:val="20"/>
                <w:szCs w:val="20"/>
                <w:color w:val="auto"/>
              </w:rPr>
            </w:pPr>
            <w:r>
              <w:rPr>
                <w:rFonts w:ascii="Arial" w:cs="Arial" w:eastAsia="Arial" w:hAnsi="Arial"/>
                <w:sz w:val="20"/>
                <w:szCs w:val="20"/>
                <w:color w:val="231F20"/>
              </w:rPr>
              <w:t>expense, net  . . . .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231F20"/>
              </w:rPr>
              <w:t>11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11</w:t>
            </w:r>
          </w:p>
        </w:tc>
        <w:tc>
          <w:tcPr>
            <w:tcW w:w="1580" w:type="dxa"/>
            <w:vAlign w:val="bottom"/>
            <w:gridSpan w:val="2"/>
          </w:tcPr>
          <w:p>
            <w:pPr>
              <w:jc w:val="right"/>
              <w:ind w:right="260"/>
              <w:spacing w:after="0"/>
              <w:rPr>
                <w:sz w:val="20"/>
                <w:szCs w:val="20"/>
                <w:color w:val="auto"/>
              </w:rPr>
            </w:pPr>
            <w:r>
              <w:rPr>
                <w:rFonts w:ascii="Arial" w:cs="Arial" w:eastAsia="Arial" w:hAnsi="Arial"/>
                <w:sz w:val="20"/>
                <w:szCs w:val="20"/>
                <w:color w:val="231F20"/>
              </w:rPr>
              <w:t>95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106</w:t>
            </w:r>
          </w:p>
        </w:tc>
        <w:tc>
          <w:tcPr>
            <w:tcW w:w="0" w:type="dxa"/>
            <w:vAlign w:val="bottom"/>
          </w:tcPr>
          <w:p>
            <w:pPr>
              <w:spacing w:after="0"/>
              <w:rPr>
                <w:sz w:val="1"/>
                <w:szCs w:val="1"/>
                <w:color w:val="auto"/>
              </w:rPr>
            </w:pPr>
          </w:p>
        </w:tc>
      </w:tr>
      <w:tr>
        <w:trPr>
          <w:trHeight w:val="237"/>
        </w:trPr>
        <w:tc>
          <w:tcPr>
            <w:tcW w:w="2340" w:type="dxa"/>
            <w:vAlign w:val="bottom"/>
          </w:tcPr>
          <w:p>
            <w:pPr>
              <w:ind w:left="400"/>
              <w:spacing w:after="0"/>
              <w:rPr>
                <w:sz w:val="20"/>
                <w:szCs w:val="20"/>
                <w:color w:val="auto"/>
              </w:rPr>
            </w:pPr>
            <w:r>
              <w:rPr>
                <w:rFonts w:ascii="Arial" w:cs="Arial" w:eastAsia="Arial" w:hAnsi="Arial"/>
                <w:sz w:val="20"/>
                <w:szCs w:val="20"/>
                <w:color w:val="231F20"/>
              </w:rPr>
              <w:t>Equity loss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400"/>
              <w:spacing w:after="0"/>
              <w:rPr>
                <w:sz w:val="20"/>
                <w:szCs w:val="20"/>
                <w:color w:val="auto"/>
              </w:rPr>
            </w:pPr>
            <w:r>
              <w:rPr>
                <w:rFonts w:ascii="Arial" w:cs="Arial" w:eastAsia="Arial" w:hAnsi="Arial"/>
                <w:sz w:val="20"/>
                <w:szCs w:val="20"/>
                <w:color w:val="231F20"/>
              </w:rPr>
              <w:t>(income) from</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400"/>
              <w:spacing w:after="0"/>
              <w:rPr>
                <w:sz w:val="20"/>
                <w:szCs w:val="20"/>
                <w:color w:val="auto"/>
              </w:rPr>
            </w:pPr>
            <w:r>
              <w:rPr>
                <w:rFonts w:ascii="Arial" w:cs="Arial" w:eastAsia="Arial" w:hAnsi="Arial"/>
                <w:sz w:val="20"/>
                <w:szCs w:val="20"/>
                <w:color w:val="231F20"/>
              </w:rPr>
              <w:t>unconsolidated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400"/>
              <w:spacing w:after="0"/>
              <w:rPr>
                <w:sz w:val="20"/>
                <w:szCs w:val="20"/>
                <w:color w:val="auto"/>
              </w:rPr>
            </w:pPr>
            <w:r>
              <w:rPr>
                <w:rFonts w:ascii="Arial" w:cs="Arial" w:eastAsia="Arial" w:hAnsi="Arial"/>
                <w:sz w:val="20"/>
                <w:szCs w:val="20"/>
                <w:color w:val="231F20"/>
              </w:rPr>
              <w:t>subsidiaries . . . . .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231F20"/>
              </w:rPr>
              <w:t>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6</w:t>
            </w: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231F20"/>
              </w:rPr>
              <w:t>(2)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4</w:t>
            </w:r>
          </w:p>
        </w:tc>
        <w:tc>
          <w:tcPr>
            <w:tcW w:w="0" w:type="dxa"/>
            <w:vAlign w:val="bottom"/>
          </w:tcPr>
          <w:p>
            <w:pPr>
              <w:spacing w:after="0"/>
              <w:rPr>
                <w:sz w:val="1"/>
                <w:szCs w:val="1"/>
                <w:color w:val="auto"/>
              </w:rPr>
            </w:pPr>
          </w:p>
        </w:tc>
      </w:tr>
      <w:tr>
        <w:trPr>
          <w:trHeight w:val="237"/>
        </w:trPr>
        <w:tc>
          <w:tcPr>
            <w:tcW w:w="2340" w:type="dxa"/>
            <w:vAlign w:val="bottom"/>
          </w:tcPr>
          <w:p>
            <w:pPr>
              <w:ind w:left="400"/>
              <w:spacing w:after="0"/>
              <w:rPr>
                <w:sz w:val="20"/>
                <w:szCs w:val="20"/>
                <w:color w:val="auto"/>
              </w:rPr>
            </w:pPr>
            <w:r>
              <w:rPr>
                <w:rFonts w:ascii="Arial" w:cs="Arial" w:eastAsia="Arial" w:hAnsi="Arial"/>
                <w:sz w:val="20"/>
                <w:szCs w:val="20"/>
                <w:color w:val="231F20"/>
              </w:rPr>
              <w:t>Other segment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340" w:type="dxa"/>
            <w:vAlign w:val="bottom"/>
          </w:tcPr>
          <w:p>
            <w:pPr>
              <w:ind w:left="400"/>
              <w:spacing w:after="0" w:line="266" w:lineRule="exact"/>
              <w:rPr>
                <w:sz w:val="20"/>
                <w:szCs w:val="20"/>
                <w:color w:val="auto"/>
              </w:rPr>
            </w:pPr>
            <w:r>
              <w:rPr>
                <w:rFonts w:ascii="Arial" w:cs="Arial" w:eastAsia="Arial" w:hAnsi="Arial"/>
                <w:sz w:val="20"/>
                <w:szCs w:val="20"/>
                <w:color w:val="231F20"/>
              </w:rPr>
              <w:t>expenses</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w:t>
            </w:r>
          </w:p>
        </w:tc>
        <w:tc>
          <w:tcPr>
            <w:tcW w:w="20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261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5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317</w:t>
            </w:r>
          </w:p>
        </w:tc>
        <w:tc>
          <w:tcPr>
            <w:tcW w:w="200" w:type="dxa"/>
            <w:vAlign w:val="bottom"/>
          </w:tcPr>
          <w:p>
            <w:pPr>
              <w:spacing w:after="0"/>
              <w:rPr>
                <w:sz w:val="23"/>
                <w:szCs w:val="23"/>
                <w:color w:val="auto"/>
              </w:rPr>
            </w:pPr>
          </w:p>
        </w:tc>
        <w:tc>
          <w:tcPr>
            <w:tcW w:w="1820" w:type="dxa"/>
            <w:vAlign w:val="bottom"/>
            <w:gridSpan w:val="3"/>
          </w:tcPr>
          <w:p>
            <w:pPr>
              <w:jc w:val="right"/>
              <w:ind w:right="800"/>
              <w:spacing w:after="0"/>
              <w:rPr>
                <w:sz w:val="20"/>
                <w:szCs w:val="20"/>
                <w:color w:val="auto"/>
              </w:rPr>
            </w:pPr>
            <w:r>
              <w:rPr>
                <w:rFonts w:ascii="Arial" w:cs="Arial" w:eastAsia="Arial" w:hAnsi="Arial"/>
                <w:sz w:val="20"/>
                <w:szCs w:val="20"/>
                <w:color w:val="231F20"/>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317</w:t>
            </w:r>
          </w:p>
        </w:tc>
        <w:tc>
          <w:tcPr>
            <w:tcW w:w="0" w:type="dxa"/>
            <w:vAlign w:val="bottom"/>
          </w:tcPr>
          <w:p>
            <w:pPr>
              <w:spacing w:after="0"/>
              <w:rPr>
                <w:sz w:val="1"/>
                <w:szCs w:val="1"/>
                <w:color w:val="auto"/>
              </w:rPr>
            </w:pPr>
          </w:p>
        </w:tc>
      </w:tr>
      <w:tr>
        <w:trPr>
          <w:trHeight w:val="269"/>
        </w:trPr>
        <w:tc>
          <w:tcPr>
            <w:tcW w:w="2340" w:type="dxa"/>
            <w:vAlign w:val="bottom"/>
          </w:tcPr>
          <w:p>
            <w:pPr>
              <w:spacing w:after="0"/>
              <w:rPr>
                <w:sz w:val="20"/>
                <w:szCs w:val="20"/>
                <w:color w:val="auto"/>
              </w:rPr>
            </w:pPr>
            <w:r>
              <w:rPr>
                <w:rFonts w:ascii="Arial" w:cs="Arial" w:eastAsia="Arial" w:hAnsi="Arial"/>
                <w:sz w:val="20"/>
                <w:szCs w:val="20"/>
                <w:color w:val="231F20"/>
              </w:rPr>
              <w:t>Segment profit or</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r>
              <w:rPr>
                <w:rFonts w:ascii="Arial" w:cs="Arial" w:eastAsia="Arial" w:hAnsi="Arial"/>
                <w:sz w:val="20"/>
                <w:szCs w:val="20"/>
                <w:color w:val="231F20"/>
              </w:rPr>
              <w:t>(loss)  . . . . . . . . . . . . . . .</w:t>
            </w:r>
          </w:p>
        </w:tc>
        <w:tc>
          <w:tcPr>
            <w:tcW w:w="200" w:type="dxa"/>
            <w:vAlign w:val="bottom"/>
          </w:tcPr>
          <w:p>
            <w:pPr>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688</w:t>
            </w:r>
          </w:p>
        </w:tc>
        <w:tc>
          <w:tcPr>
            <w:tcW w:w="680" w:type="dxa"/>
            <w:vAlign w:val="bottom"/>
            <w:gridSpan w:val="3"/>
          </w:tcPr>
          <w:p>
            <w:pPr>
              <w:jc w:val="right"/>
              <w:ind w:right="80"/>
              <w:spacing w:after="0"/>
              <w:rPr>
                <w:sz w:val="20"/>
                <w:szCs w:val="20"/>
                <w:color w:val="auto"/>
              </w:rPr>
            </w:pPr>
            <w:r>
              <w:rPr>
                <w:rFonts w:ascii="Arial" w:cs="Arial" w:eastAsia="Arial" w:hAnsi="Arial"/>
                <w:sz w:val="20"/>
                <w:szCs w:val="20"/>
                <w:color w:val="231F20"/>
              </w:rPr>
              <w:t>$</w:t>
            </w:r>
          </w:p>
        </w:tc>
        <w:tc>
          <w:tcPr>
            <w:tcW w:w="540" w:type="dxa"/>
            <w:vAlign w:val="bottom"/>
          </w:tcPr>
          <w:p>
            <w:pPr>
              <w:jc w:val="right"/>
              <w:spacing w:after="0"/>
              <w:rPr>
                <w:sz w:val="20"/>
                <w:szCs w:val="20"/>
                <w:color w:val="auto"/>
              </w:rPr>
            </w:pPr>
            <w:r>
              <w:rPr>
                <w:rFonts w:ascii="Arial" w:cs="Arial" w:eastAsia="Arial" w:hAnsi="Arial"/>
                <w:sz w:val="20"/>
                <w:szCs w:val="20"/>
                <w:color w:val="231F20"/>
              </w:rPr>
              <w:t>(86)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231F20"/>
                <w:w w:val="71"/>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602</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340" w:type="dxa"/>
            <w:vAlign w:val="bottom"/>
            <w:vMerge w:val="restart"/>
          </w:tcPr>
          <w:p>
            <w:pPr>
              <w:spacing w:after="0"/>
              <w:rPr>
                <w:sz w:val="20"/>
                <w:szCs w:val="20"/>
                <w:color w:val="auto"/>
              </w:rPr>
            </w:pPr>
            <w:r>
              <w:rPr>
                <w:rFonts w:ascii="Arial" w:cs="Arial" w:eastAsia="Arial" w:hAnsi="Arial"/>
                <w:sz w:val="20"/>
                <w:szCs w:val="20"/>
                <w:color w:val="231F20"/>
              </w:rPr>
              <w:t>Other profit or loss</w:t>
            </w:r>
            <w:r>
              <w:rPr>
                <w:rFonts w:ascii="Arial" w:cs="Arial" w:eastAsia="Arial" w:hAnsi="Arial"/>
                <w:sz w:val="26"/>
                <w:szCs w:val="26"/>
                <w:color w:val="231F20"/>
                <w:vertAlign w:val="superscript"/>
              </w:rPr>
              <w:t>(b)</w:t>
            </w:r>
            <w:r>
              <w:rPr>
                <w:rFonts w:ascii="Arial" w:cs="Arial" w:eastAsia="Arial" w:hAnsi="Arial"/>
                <w:sz w:val="20"/>
                <w:szCs w:val="20"/>
                <w:color w:val="231F20"/>
              </w:rPr>
              <w:t xml:space="preserve">  . . .</w:t>
            </w:r>
          </w:p>
        </w:tc>
        <w:tc>
          <w:tcPr>
            <w:tcW w:w="2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158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231F20"/>
              </w:rPr>
              <w:t>(204)</w:t>
            </w: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231F20"/>
              </w:rPr>
              <w:t>(204)</w:t>
            </w:r>
          </w:p>
        </w:tc>
        <w:tc>
          <w:tcPr>
            <w:tcW w:w="0" w:type="dxa"/>
            <w:vAlign w:val="bottom"/>
          </w:tcPr>
          <w:p>
            <w:pPr>
              <w:spacing w:after="0"/>
              <w:rPr>
                <w:sz w:val="1"/>
                <w:szCs w:val="1"/>
                <w:color w:val="auto"/>
              </w:rPr>
            </w:pPr>
          </w:p>
        </w:tc>
      </w:tr>
      <w:tr>
        <w:trPr>
          <w:trHeight w:val="20"/>
        </w:trPr>
        <w:tc>
          <w:tcPr>
            <w:tcW w:w="2340" w:type="dxa"/>
            <w:vAlign w:val="bottom"/>
            <w:vMerge w:val="continue"/>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340" w:type="dxa"/>
            <w:vAlign w:val="bottom"/>
          </w:tcPr>
          <w:p>
            <w:pPr>
              <w:spacing w:after="0" w:line="226" w:lineRule="exact"/>
              <w:rPr>
                <w:sz w:val="20"/>
                <w:szCs w:val="20"/>
                <w:color w:val="auto"/>
              </w:rPr>
            </w:pPr>
            <w:r>
              <w:rPr>
                <w:rFonts w:ascii="Arial" w:cs="Arial" w:eastAsia="Arial" w:hAnsi="Arial"/>
                <w:sz w:val="20"/>
                <w:szCs w:val="20"/>
                <w:color w:val="231F20"/>
              </w:rPr>
              <w:t>Unallocated</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line="266" w:lineRule="exact"/>
              <w:rPr>
                <w:sz w:val="20"/>
                <w:szCs w:val="20"/>
                <w:color w:val="auto"/>
              </w:rPr>
            </w:pPr>
            <w:r>
              <w:rPr>
                <w:rFonts w:ascii="Arial" w:cs="Arial" w:eastAsia="Arial" w:hAnsi="Arial"/>
                <w:sz w:val="20"/>
                <w:szCs w:val="20"/>
                <w:color w:val="231F20"/>
              </w:rPr>
              <w:t>amounts</w:t>
            </w:r>
            <w:r>
              <w:rPr>
                <w:rFonts w:ascii="Arial" w:cs="Arial" w:eastAsia="Arial" w:hAnsi="Arial"/>
                <w:sz w:val="26"/>
                <w:szCs w:val="26"/>
                <w:color w:val="231F20"/>
                <w:vertAlign w:val="superscript"/>
              </w:rPr>
              <w:t>(c)</w:t>
            </w:r>
            <w:r>
              <w:rPr>
                <w:rFonts w:ascii="Arial" w:cs="Arial" w:eastAsia="Arial" w:hAnsi="Arial"/>
                <w:sz w:val="20"/>
                <w:szCs w:val="20"/>
                <w:color w:val="231F20"/>
              </w:rPr>
              <w:t xml:space="preserve">  . . . . . . . . . . .</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20"/>
                <w:szCs w:val="20"/>
                <w:color w:val="231F20"/>
              </w:rPr>
              <w:t>(96)</w:t>
            </w:r>
          </w:p>
        </w:tc>
        <w:tc>
          <w:tcPr>
            <w:tcW w:w="20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(96)</w:t>
            </w:r>
          </w:p>
        </w:tc>
        <w:tc>
          <w:tcPr>
            <w:tcW w:w="0" w:type="dxa"/>
            <w:vAlign w:val="bottom"/>
          </w:tcPr>
          <w:p>
            <w:pPr>
              <w:spacing w:after="0"/>
              <w:rPr>
                <w:sz w:val="1"/>
                <w:szCs w:val="1"/>
                <w:color w:val="auto"/>
              </w:rPr>
            </w:pPr>
          </w:p>
        </w:tc>
      </w:tr>
      <w:tr>
        <w:trPr>
          <w:trHeight w:val="269"/>
        </w:trPr>
        <w:tc>
          <w:tcPr>
            <w:tcW w:w="2340" w:type="dxa"/>
            <w:vAlign w:val="bottom"/>
          </w:tcPr>
          <w:p>
            <w:pPr>
              <w:spacing w:after="0"/>
              <w:rPr>
                <w:sz w:val="20"/>
                <w:szCs w:val="20"/>
                <w:color w:val="auto"/>
              </w:rPr>
            </w:pPr>
            <w:r>
              <w:rPr>
                <w:rFonts w:ascii="Arial" w:cs="Arial" w:eastAsia="Arial" w:hAnsi="Arial"/>
                <w:sz w:val="20"/>
                <w:szCs w:val="20"/>
                <w:color w:val="231F20"/>
              </w:rPr>
              <w:t>Income before income</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r>
              <w:rPr>
                <w:rFonts w:ascii="Arial" w:cs="Arial" w:eastAsia="Arial" w:hAnsi="Arial"/>
                <w:sz w:val="20"/>
                <w:szCs w:val="20"/>
                <w:color w:val="231F20"/>
              </w:rPr>
              <w:t>taxes  . . . . . . . . . . . . . . .</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20" w:type="dxa"/>
            <w:vAlign w:val="bottom"/>
            <w:gridSpan w:val="4"/>
          </w:tcPr>
          <w:p>
            <w:pPr>
              <w:jc w:val="right"/>
              <w:ind w:right="140"/>
              <w:spacing w:after="0"/>
              <w:rPr>
                <w:sz w:val="20"/>
                <w:szCs w:val="20"/>
                <w:color w:val="auto"/>
              </w:rPr>
            </w:pPr>
            <w:r>
              <w:rPr>
                <w:rFonts w:ascii="Arial" w:cs="Arial" w:eastAsia="Arial" w:hAnsi="Arial"/>
                <w:sz w:val="20"/>
                <w:szCs w:val="20"/>
                <w:color w:val="231F20"/>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502</w:t>
            </w:r>
          </w:p>
        </w:tc>
        <w:tc>
          <w:tcPr>
            <w:tcW w:w="0" w:type="dxa"/>
            <w:vAlign w:val="bottom"/>
          </w:tcPr>
          <w:p>
            <w:pPr>
              <w:spacing w:after="0"/>
              <w:rPr>
                <w:sz w:val="1"/>
                <w:szCs w:val="1"/>
                <w:color w:val="auto"/>
              </w:rPr>
            </w:pPr>
          </w:p>
        </w:tc>
      </w:tr>
      <w:tr>
        <w:trPr>
          <w:trHeight w:val="29"/>
        </w:trPr>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20" w:right="340" w:hanging="320"/>
        <w:spacing w:after="0" w:line="257" w:lineRule="auto"/>
        <w:tabs>
          <w:tab w:leader="none" w:pos="320" w:val="left"/>
        </w:tabs>
        <w:numPr>
          <w:ilvl w:val="0"/>
          <w:numId w:val="79"/>
        </w:numPr>
        <w:rPr>
          <w:rFonts w:ascii="Arial" w:cs="Arial" w:eastAsia="Arial" w:hAnsi="Arial"/>
          <w:sz w:val="16"/>
          <w:szCs w:val="16"/>
          <w:color w:val="231F20"/>
        </w:rPr>
      </w:pPr>
      <w:r>
        <w:rPr>
          <w:rFonts w:ascii="Arial" w:cs="Arial" w:eastAsia="Arial" w:hAnsi="Arial"/>
          <w:sz w:val="16"/>
          <w:szCs w:val="16"/>
          <w:color w:val="231F20"/>
        </w:rPr>
        <w:t>Other segment expenses for our oil and natural gas segment include transportation costs, accretion expense, asset impairment and other operating expenses, net. Other segment expenses for our carbon management segment primarily includes operating lease costs and asset impairment.</w:t>
      </w:r>
    </w:p>
    <w:p>
      <w:pPr>
        <w:spacing w:after="0" w:line="8" w:lineRule="exact"/>
        <w:rPr>
          <w:rFonts w:ascii="Arial" w:cs="Arial" w:eastAsia="Arial" w:hAnsi="Arial"/>
          <w:sz w:val="16"/>
          <w:szCs w:val="16"/>
          <w:color w:val="231F20"/>
        </w:rPr>
      </w:pPr>
    </w:p>
    <w:p>
      <w:pPr>
        <w:ind w:left="320" w:right="60" w:hanging="320"/>
        <w:spacing w:after="0" w:line="253" w:lineRule="auto"/>
        <w:tabs>
          <w:tab w:leader="none" w:pos="320" w:val="left"/>
        </w:tabs>
        <w:numPr>
          <w:ilvl w:val="0"/>
          <w:numId w:val="79"/>
        </w:numPr>
        <w:rPr>
          <w:rFonts w:ascii="Arial" w:cs="Arial" w:eastAsia="Arial" w:hAnsi="Arial"/>
          <w:sz w:val="16"/>
          <w:szCs w:val="16"/>
          <w:color w:val="231F20"/>
        </w:rPr>
      </w:pPr>
      <w:r>
        <w:rPr>
          <w:rFonts w:ascii="Arial" w:cs="Arial" w:eastAsia="Arial" w:hAnsi="Arial"/>
          <w:sz w:val="16"/>
          <w:szCs w:val="16"/>
          <w:color w:val="231F20"/>
        </w:rPr>
        <w:t>Other profit or loss includes the margin we earn from marketing activities and the margin we earn on sales of electricity from our Elk Hills power plant to customers.</w:t>
      </w:r>
    </w:p>
    <w:p>
      <w:pPr>
        <w:spacing w:after="0" w:line="12" w:lineRule="exact"/>
        <w:rPr>
          <w:rFonts w:ascii="Arial" w:cs="Arial" w:eastAsia="Arial" w:hAnsi="Arial"/>
          <w:sz w:val="16"/>
          <w:szCs w:val="16"/>
          <w:color w:val="231F20"/>
        </w:rPr>
      </w:pPr>
    </w:p>
    <w:p>
      <w:pPr>
        <w:ind w:left="320" w:right="300" w:hanging="320"/>
        <w:spacing w:after="0" w:line="257" w:lineRule="auto"/>
        <w:tabs>
          <w:tab w:leader="none" w:pos="320" w:val="left"/>
        </w:tabs>
        <w:numPr>
          <w:ilvl w:val="0"/>
          <w:numId w:val="79"/>
        </w:numPr>
        <w:rPr>
          <w:rFonts w:ascii="Arial" w:cs="Arial" w:eastAsia="Arial" w:hAnsi="Arial"/>
          <w:sz w:val="16"/>
          <w:szCs w:val="16"/>
          <w:color w:val="231F20"/>
        </w:rPr>
      </w:pPr>
      <w:r>
        <w:rPr>
          <w:rFonts w:ascii="Arial" w:cs="Arial" w:eastAsia="Arial" w:hAnsi="Arial"/>
          <w:sz w:val="16"/>
          <w:szCs w:val="16"/>
          <w:color w:val="231F20"/>
        </w:rPr>
        <w:t>Unallocated amounts include net gain from commodity derivatives, net loss on natural gas purchase derivatives, transportation costs, other operating expenses, net, interest income, unallocated other revenue, and other non-operating income.</w:t>
      </w:r>
    </w:p>
    <w:p>
      <w:pPr>
        <w:sectPr>
          <w:pgSz w:w="11880" w:h="15480" w:orient="portrait"/>
          <w:cols w:equalWidth="0" w:num="1">
            <w:col w:w="9120"/>
          </w:cols>
          <w:pgMar w:left="1380" w:top="1270"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143</w:t>
      </w:r>
    </w:p>
    <w:p>
      <w:pPr>
        <w:sectPr>
          <w:pgSz w:w="11880" w:h="15480" w:orient="portrait"/>
          <w:cols w:equalWidth="0" w:num="1">
            <w:col w:w="9120"/>
          </w:cols>
          <w:pgMar w:left="1380" w:top="1270" w:right="1380" w:bottom="66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50"/>
        </w:trPr>
        <w:tc>
          <w:tcPr>
            <w:tcW w:w="224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3120" w:type="dxa"/>
            <w:vAlign w:val="bottom"/>
            <w:tcBorders>
              <w:bottom w:val="single" w:sz="8" w:color="231F20"/>
            </w:tcBorders>
            <w:gridSpan w:val="8"/>
          </w:tcPr>
          <w:p>
            <w:pPr>
              <w:ind w:left="120"/>
              <w:spacing w:after="0"/>
              <w:rPr>
                <w:sz w:val="20"/>
                <w:szCs w:val="20"/>
                <w:color w:val="auto"/>
              </w:rPr>
            </w:pPr>
            <w:r>
              <w:rPr>
                <w:rFonts w:ascii="Arial" w:cs="Arial" w:eastAsia="Arial" w:hAnsi="Arial"/>
                <w:sz w:val="20"/>
                <w:szCs w:val="20"/>
                <w:b w:val="1"/>
                <w:bCs w:val="1"/>
                <w:color w:val="231F20"/>
              </w:rPr>
              <w:t>Year ended December 31, 2024</w:t>
            </w:r>
          </w:p>
        </w:tc>
        <w:tc>
          <w:tcPr>
            <w:tcW w:w="44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80"/>
              <w:spacing w:after="0" w:line="214" w:lineRule="exact"/>
              <w:rPr>
                <w:sz w:val="20"/>
                <w:szCs w:val="20"/>
                <w:color w:val="auto"/>
              </w:rPr>
            </w:pPr>
            <w:r>
              <w:rPr>
                <w:rFonts w:ascii="Arial" w:cs="Arial" w:eastAsia="Arial" w:hAnsi="Arial"/>
                <w:sz w:val="20"/>
                <w:szCs w:val="20"/>
                <w:b w:val="1"/>
                <w:bCs w:val="1"/>
                <w:color w:val="231F20"/>
                <w:w w:val="96"/>
              </w:rPr>
              <w:t>Total</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60"/>
              <w:spacing w:after="0" w:line="200" w:lineRule="exact"/>
              <w:rPr>
                <w:sz w:val="20"/>
                <w:szCs w:val="20"/>
                <w:color w:val="auto"/>
              </w:rPr>
            </w:pPr>
            <w:r>
              <w:rPr>
                <w:rFonts w:ascii="Arial" w:cs="Arial" w:eastAsia="Arial" w:hAnsi="Arial"/>
                <w:sz w:val="20"/>
                <w:szCs w:val="20"/>
                <w:b w:val="1"/>
                <w:bCs w:val="1"/>
                <w:color w:val="231F20"/>
              </w:rPr>
              <w:t>Oil and</w:t>
            </w:r>
          </w:p>
        </w:tc>
        <w:tc>
          <w:tcPr>
            <w:tcW w:w="120" w:type="dxa"/>
            <w:vAlign w:val="bottom"/>
          </w:tcPr>
          <w:p>
            <w:pPr>
              <w:spacing w:after="0"/>
              <w:rPr>
                <w:sz w:val="17"/>
                <w:szCs w:val="17"/>
                <w:color w:val="auto"/>
              </w:rPr>
            </w:pPr>
          </w:p>
        </w:tc>
        <w:tc>
          <w:tcPr>
            <w:tcW w:w="1300" w:type="dxa"/>
            <w:vAlign w:val="bottom"/>
            <w:gridSpan w:val="4"/>
          </w:tcPr>
          <w:p>
            <w:pPr>
              <w:jc w:val="center"/>
              <w:ind w:right="320"/>
              <w:spacing w:after="0" w:line="200" w:lineRule="exact"/>
              <w:rPr>
                <w:sz w:val="20"/>
                <w:szCs w:val="20"/>
                <w:color w:val="auto"/>
              </w:rPr>
            </w:pPr>
            <w:r>
              <w:rPr>
                <w:rFonts w:ascii="Arial" w:cs="Arial" w:eastAsia="Arial" w:hAnsi="Arial"/>
                <w:sz w:val="20"/>
                <w:szCs w:val="20"/>
                <w:b w:val="1"/>
                <w:bCs w:val="1"/>
                <w:color w:val="231F20"/>
                <w:w w:val="99"/>
              </w:rPr>
              <w:t>Carbon</w:t>
            </w:r>
          </w:p>
        </w:tc>
        <w:tc>
          <w:tcPr>
            <w:tcW w:w="1360" w:type="dxa"/>
            <w:vAlign w:val="bottom"/>
            <w:gridSpan w:val="3"/>
          </w:tcPr>
          <w:p>
            <w:pPr>
              <w:jc w:val="center"/>
              <w:ind w:right="100"/>
              <w:spacing w:after="0" w:line="200" w:lineRule="exact"/>
              <w:rPr>
                <w:sz w:val="20"/>
                <w:szCs w:val="20"/>
                <w:color w:val="auto"/>
              </w:rPr>
            </w:pPr>
            <w:r>
              <w:rPr>
                <w:rFonts w:ascii="Arial" w:cs="Arial" w:eastAsia="Arial" w:hAnsi="Arial"/>
                <w:sz w:val="20"/>
                <w:szCs w:val="20"/>
                <w:b w:val="1"/>
                <w:bCs w:val="1"/>
                <w:color w:val="231F20"/>
              </w:rPr>
              <w:t>Reportable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240" w:type="dxa"/>
            <w:vAlign w:val="bottom"/>
          </w:tcPr>
          <w:p>
            <w:pPr>
              <w:spacing w:after="0"/>
              <w:rPr>
                <w:sz w:val="21"/>
                <w:szCs w:val="21"/>
                <w:color w:val="auto"/>
              </w:rPr>
            </w:pPr>
          </w:p>
        </w:tc>
        <w:tc>
          <w:tcPr>
            <w:tcW w:w="1260" w:type="dxa"/>
            <w:vAlign w:val="bottom"/>
            <w:tcBorders>
              <w:bottom w:val="single" w:sz="8" w:color="231F20"/>
            </w:tcBorders>
            <w:gridSpan w:val="2"/>
          </w:tcPr>
          <w:p>
            <w:pPr>
              <w:ind w:left="60"/>
              <w:spacing w:after="0" w:line="228" w:lineRule="exact"/>
              <w:rPr>
                <w:sz w:val="20"/>
                <w:szCs w:val="20"/>
                <w:color w:val="auto"/>
              </w:rPr>
            </w:pPr>
            <w:r>
              <w:rPr>
                <w:rFonts w:ascii="Arial" w:cs="Arial" w:eastAsia="Arial" w:hAnsi="Arial"/>
                <w:sz w:val="20"/>
                <w:szCs w:val="20"/>
                <w:b w:val="1"/>
                <w:bCs w:val="1"/>
                <w:color w:val="231F20"/>
              </w:rPr>
              <w:t>Natural Gas</w:t>
            </w:r>
          </w:p>
        </w:tc>
        <w:tc>
          <w:tcPr>
            <w:tcW w:w="200" w:type="dxa"/>
            <w:vAlign w:val="bottom"/>
          </w:tcPr>
          <w:p>
            <w:pPr>
              <w:spacing w:after="0"/>
              <w:rPr>
                <w:sz w:val="21"/>
                <w:szCs w:val="21"/>
                <w:color w:val="auto"/>
              </w:rPr>
            </w:pPr>
          </w:p>
        </w:tc>
        <w:tc>
          <w:tcPr>
            <w:tcW w:w="1220" w:type="dxa"/>
            <w:vAlign w:val="bottom"/>
            <w:tcBorders>
              <w:bottom w:val="single" w:sz="8" w:color="231F20"/>
            </w:tcBorders>
            <w:gridSpan w:val="4"/>
          </w:tcPr>
          <w:p>
            <w:pPr>
              <w:jc w:val="center"/>
              <w:spacing w:after="0" w:line="228" w:lineRule="exact"/>
              <w:rPr>
                <w:sz w:val="20"/>
                <w:szCs w:val="20"/>
                <w:color w:val="auto"/>
              </w:rPr>
            </w:pPr>
            <w:r>
              <w:rPr>
                <w:rFonts w:ascii="Arial" w:cs="Arial" w:eastAsia="Arial" w:hAnsi="Arial"/>
                <w:sz w:val="20"/>
                <w:szCs w:val="20"/>
                <w:b w:val="1"/>
                <w:bCs w:val="1"/>
                <w:color w:val="231F20"/>
                <w:w w:val="99"/>
              </w:rPr>
              <w:t>Management</w:t>
            </w:r>
          </w:p>
        </w:tc>
        <w:tc>
          <w:tcPr>
            <w:tcW w:w="200" w:type="dxa"/>
            <w:vAlign w:val="bottom"/>
          </w:tcPr>
          <w:p>
            <w:pPr>
              <w:spacing w:after="0"/>
              <w:rPr>
                <w:sz w:val="21"/>
                <w:szCs w:val="21"/>
                <w:color w:val="auto"/>
              </w:rPr>
            </w:pPr>
          </w:p>
        </w:tc>
        <w:tc>
          <w:tcPr>
            <w:tcW w:w="1260" w:type="dxa"/>
            <w:vAlign w:val="bottom"/>
            <w:tcBorders>
              <w:bottom w:val="single" w:sz="8" w:color="231F20"/>
            </w:tcBorders>
            <w:gridSpan w:val="2"/>
          </w:tcPr>
          <w:p>
            <w:pPr>
              <w:jc w:val="center"/>
              <w:spacing w:after="0" w:line="228" w:lineRule="exact"/>
              <w:rPr>
                <w:sz w:val="20"/>
                <w:szCs w:val="20"/>
                <w:color w:val="auto"/>
              </w:rPr>
            </w:pPr>
            <w:r>
              <w:rPr>
                <w:rFonts w:ascii="Arial" w:cs="Arial" w:eastAsia="Arial" w:hAnsi="Arial"/>
                <w:sz w:val="20"/>
                <w:szCs w:val="20"/>
                <w:b w:val="1"/>
                <w:bCs w:val="1"/>
                <w:color w:val="231F20"/>
                <w:w w:val="98"/>
              </w:rPr>
              <w:t>Segments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231F20"/>
            </w:tcBorders>
            <w:gridSpan w:val="2"/>
          </w:tcPr>
          <w:p>
            <w:pPr>
              <w:jc w:val="right"/>
              <w:spacing w:after="0" w:line="228" w:lineRule="exact"/>
              <w:rPr>
                <w:sz w:val="20"/>
                <w:szCs w:val="20"/>
                <w:color w:val="auto"/>
              </w:rPr>
            </w:pPr>
            <w:r>
              <w:rPr>
                <w:rFonts w:ascii="Arial" w:cs="Arial" w:eastAsia="Arial" w:hAnsi="Arial"/>
                <w:sz w:val="20"/>
                <w:szCs w:val="20"/>
                <w:b w:val="1"/>
                <w:bCs w:val="1"/>
                <w:color w:val="231F20"/>
                <w:w w:val="98"/>
              </w:rPr>
              <w:t>Elimination</w:t>
            </w:r>
          </w:p>
        </w:tc>
        <w:tc>
          <w:tcPr>
            <w:tcW w:w="20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300"/>
              <w:spacing w:after="0" w:line="228" w:lineRule="exact"/>
              <w:rPr>
                <w:sz w:val="20"/>
                <w:szCs w:val="20"/>
                <w:color w:val="auto"/>
              </w:rPr>
            </w:pPr>
            <w:r>
              <w:rPr>
                <w:rFonts w:ascii="Arial" w:cs="Arial" w:eastAsia="Arial" w:hAnsi="Arial"/>
                <w:sz w:val="20"/>
                <w:szCs w:val="20"/>
                <w:b w:val="1"/>
                <w:bCs w:val="1"/>
                <w:color w:val="231F20"/>
              </w:rPr>
              <w:t>Total</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6"/>
                <w:szCs w:val="16"/>
                <w:color w:val="231F20"/>
              </w:rPr>
              <w:t>(in millions)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line="217" w:lineRule="exact"/>
              <w:rPr>
                <w:sz w:val="20"/>
                <w:szCs w:val="20"/>
                <w:color w:val="auto"/>
              </w:rPr>
            </w:pPr>
            <w:r>
              <w:rPr>
                <w:rFonts w:ascii="Arial" w:cs="Arial" w:eastAsia="Arial" w:hAnsi="Arial"/>
                <w:sz w:val="20"/>
                <w:szCs w:val="20"/>
                <w:color w:val="231F20"/>
              </w:rPr>
              <w:t>Oil, natural gas and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line="216" w:lineRule="exact"/>
              <w:rPr>
                <w:sz w:val="20"/>
                <w:szCs w:val="20"/>
                <w:color w:val="auto"/>
              </w:rPr>
            </w:pPr>
            <w:r>
              <w:rPr>
                <w:rFonts w:ascii="Arial" w:cs="Arial" w:eastAsia="Arial" w:hAnsi="Arial"/>
                <w:sz w:val="20"/>
                <w:szCs w:val="20"/>
                <w:color w:val="231F20"/>
              </w:rPr>
              <w:t>natural gas liquids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line="216" w:lineRule="exact"/>
              <w:rPr>
                <w:sz w:val="20"/>
                <w:szCs w:val="20"/>
                <w:color w:val="auto"/>
              </w:rPr>
            </w:pPr>
            <w:r>
              <w:rPr>
                <w:rFonts w:ascii="Arial" w:cs="Arial" w:eastAsia="Arial" w:hAnsi="Arial"/>
                <w:sz w:val="20"/>
                <w:szCs w:val="20"/>
                <w:color w:val="231F20"/>
              </w:rPr>
              <w:t>sales  . . . . . . . . . . . . . .</w:t>
            </w:r>
          </w:p>
        </w:tc>
        <w:tc>
          <w:tcPr>
            <w:tcW w:w="220" w:type="dxa"/>
            <w:vAlign w:val="bottom"/>
          </w:tcPr>
          <w:p>
            <w:pPr>
              <w:ind w:left="40"/>
              <w:spacing w:after="0" w:line="216" w:lineRule="exact"/>
              <w:rPr>
                <w:sz w:val="20"/>
                <w:szCs w:val="20"/>
                <w:color w:val="auto"/>
              </w:rPr>
            </w:pPr>
            <w:r>
              <w:rPr>
                <w:rFonts w:ascii="Arial" w:cs="Arial" w:eastAsia="Arial" w:hAnsi="Arial"/>
                <w:sz w:val="20"/>
                <w:szCs w:val="20"/>
                <w:color w:val="231F20"/>
              </w:rPr>
              <w:t>$</w:t>
            </w:r>
          </w:p>
        </w:tc>
        <w:tc>
          <w:tcPr>
            <w:tcW w:w="124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231F20"/>
              </w:rPr>
              <w:t>2,565</w:t>
            </w:r>
          </w:p>
        </w:tc>
        <w:tc>
          <w:tcPr>
            <w:tcW w:w="40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231F20"/>
              </w:rPr>
              <w:t>$</w:t>
            </w:r>
          </w:p>
        </w:tc>
        <w:tc>
          <w:tcPr>
            <w:tcW w:w="1020" w:type="dxa"/>
            <w:vAlign w:val="bottom"/>
            <w:gridSpan w:val="3"/>
          </w:tcPr>
          <w:p>
            <w:pPr>
              <w:ind w:left="480"/>
              <w:spacing w:after="0" w:line="216" w:lineRule="exact"/>
              <w:rPr>
                <w:sz w:val="20"/>
                <w:szCs w:val="20"/>
                <w:color w:val="auto"/>
              </w:rPr>
            </w:pPr>
            <w:r>
              <w:rPr>
                <w:rFonts w:ascii="Arial" w:cs="Arial" w:eastAsia="Arial" w:hAnsi="Arial"/>
                <w:sz w:val="20"/>
                <w:szCs w:val="20"/>
                <w:color w:val="231F20"/>
              </w:rPr>
              <w:t>—</w:t>
            </w:r>
          </w:p>
        </w:tc>
        <w:tc>
          <w:tcPr>
            <w:tcW w:w="280" w:type="dxa"/>
            <w:vAlign w:val="bottom"/>
          </w:tcPr>
          <w:p>
            <w:pPr>
              <w:jc w:val="right"/>
              <w:ind w:right="25"/>
              <w:spacing w:after="0" w:line="216" w:lineRule="exact"/>
              <w:rPr>
                <w:sz w:val="20"/>
                <w:szCs w:val="20"/>
                <w:color w:val="auto"/>
              </w:rPr>
            </w:pPr>
            <w:r>
              <w:rPr>
                <w:rFonts w:ascii="Arial" w:cs="Arial" w:eastAsia="Arial" w:hAnsi="Arial"/>
                <w:sz w:val="20"/>
                <w:szCs w:val="20"/>
                <w:color w:val="231F20"/>
              </w:rPr>
              <w:t>$</w:t>
            </w:r>
          </w:p>
        </w:tc>
        <w:tc>
          <w:tcPr>
            <w:tcW w:w="108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231F20"/>
              </w:rPr>
              <w:t>2,565</w:t>
            </w:r>
          </w:p>
        </w:tc>
        <w:tc>
          <w:tcPr>
            <w:tcW w:w="740" w:type="dxa"/>
            <w:vAlign w:val="bottom"/>
            <w:gridSpan w:val="2"/>
          </w:tcPr>
          <w:p>
            <w:pPr>
              <w:jc w:val="right"/>
              <w:ind w:right="360"/>
              <w:spacing w:after="0" w:line="216" w:lineRule="exact"/>
              <w:rPr>
                <w:sz w:val="20"/>
                <w:szCs w:val="20"/>
                <w:color w:val="auto"/>
              </w:rPr>
            </w:pPr>
            <w:r>
              <w:rPr>
                <w:rFonts w:ascii="Arial" w:cs="Arial" w:eastAsia="Arial" w:hAnsi="Arial"/>
                <w:sz w:val="20"/>
                <w:szCs w:val="20"/>
                <w:color w:val="231F20"/>
              </w:rPr>
              <w:t>$</w:t>
            </w:r>
          </w:p>
        </w:tc>
        <w:tc>
          <w:tcPr>
            <w:tcW w:w="64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231F20"/>
              </w:rPr>
              <w:t>(28)</w:t>
            </w:r>
          </w:p>
        </w:tc>
        <w:tc>
          <w:tcPr>
            <w:tcW w:w="280" w:type="dxa"/>
            <w:vAlign w:val="bottom"/>
          </w:tcPr>
          <w:p>
            <w:pPr>
              <w:jc w:val="right"/>
              <w:ind w:right="20"/>
              <w:spacing w:after="0" w:line="216" w:lineRule="exact"/>
              <w:rPr>
                <w:sz w:val="20"/>
                <w:szCs w:val="20"/>
                <w:color w:val="auto"/>
              </w:rPr>
            </w:pPr>
            <w:r>
              <w:rPr>
                <w:rFonts w:ascii="Arial" w:cs="Arial" w:eastAsia="Arial" w:hAnsi="Arial"/>
                <w:sz w:val="20"/>
                <w:szCs w:val="20"/>
                <w:color w:val="231F20"/>
              </w:rPr>
              <w:t>$</w:t>
            </w:r>
          </w:p>
        </w:tc>
        <w:tc>
          <w:tcPr>
            <w:tcW w:w="980" w:type="dxa"/>
            <w:vAlign w:val="bottom"/>
          </w:tcPr>
          <w:p>
            <w:pPr>
              <w:jc w:val="right"/>
              <w:spacing w:after="0" w:line="216" w:lineRule="exact"/>
              <w:rPr>
                <w:sz w:val="20"/>
                <w:szCs w:val="20"/>
                <w:color w:val="auto"/>
              </w:rPr>
            </w:pPr>
            <w:r>
              <w:rPr>
                <w:rFonts w:ascii="Arial" w:cs="Arial" w:eastAsia="Arial" w:hAnsi="Arial"/>
                <w:sz w:val="20"/>
                <w:szCs w:val="20"/>
                <w:color w:val="231F20"/>
              </w:rPr>
              <w:t>2,537</w:t>
            </w:r>
          </w:p>
        </w:tc>
        <w:tc>
          <w:tcPr>
            <w:tcW w:w="0" w:type="dxa"/>
            <w:vAlign w:val="bottom"/>
          </w:tcPr>
          <w:p>
            <w:pPr>
              <w:spacing w:after="0"/>
              <w:rPr>
                <w:sz w:val="1"/>
                <w:szCs w:val="1"/>
                <w:color w:val="auto"/>
              </w:rPr>
            </w:pPr>
          </w:p>
        </w:tc>
      </w:tr>
      <w:tr>
        <w:trPr>
          <w:trHeight w:val="223"/>
        </w:trPr>
        <w:tc>
          <w:tcPr>
            <w:tcW w:w="2240" w:type="dxa"/>
            <w:vAlign w:val="bottom"/>
          </w:tcPr>
          <w:p>
            <w:pPr>
              <w:spacing w:after="0" w:line="223" w:lineRule="exact"/>
              <w:rPr>
                <w:sz w:val="20"/>
                <w:szCs w:val="20"/>
                <w:color w:val="auto"/>
              </w:rPr>
            </w:pPr>
            <w:r>
              <w:rPr>
                <w:rFonts w:ascii="Arial" w:cs="Arial" w:eastAsia="Arial" w:hAnsi="Arial"/>
                <w:sz w:val="20"/>
                <w:szCs w:val="20"/>
                <w:color w:val="231F20"/>
              </w:rPr>
              <w:t>Other revenue . . . . . . .</w:t>
            </w:r>
          </w:p>
        </w:tc>
        <w:tc>
          <w:tcPr>
            <w:tcW w:w="220" w:type="dxa"/>
            <w:vAlign w:val="bottom"/>
          </w:tcPr>
          <w:p>
            <w:pPr>
              <w:spacing w:after="0"/>
              <w:rPr>
                <w:sz w:val="19"/>
                <w:szCs w:val="19"/>
                <w:color w:val="auto"/>
              </w:rPr>
            </w:pPr>
          </w:p>
        </w:tc>
        <w:tc>
          <w:tcPr>
            <w:tcW w:w="1240" w:type="dxa"/>
            <w:vAlign w:val="bottom"/>
            <w:gridSpan w:val="2"/>
          </w:tcPr>
          <w:p>
            <w:pPr>
              <w:jc w:val="right"/>
              <w:ind w:right="200"/>
              <w:spacing w:after="0" w:line="223" w:lineRule="exact"/>
              <w:rPr>
                <w:sz w:val="20"/>
                <w:szCs w:val="20"/>
                <w:color w:val="auto"/>
              </w:rPr>
            </w:pPr>
            <w:r>
              <w:rPr>
                <w:rFonts w:ascii="Arial" w:cs="Arial" w:eastAsia="Arial" w:hAnsi="Arial"/>
                <w:sz w:val="20"/>
                <w:szCs w:val="20"/>
                <w:color w:val="231F20"/>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ind w:left="480"/>
              <w:spacing w:after="0" w:line="223" w:lineRule="exact"/>
              <w:rPr>
                <w:sz w:val="20"/>
                <w:szCs w:val="20"/>
                <w:color w:val="auto"/>
              </w:rPr>
            </w:pPr>
            <w:r>
              <w:rPr>
                <w:rFonts w:ascii="Arial" w:cs="Arial" w:eastAsia="Arial" w:hAnsi="Arial"/>
                <w:sz w:val="20"/>
                <w:szCs w:val="20"/>
                <w:color w:val="231F20"/>
              </w:rPr>
              <w:t>—</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231F20"/>
              </w:rPr>
              <w:t>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gridSpan w:val="2"/>
          </w:tcPr>
          <w:p>
            <w:pPr>
              <w:jc w:val="right"/>
              <w:ind w:right="220"/>
              <w:spacing w:after="0" w:line="223" w:lineRule="exact"/>
              <w:rPr>
                <w:sz w:val="20"/>
                <w:szCs w:val="20"/>
                <w:color w:val="auto"/>
              </w:rPr>
            </w:pPr>
            <w:r>
              <w:rPr>
                <w:rFonts w:ascii="Arial" w:cs="Arial" w:eastAsia="Arial" w:hAnsi="Arial"/>
                <w:sz w:val="20"/>
                <w:szCs w:val="20"/>
                <w:color w:val="231F20"/>
              </w:rPr>
              <w:t>—</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Arial" w:cs="Arial" w:eastAsia="Arial" w:hAnsi="Arial"/>
                <w:sz w:val="20"/>
                <w:szCs w:val="20"/>
                <w:color w:val="231F20"/>
              </w:rPr>
              <w:t>7</w:t>
            </w:r>
          </w:p>
        </w:tc>
        <w:tc>
          <w:tcPr>
            <w:tcW w:w="0" w:type="dxa"/>
            <w:vAlign w:val="bottom"/>
          </w:tcPr>
          <w:p>
            <w:pPr>
              <w:spacing w:after="0"/>
              <w:rPr>
                <w:sz w:val="1"/>
                <w:szCs w:val="1"/>
                <w:color w:val="auto"/>
              </w:rPr>
            </w:pPr>
          </w:p>
        </w:tc>
      </w:tr>
      <w:tr>
        <w:trPr>
          <w:trHeight w:val="30"/>
        </w:trPr>
        <w:tc>
          <w:tcPr>
            <w:tcW w:w="2240" w:type="dxa"/>
            <w:vAlign w:val="bottom"/>
            <w:vMerge w:val="restart"/>
          </w:tcPr>
          <w:p>
            <w:pPr>
              <w:spacing w:after="0"/>
              <w:rPr>
                <w:sz w:val="20"/>
                <w:szCs w:val="20"/>
                <w:color w:val="auto"/>
              </w:rPr>
            </w:pPr>
            <w:r>
              <w:rPr>
                <w:rFonts w:ascii="Arial" w:cs="Arial" w:eastAsia="Arial" w:hAnsi="Arial"/>
                <w:sz w:val="20"/>
                <w:szCs w:val="20"/>
                <w:color w:val="231F20"/>
              </w:rPr>
              <w:t>Segment operating</w:t>
            </w:r>
          </w:p>
        </w:tc>
        <w:tc>
          <w:tcPr>
            <w:tcW w:w="2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line="223" w:lineRule="exact"/>
              <w:rPr>
                <w:sz w:val="20"/>
                <w:szCs w:val="20"/>
                <w:color w:val="auto"/>
              </w:rPr>
            </w:pPr>
            <w:r>
              <w:rPr>
                <w:rFonts w:ascii="Arial" w:cs="Arial" w:eastAsia="Arial" w:hAnsi="Arial"/>
                <w:sz w:val="20"/>
                <w:szCs w:val="20"/>
                <w:color w:val="231F20"/>
              </w:rPr>
              <w:t>revenues . . . . . . . . . . .</w:t>
            </w:r>
          </w:p>
        </w:tc>
        <w:tc>
          <w:tcPr>
            <w:tcW w:w="220" w:type="dxa"/>
            <w:vAlign w:val="bottom"/>
          </w:tcPr>
          <w:p>
            <w:pPr>
              <w:spacing w:after="0"/>
              <w:rPr>
                <w:sz w:val="19"/>
                <w:szCs w:val="19"/>
                <w:color w:val="auto"/>
              </w:rPr>
            </w:pPr>
          </w:p>
        </w:tc>
        <w:tc>
          <w:tcPr>
            <w:tcW w:w="1240" w:type="dxa"/>
            <w:vAlign w:val="bottom"/>
            <w:gridSpan w:val="2"/>
          </w:tcPr>
          <w:p>
            <w:pPr>
              <w:jc w:val="right"/>
              <w:ind w:right="200"/>
              <w:spacing w:after="0" w:line="223" w:lineRule="exact"/>
              <w:rPr>
                <w:sz w:val="20"/>
                <w:szCs w:val="20"/>
                <w:color w:val="auto"/>
              </w:rPr>
            </w:pPr>
            <w:r>
              <w:rPr>
                <w:rFonts w:ascii="Arial" w:cs="Arial" w:eastAsia="Arial" w:hAnsi="Arial"/>
                <w:sz w:val="20"/>
                <w:szCs w:val="20"/>
                <w:color w:val="231F20"/>
              </w:rPr>
              <w:t>2,572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ind w:left="480"/>
              <w:spacing w:after="0" w:line="223" w:lineRule="exact"/>
              <w:rPr>
                <w:sz w:val="20"/>
                <w:szCs w:val="20"/>
                <w:color w:val="auto"/>
              </w:rPr>
            </w:pPr>
            <w:r>
              <w:rPr>
                <w:rFonts w:ascii="Arial" w:cs="Arial" w:eastAsia="Arial" w:hAnsi="Arial"/>
                <w:sz w:val="20"/>
                <w:szCs w:val="20"/>
                <w:color w:val="231F20"/>
              </w:rPr>
              <w:t>—</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231F20"/>
              </w:rPr>
              <w:t>2,572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240" w:type="dxa"/>
            <w:vAlign w:val="bottom"/>
            <w:vMerge w:val="restart"/>
          </w:tcPr>
          <w:p>
            <w:pPr>
              <w:spacing w:after="0"/>
              <w:rPr>
                <w:sz w:val="20"/>
                <w:szCs w:val="20"/>
                <w:color w:val="auto"/>
              </w:rPr>
            </w:pPr>
            <w:r>
              <w:rPr>
                <w:rFonts w:ascii="Arial" w:cs="Arial" w:eastAsia="Arial" w:hAnsi="Arial"/>
                <w:sz w:val="20"/>
                <w:szCs w:val="20"/>
                <w:color w:val="231F20"/>
              </w:rPr>
              <w:t>Other revenues and</w:t>
            </w:r>
          </w:p>
        </w:tc>
        <w:tc>
          <w:tcPr>
            <w:tcW w:w="2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line="253" w:lineRule="exact"/>
              <w:rPr>
                <w:sz w:val="20"/>
                <w:szCs w:val="20"/>
                <w:color w:val="auto"/>
              </w:rPr>
            </w:pPr>
            <w:r>
              <w:rPr>
                <w:rFonts w:ascii="Arial" w:cs="Arial" w:eastAsia="Arial" w:hAnsi="Arial"/>
                <w:sz w:val="20"/>
                <w:szCs w:val="20"/>
                <w:color w:val="231F20"/>
              </w:rPr>
              <w:t>income</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jc w:val="right"/>
              <w:spacing w:after="0" w:line="226" w:lineRule="exact"/>
              <w:rPr>
                <w:sz w:val="20"/>
                <w:szCs w:val="20"/>
                <w:color w:val="auto"/>
              </w:rPr>
            </w:pPr>
            <w:r>
              <w:rPr>
                <w:rFonts w:ascii="Arial" w:cs="Arial" w:eastAsia="Arial" w:hAnsi="Arial"/>
                <w:sz w:val="20"/>
                <w:szCs w:val="20"/>
                <w:color w:val="231F20"/>
              </w:rPr>
              <w:t>654</w:t>
            </w:r>
          </w:p>
        </w:tc>
        <w:tc>
          <w:tcPr>
            <w:tcW w:w="20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line="226" w:lineRule="exact"/>
              <w:rPr>
                <w:sz w:val="20"/>
                <w:szCs w:val="20"/>
                <w:color w:val="auto"/>
              </w:rPr>
            </w:pPr>
            <w:r>
              <w:rPr>
                <w:rFonts w:ascii="Arial" w:cs="Arial" w:eastAsia="Arial" w:hAnsi="Arial"/>
                <w:sz w:val="20"/>
                <w:szCs w:val="20"/>
                <w:color w:val="231F20"/>
              </w:rPr>
              <w:t>654</w:t>
            </w:r>
          </w:p>
        </w:tc>
        <w:tc>
          <w:tcPr>
            <w:tcW w:w="0" w:type="dxa"/>
            <w:vAlign w:val="bottom"/>
          </w:tcPr>
          <w:p>
            <w:pPr>
              <w:spacing w:after="0"/>
              <w:rPr>
                <w:sz w:val="1"/>
                <w:szCs w:val="1"/>
                <w:color w:val="auto"/>
              </w:rPr>
            </w:pPr>
          </w:p>
        </w:tc>
      </w:tr>
      <w:tr>
        <w:trPr>
          <w:trHeight w:val="239"/>
        </w:trPr>
        <w:tc>
          <w:tcPr>
            <w:tcW w:w="2240" w:type="dxa"/>
            <w:vAlign w:val="bottom"/>
          </w:tcPr>
          <w:p>
            <w:pPr>
              <w:ind w:left="400"/>
              <w:spacing w:after="0"/>
              <w:rPr>
                <w:sz w:val="20"/>
                <w:szCs w:val="20"/>
                <w:color w:val="auto"/>
              </w:rPr>
            </w:pPr>
            <w:r>
              <w:rPr>
                <w:rFonts w:ascii="Arial" w:cs="Arial" w:eastAsia="Arial" w:hAnsi="Arial"/>
                <w:sz w:val="20"/>
                <w:szCs w:val="20"/>
                <w:color w:val="231F20"/>
              </w:rPr>
              <w:t>Total operating</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400"/>
              <w:spacing w:after="0" w:line="223" w:lineRule="exact"/>
              <w:rPr>
                <w:sz w:val="20"/>
                <w:szCs w:val="20"/>
                <w:color w:val="auto"/>
              </w:rPr>
            </w:pPr>
            <w:r>
              <w:rPr>
                <w:rFonts w:ascii="Arial" w:cs="Arial" w:eastAsia="Arial" w:hAnsi="Arial"/>
                <w:sz w:val="20"/>
                <w:szCs w:val="20"/>
                <w:color w:val="231F20"/>
              </w:rPr>
              <w:t>revenue  . . . . . . . .</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60"/>
              <w:spacing w:after="0" w:line="223" w:lineRule="exact"/>
              <w:rPr>
                <w:sz w:val="20"/>
                <w:szCs w:val="20"/>
                <w:color w:val="auto"/>
              </w:rPr>
            </w:pPr>
            <w:r>
              <w:rPr>
                <w:rFonts w:ascii="Arial" w:cs="Arial" w:eastAsia="Arial" w:hAnsi="Arial"/>
                <w:sz w:val="20"/>
                <w:szCs w:val="20"/>
                <w:color w:val="231F20"/>
                <w:w w:val="89"/>
              </w:rPr>
              <w:t>$</w:t>
            </w:r>
          </w:p>
        </w:tc>
        <w:tc>
          <w:tcPr>
            <w:tcW w:w="980" w:type="dxa"/>
            <w:vAlign w:val="bottom"/>
          </w:tcPr>
          <w:p>
            <w:pPr>
              <w:jc w:val="right"/>
              <w:spacing w:after="0" w:line="223" w:lineRule="exact"/>
              <w:rPr>
                <w:sz w:val="20"/>
                <w:szCs w:val="20"/>
                <w:color w:val="auto"/>
              </w:rPr>
            </w:pPr>
            <w:r>
              <w:rPr>
                <w:rFonts w:ascii="Arial" w:cs="Arial" w:eastAsia="Arial" w:hAnsi="Arial"/>
                <w:sz w:val="20"/>
                <w:szCs w:val="20"/>
                <w:color w:val="231F20"/>
              </w:rPr>
              <w:t>3,198</w:t>
            </w:r>
          </w:p>
        </w:tc>
        <w:tc>
          <w:tcPr>
            <w:tcW w:w="0" w:type="dxa"/>
            <w:vAlign w:val="bottom"/>
          </w:tcPr>
          <w:p>
            <w:pPr>
              <w:spacing w:after="0"/>
              <w:rPr>
                <w:sz w:val="1"/>
                <w:szCs w:val="1"/>
                <w:color w:val="auto"/>
              </w:rPr>
            </w:pPr>
          </w:p>
        </w:tc>
      </w:tr>
      <w:tr>
        <w:trPr>
          <w:trHeight w:val="30"/>
        </w:trPr>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0" w:right="780" w:hanging="320"/>
        <w:spacing w:after="0" w:line="253" w:lineRule="auto"/>
        <w:tabs>
          <w:tab w:leader="none" w:pos="400" w:val="left"/>
        </w:tabs>
        <w:numPr>
          <w:ilvl w:val="0"/>
          <w:numId w:val="80"/>
        </w:numPr>
        <w:rPr>
          <w:rFonts w:ascii="Arial" w:cs="Arial" w:eastAsia="Arial" w:hAnsi="Arial"/>
          <w:sz w:val="16"/>
          <w:szCs w:val="16"/>
          <w:color w:val="231F20"/>
        </w:rPr>
      </w:pPr>
      <w:r>
        <w:rPr>
          <w:rFonts w:ascii="Arial" w:cs="Arial" w:eastAsia="Arial" w:hAnsi="Arial"/>
          <w:sz w:val="16"/>
          <w:szCs w:val="16"/>
          <w:color w:val="231F20"/>
        </w:rPr>
        <w:t>Other revenues and income includes net gain from commodity derivatives, revenue from marketing of purchased commodities, electricity sales and unallocated interest and other revenue.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20" w:type="dxa"/>
            <w:vAlign w:val="bottom"/>
            <w:gridSpan w:val="9"/>
          </w:tcPr>
          <w:p>
            <w:pPr>
              <w:jc w:val="right"/>
              <w:ind w:right="1040"/>
              <w:spacing w:after="0"/>
              <w:rPr>
                <w:sz w:val="20"/>
                <w:szCs w:val="20"/>
                <w:color w:val="auto"/>
              </w:rPr>
            </w:pPr>
            <w:r>
              <w:rPr>
                <w:rFonts w:ascii="Arial" w:cs="Arial" w:eastAsia="Arial" w:hAnsi="Arial"/>
                <w:sz w:val="16"/>
                <w:szCs w:val="16"/>
                <w:b w:val="1"/>
                <w:bCs w:val="1"/>
                <w:color w:val="231F20"/>
              </w:rPr>
              <w:t>Year ended December 31, 2024</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02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5"/>
              <w:spacing w:after="0" w:line="171" w:lineRule="exact"/>
              <w:rPr>
                <w:sz w:val="20"/>
                <w:szCs w:val="20"/>
                <w:color w:val="auto"/>
              </w:rPr>
            </w:pPr>
            <w:r>
              <w:rPr>
                <w:rFonts w:ascii="Arial" w:cs="Arial" w:eastAsia="Arial" w:hAnsi="Arial"/>
                <w:sz w:val="16"/>
                <w:szCs w:val="16"/>
                <w:b w:val="1"/>
                <w:bCs w:val="1"/>
                <w:color w:val="231F20"/>
                <w:w w:val="99"/>
              </w:rPr>
              <w:t>Total</w:t>
            </w:r>
          </w:p>
        </w:tc>
        <w:tc>
          <w:tcPr>
            <w:tcW w:w="1740" w:type="dxa"/>
            <w:vAlign w:val="bottom"/>
            <w:gridSpan w:val="4"/>
          </w:tcPr>
          <w:p>
            <w:pPr>
              <w:jc w:val="center"/>
              <w:ind w:right="240"/>
              <w:spacing w:after="0" w:line="171" w:lineRule="exact"/>
              <w:rPr>
                <w:sz w:val="20"/>
                <w:szCs w:val="20"/>
                <w:color w:val="auto"/>
              </w:rPr>
            </w:pPr>
            <w:r>
              <w:rPr>
                <w:rFonts w:ascii="Arial" w:cs="Arial" w:eastAsia="Arial" w:hAnsi="Arial"/>
                <w:sz w:val="16"/>
                <w:szCs w:val="16"/>
                <w:b w:val="1"/>
                <w:bCs w:val="1"/>
                <w:color w:val="231F20"/>
              </w:rPr>
              <w:t>Reconciliation</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82"/>
              <w:spacing w:after="0" w:line="160" w:lineRule="exact"/>
              <w:rPr>
                <w:sz w:val="20"/>
                <w:szCs w:val="20"/>
                <w:color w:val="auto"/>
              </w:rPr>
            </w:pPr>
            <w:r>
              <w:rPr>
                <w:rFonts w:ascii="Arial" w:cs="Arial" w:eastAsia="Arial" w:hAnsi="Arial"/>
                <w:sz w:val="16"/>
                <w:szCs w:val="16"/>
                <w:b w:val="1"/>
                <w:bCs w:val="1"/>
                <w:color w:val="231F20"/>
              </w:rPr>
              <w:t>Oil and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center"/>
              <w:ind w:right="140"/>
              <w:spacing w:after="0" w:line="160" w:lineRule="exact"/>
              <w:rPr>
                <w:sz w:val="20"/>
                <w:szCs w:val="20"/>
                <w:color w:val="auto"/>
              </w:rPr>
            </w:pPr>
            <w:r>
              <w:rPr>
                <w:rFonts w:ascii="Arial" w:cs="Arial" w:eastAsia="Arial" w:hAnsi="Arial"/>
                <w:sz w:val="16"/>
                <w:szCs w:val="16"/>
                <w:b w:val="1"/>
                <w:bCs w:val="1"/>
                <w:color w:val="231F20"/>
                <w:w w:val="99"/>
              </w:rPr>
              <w:t>Carbon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5"/>
              <w:spacing w:after="0" w:line="160" w:lineRule="exact"/>
              <w:rPr>
                <w:sz w:val="20"/>
                <w:szCs w:val="20"/>
                <w:color w:val="auto"/>
              </w:rPr>
            </w:pPr>
            <w:r>
              <w:rPr>
                <w:rFonts w:ascii="Arial" w:cs="Arial" w:eastAsia="Arial" w:hAnsi="Arial"/>
                <w:sz w:val="16"/>
                <w:szCs w:val="16"/>
                <w:b w:val="1"/>
                <w:bCs w:val="1"/>
                <w:color w:val="231F20"/>
                <w:w w:val="98"/>
              </w:rPr>
              <w:t>Reportable</w:t>
            </w:r>
          </w:p>
        </w:tc>
        <w:tc>
          <w:tcPr>
            <w:tcW w:w="200" w:type="dxa"/>
            <w:vAlign w:val="bottom"/>
          </w:tcPr>
          <w:p>
            <w:pPr>
              <w:spacing w:after="0"/>
              <w:rPr>
                <w:sz w:val="13"/>
                <w:szCs w:val="13"/>
                <w:color w:val="auto"/>
              </w:rPr>
            </w:pPr>
          </w:p>
        </w:tc>
        <w:tc>
          <w:tcPr>
            <w:tcW w:w="1540" w:type="dxa"/>
            <w:vAlign w:val="bottom"/>
            <w:gridSpan w:val="3"/>
          </w:tcPr>
          <w:p>
            <w:pPr>
              <w:jc w:val="center"/>
              <w:ind w:right="380"/>
              <w:spacing w:after="0" w:line="160" w:lineRule="exact"/>
              <w:rPr>
                <w:sz w:val="20"/>
                <w:szCs w:val="20"/>
                <w:color w:val="auto"/>
              </w:rPr>
            </w:pPr>
            <w:r>
              <w:rPr>
                <w:rFonts w:ascii="Arial" w:cs="Arial" w:eastAsia="Arial" w:hAnsi="Arial"/>
                <w:sz w:val="16"/>
                <w:szCs w:val="16"/>
                <w:b w:val="1"/>
                <w:bCs w:val="1"/>
                <w:color w:val="231F20"/>
              </w:rPr>
              <w:t>(Income)/</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020" w:type="dxa"/>
            <w:vAlign w:val="bottom"/>
          </w:tcPr>
          <w:p>
            <w:pPr>
              <w:spacing w:after="0"/>
              <w:rPr>
                <w:sz w:val="15"/>
                <w:szCs w:val="15"/>
                <w:color w:val="auto"/>
              </w:rPr>
            </w:pPr>
          </w:p>
        </w:tc>
        <w:tc>
          <w:tcPr>
            <w:tcW w:w="1080" w:type="dxa"/>
            <w:vAlign w:val="bottom"/>
            <w:gridSpan w:val="2"/>
          </w:tcPr>
          <w:p>
            <w:pPr>
              <w:jc w:val="right"/>
              <w:ind w:right="2"/>
              <w:spacing w:after="0" w:line="181" w:lineRule="exact"/>
              <w:rPr>
                <w:sz w:val="20"/>
                <w:szCs w:val="20"/>
                <w:color w:val="auto"/>
              </w:rPr>
            </w:pPr>
            <w:r>
              <w:rPr>
                <w:rFonts w:ascii="Arial" w:cs="Arial" w:eastAsia="Arial" w:hAnsi="Arial"/>
                <w:sz w:val="16"/>
                <w:szCs w:val="16"/>
                <w:b w:val="1"/>
                <w:bCs w:val="1"/>
                <w:color w:val="231F20"/>
              </w:rPr>
              <w:t>Natural Gas</w:t>
            </w:r>
          </w:p>
        </w:tc>
        <w:tc>
          <w:tcPr>
            <w:tcW w:w="1180" w:type="dxa"/>
            <w:vAlign w:val="bottom"/>
            <w:gridSpan w:val="5"/>
          </w:tcPr>
          <w:p>
            <w:pPr>
              <w:jc w:val="center"/>
              <w:ind w:left="107"/>
              <w:spacing w:after="0" w:line="181" w:lineRule="exact"/>
              <w:rPr>
                <w:sz w:val="20"/>
                <w:szCs w:val="20"/>
                <w:color w:val="auto"/>
              </w:rPr>
            </w:pPr>
            <w:r>
              <w:rPr>
                <w:rFonts w:ascii="Arial" w:cs="Arial" w:eastAsia="Arial" w:hAnsi="Arial"/>
                <w:sz w:val="16"/>
                <w:szCs w:val="16"/>
                <w:b w:val="1"/>
                <w:bCs w:val="1"/>
                <w:color w:val="231F20"/>
              </w:rPr>
              <w:t>Management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5"/>
              <w:spacing w:after="0" w:line="181" w:lineRule="exact"/>
              <w:rPr>
                <w:sz w:val="20"/>
                <w:szCs w:val="20"/>
                <w:color w:val="auto"/>
              </w:rPr>
            </w:pPr>
            <w:r>
              <w:rPr>
                <w:rFonts w:ascii="Arial" w:cs="Arial" w:eastAsia="Arial" w:hAnsi="Arial"/>
                <w:sz w:val="16"/>
                <w:szCs w:val="16"/>
                <w:b w:val="1"/>
                <w:bCs w:val="1"/>
                <w:color w:val="231F20"/>
              </w:rPr>
              <w:t>Segments</w:t>
            </w:r>
          </w:p>
        </w:tc>
        <w:tc>
          <w:tcPr>
            <w:tcW w:w="200" w:type="dxa"/>
            <w:vAlign w:val="bottom"/>
          </w:tcPr>
          <w:p>
            <w:pPr>
              <w:spacing w:after="0"/>
              <w:rPr>
                <w:sz w:val="15"/>
                <w:szCs w:val="15"/>
                <w:color w:val="auto"/>
              </w:rPr>
            </w:pPr>
          </w:p>
        </w:tc>
        <w:tc>
          <w:tcPr>
            <w:tcW w:w="1540" w:type="dxa"/>
            <w:vAlign w:val="bottom"/>
            <w:gridSpan w:val="3"/>
          </w:tcPr>
          <w:p>
            <w:pPr>
              <w:jc w:val="center"/>
              <w:ind w:right="440"/>
              <w:spacing w:after="0" w:line="181" w:lineRule="exact"/>
              <w:rPr>
                <w:sz w:val="20"/>
                <w:szCs w:val="20"/>
                <w:color w:val="auto"/>
              </w:rPr>
            </w:pPr>
            <w:r>
              <w:rPr>
                <w:rFonts w:ascii="Arial" w:cs="Arial" w:eastAsia="Arial" w:hAnsi="Arial"/>
                <w:sz w:val="16"/>
                <w:szCs w:val="16"/>
                <w:b w:val="1"/>
                <w:bCs w:val="1"/>
                <w:color w:val="231F20"/>
              </w:rPr>
              <w:t>Expense</w:t>
            </w:r>
          </w:p>
        </w:tc>
        <w:tc>
          <w:tcPr>
            <w:tcW w:w="840" w:type="dxa"/>
            <w:vAlign w:val="bottom"/>
          </w:tcPr>
          <w:p>
            <w:pPr>
              <w:jc w:val="right"/>
              <w:ind w:right="241"/>
              <w:spacing w:after="0" w:line="181" w:lineRule="exact"/>
              <w:rPr>
                <w:sz w:val="20"/>
                <w:szCs w:val="20"/>
                <w:color w:val="auto"/>
              </w:rPr>
            </w:pPr>
            <w:r>
              <w:rPr>
                <w:rFonts w:ascii="Arial" w:cs="Arial" w:eastAsia="Arial" w:hAnsi="Arial"/>
                <w:sz w:val="16"/>
                <w:szCs w:val="16"/>
                <w:b w:val="1"/>
                <w:bCs w:val="1"/>
                <w:color w:val="231F20"/>
              </w:rPr>
              <w:t>Total</w:t>
            </w:r>
          </w:p>
        </w:tc>
        <w:tc>
          <w:tcPr>
            <w:tcW w:w="0" w:type="dxa"/>
            <w:vAlign w:val="bottom"/>
          </w:tcPr>
          <w:p>
            <w:pPr>
              <w:spacing w:after="0"/>
              <w:rPr>
                <w:sz w:val="1"/>
                <w:szCs w:val="1"/>
                <w:color w:val="auto"/>
              </w:rPr>
            </w:pPr>
          </w:p>
        </w:tc>
      </w:tr>
      <w:tr>
        <w:trPr>
          <w:trHeight w:val="28"/>
        </w:trPr>
        <w:tc>
          <w:tcPr>
            <w:tcW w:w="302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31F20"/>
              </w:rPr>
              <w:t>(in millions)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20" w:type="dxa"/>
            <w:vAlign w:val="bottom"/>
          </w:tcPr>
          <w:p>
            <w:pPr>
              <w:spacing w:after="0" w:line="217" w:lineRule="exact"/>
              <w:rPr>
                <w:sz w:val="20"/>
                <w:szCs w:val="20"/>
                <w:color w:val="auto"/>
              </w:rPr>
            </w:pPr>
            <w:r>
              <w:rPr>
                <w:rFonts w:ascii="Arial" w:cs="Arial" w:eastAsia="Arial" w:hAnsi="Arial"/>
                <w:sz w:val="20"/>
                <w:szCs w:val="20"/>
                <w:color w:val="231F20"/>
              </w:rPr>
              <w:t>Segment operating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jc w:val="right"/>
              <w:ind w:right="100"/>
              <w:spacing w:after="0" w:line="216" w:lineRule="exact"/>
              <w:rPr>
                <w:sz w:val="20"/>
                <w:szCs w:val="20"/>
                <w:color w:val="auto"/>
              </w:rPr>
            </w:pPr>
            <w:r>
              <w:rPr>
                <w:rFonts w:ascii="Arial" w:cs="Arial" w:eastAsia="Arial" w:hAnsi="Arial"/>
                <w:sz w:val="20"/>
                <w:szCs w:val="20"/>
                <w:color w:val="231F20"/>
              </w:rPr>
              <w:t>revenues  . . . . . . . . . . . . . . . .</w:t>
            </w:r>
          </w:p>
        </w:tc>
        <w:tc>
          <w:tcPr>
            <w:tcW w:w="180" w:type="dxa"/>
            <w:vAlign w:val="bottom"/>
          </w:tcPr>
          <w:p>
            <w:pPr>
              <w:jc w:val="right"/>
              <w:spacing w:after="0" w:line="216" w:lineRule="exact"/>
              <w:rPr>
                <w:sz w:val="20"/>
                <w:szCs w:val="20"/>
                <w:color w:val="auto"/>
              </w:rPr>
            </w:pPr>
            <w:r>
              <w:rPr>
                <w:rFonts w:ascii="Arial" w:cs="Arial" w:eastAsia="Arial" w:hAnsi="Arial"/>
                <w:sz w:val="20"/>
                <w:szCs w:val="20"/>
                <w:color w:val="231F20"/>
                <w:w w:val="71"/>
              </w:rPr>
              <w:t>$</w:t>
            </w: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231F20"/>
              </w:rPr>
              <w:t>2,572</w:t>
            </w:r>
          </w:p>
        </w:tc>
        <w:tc>
          <w:tcPr>
            <w:tcW w:w="560" w:type="dxa"/>
            <w:vAlign w:val="bottom"/>
            <w:gridSpan w:val="3"/>
          </w:tcPr>
          <w:p>
            <w:pPr>
              <w:jc w:val="right"/>
              <w:ind w:right="40"/>
              <w:spacing w:after="0" w:line="216" w:lineRule="exact"/>
              <w:rPr>
                <w:sz w:val="20"/>
                <w:szCs w:val="20"/>
                <w:color w:val="auto"/>
              </w:rPr>
            </w:pPr>
            <w:r>
              <w:rPr>
                <w:rFonts w:ascii="Arial" w:cs="Arial" w:eastAsia="Arial" w:hAnsi="Arial"/>
                <w:sz w:val="20"/>
                <w:szCs w:val="20"/>
                <w:color w:val="231F20"/>
              </w:rPr>
              <w:t>$</w:t>
            </w:r>
          </w:p>
        </w:tc>
        <w:tc>
          <w:tcPr>
            <w:tcW w:w="620" w:type="dxa"/>
            <w:vAlign w:val="bottom"/>
            <w:gridSpan w:val="2"/>
          </w:tcPr>
          <w:p>
            <w:pPr>
              <w:ind w:left="280"/>
              <w:spacing w:after="0" w:line="216" w:lineRule="exact"/>
              <w:rPr>
                <w:sz w:val="20"/>
                <w:szCs w:val="20"/>
                <w:color w:val="auto"/>
              </w:rPr>
            </w:pPr>
            <w:r>
              <w:rPr>
                <w:rFonts w:ascii="Arial" w:cs="Arial" w:eastAsia="Arial" w:hAnsi="Arial"/>
                <w:sz w:val="20"/>
                <w:szCs w:val="20"/>
                <w:color w:val="231F20"/>
              </w:rPr>
              <w:t>—</w:t>
            </w:r>
          </w:p>
        </w:tc>
        <w:tc>
          <w:tcPr>
            <w:tcW w:w="300" w:type="dxa"/>
            <w:vAlign w:val="bottom"/>
            <w:gridSpan w:val="2"/>
          </w:tcPr>
          <w:p>
            <w:pPr>
              <w:jc w:val="right"/>
              <w:spacing w:after="0" w:line="216" w:lineRule="exact"/>
              <w:rPr>
                <w:sz w:val="20"/>
                <w:szCs w:val="20"/>
                <w:color w:val="auto"/>
              </w:rPr>
            </w:pPr>
            <w:r>
              <w:rPr>
                <w:rFonts w:ascii="Arial" w:cs="Arial" w:eastAsia="Arial" w:hAnsi="Arial"/>
                <w:sz w:val="20"/>
                <w:szCs w:val="20"/>
                <w:color w:val="231F20"/>
              </w:rPr>
              <w:t>$</w:t>
            </w: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231F20"/>
              </w:rPr>
              <w:t>2,572</w:t>
            </w:r>
          </w:p>
        </w:tc>
        <w:tc>
          <w:tcPr>
            <w:tcW w:w="1740" w:type="dxa"/>
            <w:vAlign w:val="bottom"/>
            <w:gridSpan w:val="4"/>
          </w:tcPr>
          <w:p>
            <w:pPr>
              <w:jc w:val="right"/>
              <w:ind w:right="120"/>
              <w:spacing w:after="0" w:line="216" w:lineRule="exact"/>
              <w:rPr>
                <w:sz w:val="20"/>
                <w:szCs w:val="20"/>
                <w:color w:val="auto"/>
              </w:rPr>
            </w:pPr>
            <w:r>
              <w:rPr>
                <w:rFonts w:ascii="Arial" w:cs="Arial" w:eastAsia="Arial" w:hAnsi="Arial"/>
                <w:sz w:val="20"/>
                <w:szCs w:val="20"/>
                <w:color w:val="231F20"/>
              </w:rPr>
              <w:t>$</w:t>
            </w: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2,572</w:t>
            </w:r>
          </w:p>
        </w:tc>
        <w:tc>
          <w:tcPr>
            <w:tcW w:w="0" w:type="dxa"/>
            <w:vAlign w:val="bottom"/>
          </w:tcPr>
          <w:p>
            <w:pPr>
              <w:spacing w:after="0"/>
              <w:rPr>
                <w:sz w:val="1"/>
                <w:szCs w:val="1"/>
                <w:color w:val="auto"/>
              </w:rPr>
            </w:pPr>
          </w:p>
        </w:tc>
      </w:tr>
      <w:tr>
        <w:trPr>
          <w:trHeight w:val="216"/>
        </w:trPr>
        <w:tc>
          <w:tcPr>
            <w:tcW w:w="3020" w:type="dxa"/>
            <w:vAlign w:val="bottom"/>
          </w:tcPr>
          <w:p>
            <w:pPr>
              <w:spacing w:after="0" w:line="216" w:lineRule="exact"/>
              <w:rPr>
                <w:sz w:val="20"/>
                <w:szCs w:val="20"/>
                <w:color w:val="auto"/>
              </w:rPr>
            </w:pPr>
            <w:r>
              <w:rPr>
                <w:rFonts w:ascii="Arial" w:cs="Arial" w:eastAsia="Arial" w:hAnsi="Arial"/>
                <w:sz w:val="20"/>
                <w:szCs w:val="20"/>
                <w:color w:val="231F20"/>
              </w:rPr>
              <w:t>Less: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400"/>
              <w:spacing w:after="0" w:line="216" w:lineRule="exact"/>
              <w:rPr>
                <w:sz w:val="20"/>
                <w:szCs w:val="20"/>
                <w:color w:val="auto"/>
              </w:rPr>
            </w:pPr>
            <w:r>
              <w:rPr>
                <w:rFonts w:ascii="Arial" w:cs="Arial" w:eastAsia="Arial" w:hAnsi="Arial"/>
                <w:sz w:val="20"/>
                <w:szCs w:val="20"/>
                <w:color w:val="231F20"/>
              </w:rPr>
              <w:t>Operating costs: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800"/>
              <w:spacing w:after="0" w:line="216" w:lineRule="exact"/>
              <w:rPr>
                <w:sz w:val="20"/>
                <w:szCs w:val="20"/>
                <w:color w:val="auto"/>
              </w:rPr>
            </w:pPr>
            <w:r>
              <w:rPr>
                <w:rFonts w:ascii="Arial" w:cs="Arial" w:eastAsia="Arial" w:hAnsi="Arial"/>
                <w:sz w:val="20"/>
                <w:szCs w:val="20"/>
                <w:color w:val="231F20"/>
              </w:rPr>
              <w:t>Energy operating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jc w:val="right"/>
              <w:ind w:right="100"/>
              <w:spacing w:after="0" w:line="216" w:lineRule="exact"/>
              <w:rPr>
                <w:sz w:val="20"/>
                <w:szCs w:val="20"/>
                <w:color w:val="auto"/>
              </w:rPr>
            </w:pPr>
            <w:r>
              <w:rPr>
                <w:rFonts w:ascii="Arial" w:cs="Arial" w:eastAsia="Arial" w:hAnsi="Arial"/>
                <w:sz w:val="20"/>
                <w:szCs w:val="20"/>
                <w:color w:val="231F20"/>
              </w:rPr>
              <w:t>costs  . . . . . . . . . . . . . .</w:t>
            </w: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231F20"/>
              </w:rPr>
              <w:t>296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231F20"/>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231F20"/>
              </w:rPr>
              <w:t>296</w:t>
            </w:r>
          </w:p>
        </w:tc>
        <w:tc>
          <w:tcPr>
            <w:tcW w:w="1300" w:type="dxa"/>
            <w:vAlign w:val="bottom"/>
            <w:gridSpan w:val="2"/>
          </w:tcPr>
          <w:p>
            <w:pPr>
              <w:jc w:val="right"/>
              <w:ind w:right="228"/>
              <w:spacing w:after="0" w:line="216" w:lineRule="exact"/>
              <w:rPr>
                <w:sz w:val="20"/>
                <w:szCs w:val="20"/>
                <w:color w:val="auto"/>
              </w:rPr>
            </w:pPr>
            <w:r>
              <w:rPr>
                <w:rFonts w:ascii="Arial" w:cs="Arial" w:eastAsia="Arial" w:hAnsi="Arial"/>
                <w:sz w:val="20"/>
                <w:szCs w:val="20"/>
                <w:color w:val="231F20"/>
              </w:rPr>
              <w:t>(17)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279</w:t>
            </w:r>
          </w:p>
        </w:tc>
        <w:tc>
          <w:tcPr>
            <w:tcW w:w="0" w:type="dxa"/>
            <w:vAlign w:val="bottom"/>
          </w:tcPr>
          <w:p>
            <w:pPr>
              <w:spacing w:after="0"/>
              <w:rPr>
                <w:sz w:val="1"/>
                <w:szCs w:val="1"/>
                <w:color w:val="auto"/>
              </w:rPr>
            </w:pPr>
          </w:p>
        </w:tc>
      </w:tr>
      <w:tr>
        <w:trPr>
          <w:trHeight w:val="216"/>
        </w:trPr>
        <w:tc>
          <w:tcPr>
            <w:tcW w:w="3020" w:type="dxa"/>
            <w:vAlign w:val="bottom"/>
          </w:tcPr>
          <w:p>
            <w:pPr>
              <w:ind w:left="800"/>
              <w:spacing w:after="0" w:line="216" w:lineRule="exact"/>
              <w:rPr>
                <w:sz w:val="20"/>
                <w:szCs w:val="20"/>
                <w:color w:val="auto"/>
              </w:rPr>
            </w:pPr>
            <w:r>
              <w:rPr>
                <w:rFonts w:ascii="Arial" w:cs="Arial" w:eastAsia="Arial" w:hAnsi="Arial"/>
                <w:sz w:val="20"/>
                <w:szCs w:val="20"/>
                <w:color w:val="231F20"/>
              </w:rPr>
              <w:t>Gas processing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jc w:val="right"/>
              <w:ind w:right="100"/>
              <w:spacing w:after="0" w:line="216" w:lineRule="exact"/>
              <w:rPr>
                <w:sz w:val="20"/>
                <w:szCs w:val="20"/>
                <w:color w:val="auto"/>
              </w:rPr>
            </w:pPr>
            <w:r>
              <w:rPr>
                <w:rFonts w:ascii="Arial" w:cs="Arial" w:eastAsia="Arial" w:hAnsi="Arial"/>
                <w:sz w:val="20"/>
                <w:szCs w:val="20"/>
                <w:color w:val="231F20"/>
              </w:rPr>
              <w:t>costs  . . . . . . . . . . . . . .</w:t>
            </w: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231F20"/>
              </w:rPr>
              <w:t>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231F20"/>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231F20"/>
              </w:rPr>
              <w:t>16</w:t>
            </w:r>
          </w:p>
        </w:tc>
        <w:tc>
          <w:tcPr>
            <w:tcW w:w="200" w:type="dxa"/>
            <w:vAlign w:val="bottom"/>
          </w:tcPr>
          <w:p>
            <w:pPr>
              <w:spacing w:after="0"/>
              <w:rPr>
                <w:sz w:val="18"/>
                <w:szCs w:val="18"/>
                <w:color w:val="auto"/>
              </w:rPr>
            </w:pPr>
          </w:p>
        </w:tc>
        <w:tc>
          <w:tcPr>
            <w:tcW w:w="1540" w:type="dxa"/>
            <w:vAlign w:val="bottom"/>
            <w:gridSpan w:val="3"/>
          </w:tcPr>
          <w:p>
            <w:pPr>
              <w:jc w:val="right"/>
              <w:ind w:right="820"/>
              <w:spacing w:after="0" w:line="216" w:lineRule="exact"/>
              <w:rPr>
                <w:sz w:val="20"/>
                <w:szCs w:val="20"/>
                <w:color w:val="auto"/>
              </w:rPr>
            </w:pPr>
            <w:r>
              <w:rPr>
                <w:rFonts w:ascii="Arial" w:cs="Arial" w:eastAsia="Arial" w:hAnsi="Arial"/>
                <w:sz w:val="20"/>
                <w:szCs w:val="20"/>
                <w:color w:val="231F20"/>
              </w:rPr>
              <w:t>—</w:t>
            </w: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16</w:t>
            </w:r>
          </w:p>
        </w:tc>
        <w:tc>
          <w:tcPr>
            <w:tcW w:w="0" w:type="dxa"/>
            <w:vAlign w:val="bottom"/>
          </w:tcPr>
          <w:p>
            <w:pPr>
              <w:spacing w:after="0"/>
              <w:rPr>
                <w:sz w:val="1"/>
                <w:szCs w:val="1"/>
                <w:color w:val="auto"/>
              </w:rPr>
            </w:pPr>
          </w:p>
        </w:tc>
      </w:tr>
      <w:tr>
        <w:trPr>
          <w:trHeight w:val="216"/>
        </w:trPr>
        <w:tc>
          <w:tcPr>
            <w:tcW w:w="3020" w:type="dxa"/>
            <w:vAlign w:val="bottom"/>
          </w:tcPr>
          <w:p>
            <w:pPr>
              <w:ind w:left="800"/>
              <w:spacing w:after="0" w:line="216" w:lineRule="exact"/>
              <w:rPr>
                <w:sz w:val="20"/>
                <w:szCs w:val="20"/>
                <w:color w:val="auto"/>
              </w:rPr>
            </w:pPr>
            <w:r>
              <w:rPr>
                <w:rFonts w:ascii="Arial" w:cs="Arial" w:eastAsia="Arial" w:hAnsi="Arial"/>
                <w:sz w:val="20"/>
                <w:szCs w:val="20"/>
                <w:color w:val="231F20"/>
              </w:rPr>
              <w:t>Non-energy operating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jc w:val="right"/>
              <w:ind w:right="100"/>
              <w:spacing w:after="0" w:line="216" w:lineRule="exact"/>
              <w:rPr>
                <w:sz w:val="20"/>
                <w:szCs w:val="20"/>
                <w:color w:val="auto"/>
              </w:rPr>
            </w:pPr>
            <w:r>
              <w:rPr>
                <w:rFonts w:ascii="Arial" w:cs="Arial" w:eastAsia="Arial" w:hAnsi="Arial"/>
                <w:sz w:val="20"/>
                <w:szCs w:val="20"/>
                <w:color w:val="231F20"/>
              </w:rPr>
              <w:t>costs  . . . . . . . . . . . . . .</w:t>
            </w: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231F20"/>
              </w:rPr>
              <w:t>671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231F20"/>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231F20"/>
              </w:rPr>
              <w:t>671</w:t>
            </w:r>
          </w:p>
        </w:tc>
        <w:tc>
          <w:tcPr>
            <w:tcW w:w="200" w:type="dxa"/>
            <w:vAlign w:val="bottom"/>
          </w:tcPr>
          <w:p>
            <w:pPr>
              <w:spacing w:after="0"/>
              <w:rPr>
                <w:sz w:val="18"/>
                <w:szCs w:val="18"/>
                <w:color w:val="auto"/>
              </w:rPr>
            </w:pPr>
          </w:p>
        </w:tc>
        <w:tc>
          <w:tcPr>
            <w:tcW w:w="1540" w:type="dxa"/>
            <w:vAlign w:val="bottom"/>
            <w:gridSpan w:val="3"/>
          </w:tcPr>
          <w:p>
            <w:pPr>
              <w:jc w:val="right"/>
              <w:ind w:right="820"/>
              <w:spacing w:after="0" w:line="216" w:lineRule="exact"/>
              <w:rPr>
                <w:sz w:val="20"/>
                <w:szCs w:val="20"/>
                <w:color w:val="auto"/>
              </w:rPr>
            </w:pPr>
            <w:r>
              <w:rPr>
                <w:rFonts w:ascii="Arial" w:cs="Arial" w:eastAsia="Arial" w:hAnsi="Arial"/>
                <w:sz w:val="20"/>
                <w:szCs w:val="20"/>
                <w:color w:val="231F20"/>
              </w:rPr>
              <w:t>—</w:t>
            </w: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671</w:t>
            </w:r>
          </w:p>
        </w:tc>
        <w:tc>
          <w:tcPr>
            <w:tcW w:w="0" w:type="dxa"/>
            <w:vAlign w:val="bottom"/>
          </w:tcPr>
          <w:p>
            <w:pPr>
              <w:spacing w:after="0"/>
              <w:rPr>
                <w:sz w:val="1"/>
                <w:szCs w:val="1"/>
                <w:color w:val="auto"/>
              </w:rPr>
            </w:pPr>
          </w:p>
        </w:tc>
      </w:tr>
      <w:tr>
        <w:trPr>
          <w:trHeight w:val="216"/>
        </w:trPr>
        <w:tc>
          <w:tcPr>
            <w:tcW w:w="3020" w:type="dxa"/>
            <w:vAlign w:val="bottom"/>
          </w:tcPr>
          <w:p>
            <w:pPr>
              <w:jc w:val="right"/>
              <w:ind w:right="140"/>
              <w:spacing w:after="0" w:line="216" w:lineRule="exact"/>
              <w:rPr>
                <w:sz w:val="20"/>
                <w:szCs w:val="20"/>
                <w:color w:val="auto"/>
              </w:rPr>
            </w:pPr>
            <w:r>
              <w:rPr>
                <w:rFonts w:ascii="Arial" w:cs="Arial" w:eastAsia="Arial" w:hAnsi="Arial"/>
                <w:sz w:val="20"/>
                <w:szCs w:val="20"/>
                <w:color w:val="231F20"/>
              </w:rPr>
              <w:t>General and administrative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jc w:val="right"/>
              <w:ind w:right="100"/>
              <w:spacing w:after="0" w:line="216" w:lineRule="exact"/>
              <w:rPr>
                <w:sz w:val="20"/>
                <w:szCs w:val="20"/>
                <w:color w:val="auto"/>
              </w:rPr>
            </w:pPr>
            <w:r>
              <w:rPr>
                <w:rFonts w:ascii="Arial" w:cs="Arial" w:eastAsia="Arial" w:hAnsi="Arial"/>
                <w:sz w:val="20"/>
                <w:szCs w:val="20"/>
                <w:color w:val="231F20"/>
              </w:rPr>
              <w:t>expenses  . . . . . . . . . . . . . .</w:t>
            </w: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231F20"/>
              </w:rPr>
              <w:t>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line="216" w:lineRule="exact"/>
              <w:rPr>
                <w:sz w:val="20"/>
                <w:szCs w:val="20"/>
                <w:color w:val="auto"/>
              </w:rPr>
            </w:pPr>
            <w:r>
              <w:rPr>
                <w:rFonts w:ascii="Arial" w:cs="Arial" w:eastAsia="Arial" w:hAnsi="Arial"/>
                <w:sz w:val="20"/>
                <w:szCs w:val="20"/>
                <w:color w:val="231F20"/>
              </w:rPr>
              <w:t>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231F20"/>
              </w:rPr>
              <w:t>58</w:t>
            </w:r>
          </w:p>
        </w:tc>
        <w:tc>
          <w:tcPr>
            <w:tcW w:w="1300" w:type="dxa"/>
            <w:vAlign w:val="bottom"/>
            <w:gridSpan w:val="2"/>
          </w:tcPr>
          <w:p>
            <w:pPr>
              <w:jc w:val="right"/>
              <w:ind w:right="288"/>
              <w:spacing w:after="0" w:line="216" w:lineRule="exact"/>
              <w:rPr>
                <w:sz w:val="20"/>
                <w:szCs w:val="20"/>
                <w:color w:val="auto"/>
              </w:rPr>
            </w:pPr>
            <w:r>
              <w:rPr>
                <w:rFonts w:ascii="Arial" w:cs="Arial" w:eastAsia="Arial" w:hAnsi="Arial"/>
                <w:sz w:val="20"/>
                <w:szCs w:val="20"/>
                <w:color w:val="231F20"/>
              </w:rPr>
              <w:t>263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321</w:t>
            </w:r>
          </w:p>
        </w:tc>
        <w:tc>
          <w:tcPr>
            <w:tcW w:w="0" w:type="dxa"/>
            <w:vAlign w:val="bottom"/>
          </w:tcPr>
          <w:p>
            <w:pPr>
              <w:spacing w:after="0"/>
              <w:rPr>
                <w:sz w:val="1"/>
                <w:szCs w:val="1"/>
                <w:color w:val="auto"/>
              </w:rPr>
            </w:pPr>
          </w:p>
        </w:tc>
      </w:tr>
      <w:tr>
        <w:trPr>
          <w:trHeight w:val="216"/>
        </w:trPr>
        <w:tc>
          <w:tcPr>
            <w:tcW w:w="3020" w:type="dxa"/>
            <w:vAlign w:val="bottom"/>
          </w:tcPr>
          <w:p>
            <w:pPr>
              <w:ind w:left="400"/>
              <w:spacing w:after="0" w:line="216" w:lineRule="exact"/>
              <w:rPr>
                <w:sz w:val="20"/>
                <w:szCs w:val="20"/>
                <w:color w:val="auto"/>
              </w:rPr>
            </w:pPr>
            <w:r>
              <w:rPr>
                <w:rFonts w:ascii="Arial" w:cs="Arial" w:eastAsia="Arial" w:hAnsi="Arial"/>
                <w:sz w:val="20"/>
                <w:szCs w:val="20"/>
                <w:color w:val="231F20"/>
              </w:rPr>
              <w:t>Depreciation, depletion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jc w:val="right"/>
              <w:ind w:right="100"/>
              <w:spacing w:after="0" w:line="216" w:lineRule="exact"/>
              <w:rPr>
                <w:sz w:val="20"/>
                <w:szCs w:val="20"/>
                <w:color w:val="auto"/>
              </w:rPr>
            </w:pPr>
            <w:r>
              <w:rPr>
                <w:rFonts w:ascii="Arial" w:cs="Arial" w:eastAsia="Arial" w:hAnsi="Arial"/>
                <w:sz w:val="20"/>
                <w:szCs w:val="20"/>
                <w:color w:val="231F20"/>
              </w:rPr>
              <w:t>and amortization  . . . . . . . .</w:t>
            </w: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231F20"/>
              </w:rPr>
              <w:t>354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231F20"/>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231F20"/>
              </w:rPr>
              <w:t>354</w:t>
            </w:r>
          </w:p>
        </w:tc>
        <w:tc>
          <w:tcPr>
            <w:tcW w:w="1300" w:type="dxa"/>
            <w:vAlign w:val="bottom"/>
            <w:gridSpan w:val="2"/>
          </w:tcPr>
          <w:p>
            <w:pPr>
              <w:jc w:val="right"/>
              <w:ind w:right="288"/>
              <w:spacing w:after="0" w:line="216" w:lineRule="exact"/>
              <w:rPr>
                <w:sz w:val="20"/>
                <w:szCs w:val="20"/>
                <w:color w:val="auto"/>
              </w:rPr>
            </w:pPr>
            <w:r>
              <w:rPr>
                <w:rFonts w:ascii="Arial" w:cs="Arial" w:eastAsia="Arial" w:hAnsi="Arial"/>
                <w:sz w:val="20"/>
                <w:szCs w:val="20"/>
                <w:color w:val="231F20"/>
              </w:rPr>
              <w:t>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388</w:t>
            </w:r>
          </w:p>
        </w:tc>
        <w:tc>
          <w:tcPr>
            <w:tcW w:w="0" w:type="dxa"/>
            <w:vAlign w:val="bottom"/>
          </w:tcPr>
          <w:p>
            <w:pPr>
              <w:spacing w:after="0"/>
              <w:rPr>
                <w:sz w:val="1"/>
                <w:szCs w:val="1"/>
                <w:color w:val="auto"/>
              </w:rPr>
            </w:pPr>
          </w:p>
        </w:tc>
      </w:tr>
      <w:tr>
        <w:trPr>
          <w:trHeight w:val="216"/>
        </w:trPr>
        <w:tc>
          <w:tcPr>
            <w:tcW w:w="3020" w:type="dxa"/>
            <w:vAlign w:val="bottom"/>
          </w:tcPr>
          <w:p>
            <w:pPr>
              <w:ind w:left="400"/>
              <w:spacing w:after="0" w:line="216" w:lineRule="exact"/>
              <w:rPr>
                <w:sz w:val="20"/>
                <w:szCs w:val="20"/>
                <w:color w:val="auto"/>
              </w:rPr>
            </w:pPr>
            <w:r>
              <w:rPr>
                <w:rFonts w:ascii="Arial" w:cs="Arial" w:eastAsia="Arial" w:hAnsi="Arial"/>
                <w:sz w:val="20"/>
                <w:szCs w:val="20"/>
                <w:color w:val="231F20"/>
              </w:rPr>
              <w:t>Taxes other than on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jc w:val="right"/>
              <w:ind w:right="100"/>
              <w:spacing w:after="0" w:line="216" w:lineRule="exact"/>
              <w:rPr>
                <w:sz w:val="20"/>
                <w:szCs w:val="20"/>
                <w:color w:val="auto"/>
              </w:rPr>
            </w:pPr>
            <w:r>
              <w:rPr>
                <w:rFonts w:ascii="Arial" w:cs="Arial" w:eastAsia="Arial" w:hAnsi="Arial"/>
                <w:sz w:val="20"/>
                <w:szCs w:val="20"/>
                <w:color w:val="231F20"/>
              </w:rPr>
              <w:t>income  . . . . . . . . . . . . . . . .</w:t>
            </w: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231F20"/>
              </w:rPr>
              <w:t>207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231F20"/>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231F20"/>
              </w:rPr>
              <w:t>207</w:t>
            </w:r>
          </w:p>
        </w:tc>
        <w:tc>
          <w:tcPr>
            <w:tcW w:w="1300" w:type="dxa"/>
            <w:vAlign w:val="bottom"/>
            <w:gridSpan w:val="2"/>
          </w:tcPr>
          <w:p>
            <w:pPr>
              <w:jc w:val="right"/>
              <w:ind w:right="288"/>
              <w:spacing w:after="0" w:line="216" w:lineRule="exact"/>
              <w:rPr>
                <w:sz w:val="20"/>
                <w:szCs w:val="20"/>
                <w:color w:val="auto"/>
              </w:rPr>
            </w:pPr>
            <w:r>
              <w:rPr>
                <w:rFonts w:ascii="Arial" w:cs="Arial" w:eastAsia="Arial" w:hAnsi="Arial"/>
                <w:sz w:val="20"/>
                <w:szCs w:val="20"/>
                <w:color w:val="231F20"/>
              </w:rPr>
              <w:t>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242</w:t>
            </w:r>
          </w:p>
        </w:tc>
        <w:tc>
          <w:tcPr>
            <w:tcW w:w="0" w:type="dxa"/>
            <w:vAlign w:val="bottom"/>
          </w:tcPr>
          <w:p>
            <w:pPr>
              <w:spacing w:after="0"/>
              <w:rPr>
                <w:sz w:val="1"/>
                <w:szCs w:val="1"/>
                <w:color w:val="auto"/>
              </w:rPr>
            </w:pPr>
          </w:p>
        </w:tc>
      </w:tr>
      <w:tr>
        <w:trPr>
          <w:trHeight w:val="216"/>
        </w:trPr>
        <w:tc>
          <w:tcPr>
            <w:tcW w:w="3020" w:type="dxa"/>
            <w:vAlign w:val="bottom"/>
          </w:tcPr>
          <w:p>
            <w:pPr>
              <w:ind w:left="400"/>
              <w:spacing w:after="0" w:line="216" w:lineRule="exact"/>
              <w:rPr>
                <w:sz w:val="20"/>
                <w:szCs w:val="20"/>
                <w:color w:val="auto"/>
              </w:rPr>
            </w:pPr>
            <w:r>
              <w:rPr>
                <w:rFonts w:ascii="Arial" w:cs="Arial" w:eastAsia="Arial" w:hAnsi="Arial"/>
                <w:sz w:val="20"/>
                <w:szCs w:val="20"/>
                <w:color w:val="231F20"/>
              </w:rPr>
              <w:t>Interest and debt expense,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jc w:val="right"/>
              <w:ind w:right="100"/>
              <w:spacing w:after="0" w:line="216" w:lineRule="exact"/>
              <w:rPr>
                <w:sz w:val="20"/>
                <w:szCs w:val="20"/>
                <w:color w:val="auto"/>
              </w:rPr>
            </w:pPr>
            <w:r>
              <w:rPr>
                <w:rFonts w:ascii="Arial" w:cs="Arial" w:eastAsia="Arial" w:hAnsi="Arial"/>
                <w:sz w:val="20"/>
                <w:szCs w:val="20"/>
                <w:color w:val="231F20"/>
              </w:rPr>
              <w:t>net . . . . . . . . . . . . . . . . . . . .</w:t>
            </w: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231F20"/>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line="216" w:lineRule="exact"/>
              <w:rPr>
                <w:sz w:val="20"/>
                <w:szCs w:val="20"/>
                <w:color w:val="auto"/>
              </w:rPr>
            </w:pPr>
            <w:r>
              <w:rPr>
                <w:rFonts w:ascii="Arial" w:cs="Arial" w:eastAsia="Arial" w:hAnsi="Arial"/>
                <w:sz w:val="20"/>
                <w:szCs w:val="20"/>
                <w:color w:val="231F20"/>
              </w:rPr>
              <w:t>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231F20"/>
              </w:rPr>
              <w:t>9</w:t>
            </w:r>
          </w:p>
        </w:tc>
        <w:tc>
          <w:tcPr>
            <w:tcW w:w="1300" w:type="dxa"/>
            <w:vAlign w:val="bottom"/>
            <w:gridSpan w:val="2"/>
          </w:tcPr>
          <w:p>
            <w:pPr>
              <w:jc w:val="right"/>
              <w:ind w:right="288"/>
              <w:spacing w:after="0" w:line="216" w:lineRule="exact"/>
              <w:rPr>
                <w:sz w:val="20"/>
                <w:szCs w:val="20"/>
                <w:color w:val="auto"/>
              </w:rPr>
            </w:pPr>
            <w:r>
              <w:rPr>
                <w:rFonts w:ascii="Arial" w:cs="Arial" w:eastAsia="Arial" w:hAnsi="Arial"/>
                <w:sz w:val="20"/>
                <w:szCs w:val="20"/>
                <w:color w:val="231F20"/>
              </w:rPr>
              <w:t>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87</w:t>
            </w:r>
          </w:p>
        </w:tc>
        <w:tc>
          <w:tcPr>
            <w:tcW w:w="0" w:type="dxa"/>
            <w:vAlign w:val="bottom"/>
          </w:tcPr>
          <w:p>
            <w:pPr>
              <w:spacing w:after="0"/>
              <w:rPr>
                <w:sz w:val="1"/>
                <w:szCs w:val="1"/>
                <w:color w:val="auto"/>
              </w:rPr>
            </w:pPr>
          </w:p>
        </w:tc>
      </w:tr>
      <w:tr>
        <w:trPr>
          <w:trHeight w:val="216"/>
        </w:trPr>
        <w:tc>
          <w:tcPr>
            <w:tcW w:w="3020" w:type="dxa"/>
            <w:vAlign w:val="bottom"/>
          </w:tcPr>
          <w:p>
            <w:pPr>
              <w:ind w:left="400"/>
              <w:spacing w:after="0" w:line="216" w:lineRule="exact"/>
              <w:rPr>
                <w:sz w:val="20"/>
                <w:szCs w:val="20"/>
                <w:color w:val="auto"/>
              </w:rPr>
            </w:pPr>
            <w:r>
              <w:rPr>
                <w:rFonts w:ascii="Arial" w:cs="Arial" w:eastAsia="Arial" w:hAnsi="Arial"/>
                <w:sz w:val="20"/>
                <w:szCs w:val="20"/>
                <w:color w:val="231F20"/>
              </w:rPr>
              <w:t>Equity loss (income) from</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400"/>
              <w:spacing w:after="0" w:line="216" w:lineRule="exact"/>
              <w:rPr>
                <w:sz w:val="20"/>
                <w:szCs w:val="20"/>
                <w:color w:val="auto"/>
              </w:rPr>
            </w:pPr>
            <w:r>
              <w:rPr>
                <w:rFonts w:ascii="Arial" w:cs="Arial" w:eastAsia="Arial" w:hAnsi="Arial"/>
                <w:sz w:val="20"/>
                <w:szCs w:val="20"/>
                <w:color w:val="231F20"/>
              </w:rPr>
              <w:t>unconsolidated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jc w:val="right"/>
              <w:ind w:right="100"/>
              <w:spacing w:after="0" w:line="216" w:lineRule="exact"/>
              <w:rPr>
                <w:sz w:val="20"/>
                <w:szCs w:val="20"/>
                <w:color w:val="auto"/>
              </w:rPr>
            </w:pPr>
            <w:r>
              <w:rPr>
                <w:rFonts w:ascii="Arial" w:cs="Arial" w:eastAsia="Arial" w:hAnsi="Arial"/>
                <w:sz w:val="20"/>
                <w:szCs w:val="20"/>
                <w:color w:val="231F20"/>
              </w:rPr>
              <w:t>subsidiaries  . . . . . . . . . . . .</w:t>
            </w:r>
          </w:p>
        </w:tc>
        <w:tc>
          <w:tcPr>
            <w:tcW w:w="18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20"/>
                <w:szCs w:val="20"/>
                <w:color w:val="231F20"/>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line="216" w:lineRule="exact"/>
              <w:rPr>
                <w:sz w:val="20"/>
                <w:szCs w:val="20"/>
                <w:color w:val="auto"/>
              </w:rPr>
            </w:pPr>
            <w:r>
              <w:rPr>
                <w:rFonts w:ascii="Arial" w:cs="Arial" w:eastAsia="Arial" w:hAnsi="Arial"/>
                <w:sz w:val="20"/>
                <w:szCs w:val="20"/>
                <w:color w:val="231F20"/>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231F20"/>
              </w:rPr>
              <w:t>12</w:t>
            </w:r>
          </w:p>
        </w:tc>
        <w:tc>
          <w:tcPr>
            <w:tcW w:w="1300" w:type="dxa"/>
            <w:vAlign w:val="bottom"/>
            <w:gridSpan w:val="2"/>
          </w:tcPr>
          <w:p>
            <w:pPr>
              <w:jc w:val="right"/>
              <w:ind w:right="228"/>
              <w:spacing w:after="0" w:line="216" w:lineRule="exact"/>
              <w:rPr>
                <w:sz w:val="20"/>
                <w:szCs w:val="20"/>
                <w:color w:val="auto"/>
              </w:rPr>
            </w:pPr>
            <w:r>
              <w:rPr>
                <w:rFonts w:ascii="Arial" w:cs="Arial" w:eastAsia="Arial" w:hAnsi="Arial"/>
                <w:sz w:val="20"/>
                <w:szCs w:val="20"/>
                <w:color w:val="231F20"/>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16" w:lineRule="exact"/>
              <w:rPr>
                <w:sz w:val="20"/>
                <w:szCs w:val="20"/>
                <w:color w:val="auto"/>
              </w:rPr>
            </w:pPr>
            <w:r>
              <w:rPr>
                <w:rFonts w:ascii="Arial" w:cs="Arial" w:eastAsia="Arial" w:hAnsi="Arial"/>
                <w:sz w:val="20"/>
                <w:szCs w:val="20"/>
                <w:color w:val="231F20"/>
              </w:rPr>
              <w:t>10</w:t>
            </w:r>
          </w:p>
        </w:tc>
        <w:tc>
          <w:tcPr>
            <w:tcW w:w="0" w:type="dxa"/>
            <w:vAlign w:val="bottom"/>
          </w:tcPr>
          <w:p>
            <w:pPr>
              <w:spacing w:after="0"/>
              <w:rPr>
                <w:sz w:val="1"/>
                <w:szCs w:val="1"/>
                <w:color w:val="auto"/>
              </w:rPr>
            </w:pPr>
          </w:p>
        </w:tc>
      </w:tr>
      <w:tr>
        <w:trPr>
          <w:trHeight w:val="216"/>
        </w:trPr>
        <w:tc>
          <w:tcPr>
            <w:tcW w:w="3020" w:type="dxa"/>
            <w:vAlign w:val="bottom"/>
          </w:tcPr>
          <w:p>
            <w:pPr>
              <w:ind w:left="400"/>
              <w:spacing w:after="0" w:line="216" w:lineRule="exact"/>
              <w:rPr>
                <w:sz w:val="20"/>
                <w:szCs w:val="20"/>
                <w:color w:val="auto"/>
              </w:rPr>
            </w:pPr>
            <w:r>
              <w:rPr>
                <w:rFonts w:ascii="Arial" w:cs="Arial" w:eastAsia="Arial" w:hAnsi="Arial"/>
                <w:sz w:val="20"/>
                <w:szCs w:val="20"/>
                <w:color w:val="231F20"/>
              </w:rPr>
              <w:t>Other segment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20" w:type="dxa"/>
            <w:vAlign w:val="bottom"/>
          </w:tcPr>
          <w:p>
            <w:pPr>
              <w:jc w:val="right"/>
              <w:ind w:right="100"/>
              <w:spacing w:after="0" w:line="253" w:lineRule="exact"/>
              <w:rPr>
                <w:sz w:val="20"/>
                <w:szCs w:val="20"/>
                <w:color w:val="auto"/>
              </w:rPr>
            </w:pPr>
            <w:r>
              <w:rPr>
                <w:rFonts w:ascii="Arial" w:cs="Arial" w:eastAsia="Arial" w:hAnsi="Arial"/>
                <w:sz w:val="20"/>
                <w:szCs w:val="20"/>
                <w:color w:val="231F20"/>
              </w:rPr>
              <w:t>expenses</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 . .</w:t>
            </w:r>
          </w:p>
        </w:tc>
        <w:tc>
          <w:tcPr>
            <w:tcW w:w="1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spacing w:after="0" w:line="226" w:lineRule="exact"/>
              <w:rPr>
                <w:sz w:val="20"/>
                <w:szCs w:val="20"/>
                <w:color w:val="auto"/>
              </w:rPr>
            </w:pPr>
            <w:r>
              <w:rPr>
                <w:rFonts w:ascii="Arial" w:cs="Arial" w:eastAsia="Arial" w:hAnsi="Arial"/>
                <w:sz w:val="20"/>
                <w:szCs w:val="20"/>
                <w:color w:val="231F20"/>
              </w:rPr>
              <w:t>170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480" w:type="dxa"/>
            <w:vAlign w:val="bottom"/>
            <w:tcBorders>
              <w:bottom w:val="single" w:sz="8" w:color="231F20"/>
            </w:tcBorders>
          </w:tcPr>
          <w:p>
            <w:pPr>
              <w:jc w:val="right"/>
              <w:spacing w:after="0" w:line="226" w:lineRule="exact"/>
              <w:rPr>
                <w:sz w:val="20"/>
                <w:szCs w:val="20"/>
                <w:color w:val="auto"/>
              </w:rPr>
            </w:pPr>
            <w:r>
              <w:rPr>
                <w:rFonts w:ascii="Arial" w:cs="Arial" w:eastAsia="Arial" w:hAnsi="Arial"/>
                <w:sz w:val="20"/>
                <w:szCs w:val="20"/>
                <w:color w:val="231F20"/>
              </w:rPr>
              <w:t>58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line="226" w:lineRule="exact"/>
              <w:rPr>
                <w:sz w:val="20"/>
                <w:szCs w:val="20"/>
                <w:color w:val="auto"/>
              </w:rPr>
            </w:pPr>
            <w:r>
              <w:rPr>
                <w:rFonts w:ascii="Arial" w:cs="Arial" w:eastAsia="Arial" w:hAnsi="Arial"/>
                <w:sz w:val="20"/>
                <w:szCs w:val="20"/>
                <w:color w:val="231F20"/>
              </w:rPr>
              <w:t>228</w:t>
            </w:r>
          </w:p>
        </w:tc>
        <w:tc>
          <w:tcPr>
            <w:tcW w:w="200" w:type="dxa"/>
            <w:vAlign w:val="bottom"/>
          </w:tcPr>
          <w:p>
            <w:pPr>
              <w:spacing w:after="0"/>
              <w:rPr>
                <w:sz w:val="22"/>
                <w:szCs w:val="22"/>
                <w:color w:val="auto"/>
              </w:rPr>
            </w:pPr>
          </w:p>
        </w:tc>
        <w:tc>
          <w:tcPr>
            <w:tcW w:w="1540" w:type="dxa"/>
            <w:vAlign w:val="bottom"/>
            <w:gridSpan w:val="3"/>
          </w:tcPr>
          <w:p>
            <w:pPr>
              <w:jc w:val="right"/>
              <w:ind w:right="820"/>
              <w:spacing w:after="0" w:line="226" w:lineRule="exact"/>
              <w:rPr>
                <w:sz w:val="20"/>
                <w:szCs w:val="20"/>
                <w:color w:val="auto"/>
              </w:rPr>
            </w:pPr>
            <w:r>
              <w:rPr>
                <w:rFonts w:ascii="Arial" w:cs="Arial" w:eastAsia="Arial" w:hAnsi="Arial"/>
                <w:sz w:val="20"/>
                <w:szCs w:val="20"/>
                <w:color w:val="231F20"/>
              </w:rPr>
              <w:t>—</w:t>
            </w:r>
          </w:p>
        </w:tc>
        <w:tc>
          <w:tcPr>
            <w:tcW w:w="840" w:type="dxa"/>
            <w:vAlign w:val="bottom"/>
          </w:tcPr>
          <w:p>
            <w:pPr>
              <w:jc w:val="right"/>
              <w:spacing w:after="0" w:line="226" w:lineRule="exact"/>
              <w:rPr>
                <w:sz w:val="20"/>
                <w:szCs w:val="20"/>
                <w:color w:val="auto"/>
              </w:rPr>
            </w:pPr>
            <w:r>
              <w:rPr>
                <w:rFonts w:ascii="Arial" w:cs="Arial" w:eastAsia="Arial" w:hAnsi="Arial"/>
                <w:sz w:val="20"/>
                <w:szCs w:val="20"/>
                <w:color w:val="231F20"/>
              </w:rPr>
              <w:t>228</w:t>
            </w:r>
          </w:p>
        </w:tc>
        <w:tc>
          <w:tcPr>
            <w:tcW w:w="0" w:type="dxa"/>
            <w:vAlign w:val="bottom"/>
          </w:tcPr>
          <w:p>
            <w:pPr>
              <w:spacing w:after="0"/>
              <w:rPr>
                <w:sz w:val="1"/>
                <w:szCs w:val="1"/>
                <w:color w:val="auto"/>
              </w:rPr>
            </w:pPr>
          </w:p>
        </w:tc>
      </w:tr>
      <w:tr>
        <w:trPr>
          <w:trHeight w:val="246"/>
        </w:trPr>
        <w:tc>
          <w:tcPr>
            <w:tcW w:w="3020" w:type="dxa"/>
            <w:vAlign w:val="bottom"/>
          </w:tcPr>
          <w:p>
            <w:pPr>
              <w:jc w:val="right"/>
              <w:ind w:right="100"/>
              <w:spacing w:after="0"/>
              <w:rPr>
                <w:sz w:val="20"/>
                <w:szCs w:val="20"/>
                <w:color w:val="auto"/>
              </w:rPr>
            </w:pPr>
            <w:r>
              <w:rPr>
                <w:rFonts w:ascii="Arial" w:cs="Arial" w:eastAsia="Arial" w:hAnsi="Arial"/>
                <w:sz w:val="20"/>
                <w:szCs w:val="20"/>
                <w:color w:val="231F20"/>
                <w:w w:val="99"/>
              </w:rPr>
              <w:t>Segment profit or (loss)  . . . . . .</w:t>
            </w:r>
          </w:p>
        </w:tc>
        <w:tc>
          <w:tcPr>
            <w:tcW w:w="180" w:type="dxa"/>
            <w:vAlign w:val="bottom"/>
          </w:tcPr>
          <w:p>
            <w:pPr>
              <w:jc w:val="right"/>
              <w:spacing w:after="0"/>
              <w:rPr>
                <w:sz w:val="20"/>
                <w:szCs w:val="20"/>
                <w:color w:val="auto"/>
              </w:rPr>
            </w:pPr>
            <w:r>
              <w:rPr>
                <w:rFonts w:ascii="Arial" w:cs="Arial" w:eastAsia="Arial" w:hAnsi="Arial"/>
                <w:sz w:val="20"/>
                <w:szCs w:val="20"/>
                <w:color w:val="231F20"/>
                <w:w w:val="71"/>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815</w:t>
            </w:r>
          </w:p>
        </w:tc>
        <w:tc>
          <w:tcPr>
            <w:tcW w:w="560" w:type="dxa"/>
            <w:vAlign w:val="bottom"/>
            <w:gridSpan w:val="3"/>
          </w:tcPr>
          <w:p>
            <w:pPr>
              <w:jc w:val="right"/>
              <w:ind w:right="40"/>
              <w:spacing w:after="0"/>
              <w:rPr>
                <w:sz w:val="20"/>
                <w:szCs w:val="20"/>
                <w:color w:val="auto"/>
              </w:rPr>
            </w:pPr>
            <w:r>
              <w:rPr>
                <w:rFonts w:ascii="Arial" w:cs="Arial" w:eastAsia="Arial" w:hAnsi="Arial"/>
                <w:sz w:val="20"/>
                <w:szCs w:val="20"/>
                <w:color w:val="231F20"/>
              </w:rPr>
              <w:t>$</w:t>
            </w:r>
          </w:p>
        </w:tc>
        <w:tc>
          <w:tcPr>
            <w:tcW w:w="480" w:type="dxa"/>
            <w:vAlign w:val="bottom"/>
          </w:tcPr>
          <w:p>
            <w:pPr>
              <w:jc w:val="right"/>
              <w:spacing w:after="0"/>
              <w:rPr>
                <w:sz w:val="20"/>
                <w:szCs w:val="20"/>
                <w:color w:val="auto"/>
              </w:rPr>
            </w:pPr>
            <w:r>
              <w:rPr>
                <w:rFonts w:ascii="Arial" w:cs="Arial" w:eastAsia="Arial" w:hAnsi="Arial"/>
                <w:sz w:val="20"/>
                <w:szCs w:val="20"/>
                <w:color w:val="231F20"/>
              </w:rPr>
              <w:t>(94)</w:t>
            </w:r>
          </w:p>
        </w:tc>
        <w:tc>
          <w:tcPr>
            <w:tcW w:w="14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721</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3020" w:type="dxa"/>
            <w:vAlign w:val="bottom"/>
            <w:vMerge w:val="restart"/>
          </w:tcPr>
          <w:p>
            <w:pPr>
              <w:jc w:val="right"/>
              <w:ind w:right="100"/>
              <w:spacing w:after="0"/>
              <w:rPr>
                <w:sz w:val="20"/>
                <w:szCs w:val="20"/>
                <w:color w:val="auto"/>
              </w:rPr>
            </w:pPr>
            <w:r>
              <w:rPr>
                <w:rFonts w:ascii="Arial" w:cs="Arial" w:eastAsia="Arial" w:hAnsi="Arial"/>
                <w:sz w:val="20"/>
                <w:szCs w:val="20"/>
                <w:color w:val="231F20"/>
                <w:w w:val="96"/>
              </w:rPr>
              <w:t>Other profit or loss</w:t>
            </w:r>
            <w:r>
              <w:rPr>
                <w:rFonts w:ascii="Arial" w:cs="Arial" w:eastAsia="Arial" w:hAnsi="Arial"/>
                <w:sz w:val="26"/>
                <w:szCs w:val="26"/>
                <w:color w:val="231F20"/>
                <w:w w:val="96"/>
                <w:vertAlign w:val="superscript"/>
              </w:rPr>
              <w:t>(b)</w:t>
            </w:r>
            <w:r>
              <w:rPr>
                <w:rFonts w:ascii="Arial" w:cs="Arial" w:eastAsia="Arial" w:hAnsi="Arial"/>
                <w:sz w:val="20"/>
                <w:szCs w:val="20"/>
                <w:color w:val="231F20"/>
                <w:w w:val="96"/>
              </w:rPr>
              <w:t xml:space="preserve">  . . . . . . . . .</w:t>
            </w:r>
          </w:p>
        </w:tc>
        <w:tc>
          <w:tcPr>
            <w:tcW w:w="1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1300" w:type="dxa"/>
            <w:vAlign w:val="bottom"/>
            <w:gridSpan w:val="2"/>
            <w:vMerge w:val="restart"/>
          </w:tcPr>
          <w:p>
            <w:pPr>
              <w:jc w:val="right"/>
              <w:ind w:right="228"/>
              <w:spacing w:after="0"/>
              <w:rPr>
                <w:sz w:val="20"/>
                <w:szCs w:val="20"/>
                <w:color w:val="auto"/>
              </w:rPr>
            </w:pPr>
            <w:r>
              <w:rPr>
                <w:rFonts w:ascii="Arial" w:cs="Arial" w:eastAsia="Arial" w:hAnsi="Arial"/>
                <w:sz w:val="20"/>
                <w:szCs w:val="20"/>
                <w:color w:val="231F20"/>
              </w:rPr>
              <w:t>(133)</w:t>
            </w: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231F20"/>
              </w:rPr>
              <w:t>(133)</w:t>
            </w: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020" w:type="dxa"/>
            <w:vAlign w:val="bottom"/>
          </w:tcPr>
          <w:p>
            <w:pPr>
              <w:jc w:val="right"/>
              <w:ind w:right="100"/>
              <w:spacing w:after="0" w:line="253" w:lineRule="exact"/>
              <w:rPr>
                <w:sz w:val="20"/>
                <w:szCs w:val="20"/>
                <w:color w:val="auto"/>
              </w:rPr>
            </w:pPr>
            <w:r>
              <w:rPr>
                <w:rFonts w:ascii="Arial" w:cs="Arial" w:eastAsia="Arial" w:hAnsi="Arial"/>
                <w:sz w:val="20"/>
                <w:szCs w:val="20"/>
                <w:color w:val="231F20"/>
                <w:w w:val="96"/>
              </w:rPr>
              <w:t>Unallocated amounts</w:t>
            </w:r>
            <w:r>
              <w:rPr>
                <w:rFonts w:ascii="Arial" w:cs="Arial" w:eastAsia="Arial" w:hAnsi="Arial"/>
                <w:sz w:val="26"/>
                <w:szCs w:val="26"/>
                <w:color w:val="231F20"/>
                <w:w w:val="96"/>
                <w:vertAlign w:val="superscript"/>
              </w:rPr>
              <w:t>(c)</w:t>
            </w:r>
            <w:r>
              <w:rPr>
                <w:rFonts w:ascii="Arial" w:cs="Arial" w:eastAsia="Arial" w:hAnsi="Arial"/>
                <w:sz w:val="20"/>
                <w:szCs w:val="20"/>
                <w:color w:val="231F20"/>
                <w:w w:val="96"/>
              </w:rPr>
              <w:t xml:space="preserve">  . . . . . . .</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00" w:type="dxa"/>
            <w:vAlign w:val="bottom"/>
            <w:gridSpan w:val="2"/>
          </w:tcPr>
          <w:p>
            <w:pPr>
              <w:jc w:val="right"/>
              <w:ind w:right="228"/>
              <w:spacing w:after="0" w:line="226" w:lineRule="exact"/>
              <w:rPr>
                <w:sz w:val="20"/>
                <w:szCs w:val="20"/>
                <w:color w:val="auto"/>
              </w:rPr>
            </w:pPr>
            <w:r>
              <w:rPr>
                <w:rFonts w:ascii="Arial" w:cs="Arial" w:eastAsia="Arial" w:hAnsi="Arial"/>
                <w:sz w:val="20"/>
                <w:szCs w:val="20"/>
                <w:color w:val="231F20"/>
              </w:rPr>
              <w:t>(53)</w:t>
            </w:r>
          </w:p>
        </w:tc>
        <w:tc>
          <w:tcPr>
            <w:tcW w:w="20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line="226" w:lineRule="exact"/>
              <w:rPr>
                <w:sz w:val="20"/>
                <w:szCs w:val="20"/>
                <w:color w:val="auto"/>
              </w:rPr>
            </w:pPr>
            <w:r>
              <w:rPr>
                <w:rFonts w:ascii="Arial" w:cs="Arial" w:eastAsia="Arial" w:hAnsi="Arial"/>
                <w:sz w:val="20"/>
                <w:szCs w:val="20"/>
                <w:color w:val="231F20"/>
              </w:rPr>
              <w:t>(53)</w:t>
            </w:r>
          </w:p>
        </w:tc>
        <w:tc>
          <w:tcPr>
            <w:tcW w:w="0" w:type="dxa"/>
            <w:vAlign w:val="bottom"/>
          </w:tcPr>
          <w:p>
            <w:pPr>
              <w:spacing w:after="0"/>
              <w:rPr>
                <w:sz w:val="1"/>
                <w:szCs w:val="1"/>
                <w:color w:val="auto"/>
              </w:rPr>
            </w:pPr>
          </w:p>
        </w:tc>
      </w:tr>
      <w:tr>
        <w:trPr>
          <w:trHeight w:val="246"/>
        </w:trPr>
        <w:tc>
          <w:tcPr>
            <w:tcW w:w="3020" w:type="dxa"/>
            <w:vAlign w:val="bottom"/>
          </w:tcPr>
          <w:p>
            <w:pPr>
              <w:jc w:val="right"/>
              <w:ind w:right="100"/>
              <w:spacing w:after="0"/>
              <w:rPr>
                <w:sz w:val="20"/>
                <w:szCs w:val="20"/>
                <w:color w:val="auto"/>
              </w:rPr>
            </w:pPr>
            <w:r>
              <w:rPr>
                <w:rFonts w:ascii="Arial" w:cs="Arial" w:eastAsia="Arial" w:hAnsi="Arial"/>
                <w:sz w:val="20"/>
                <w:szCs w:val="20"/>
                <w:color w:val="231F20"/>
              </w:rPr>
              <w:t>Income before income taxes  . .</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40" w:type="dxa"/>
            <w:vAlign w:val="bottom"/>
            <w:gridSpan w:val="4"/>
          </w:tcPr>
          <w:p>
            <w:pPr>
              <w:jc w:val="right"/>
              <w:ind w:right="12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516</w:t>
            </w: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320" w:right="220" w:hanging="320"/>
        <w:spacing w:after="0" w:line="257" w:lineRule="auto"/>
        <w:tabs>
          <w:tab w:leader="none" w:pos="320" w:val="left"/>
        </w:tabs>
        <w:numPr>
          <w:ilvl w:val="0"/>
          <w:numId w:val="81"/>
        </w:numPr>
        <w:rPr>
          <w:rFonts w:ascii="Arial" w:cs="Arial" w:eastAsia="Arial" w:hAnsi="Arial"/>
          <w:sz w:val="16"/>
          <w:szCs w:val="16"/>
          <w:color w:val="231F20"/>
        </w:rPr>
      </w:pPr>
      <w:r>
        <w:rPr>
          <w:rFonts w:ascii="Arial" w:cs="Arial" w:eastAsia="Arial" w:hAnsi="Arial"/>
          <w:sz w:val="16"/>
          <w:szCs w:val="16"/>
          <w:color w:val="231F20"/>
        </w:rPr>
        <w:t>Amounts for our oil and natural gas segment include transportation costs, accretion expense, asset impairment, and other operating expenses, net and gain on asset divestitures. Amounts for our carbon management segment primarily include operating lease costs.</w:t>
      </w:r>
    </w:p>
    <w:p>
      <w:pPr>
        <w:spacing w:after="0" w:line="8" w:lineRule="exact"/>
        <w:rPr>
          <w:rFonts w:ascii="Arial" w:cs="Arial" w:eastAsia="Arial" w:hAnsi="Arial"/>
          <w:sz w:val="16"/>
          <w:szCs w:val="16"/>
          <w:color w:val="231F20"/>
        </w:rPr>
      </w:pPr>
    </w:p>
    <w:p>
      <w:pPr>
        <w:ind w:left="320" w:right="80" w:hanging="320"/>
        <w:spacing w:after="0" w:line="253" w:lineRule="auto"/>
        <w:tabs>
          <w:tab w:leader="none" w:pos="320" w:val="left"/>
        </w:tabs>
        <w:numPr>
          <w:ilvl w:val="0"/>
          <w:numId w:val="81"/>
        </w:numPr>
        <w:rPr>
          <w:rFonts w:ascii="Arial" w:cs="Arial" w:eastAsia="Arial" w:hAnsi="Arial"/>
          <w:sz w:val="16"/>
          <w:szCs w:val="16"/>
          <w:color w:val="231F20"/>
        </w:rPr>
      </w:pPr>
      <w:r>
        <w:rPr>
          <w:rFonts w:ascii="Arial" w:cs="Arial" w:eastAsia="Arial" w:hAnsi="Arial"/>
          <w:sz w:val="16"/>
          <w:szCs w:val="16"/>
          <w:color w:val="231F20"/>
        </w:rPr>
        <w:t>Other profit or loss includes margin from purchased commodities and the margin we earn on sales of electricity from our Elk Hills power plant to customers.</w:t>
      </w:r>
    </w:p>
    <w:p>
      <w:pPr>
        <w:sectPr>
          <w:pgSz w:w="11880" w:h="15480" w:orient="portrait"/>
          <w:cols w:equalWidth="0" w:num="1">
            <w:col w:w="9120"/>
          </w:cols>
          <w:pgMar w:left="1380" w:top="1270" w:right="1380" w:bottom="66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144</w:t>
      </w:r>
    </w:p>
    <w:p>
      <w:pPr>
        <w:sectPr>
          <w:pgSz w:w="11880" w:h="15480" w:orient="portrait"/>
          <w:cols w:equalWidth="0" w:num="1">
            <w:col w:w="9120"/>
          </w:cols>
          <w:pgMar w:left="1380" w:top="1270" w:right="1380" w:bottom="660" w:gutter="0" w:footer="0" w:header="0"/>
          <w:type w:val="continuous"/>
        </w:sectPr>
      </w:pPr>
    </w:p>
    <w:bookmarkStart w:id="148" w:name="page149"/>
    <w:bookmarkEnd w:id="148"/>
    <w:p>
      <w:pPr>
        <w:ind w:left="320" w:right="280" w:hanging="320"/>
        <w:spacing w:after="0" w:line="257" w:lineRule="auto"/>
        <w:tabs>
          <w:tab w:leader="none" w:pos="320" w:val="left"/>
        </w:tabs>
        <w:numPr>
          <w:ilvl w:val="0"/>
          <w:numId w:val="82"/>
        </w:numPr>
        <w:rPr>
          <w:rFonts w:ascii="Arial" w:cs="Arial" w:eastAsia="Arial" w:hAnsi="Arial"/>
          <w:sz w:val="16"/>
          <w:szCs w:val="16"/>
          <w:color w:val="231F20"/>
        </w:rPr>
      </w:pPr>
      <w:r>
        <w:rPr>
          <w:rFonts w:ascii="Arial" w:cs="Arial" w:eastAsia="Arial" w:hAnsi="Arial"/>
          <w:sz w:val="16"/>
          <w:szCs w:val="16"/>
          <w:color w:val="231F20"/>
        </w:rPr>
        <w:t>Unallocated amounts include net gain from commodity derivatives, net loss on natural gas purchase derivatives, transportation costs, other operating expenses, net, other non-operating loss, interest income, unallocated other revenue and loss on early extinguishment of debt, and gain on asset divestiture.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3480" w:type="dxa"/>
            <w:vAlign w:val="bottom"/>
            <w:tcBorders>
              <w:bottom w:val="single" w:sz="8" w:color="231F20"/>
            </w:tcBorders>
            <w:gridSpan w:val="11"/>
          </w:tcPr>
          <w:p>
            <w:pPr>
              <w:jc w:val="right"/>
              <w:ind w:right="360"/>
              <w:spacing w:after="0"/>
              <w:rPr>
                <w:sz w:val="20"/>
                <w:szCs w:val="20"/>
                <w:color w:val="auto"/>
              </w:rPr>
            </w:pPr>
            <w:r>
              <w:rPr>
                <w:rFonts w:ascii="Arial" w:cs="Arial" w:eastAsia="Arial" w:hAnsi="Arial"/>
                <w:sz w:val="20"/>
                <w:szCs w:val="20"/>
                <w:b w:val="1"/>
                <w:bCs w:val="1"/>
                <w:color w:val="231F20"/>
              </w:rPr>
              <w:t>Year ended December 31, 2023</w:t>
            </w:r>
          </w:p>
        </w:tc>
        <w:tc>
          <w:tcPr>
            <w:tcW w:w="20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20"/>
                <w:szCs w:val="20"/>
                <w:b w:val="1"/>
                <w:bCs w:val="1"/>
                <w:color w:val="231F20"/>
              </w:rPr>
              <w:t>Oil and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4"/>
            <w:vMerge w:val="restart"/>
          </w:tcPr>
          <w:p>
            <w:pPr>
              <w:jc w:val="right"/>
              <w:ind w:right="360"/>
              <w:spacing w:after="0"/>
              <w:rPr>
                <w:sz w:val="20"/>
                <w:szCs w:val="20"/>
                <w:color w:val="auto"/>
              </w:rPr>
            </w:pPr>
            <w:r>
              <w:rPr>
                <w:rFonts w:ascii="Arial" w:cs="Arial" w:eastAsia="Arial" w:hAnsi="Arial"/>
                <w:sz w:val="20"/>
                <w:szCs w:val="20"/>
                <w:b w:val="1"/>
                <w:bCs w:val="1"/>
                <w:color w:val="231F20"/>
                <w:w w:val="97"/>
              </w:rPr>
              <w:t>Carbon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340"/>
              <w:spacing w:after="0" w:line="214" w:lineRule="exact"/>
              <w:rPr>
                <w:sz w:val="20"/>
                <w:szCs w:val="20"/>
                <w:color w:val="auto"/>
              </w:rPr>
            </w:pPr>
            <w:r>
              <w:rPr>
                <w:rFonts w:ascii="Arial" w:cs="Arial" w:eastAsia="Arial" w:hAnsi="Arial"/>
                <w:sz w:val="20"/>
                <w:szCs w:val="20"/>
                <w:b w:val="1"/>
                <w:bCs w:val="1"/>
                <w:color w:val="231F20"/>
              </w:rPr>
              <w:t>Total</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1260" w:type="dxa"/>
            <w:vAlign w:val="bottom"/>
            <w:gridSpan w:val="4"/>
          </w:tcPr>
          <w:p>
            <w:pPr>
              <w:ind w:left="100"/>
              <w:spacing w:after="0" w:line="198" w:lineRule="exact"/>
              <w:rPr>
                <w:sz w:val="20"/>
                <w:szCs w:val="20"/>
                <w:color w:val="auto"/>
              </w:rPr>
            </w:pPr>
            <w:r>
              <w:rPr>
                <w:rFonts w:ascii="Arial" w:cs="Arial" w:eastAsia="Arial" w:hAnsi="Arial"/>
                <w:sz w:val="20"/>
                <w:szCs w:val="20"/>
                <w:b w:val="1"/>
                <w:bCs w:val="1"/>
                <w:color w:val="231F20"/>
              </w:rPr>
              <w:t>Reportable</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900" w:type="dxa"/>
            <w:vAlign w:val="bottom"/>
          </w:tcPr>
          <w:p>
            <w:pPr>
              <w:spacing w:after="0"/>
              <w:rPr>
                <w:sz w:val="20"/>
                <w:szCs w:val="20"/>
                <w:color w:val="auto"/>
              </w:rPr>
            </w:pPr>
          </w:p>
        </w:tc>
        <w:tc>
          <w:tcPr>
            <w:tcW w:w="106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231F20"/>
                <w:w w:val="92"/>
              </w:rPr>
              <w:t>Natural Gas</w:t>
            </w:r>
          </w:p>
        </w:tc>
        <w:tc>
          <w:tcPr>
            <w:tcW w:w="200" w:type="dxa"/>
            <w:vAlign w:val="bottom"/>
          </w:tcPr>
          <w:p>
            <w:pPr>
              <w:spacing w:after="0"/>
              <w:rPr>
                <w:sz w:val="20"/>
                <w:szCs w:val="20"/>
                <w:color w:val="auto"/>
              </w:rPr>
            </w:pPr>
          </w:p>
        </w:tc>
        <w:tc>
          <w:tcPr>
            <w:tcW w:w="1320" w:type="dxa"/>
            <w:vAlign w:val="bottom"/>
            <w:gridSpan w:val="5"/>
          </w:tcPr>
          <w:p>
            <w:pPr>
              <w:spacing w:after="0" w:line="228" w:lineRule="exact"/>
              <w:rPr>
                <w:sz w:val="20"/>
                <w:szCs w:val="20"/>
                <w:color w:val="auto"/>
              </w:rPr>
            </w:pPr>
            <w:r>
              <w:rPr>
                <w:rFonts w:ascii="Arial" w:cs="Arial" w:eastAsia="Arial" w:hAnsi="Arial"/>
                <w:sz w:val="20"/>
                <w:szCs w:val="20"/>
                <w:b w:val="1"/>
                <w:bCs w:val="1"/>
                <w:color w:val="231F20"/>
              </w:rPr>
              <w:t>Management</w:t>
            </w:r>
          </w:p>
        </w:tc>
        <w:tc>
          <w:tcPr>
            <w:tcW w:w="12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20"/>
                <w:szCs w:val="20"/>
                <w:b w:val="1"/>
                <w:bCs w:val="1"/>
                <w:color w:val="231F20"/>
                <w:w w:val="98"/>
              </w:rPr>
              <w:t>Segments</w:t>
            </w:r>
          </w:p>
        </w:tc>
        <w:tc>
          <w:tcPr>
            <w:tcW w:w="1160" w:type="dxa"/>
            <w:vAlign w:val="bottom"/>
            <w:gridSpan w:val="3"/>
          </w:tcPr>
          <w:p>
            <w:pPr>
              <w:jc w:val="right"/>
              <w:spacing w:after="0" w:line="228" w:lineRule="exact"/>
              <w:rPr>
                <w:sz w:val="20"/>
                <w:szCs w:val="20"/>
                <w:color w:val="auto"/>
              </w:rPr>
            </w:pPr>
            <w:r>
              <w:rPr>
                <w:rFonts w:ascii="Arial" w:cs="Arial" w:eastAsia="Arial" w:hAnsi="Arial"/>
                <w:sz w:val="20"/>
                <w:szCs w:val="20"/>
                <w:b w:val="1"/>
                <w:bCs w:val="1"/>
                <w:color w:val="231F20"/>
              </w:rPr>
              <w:t>Elimination</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60"/>
              <w:spacing w:after="0" w:line="228" w:lineRule="exact"/>
              <w:rPr>
                <w:sz w:val="20"/>
                <w:szCs w:val="20"/>
                <w:color w:val="auto"/>
              </w:rPr>
            </w:pPr>
            <w:r>
              <w:rPr>
                <w:rFonts w:ascii="Arial" w:cs="Arial" w:eastAsia="Arial" w:hAnsi="Arial"/>
                <w:sz w:val="20"/>
                <w:szCs w:val="20"/>
                <w:b w:val="1"/>
                <w:bCs w:val="1"/>
                <w:color w:val="231F20"/>
              </w:rPr>
              <w:t>Total</w:t>
            </w:r>
          </w:p>
        </w:tc>
        <w:tc>
          <w:tcPr>
            <w:tcW w:w="0" w:type="dxa"/>
            <w:vAlign w:val="bottom"/>
          </w:tcPr>
          <w:p>
            <w:pPr>
              <w:spacing w:after="0"/>
              <w:rPr>
                <w:sz w:val="1"/>
                <w:szCs w:val="1"/>
                <w:color w:val="auto"/>
              </w:rPr>
            </w:pPr>
          </w:p>
        </w:tc>
      </w:tr>
      <w:tr>
        <w:trPr>
          <w:trHeight w:val="29"/>
        </w:trPr>
        <w:tc>
          <w:tcPr>
            <w:tcW w:w="2900" w:type="dxa"/>
            <w:vAlign w:val="bottom"/>
            <w:tcBorders>
              <w:right w:val="single" w:sz="8" w:color="231F20"/>
            </w:tcBorders>
          </w:tcPr>
          <w:p>
            <w:pPr>
              <w:spacing w:after="0"/>
              <w:rPr>
                <w:sz w:val="2"/>
                <w:szCs w:val="2"/>
                <w:color w:val="auto"/>
              </w:rPr>
            </w:pPr>
          </w:p>
        </w:tc>
        <w:tc>
          <w:tcPr>
            <w:tcW w:w="140" w:type="dxa"/>
            <w:vAlign w:val="bottom"/>
            <w:shd w:val="clear" w:color="auto" w:fill="231F20"/>
          </w:tcPr>
          <w:p>
            <w:pPr>
              <w:spacing w:after="0"/>
              <w:rPr>
                <w:sz w:val="2"/>
                <w:szCs w:val="2"/>
                <w:color w:val="auto"/>
              </w:rPr>
            </w:pPr>
          </w:p>
        </w:tc>
        <w:tc>
          <w:tcPr>
            <w:tcW w:w="920" w:type="dxa"/>
            <w:vAlign w:val="bottom"/>
            <w:tcBorders>
              <w:right w:val="single" w:sz="8" w:color="231F20"/>
            </w:tcBorders>
            <w:shd w:val="clear" w:color="auto" w:fill="231F2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231F20"/>
          </w:tcPr>
          <w:p>
            <w:pPr>
              <w:spacing w:after="0"/>
              <w:rPr>
                <w:sz w:val="2"/>
                <w:szCs w:val="2"/>
                <w:color w:val="auto"/>
              </w:rPr>
            </w:pPr>
          </w:p>
        </w:tc>
        <w:tc>
          <w:tcPr>
            <w:tcW w:w="320" w:type="dxa"/>
            <w:vAlign w:val="bottom"/>
            <w:shd w:val="clear" w:color="auto" w:fill="231F20"/>
          </w:tcPr>
          <w:p>
            <w:pPr>
              <w:spacing w:after="0"/>
              <w:rPr>
                <w:sz w:val="2"/>
                <w:szCs w:val="2"/>
                <w:color w:val="auto"/>
              </w:rPr>
            </w:pPr>
          </w:p>
        </w:tc>
        <w:tc>
          <w:tcPr>
            <w:tcW w:w="400" w:type="dxa"/>
            <w:vAlign w:val="bottom"/>
            <w:shd w:val="clear" w:color="auto" w:fill="231F20"/>
          </w:tcPr>
          <w:p>
            <w:pPr>
              <w:spacing w:after="0"/>
              <w:rPr>
                <w:sz w:val="2"/>
                <w:szCs w:val="2"/>
                <w:color w:val="auto"/>
              </w:rPr>
            </w:pPr>
          </w:p>
        </w:tc>
        <w:tc>
          <w:tcPr>
            <w:tcW w:w="240" w:type="dxa"/>
            <w:vAlign w:val="bottom"/>
            <w:shd w:val="clear" w:color="auto" w:fill="231F2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231F20"/>
            </w:tcBorders>
          </w:tcPr>
          <w:p>
            <w:pPr>
              <w:spacing w:after="0"/>
              <w:rPr>
                <w:sz w:val="2"/>
                <w:szCs w:val="2"/>
                <w:color w:val="auto"/>
              </w:rPr>
            </w:pPr>
          </w:p>
        </w:tc>
        <w:tc>
          <w:tcPr>
            <w:tcW w:w="1040" w:type="dxa"/>
            <w:vAlign w:val="bottom"/>
            <w:tcBorders>
              <w:right w:val="single" w:sz="8" w:color="231F20"/>
            </w:tcBorders>
            <w:gridSpan w:val="2"/>
            <w:shd w:val="clear" w:color="auto" w:fill="231F2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231F20"/>
          </w:tcPr>
          <w:p>
            <w:pPr>
              <w:spacing w:after="0"/>
              <w:rPr>
                <w:sz w:val="2"/>
                <w:szCs w:val="2"/>
                <w:color w:val="auto"/>
              </w:rPr>
            </w:pPr>
          </w:p>
        </w:tc>
        <w:tc>
          <w:tcPr>
            <w:tcW w:w="640" w:type="dxa"/>
            <w:vAlign w:val="bottom"/>
            <w:shd w:val="clear" w:color="auto" w:fill="231F2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231F20"/>
          </w:tcPr>
          <w:p>
            <w:pPr>
              <w:spacing w:after="0"/>
              <w:rPr>
                <w:sz w:val="2"/>
                <w:szCs w:val="2"/>
                <w:color w:val="auto"/>
              </w:rPr>
            </w:pPr>
          </w:p>
        </w:tc>
        <w:tc>
          <w:tcPr>
            <w:tcW w:w="820" w:type="dxa"/>
            <w:vAlign w:val="bottom"/>
            <w:shd w:val="clear" w:color="auto" w:fill="231F2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ind w:left="100"/>
              <w:spacing w:after="0"/>
              <w:rPr>
                <w:sz w:val="20"/>
                <w:szCs w:val="20"/>
                <w:color w:val="auto"/>
              </w:rPr>
            </w:pPr>
            <w:r>
              <w:rPr>
                <w:rFonts w:ascii="Arial" w:cs="Arial" w:eastAsia="Arial" w:hAnsi="Arial"/>
                <w:sz w:val="16"/>
                <w:szCs w:val="16"/>
                <w:color w:val="231F20"/>
              </w:rPr>
              <w:t>(in millions)</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900" w:type="dxa"/>
            <w:vAlign w:val="bottom"/>
          </w:tcPr>
          <w:p>
            <w:pPr>
              <w:spacing w:after="0"/>
              <w:rPr>
                <w:sz w:val="20"/>
                <w:szCs w:val="20"/>
                <w:color w:val="auto"/>
              </w:rPr>
            </w:pPr>
            <w:r>
              <w:rPr>
                <w:rFonts w:ascii="Arial" w:cs="Arial" w:eastAsia="Arial" w:hAnsi="Arial"/>
                <w:sz w:val="20"/>
                <w:szCs w:val="20"/>
                <w:color w:val="231F20"/>
              </w:rPr>
              <w:t>Oil, natural gas and natural</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900" w:type="dxa"/>
            <w:vAlign w:val="bottom"/>
          </w:tcPr>
          <w:p>
            <w:pPr>
              <w:jc w:val="right"/>
              <w:ind w:right="160"/>
              <w:spacing w:after="0"/>
              <w:rPr>
                <w:sz w:val="20"/>
                <w:szCs w:val="20"/>
                <w:color w:val="auto"/>
              </w:rPr>
            </w:pPr>
            <w:r>
              <w:rPr>
                <w:rFonts w:ascii="Arial" w:cs="Arial" w:eastAsia="Arial" w:hAnsi="Arial"/>
                <w:sz w:val="20"/>
                <w:szCs w:val="20"/>
                <w:color w:val="231F20"/>
              </w:rPr>
              <w:t>gas liquids sales . . . . . . . . .</w:t>
            </w:r>
          </w:p>
        </w:tc>
        <w:tc>
          <w:tcPr>
            <w:tcW w:w="140" w:type="dxa"/>
            <w:vAlign w:val="bottom"/>
          </w:tcPr>
          <w:p>
            <w:pPr>
              <w:jc w:val="right"/>
              <w:spacing w:after="0"/>
              <w:rPr>
                <w:sz w:val="20"/>
                <w:szCs w:val="20"/>
                <w:color w:val="auto"/>
              </w:rPr>
            </w:pPr>
            <w:r>
              <w:rPr>
                <w:rFonts w:ascii="Arial" w:cs="Arial" w:eastAsia="Arial" w:hAnsi="Arial"/>
                <w:sz w:val="20"/>
                <w:szCs w:val="20"/>
                <w:color w:val="231F20"/>
                <w:w w:val="71"/>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2,041</w:t>
            </w:r>
          </w:p>
        </w:tc>
        <w:tc>
          <w:tcPr>
            <w:tcW w:w="780" w:type="dxa"/>
            <w:vAlign w:val="bottom"/>
            <w:gridSpan w:val="3"/>
          </w:tcPr>
          <w:p>
            <w:pPr>
              <w:jc w:val="right"/>
              <w:ind w:right="100"/>
              <w:spacing w:after="0"/>
              <w:rPr>
                <w:sz w:val="20"/>
                <w:szCs w:val="20"/>
                <w:color w:val="auto"/>
              </w:rPr>
            </w:pPr>
            <w:r>
              <w:rPr>
                <w:rFonts w:ascii="Arial" w:cs="Arial" w:eastAsia="Arial" w:hAnsi="Arial"/>
                <w:sz w:val="20"/>
                <w:szCs w:val="20"/>
                <w:color w:val="231F20"/>
              </w:rPr>
              <w:t>$</w:t>
            </w:r>
          </w:p>
        </w:tc>
        <w:tc>
          <w:tcPr>
            <w:tcW w:w="740" w:type="dxa"/>
            <w:vAlign w:val="bottom"/>
            <w:gridSpan w:val="3"/>
          </w:tcPr>
          <w:p>
            <w:pPr>
              <w:jc w:val="right"/>
              <w:ind w:right="340"/>
              <w:spacing w:after="0"/>
              <w:rPr>
                <w:sz w:val="20"/>
                <w:szCs w:val="20"/>
                <w:color w:val="auto"/>
              </w:rPr>
            </w:pPr>
            <w:r>
              <w:rPr>
                <w:rFonts w:ascii="Arial" w:cs="Arial" w:eastAsia="Arial" w:hAnsi="Arial"/>
                <w:sz w:val="20"/>
                <w:szCs w:val="20"/>
                <w:color w:val="231F20"/>
              </w:rPr>
              <w:t>—</w:t>
            </w:r>
          </w:p>
        </w:tc>
        <w:tc>
          <w:tcPr>
            <w:tcW w:w="320" w:type="dxa"/>
            <w:vAlign w:val="bottom"/>
            <w:gridSpan w:val="2"/>
          </w:tcPr>
          <w:p>
            <w:pPr>
              <w:ind w:left="12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2,041</w:t>
            </w:r>
          </w:p>
        </w:tc>
        <w:tc>
          <w:tcPr>
            <w:tcW w:w="10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640" w:type="dxa"/>
            <w:vAlign w:val="bottom"/>
          </w:tcPr>
          <w:p>
            <w:pPr>
              <w:jc w:val="right"/>
              <w:ind w:right="80"/>
              <w:spacing w:after="0"/>
              <w:rPr>
                <w:sz w:val="20"/>
                <w:szCs w:val="20"/>
                <w:color w:val="auto"/>
              </w:rPr>
            </w:pPr>
            <w:r>
              <w:rPr>
                <w:rFonts w:ascii="Arial" w:cs="Arial" w:eastAsia="Arial" w:hAnsi="Arial"/>
                <w:sz w:val="20"/>
                <w:szCs w:val="20"/>
                <w:color w:val="231F20"/>
              </w:rPr>
              <w:t>—</w:t>
            </w:r>
          </w:p>
        </w:tc>
        <w:tc>
          <w:tcPr>
            <w:tcW w:w="40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2,041</w:t>
            </w: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20"/>
                <w:szCs w:val="20"/>
                <w:color w:val="231F20"/>
              </w:rPr>
              <w:t>Other revenue  . . . . . . . . . . . .</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jc w:val="right"/>
              <w:ind w:right="8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17</w:t>
            </w: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20"/>
                <w:szCs w:val="20"/>
                <w:color w:val="231F20"/>
              </w:rPr>
              <w:t>Intersegment revenue . . . . . .</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114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jc w:val="right"/>
              <w:ind w:right="8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114</w:t>
            </w:r>
          </w:p>
        </w:tc>
        <w:tc>
          <w:tcPr>
            <w:tcW w:w="0" w:type="dxa"/>
            <w:vAlign w:val="bottom"/>
          </w:tcPr>
          <w:p>
            <w:pPr>
              <w:spacing w:after="0"/>
              <w:rPr>
                <w:sz w:val="1"/>
                <w:szCs w:val="1"/>
                <w:color w:val="auto"/>
              </w:rPr>
            </w:pPr>
          </w:p>
        </w:tc>
      </w:tr>
      <w:tr>
        <w:trPr>
          <w:trHeight w:val="30"/>
        </w:trPr>
        <w:tc>
          <w:tcPr>
            <w:tcW w:w="2900" w:type="dxa"/>
            <w:vAlign w:val="bottom"/>
            <w:vMerge w:val="restart"/>
          </w:tcPr>
          <w:p>
            <w:pPr>
              <w:spacing w:after="0"/>
              <w:rPr>
                <w:sz w:val="20"/>
                <w:szCs w:val="20"/>
                <w:color w:val="auto"/>
              </w:rPr>
            </w:pPr>
            <w:r>
              <w:rPr>
                <w:rFonts w:ascii="Arial" w:cs="Arial" w:eastAsia="Arial" w:hAnsi="Arial"/>
                <w:sz w:val="20"/>
                <w:szCs w:val="20"/>
                <w:color w:val="231F20"/>
              </w:rPr>
              <w:t>Segment operating</w:t>
            </w:r>
          </w:p>
        </w:tc>
        <w:tc>
          <w:tcPr>
            <w:tcW w:w="1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9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20"/>
                <w:szCs w:val="20"/>
                <w:color w:val="231F20"/>
              </w:rPr>
              <w:t>revenues . . . . . . . . . . . . . . . . .</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2,172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20"/>
                <w:szCs w:val="20"/>
                <w:color w:val="231F20"/>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2,172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2,172</w:t>
            </w:r>
          </w:p>
        </w:tc>
        <w:tc>
          <w:tcPr>
            <w:tcW w:w="0" w:type="dxa"/>
            <w:vAlign w:val="bottom"/>
          </w:tcPr>
          <w:p>
            <w:pPr>
              <w:spacing w:after="0"/>
              <w:rPr>
                <w:sz w:val="1"/>
                <w:szCs w:val="1"/>
                <w:color w:val="auto"/>
              </w:rPr>
            </w:pPr>
          </w:p>
        </w:tc>
      </w:tr>
      <w:tr>
        <w:trPr>
          <w:trHeight w:val="28"/>
        </w:trPr>
        <w:tc>
          <w:tcPr>
            <w:tcW w:w="2900" w:type="dxa"/>
            <w:vAlign w:val="bottom"/>
            <w:vMerge w:val="restart"/>
          </w:tcPr>
          <w:p>
            <w:pPr>
              <w:spacing w:after="0"/>
              <w:rPr>
                <w:sz w:val="20"/>
                <w:szCs w:val="20"/>
                <w:color w:val="auto"/>
              </w:rPr>
            </w:pPr>
            <w:r>
              <w:rPr>
                <w:rFonts w:ascii="Arial" w:cs="Arial" w:eastAsia="Arial" w:hAnsi="Arial"/>
                <w:sz w:val="20"/>
                <w:szCs w:val="20"/>
                <w:color w:val="231F20"/>
              </w:rPr>
              <w:t>Other revenues and</w:t>
            </w:r>
          </w:p>
        </w:tc>
        <w:tc>
          <w:tcPr>
            <w:tcW w:w="1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9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900" w:type="dxa"/>
            <w:vAlign w:val="bottom"/>
          </w:tcPr>
          <w:p>
            <w:pPr>
              <w:spacing w:after="0" w:line="268" w:lineRule="exact"/>
              <w:rPr>
                <w:sz w:val="20"/>
                <w:szCs w:val="20"/>
                <w:color w:val="auto"/>
              </w:rPr>
            </w:pPr>
            <w:r>
              <w:rPr>
                <w:rFonts w:ascii="Arial" w:cs="Arial" w:eastAsia="Arial" w:hAnsi="Arial"/>
                <w:sz w:val="20"/>
                <w:szCs w:val="20"/>
                <w:color w:val="231F20"/>
              </w:rPr>
              <w:t>income</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 . . . . . .</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jc w:val="right"/>
              <w:ind w:right="80"/>
              <w:spacing w:after="0"/>
              <w:rPr>
                <w:sz w:val="20"/>
                <w:szCs w:val="20"/>
                <w:color w:val="auto"/>
              </w:rPr>
            </w:pPr>
            <w:r>
              <w:rPr>
                <w:rFonts w:ascii="Arial" w:cs="Arial" w:eastAsia="Arial" w:hAnsi="Arial"/>
                <w:sz w:val="20"/>
                <w:szCs w:val="20"/>
                <w:color w:val="231F20"/>
              </w:rPr>
              <w:t>629</w:t>
            </w:r>
          </w:p>
        </w:tc>
        <w:tc>
          <w:tcPr>
            <w:tcW w:w="20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629</w:t>
            </w:r>
          </w:p>
        </w:tc>
        <w:tc>
          <w:tcPr>
            <w:tcW w:w="0" w:type="dxa"/>
            <w:vAlign w:val="bottom"/>
          </w:tcPr>
          <w:p>
            <w:pPr>
              <w:spacing w:after="0"/>
              <w:rPr>
                <w:sz w:val="1"/>
                <w:szCs w:val="1"/>
                <w:color w:val="auto"/>
              </w:rPr>
            </w:pPr>
          </w:p>
        </w:tc>
      </w:tr>
      <w:tr>
        <w:trPr>
          <w:trHeight w:val="272"/>
        </w:trPr>
        <w:tc>
          <w:tcPr>
            <w:tcW w:w="2900" w:type="dxa"/>
            <w:vAlign w:val="bottom"/>
          </w:tcPr>
          <w:p>
            <w:pPr>
              <w:ind w:left="400"/>
              <w:spacing w:after="0"/>
              <w:rPr>
                <w:sz w:val="20"/>
                <w:szCs w:val="20"/>
                <w:color w:val="auto"/>
              </w:rPr>
            </w:pPr>
            <w:r>
              <w:rPr>
                <w:rFonts w:ascii="Arial" w:cs="Arial" w:eastAsia="Arial" w:hAnsi="Arial"/>
                <w:sz w:val="20"/>
                <w:szCs w:val="20"/>
                <w:color w:val="231F20"/>
              </w:rPr>
              <w:t>Total operating</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00" w:type="dxa"/>
            <w:vAlign w:val="bottom"/>
          </w:tcPr>
          <w:p>
            <w:pPr>
              <w:jc w:val="right"/>
              <w:ind w:right="160"/>
              <w:spacing w:after="0"/>
              <w:rPr>
                <w:sz w:val="20"/>
                <w:szCs w:val="20"/>
                <w:color w:val="auto"/>
              </w:rPr>
            </w:pPr>
            <w:r>
              <w:rPr>
                <w:rFonts w:ascii="Arial" w:cs="Arial" w:eastAsia="Arial" w:hAnsi="Arial"/>
                <w:sz w:val="20"/>
                <w:szCs w:val="20"/>
                <w:color w:val="231F20"/>
              </w:rPr>
              <w:t>revenues . . . . . . . . . . .</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2,801</w:t>
            </w:r>
          </w:p>
        </w:tc>
        <w:tc>
          <w:tcPr>
            <w:tcW w:w="0" w:type="dxa"/>
            <w:vAlign w:val="bottom"/>
          </w:tcPr>
          <w:p>
            <w:pPr>
              <w:spacing w:after="0"/>
              <w:rPr>
                <w:sz w:val="1"/>
                <w:szCs w:val="1"/>
                <w:color w:val="auto"/>
              </w:rPr>
            </w:pPr>
          </w:p>
        </w:tc>
      </w:tr>
      <w:tr>
        <w:trPr>
          <w:trHeight w:val="28"/>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20" w:right="860" w:hanging="320"/>
        <w:spacing w:after="0" w:line="253" w:lineRule="auto"/>
        <w:tabs>
          <w:tab w:leader="none" w:pos="320" w:val="left"/>
        </w:tabs>
        <w:numPr>
          <w:ilvl w:val="0"/>
          <w:numId w:val="83"/>
        </w:numPr>
        <w:rPr>
          <w:rFonts w:ascii="Arial" w:cs="Arial" w:eastAsia="Arial" w:hAnsi="Arial"/>
          <w:sz w:val="16"/>
          <w:szCs w:val="16"/>
          <w:color w:val="231F20"/>
        </w:rPr>
      </w:pPr>
      <w:r>
        <w:rPr>
          <w:rFonts w:ascii="Arial" w:cs="Arial" w:eastAsia="Arial" w:hAnsi="Arial"/>
          <w:sz w:val="16"/>
          <w:szCs w:val="16"/>
          <w:color w:val="231F20"/>
        </w:rPr>
        <w:t>Other revenues and income includes net loss from commodity derivatives, revenue from marketing of purchased commodities, electricity sales and unallocated interest and other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5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4000" w:type="dxa"/>
            <w:vAlign w:val="bottom"/>
            <w:tcBorders>
              <w:bottom w:val="single" w:sz="8" w:color="231F20"/>
            </w:tcBorders>
            <w:gridSpan w:val="10"/>
          </w:tcPr>
          <w:p>
            <w:pPr>
              <w:jc w:val="center"/>
              <w:ind w:right="920"/>
              <w:spacing w:after="0"/>
              <w:rPr>
                <w:sz w:val="20"/>
                <w:szCs w:val="20"/>
                <w:color w:val="auto"/>
              </w:rPr>
            </w:pPr>
            <w:r>
              <w:rPr>
                <w:rFonts w:ascii="Arial" w:cs="Arial" w:eastAsia="Arial" w:hAnsi="Arial"/>
                <w:sz w:val="20"/>
                <w:szCs w:val="20"/>
                <w:b w:val="1"/>
                <w:bCs w:val="1"/>
                <w:color w:val="231F20"/>
                <w:w w:val="99"/>
              </w:rPr>
              <w:t>Year ended December 31, 2023</w:t>
            </w:r>
          </w:p>
        </w:tc>
        <w:tc>
          <w:tcPr>
            <w:tcW w:w="820" w:type="dxa"/>
            <w:vAlign w:val="bottom"/>
            <w:tcBorders>
              <w:bottom w:val="single" w:sz="8" w:color="231F20"/>
            </w:tcBorders>
          </w:tcPr>
          <w:p>
            <w:pPr>
              <w:spacing w:after="0"/>
              <w:rPr>
                <w:sz w:val="21"/>
                <w:szCs w:val="21"/>
                <w:color w:val="auto"/>
              </w:rPr>
            </w:pPr>
          </w:p>
        </w:tc>
      </w:tr>
      <w:tr>
        <w:trPr>
          <w:trHeight w:val="212"/>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line="212" w:lineRule="exact"/>
              <w:rPr>
                <w:sz w:val="20"/>
                <w:szCs w:val="20"/>
                <w:color w:val="auto"/>
              </w:rPr>
            </w:pPr>
            <w:r>
              <w:rPr>
                <w:rFonts w:ascii="Arial" w:cs="Arial" w:eastAsia="Arial" w:hAnsi="Arial"/>
                <w:sz w:val="20"/>
                <w:szCs w:val="20"/>
                <w:b w:val="1"/>
                <w:bCs w:val="1"/>
                <w:color w:val="231F20"/>
              </w:rPr>
              <w:t>Total</w:t>
            </w:r>
          </w:p>
        </w:tc>
        <w:tc>
          <w:tcPr>
            <w:tcW w:w="1860" w:type="dxa"/>
            <w:vAlign w:val="bottom"/>
            <w:gridSpan w:val="4"/>
          </w:tcPr>
          <w:p>
            <w:pPr>
              <w:jc w:val="center"/>
              <w:ind w:right="300"/>
              <w:spacing w:after="0" w:line="212" w:lineRule="exact"/>
              <w:rPr>
                <w:sz w:val="20"/>
                <w:szCs w:val="20"/>
                <w:color w:val="auto"/>
              </w:rPr>
            </w:pPr>
            <w:r>
              <w:rPr>
                <w:rFonts w:ascii="Arial" w:cs="Arial" w:eastAsia="Arial" w:hAnsi="Arial"/>
                <w:sz w:val="20"/>
                <w:szCs w:val="20"/>
                <w:b w:val="1"/>
                <w:bCs w:val="1"/>
                <w:color w:val="231F20"/>
                <w:w w:val="99"/>
              </w:rPr>
              <w:t>Reconciliation</w:t>
            </w:r>
          </w:p>
        </w:tc>
        <w:tc>
          <w:tcPr>
            <w:tcW w:w="820" w:type="dxa"/>
            <w:vAlign w:val="bottom"/>
          </w:tcPr>
          <w:p>
            <w:pPr>
              <w:spacing w:after="0"/>
              <w:rPr>
                <w:sz w:val="18"/>
                <w:szCs w:val="18"/>
                <w:color w:val="auto"/>
              </w:rPr>
            </w:pPr>
          </w:p>
        </w:tc>
      </w:tr>
      <w:tr>
        <w:trPr>
          <w:trHeight w:val="200"/>
        </w:trPr>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20"/>
              <w:spacing w:after="0" w:line="200" w:lineRule="exact"/>
              <w:rPr>
                <w:sz w:val="20"/>
                <w:szCs w:val="20"/>
                <w:color w:val="auto"/>
              </w:rPr>
            </w:pPr>
            <w:r>
              <w:rPr>
                <w:rFonts w:ascii="Arial" w:cs="Arial" w:eastAsia="Arial" w:hAnsi="Arial"/>
                <w:sz w:val="20"/>
                <w:szCs w:val="20"/>
                <w:b w:val="1"/>
                <w:bCs w:val="1"/>
                <w:color w:val="231F20"/>
              </w:rPr>
              <w:t>Oil and</w:t>
            </w:r>
          </w:p>
        </w:tc>
        <w:tc>
          <w:tcPr>
            <w:tcW w:w="200" w:type="dxa"/>
            <w:vAlign w:val="bottom"/>
          </w:tcPr>
          <w:p>
            <w:pPr>
              <w:spacing w:after="0"/>
              <w:rPr>
                <w:sz w:val="17"/>
                <w:szCs w:val="17"/>
                <w:color w:val="auto"/>
              </w:rPr>
            </w:pPr>
          </w:p>
        </w:tc>
        <w:tc>
          <w:tcPr>
            <w:tcW w:w="1320" w:type="dxa"/>
            <w:vAlign w:val="bottom"/>
            <w:gridSpan w:val="3"/>
          </w:tcPr>
          <w:p>
            <w:pPr>
              <w:ind w:left="260"/>
              <w:spacing w:after="0" w:line="200" w:lineRule="exact"/>
              <w:rPr>
                <w:sz w:val="20"/>
                <w:szCs w:val="20"/>
                <w:color w:val="auto"/>
              </w:rPr>
            </w:pPr>
            <w:r>
              <w:rPr>
                <w:rFonts w:ascii="Arial" w:cs="Arial" w:eastAsia="Arial" w:hAnsi="Arial"/>
                <w:sz w:val="20"/>
                <w:szCs w:val="20"/>
                <w:b w:val="1"/>
                <w:bCs w:val="1"/>
                <w:color w:val="231F20"/>
              </w:rPr>
              <w:t>Carbon</w:t>
            </w:r>
          </w:p>
        </w:tc>
        <w:tc>
          <w:tcPr>
            <w:tcW w:w="1240" w:type="dxa"/>
            <w:vAlign w:val="bottom"/>
            <w:gridSpan w:val="4"/>
          </w:tcPr>
          <w:p>
            <w:pPr>
              <w:jc w:val="center"/>
              <w:spacing w:after="0" w:line="200" w:lineRule="exact"/>
              <w:rPr>
                <w:sz w:val="20"/>
                <w:szCs w:val="20"/>
                <w:color w:val="auto"/>
              </w:rPr>
            </w:pPr>
            <w:r>
              <w:rPr>
                <w:rFonts w:ascii="Arial" w:cs="Arial" w:eastAsia="Arial" w:hAnsi="Arial"/>
                <w:sz w:val="20"/>
                <w:szCs w:val="20"/>
                <w:b w:val="1"/>
                <w:bCs w:val="1"/>
                <w:color w:val="231F20"/>
                <w:w w:val="99"/>
              </w:rPr>
              <w:t>Reportable</w:t>
            </w:r>
          </w:p>
        </w:tc>
        <w:tc>
          <w:tcPr>
            <w:tcW w:w="100" w:type="dxa"/>
            <w:vAlign w:val="bottom"/>
          </w:tcPr>
          <w:p>
            <w:pPr>
              <w:spacing w:after="0"/>
              <w:rPr>
                <w:sz w:val="17"/>
                <w:szCs w:val="17"/>
                <w:color w:val="auto"/>
              </w:rPr>
            </w:pPr>
          </w:p>
        </w:tc>
        <w:tc>
          <w:tcPr>
            <w:tcW w:w="1760" w:type="dxa"/>
            <w:vAlign w:val="bottom"/>
            <w:gridSpan w:val="3"/>
          </w:tcPr>
          <w:p>
            <w:pPr>
              <w:jc w:val="center"/>
              <w:ind w:right="340"/>
              <w:spacing w:after="0" w:line="200" w:lineRule="exact"/>
              <w:rPr>
                <w:sz w:val="20"/>
                <w:szCs w:val="20"/>
                <w:color w:val="auto"/>
              </w:rPr>
            </w:pPr>
            <w:r>
              <w:rPr>
                <w:rFonts w:ascii="Arial" w:cs="Arial" w:eastAsia="Arial" w:hAnsi="Arial"/>
                <w:sz w:val="20"/>
                <w:szCs w:val="20"/>
                <w:b w:val="1"/>
                <w:bCs w:val="1"/>
                <w:color w:val="231F20"/>
              </w:rPr>
              <w:t>(Income)/</w:t>
            </w:r>
          </w:p>
        </w:tc>
        <w:tc>
          <w:tcPr>
            <w:tcW w:w="820" w:type="dxa"/>
            <w:vAlign w:val="bottom"/>
          </w:tcPr>
          <w:p>
            <w:pPr>
              <w:spacing w:after="0"/>
              <w:rPr>
                <w:sz w:val="17"/>
                <w:szCs w:val="17"/>
                <w:color w:val="auto"/>
              </w:rPr>
            </w:pPr>
          </w:p>
        </w:tc>
      </w:tr>
      <w:tr>
        <w:trPr>
          <w:trHeight w:val="248"/>
        </w:trPr>
        <w:tc>
          <w:tcPr>
            <w:tcW w:w="25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b w:val="1"/>
                <w:bCs w:val="1"/>
                <w:color w:val="231F20"/>
                <w:w w:val="97"/>
              </w:rPr>
              <w:t>Natural Gas</w:t>
            </w:r>
          </w:p>
        </w:tc>
        <w:tc>
          <w:tcPr>
            <w:tcW w:w="1520" w:type="dxa"/>
            <w:vAlign w:val="bottom"/>
            <w:gridSpan w:val="4"/>
          </w:tcPr>
          <w:p>
            <w:pPr>
              <w:ind w:left="200"/>
              <w:spacing w:after="0"/>
              <w:rPr>
                <w:sz w:val="20"/>
                <w:szCs w:val="20"/>
                <w:color w:val="auto"/>
              </w:rPr>
            </w:pPr>
            <w:r>
              <w:rPr>
                <w:rFonts w:ascii="Arial" w:cs="Arial" w:eastAsia="Arial" w:hAnsi="Arial"/>
                <w:sz w:val="20"/>
                <w:szCs w:val="20"/>
                <w:b w:val="1"/>
                <w:bCs w:val="1"/>
                <w:color w:val="231F20"/>
              </w:rPr>
              <w:t>Management</w:t>
            </w:r>
          </w:p>
        </w:tc>
        <w:tc>
          <w:tcPr>
            <w:tcW w:w="100" w:type="dxa"/>
            <w:vAlign w:val="bottom"/>
          </w:tcPr>
          <w:p>
            <w:pPr>
              <w:spacing w:after="0"/>
              <w:rPr>
                <w:sz w:val="21"/>
                <w:szCs w:val="21"/>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231F20"/>
              </w:rPr>
              <w:t>Segments</w:t>
            </w:r>
          </w:p>
        </w:tc>
        <w:tc>
          <w:tcPr>
            <w:tcW w:w="100" w:type="dxa"/>
            <w:vAlign w:val="bottom"/>
          </w:tcPr>
          <w:p>
            <w:pPr>
              <w:spacing w:after="0"/>
              <w:rPr>
                <w:sz w:val="21"/>
                <w:szCs w:val="21"/>
                <w:color w:val="auto"/>
              </w:rPr>
            </w:pPr>
          </w:p>
        </w:tc>
        <w:tc>
          <w:tcPr>
            <w:tcW w:w="176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231F20"/>
                <w:w w:val="99"/>
              </w:rPr>
              <w:t>Expense</w:t>
            </w:r>
          </w:p>
        </w:tc>
        <w:tc>
          <w:tcPr>
            <w:tcW w:w="820" w:type="dxa"/>
            <w:vAlign w:val="bottom"/>
          </w:tcPr>
          <w:p>
            <w:pPr>
              <w:jc w:val="right"/>
              <w:ind w:right="160"/>
              <w:spacing w:after="0"/>
              <w:rPr>
                <w:sz w:val="20"/>
                <w:szCs w:val="20"/>
                <w:color w:val="auto"/>
              </w:rPr>
            </w:pPr>
            <w:r>
              <w:rPr>
                <w:rFonts w:ascii="Arial" w:cs="Arial" w:eastAsia="Arial" w:hAnsi="Arial"/>
                <w:sz w:val="20"/>
                <w:szCs w:val="20"/>
                <w:b w:val="1"/>
                <w:bCs w:val="1"/>
                <w:color w:val="231F20"/>
              </w:rPr>
              <w:t>Total</w:t>
            </w:r>
          </w:p>
        </w:tc>
      </w:tr>
      <w:tr>
        <w:trPr>
          <w:trHeight w:val="192"/>
        </w:trPr>
        <w:tc>
          <w:tcPr>
            <w:tcW w:w="256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940" w:type="dxa"/>
            <w:vAlign w:val="bottom"/>
            <w:tcBorders>
              <w:top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top w:val="single" w:sz="8" w:color="231F20"/>
            </w:tcBorders>
          </w:tcPr>
          <w:p>
            <w:pPr>
              <w:spacing w:after="0"/>
              <w:rPr>
                <w:sz w:val="16"/>
                <w:szCs w:val="16"/>
                <w:color w:val="auto"/>
              </w:rPr>
            </w:pPr>
          </w:p>
        </w:tc>
        <w:tc>
          <w:tcPr>
            <w:tcW w:w="800" w:type="dxa"/>
            <w:vAlign w:val="bottom"/>
            <w:tcBorders>
              <w:top w:val="single" w:sz="8" w:color="231F20"/>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920" w:type="dxa"/>
            <w:vAlign w:val="bottom"/>
            <w:tcBorders>
              <w:top w:val="single" w:sz="8" w:color="231F20"/>
            </w:tcBorders>
          </w:tcPr>
          <w:p>
            <w:pPr>
              <w:jc w:val="center"/>
              <w:spacing w:after="0"/>
              <w:rPr>
                <w:sz w:val="20"/>
                <w:szCs w:val="20"/>
                <w:color w:val="auto"/>
              </w:rPr>
            </w:pPr>
            <w:r>
              <w:rPr>
                <w:rFonts w:ascii="Arial" w:cs="Arial" w:eastAsia="Arial" w:hAnsi="Arial"/>
                <w:sz w:val="16"/>
                <w:szCs w:val="16"/>
                <w:color w:val="231F20"/>
                <w:w w:val="98"/>
              </w:rPr>
              <w:t>(in millions)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spacing w:after="0"/>
              <w:rPr>
                <w:sz w:val="16"/>
                <w:szCs w:val="16"/>
                <w:color w:val="auto"/>
              </w:rPr>
            </w:pPr>
          </w:p>
        </w:tc>
      </w:tr>
      <w:tr>
        <w:trPr>
          <w:trHeight w:val="250"/>
        </w:trPr>
        <w:tc>
          <w:tcPr>
            <w:tcW w:w="2560" w:type="dxa"/>
            <w:vAlign w:val="bottom"/>
          </w:tcPr>
          <w:p>
            <w:pPr>
              <w:spacing w:after="0"/>
              <w:rPr>
                <w:sz w:val="20"/>
                <w:szCs w:val="20"/>
                <w:color w:val="auto"/>
              </w:rPr>
            </w:pPr>
            <w:r>
              <w:rPr>
                <w:rFonts w:ascii="Arial" w:cs="Arial" w:eastAsia="Arial" w:hAnsi="Arial"/>
                <w:sz w:val="20"/>
                <w:szCs w:val="20"/>
                <w:color w:val="231F20"/>
              </w:rPr>
              <w:t>Segment operating</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0"/>
        </w:trPr>
        <w:tc>
          <w:tcPr>
            <w:tcW w:w="2560" w:type="dxa"/>
            <w:vAlign w:val="bottom"/>
          </w:tcPr>
          <w:p>
            <w:pPr>
              <w:spacing w:after="0"/>
              <w:rPr>
                <w:sz w:val="20"/>
                <w:szCs w:val="20"/>
                <w:color w:val="auto"/>
              </w:rPr>
            </w:pPr>
            <w:r>
              <w:rPr>
                <w:rFonts w:ascii="Arial" w:cs="Arial" w:eastAsia="Arial" w:hAnsi="Arial"/>
                <w:sz w:val="20"/>
                <w:szCs w:val="20"/>
                <w:color w:val="231F20"/>
              </w:rPr>
              <w:t>revenues . . . . . . . . . . . . . .</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2,172</w:t>
            </w:r>
          </w:p>
        </w:tc>
        <w:tc>
          <w:tcPr>
            <w:tcW w:w="620" w:type="dxa"/>
            <w:vAlign w:val="bottom"/>
            <w:gridSpan w:val="2"/>
          </w:tcPr>
          <w:p>
            <w:pPr>
              <w:ind w:left="460"/>
              <w:spacing w:after="0"/>
              <w:rPr>
                <w:sz w:val="20"/>
                <w:szCs w:val="20"/>
                <w:color w:val="auto"/>
              </w:rPr>
            </w:pPr>
            <w:r>
              <w:rPr>
                <w:rFonts w:ascii="Arial" w:cs="Arial" w:eastAsia="Arial" w:hAnsi="Arial"/>
                <w:sz w:val="20"/>
                <w:szCs w:val="20"/>
                <w:color w:val="231F20"/>
              </w:rPr>
              <w:t>$</w:t>
            </w:r>
          </w:p>
        </w:tc>
        <w:tc>
          <w:tcPr>
            <w:tcW w:w="900" w:type="dxa"/>
            <w:vAlign w:val="bottom"/>
            <w:gridSpan w:val="2"/>
          </w:tcPr>
          <w:p>
            <w:pPr>
              <w:jc w:val="right"/>
              <w:ind w:right="360"/>
              <w:spacing w:after="0"/>
              <w:rPr>
                <w:sz w:val="20"/>
                <w:szCs w:val="20"/>
                <w:color w:val="auto"/>
              </w:rPr>
            </w:pPr>
            <w:r>
              <w:rPr>
                <w:rFonts w:ascii="Arial" w:cs="Arial" w:eastAsia="Arial" w:hAnsi="Arial"/>
                <w:sz w:val="20"/>
                <w:szCs w:val="20"/>
                <w:color w:val="231F20"/>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2,172</w:t>
            </w:r>
          </w:p>
        </w:tc>
        <w:tc>
          <w:tcPr>
            <w:tcW w:w="100" w:type="dxa"/>
            <w:vAlign w:val="bottom"/>
          </w:tcPr>
          <w:p>
            <w:pPr>
              <w:spacing w:after="0"/>
              <w:rPr>
                <w:sz w:val="20"/>
                <w:szCs w:val="20"/>
                <w:color w:val="auto"/>
              </w:rPr>
            </w:pPr>
          </w:p>
        </w:tc>
        <w:tc>
          <w:tcPr>
            <w:tcW w:w="1860" w:type="dxa"/>
            <w:vAlign w:val="bottom"/>
            <w:gridSpan w:val="4"/>
          </w:tcPr>
          <w:p>
            <w:pPr>
              <w:jc w:val="right"/>
              <w:ind w:right="8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2,172</w:t>
            </w:r>
          </w:p>
        </w:tc>
      </w:tr>
      <w:tr>
        <w:trPr>
          <w:trHeight w:val="240"/>
        </w:trPr>
        <w:tc>
          <w:tcPr>
            <w:tcW w:w="2560" w:type="dxa"/>
            <w:vAlign w:val="bottom"/>
          </w:tcPr>
          <w:p>
            <w:pPr>
              <w:spacing w:after="0"/>
              <w:rPr>
                <w:sz w:val="20"/>
                <w:szCs w:val="20"/>
                <w:color w:val="auto"/>
              </w:rPr>
            </w:pPr>
            <w:r>
              <w:rPr>
                <w:rFonts w:ascii="Arial" w:cs="Arial" w:eastAsia="Arial" w:hAnsi="Arial"/>
                <w:sz w:val="20"/>
                <w:szCs w:val="20"/>
                <w:color w:val="231F20"/>
              </w:rPr>
              <w:t>Less: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Operating costs: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800"/>
              <w:spacing w:after="0"/>
              <w:rPr>
                <w:sz w:val="20"/>
                <w:szCs w:val="20"/>
                <w:color w:val="auto"/>
              </w:rPr>
            </w:pPr>
            <w:r>
              <w:rPr>
                <w:rFonts w:ascii="Arial" w:cs="Arial" w:eastAsia="Arial" w:hAnsi="Arial"/>
                <w:sz w:val="20"/>
                <w:szCs w:val="20"/>
                <w:color w:val="231F20"/>
              </w:rPr>
              <w:t>Energy operating</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800"/>
              <w:spacing w:after="0"/>
              <w:rPr>
                <w:sz w:val="20"/>
                <w:szCs w:val="20"/>
                <w:color w:val="auto"/>
              </w:rPr>
            </w:pPr>
            <w:r>
              <w:rPr>
                <w:rFonts w:ascii="Arial" w:cs="Arial" w:eastAsia="Arial" w:hAnsi="Arial"/>
                <w:sz w:val="20"/>
                <w:szCs w:val="20"/>
                <w:color w:val="231F20"/>
              </w:rPr>
              <w:t>costs . . . . . . . . .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323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323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right"/>
              <w:ind w:right="90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323</w:t>
            </w:r>
          </w:p>
        </w:tc>
      </w:tr>
      <w:tr>
        <w:trPr>
          <w:trHeight w:val="240"/>
        </w:trPr>
        <w:tc>
          <w:tcPr>
            <w:tcW w:w="2560" w:type="dxa"/>
            <w:vAlign w:val="bottom"/>
          </w:tcPr>
          <w:p>
            <w:pPr>
              <w:ind w:left="800"/>
              <w:spacing w:after="0"/>
              <w:rPr>
                <w:sz w:val="20"/>
                <w:szCs w:val="20"/>
                <w:color w:val="auto"/>
              </w:rPr>
            </w:pPr>
            <w:r>
              <w:rPr>
                <w:rFonts w:ascii="Arial" w:cs="Arial" w:eastAsia="Arial" w:hAnsi="Arial"/>
                <w:sz w:val="20"/>
                <w:szCs w:val="20"/>
                <w:color w:val="231F20"/>
              </w:rPr>
              <w:t>Gas processing</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800"/>
              <w:spacing w:after="0"/>
              <w:rPr>
                <w:sz w:val="20"/>
                <w:szCs w:val="20"/>
                <w:color w:val="auto"/>
              </w:rPr>
            </w:pPr>
            <w:r>
              <w:rPr>
                <w:rFonts w:ascii="Arial" w:cs="Arial" w:eastAsia="Arial" w:hAnsi="Arial"/>
                <w:sz w:val="20"/>
                <w:szCs w:val="20"/>
                <w:color w:val="231F20"/>
              </w:rPr>
              <w:t>costs . . . . . . . . .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18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right"/>
              <w:ind w:right="90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18</w:t>
            </w:r>
          </w:p>
        </w:tc>
      </w:tr>
      <w:tr>
        <w:trPr>
          <w:trHeight w:val="240"/>
        </w:trPr>
        <w:tc>
          <w:tcPr>
            <w:tcW w:w="2560" w:type="dxa"/>
            <w:vAlign w:val="bottom"/>
          </w:tcPr>
          <w:p>
            <w:pPr>
              <w:ind w:left="800"/>
              <w:spacing w:after="0"/>
              <w:rPr>
                <w:sz w:val="20"/>
                <w:szCs w:val="20"/>
                <w:color w:val="auto"/>
              </w:rPr>
            </w:pPr>
            <w:r>
              <w:rPr>
                <w:rFonts w:ascii="Arial" w:cs="Arial" w:eastAsia="Arial" w:hAnsi="Arial"/>
                <w:sz w:val="20"/>
                <w:szCs w:val="20"/>
                <w:color w:val="231F20"/>
              </w:rPr>
              <w:t>Non-energy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800"/>
              <w:spacing w:after="0"/>
              <w:rPr>
                <w:sz w:val="20"/>
                <w:szCs w:val="20"/>
                <w:color w:val="auto"/>
              </w:rPr>
            </w:pPr>
            <w:r>
              <w:rPr>
                <w:rFonts w:ascii="Arial" w:cs="Arial" w:eastAsia="Arial" w:hAnsi="Arial"/>
                <w:sz w:val="20"/>
                <w:szCs w:val="20"/>
                <w:color w:val="231F20"/>
              </w:rPr>
              <w:t>operating</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800"/>
              <w:spacing w:after="0"/>
              <w:rPr>
                <w:sz w:val="20"/>
                <w:szCs w:val="20"/>
                <w:color w:val="auto"/>
              </w:rPr>
            </w:pPr>
            <w:r>
              <w:rPr>
                <w:rFonts w:ascii="Arial" w:cs="Arial" w:eastAsia="Arial" w:hAnsi="Arial"/>
                <w:sz w:val="20"/>
                <w:szCs w:val="20"/>
                <w:color w:val="231F20"/>
              </w:rPr>
              <w:t>costs . . . . . . . . .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481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481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right"/>
              <w:ind w:right="90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481</w:t>
            </w: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General and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administrative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expenses . . . . . . . . .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42</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60"/>
              <w:spacing w:after="0"/>
              <w:rPr>
                <w:sz w:val="20"/>
                <w:szCs w:val="20"/>
                <w:color w:val="auto"/>
              </w:rPr>
            </w:pPr>
            <w:r>
              <w:rPr>
                <w:rFonts w:ascii="Arial" w:cs="Arial" w:eastAsia="Arial" w:hAnsi="Arial"/>
                <w:sz w:val="20"/>
                <w:szCs w:val="20"/>
                <w:color w:val="231F20"/>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54</w:t>
            </w:r>
          </w:p>
        </w:tc>
        <w:tc>
          <w:tcPr>
            <w:tcW w:w="10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20"/>
                <w:szCs w:val="20"/>
                <w:color w:val="231F20"/>
              </w:rPr>
              <w:t>213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267</w:t>
            </w: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Depreciation,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depletion and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amortization . . . . . . .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205</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205</w:t>
            </w:r>
          </w:p>
        </w:tc>
        <w:tc>
          <w:tcPr>
            <w:tcW w:w="10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20"/>
                <w:szCs w:val="20"/>
                <w:color w:val="231F20"/>
              </w:rPr>
              <w:t>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225</w:t>
            </w: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Taxes other than on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income . . . . . . . . . . .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114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114</w:t>
            </w:r>
          </w:p>
        </w:tc>
        <w:tc>
          <w:tcPr>
            <w:tcW w:w="10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20"/>
                <w:szCs w:val="20"/>
                <w:color w:val="231F20"/>
              </w:rPr>
              <w:t>51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165</w:t>
            </w: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Interest and debt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expense, net  . . . . . .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60"/>
              <w:spacing w:after="0"/>
              <w:rPr>
                <w:sz w:val="20"/>
                <w:szCs w:val="20"/>
                <w:color w:val="auto"/>
              </w:rPr>
            </w:pPr>
            <w:r>
              <w:rPr>
                <w:rFonts w:ascii="Arial" w:cs="Arial" w:eastAsia="Arial" w:hAnsi="Arial"/>
                <w:sz w:val="20"/>
                <w:szCs w:val="20"/>
                <w:color w:val="231F20"/>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5</w:t>
            </w:r>
          </w:p>
        </w:tc>
        <w:tc>
          <w:tcPr>
            <w:tcW w:w="10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20"/>
                <w:szCs w:val="20"/>
                <w:color w:val="231F20"/>
              </w:rPr>
              <w:t>51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56</w:t>
            </w:r>
          </w:p>
        </w:tc>
      </w:tr>
      <w:tr>
        <w:trPr>
          <w:trHeight w:val="238"/>
        </w:trPr>
        <w:tc>
          <w:tcPr>
            <w:tcW w:w="2560" w:type="dxa"/>
            <w:vAlign w:val="bottom"/>
          </w:tcPr>
          <w:p>
            <w:pPr>
              <w:ind w:left="400"/>
              <w:spacing w:after="0"/>
              <w:rPr>
                <w:sz w:val="20"/>
                <w:szCs w:val="20"/>
                <w:color w:val="auto"/>
              </w:rPr>
            </w:pPr>
            <w:r>
              <w:rPr>
                <w:rFonts w:ascii="Arial" w:cs="Arial" w:eastAsia="Arial" w:hAnsi="Arial"/>
                <w:sz w:val="20"/>
                <w:szCs w:val="20"/>
                <w:color w:val="231F20"/>
              </w:rPr>
              <w:t>Equity loss from</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unconsolidated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2560" w:type="dxa"/>
            <w:vAlign w:val="bottom"/>
          </w:tcPr>
          <w:p>
            <w:pPr>
              <w:ind w:left="400"/>
              <w:spacing w:after="0"/>
              <w:rPr>
                <w:sz w:val="20"/>
                <w:szCs w:val="20"/>
                <w:color w:val="auto"/>
              </w:rPr>
            </w:pPr>
            <w:r>
              <w:rPr>
                <w:rFonts w:ascii="Arial" w:cs="Arial" w:eastAsia="Arial" w:hAnsi="Arial"/>
                <w:sz w:val="20"/>
                <w:szCs w:val="20"/>
                <w:color w:val="231F20"/>
              </w:rPr>
              <w:t>subsidiary  . . . . . . . .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160"/>
              <w:spacing w:after="0"/>
              <w:rPr>
                <w:sz w:val="20"/>
                <w:szCs w:val="20"/>
                <w:color w:val="auto"/>
              </w:rPr>
            </w:pPr>
            <w:r>
              <w:rPr>
                <w:rFonts w:ascii="Arial" w:cs="Arial" w:eastAsia="Arial" w:hAnsi="Arial"/>
                <w:sz w:val="20"/>
                <w:szCs w:val="20"/>
                <w:color w:val="231F20"/>
              </w:rPr>
              <w:t>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3"/>
          </w:tcPr>
          <w:p>
            <w:pPr>
              <w:jc w:val="right"/>
              <w:ind w:right="900"/>
              <w:spacing w:after="0"/>
              <w:rPr>
                <w:sz w:val="20"/>
                <w:szCs w:val="20"/>
                <w:color w:val="auto"/>
              </w:rPr>
            </w:pP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9</w:t>
            </w:r>
          </w:p>
        </w:tc>
      </w:tr>
    </w:tbl>
    <w:p>
      <w:pPr>
        <w:spacing w:after="0" w:line="200" w:lineRule="exact"/>
        <w:rPr>
          <w:sz w:val="20"/>
          <w:szCs w:val="20"/>
          <w:color w:val="auto"/>
        </w:rPr>
      </w:pPr>
    </w:p>
    <w:p>
      <w:pPr>
        <w:sectPr>
          <w:pgSz w:w="11880" w:h="15480" w:orient="portrait"/>
          <w:cols w:equalWidth="0" w:num="1">
            <w:col w:w="9120"/>
          </w:cols>
          <w:pgMar w:left="1380" w:top="1313" w:right="1380" w:bottom="66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145</w:t>
      </w:r>
    </w:p>
    <w:p>
      <w:pPr>
        <w:sectPr>
          <w:pgSz w:w="11880" w:h="15480" w:orient="portrait"/>
          <w:cols w:equalWidth="0" w:num="1">
            <w:col w:w="9120"/>
          </w:cols>
          <w:pgMar w:left="1380" w:top="1313" w:right="1380" w:bottom="66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50"/>
        </w:trPr>
        <w:tc>
          <w:tcPr>
            <w:tcW w:w="298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4040" w:type="dxa"/>
            <w:vAlign w:val="bottom"/>
            <w:tcBorders>
              <w:bottom w:val="single" w:sz="8" w:color="231F20"/>
            </w:tcBorders>
            <w:gridSpan w:val="11"/>
          </w:tcPr>
          <w:p>
            <w:pPr>
              <w:ind w:left="280"/>
              <w:spacing w:after="0"/>
              <w:rPr>
                <w:sz w:val="20"/>
                <w:szCs w:val="20"/>
                <w:color w:val="auto"/>
              </w:rPr>
            </w:pPr>
            <w:r>
              <w:rPr>
                <w:rFonts w:ascii="Arial" w:cs="Arial" w:eastAsia="Arial" w:hAnsi="Arial"/>
                <w:sz w:val="20"/>
                <w:szCs w:val="20"/>
                <w:b w:val="1"/>
                <w:bCs w:val="1"/>
                <w:color w:val="231F20"/>
              </w:rPr>
              <w:t>Year ended December 31, 2023</w:t>
            </w:r>
          </w:p>
        </w:tc>
        <w:tc>
          <w:tcPr>
            <w:tcW w:w="20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center"/>
              <w:ind w:right="360"/>
              <w:spacing w:after="0" w:line="214" w:lineRule="exact"/>
              <w:rPr>
                <w:sz w:val="20"/>
                <w:szCs w:val="20"/>
                <w:color w:val="auto"/>
              </w:rPr>
            </w:pPr>
            <w:r>
              <w:rPr>
                <w:rFonts w:ascii="Arial" w:cs="Arial" w:eastAsia="Arial" w:hAnsi="Arial"/>
                <w:sz w:val="20"/>
                <w:szCs w:val="20"/>
                <w:b w:val="1"/>
                <w:bCs w:val="1"/>
                <w:color w:val="231F20"/>
              </w:rPr>
              <w:t>Total</w:t>
            </w:r>
          </w:p>
        </w:tc>
        <w:tc>
          <w:tcPr>
            <w:tcW w:w="1460" w:type="dxa"/>
            <w:vAlign w:val="bottom"/>
            <w:gridSpan w:val="2"/>
          </w:tcPr>
          <w:p>
            <w:pPr>
              <w:jc w:val="center"/>
              <w:spacing w:after="0" w:line="214" w:lineRule="exact"/>
              <w:rPr>
                <w:sz w:val="20"/>
                <w:szCs w:val="20"/>
                <w:color w:val="auto"/>
              </w:rPr>
            </w:pPr>
            <w:r>
              <w:rPr>
                <w:rFonts w:ascii="Arial" w:cs="Arial" w:eastAsia="Arial" w:hAnsi="Arial"/>
                <w:sz w:val="20"/>
                <w:szCs w:val="20"/>
                <w:b w:val="1"/>
                <w:bCs w:val="1"/>
                <w:color w:val="231F20"/>
                <w:w w:val="99"/>
              </w:rPr>
              <w:t>Reconciliation</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80" w:type="dxa"/>
            <w:vAlign w:val="bottom"/>
          </w:tcPr>
          <w:p>
            <w:pPr>
              <w:spacing w:after="0"/>
              <w:rPr>
                <w:sz w:val="17"/>
                <w:szCs w:val="17"/>
                <w:color w:val="auto"/>
              </w:rPr>
            </w:pPr>
          </w:p>
        </w:tc>
        <w:tc>
          <w:tcPr>
            <w:tcW w:w="1120" w:type="dxa"/>
            <w:vAlign w:val="bottom"/>
            <w:gridSpan w:val="3"/>
          </w:tcPr>
          <w:p>
            <w:pPr>
              <w:jc w:val="center"/>
              <w:spacing w:after="0" w:line="200" w:lineRule="exact"/>
              <w:rPr>
                <w:sz w:val="20"/>
                <w:szCs w:val="20"/>
                <w:color w:val="auto"/>
              </w:rPr>
            </w:pPr>
            <w:r>
              <w:rPr>
                <w:rFonts w:ascii="Arial" w:cs="Arial" w:eastAsia="Arial" w:hAnsi="Arial"/>
                <w:sz w:val="20"/>
                <w:szCs w:val="20"/>
                <w:b w:val="1"/>
                <w:bCs w:val="1"/>
                <w:color w:val="231F20"/>
              </w:rPr>
              <w:t>Oil and</w:t>
            </w:r>
          </w:p>
        </w:tc>
        <w:tc>
          <w:tcPr>
            <w:tcW w:w="200" w:type="dxa"/>
            <w:vAlign w:val="bottom"/>
          </w:tcPr>
          <w:p>
            <w:pPr>
              <w:spacing w:after="0"/>
              <w:rPr>
                <w:sz w:val="17"/>
                <w:szCs w:val="17"/>
                <w:color w:val="auto"/>
              </w:rPr>
            </w:pPr>
          </w:p>
        </w:tc>
        <w:tc>
          <w:tcPr>
            <w:tcW w:w="1280" w:type="dxa"/>
            <w:vAlign w:val="bottom"/>
            <w:gridSpan w:val="4"/>
          </w:tcPr>
          <w:p>
            <w:pPr>
              <w:ind w:left="280"/>
              <w:spacing w:after="0" w:line="200" w:lineRule="exact"/>
              <w:rPr>
                <w:sz w:val="20"/>
                <w:szCs w:val="20"/>
                <w:color w:val="auto"/>
              </w:rPr>
            </w:pPr>
            <w:r>
              <w:rPr>
                <w:rFonts w:ascii="Arial" w:cs="Arial" w:eastAsia="Arial" w:hAnsi="Arial"/>
                <w:sz w:val="20"/>
                <w:szCs w:val="20"/>
                <w:b w:val="1"/>
                <w:bCs w:val="1"/>
                <w:color w:val="231F20"/>
              </w:rPr>
              <w:t>Carbon</w:t>
            </w:r>
          </w:p>
        </w:tc>
        <w:tc>
          <w:tcPr>
            <w:tcW w:w="1300" w:type="dxa"/>
            <w:vAlign w:val="bottom"/>
            <w:gridSpan w:val="5"/>
          </w:tcPr>
          <w:p>
            <w:pPr>
              <w:jc w:val="center"/>
              <w:spacing w:after="0" w:line="200" w:lineRule="exact"/>
              <w:rPr>
                <w:sz w:val="20"/>
                <w:szCs w:val="20"/>
                <w:color w:val="auto"/>
              </w:rPr>
            </w:pPr>
            <w:r>
              <w:rPr>
                <w:rFonts w:ascii="Arial" w:cs="Arial" w:eastAsia="Arial" w:hAnsi="Arial"/>
                <w:sz w:val="20"/>
                <w:szCs w:val="20"/>
                <w:b w:val="1"/>
                <w:bCs w:val="1"/>
                <w:color w:val="231F20"/>
                <w:w w:val="99"/>
              </w:rPr>
              <w:t>Reportable</w:t>
            </w:r>
          </w:p>
        </w:tc>
        <w:tc>
          <w:tcPr>
            <w:tcW w:w="100" w:type="dxa"/>
            <w:vAlign w:val="bottom"/>
          </w:tcPr>
          <w:p>
            <w:pPr>
              <w:spacing w:after="0"/>
              <w:rPr>
                <w:sz w:val="17"/>
                <w:szCs w:val="17"/>
                <w:color w:val="auto"/>
              </w:rPr>
            </w:pPr>
          </w:p>
        </w:tc>
        <w:tc>
          <w:tcPr>
            <w:tcW w:w="1360" w:type="dxa"/>
            <w:vAlign w:val="bottom"/>
          </w:tcPr>
          <w:p>
            <w:pPr>
              <w:jc w:val="center"/>
              <w:spacing w:after="0" w:line="200" w:lineRule="exact"/>
              <w:rPr>
                <w:sz w:val="20"/>
                <w:szCs w:val="20"/>
                <w:color w:val="auto"/>
              </w:rPr>
            </w:pPr>
            <w:r>
              <w:rPr>
                <w:rFonts w:ascii="Arial" w:cs="Arial" w:eastAsia="Arial" w:hAnsi="Arial"/>
                <w:sz w:val="20"/>
                <w:szCs w:val="20"/>
                <w:b w:val="1"/>
                <w:bCs w:val="1"/>
                <w:color w:val="231F20"/>
              </w:rPr>
              <w:t>(Income)/</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980" w:type="dxa"/>
            <w:vAlign w:val="bottom"/>
          </w:tcPr>
          <w:p>
            <w:pPr>
              <w:spacing w:after="0"/>
              <w:rPr>
                <w:sz w:val="21"/>
                <w:szCs w:val="21"/>
                <w:color w:val="auto"/>
              </w:rPr>
            </w:pPr>
          </w:p>
        </w:tc>
        <w:tc>
          <w:tcPr>
            <w:tcW w:w="1120" w:type="dxa"/>
            <w:vAlign w:val="bottom"/>
            <w:tcBorders>
              <w:bottom w:val="single" w:sz="8" w:color="231F20"/>
            </w:tcBorders>
            <w:gridSpan w:val="3"/>
          </w:tcPr>
          <w:p>
            <w:pPr>
              <w:jc w:val="center"/>
              <w:spacing w:after="0" w:line="228" w:lineRule="exact"/>
              <w:rPr>
                <w:sz w:val="20"/>
                <w:szCs w:val="20"/>
                <w:color w:val="auto"/>
              </w:rPr>
            </w:pPr>
            <w:r>
              <w:rPr>
                <w:rFonts w:ascii="Arial" w:cs="Arial" w:eastAsia="Arial" w:hAnsi="Arial"/>
                <w:sz w:val="20"/>
                <w:szCs w:val="20"/>
                <w:b w:val="1"/>
                <w:bCs w:val="1"/>
                <w:color w:val="231F20"/>
                <w:w w:val="99"/>
              </w:rPr>
              <w:t>Natural Gas</w:t>
            </w:r>
          </w:p>
        </w:tc>
        <w:tc>
          <w:tcPr>
            <w:tcW w:w="200" w:type="dxa"/>
            <w:vAlign w:val="bottom"/>
          </w:tcPr>
          <w:p>
            <w:pPr>
              <w:spacing w:after="0"/>
              <w:rPr>
                <w:sz w:val="21"/>
                <w:szCs w:val="21"/>
                <w:color w:val="auto"/>
              </w:rPr>
            </w:pPr>
          </w:p>
        </w:tc>
        <w:tc>
          <w:tcPr>
            <w:tcW w:w="1240" w:type="dxa"/>
            <w:vAlign w:val="bottom"/>
            <w:tcBorders>
              <w:bottom w:val="single" w:sz="8" w:color="231F20"/>
            </w:tcBorders>
            <w:gridSpan w:val="3"/>
          </w:tcPr>
          <w:p>
            <w:pPr>
              <w:spacing w:after="0" w:line="228" w:lineRule="exact"/>
              <w:rPr>
                <w:sz w:val="20"/>
                <w:szCs w:val="20"/>
                <w:color w:val="auto"/>
              </w:rPr>
            </w:pPr>
            <w:r>
              <w:rPr>
                <w:rFonts w:ascii="Arial" w:cs="Arial" w:eastAsia="Arial" w:hAnsi="Arial"/>
                <w:sz w:val="20"/>
                <w:szCs w:val="20"/>
                <w:b w:val="1"/>
                <w:bCs w:val="1"/>
                <w:color w:val="231F20"/>
                <w:w w:val="99"/>
              </w:rPr>
              <w:t>Management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bottom w:val="single" w:sz="8" w:color="231F20"/>
            </w:tcBorders>
            <w:gridSpan w:val="3"/>
          </w:tcPr>
          <w:p>
            <w:pPr>
              <w:jc w:val="center"/>
              <w:spacing w:after="0" w:line="228" w:lineRule="exact"/>
              <w:rPr>
                <w:sz w:val="20"/>
                <w:szCs w:val="20"/>
                <w:color w:val="auto"/>
              </w:rPr>
            </w:pPr>
            <w:r>
              <w:rPr>
                <w:rFonts w:ascii="Arial" w:cs="Arial" w:eastAsia="Arial" w:hAnsi="Arial"/>
                <w:sz w:val="20"/>
                <w:szCs w:val="20"/>
                <w:b w:val="1"/>
                <w:bCs w:val="1"/>
                <w:color w:val="231F20"/>
              </w:rPr>
              <w:t>Segments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231F20"/>
            </w:tcBorders>
          </w:tcPr>
          <w:p>
            <w:pPr>
              <w:jc w:val="center"/>
              <w:spacing w:after="0" w:line="228" w:lineRule="exact"/>
              <w:rPr>
                <w:sz w:val="20"/>
                <w:szCs w:val="20"/>
                <w:color w:val="auto"/>
              </w:rPr>
            </w:pPr>
            <w:r>
              <w:rPr>
                <w:rFonts w:ascii="Arial" w:cs="Arial" w:eastAsia="Arial" w:hAnsi="Arial"/>
                <w:sz w:val="20"/>
                <w:szCs w:val="20"/>
                <w:b w:val="1"/>
                <w:bCs w:val="1"/>
                <w:color w:val="231F20"/>
              </w:rPr>
              <w:t>Expense</w:t>
            </w:r>
          </w:p>
        </w:tc>
        <w:tc>
          <w:tcPr>
            <w:tcW w:w="200" w:type="dxa"/>
            <w:vAlign w:val="bottom"/>
          </w:tcPr>
          <w:p>
            <w:pPr>
              <w:spacing w:after="0"/>
              <w:rPr>
                <w:sz w:val="21"/>
                <w:szCs w:val="21"/>
                <w:color w:val="auto"/>
              </w:rPr>
            </w:pPr>
          </w:p>
        </w:tc>
        <w:tc>
          <w:tcPr>
            <w:tcW w:w="580" w:type="dxa"/>
            <w:vAlign w:val="bottom"/>
            <w:tcBorders>
              <w:bottom w:val="single" w:sz="8" w:color="231F20"/>
            </w:tcBorders>
          </w:tcPr>
          <w:p>
            <w:pPr>
              <w:jc w:val="right"/>
              <w:spacing w:after="0" w:line="228" w:lineRule="exact"/>
              <w:rPr>
                <w:sz w:val="20"/>
                <w:szCs w:val="20"/>
                <w:color w:val="auto"/>
              </w:rPr>
            </w:pPr>
            <w:r>
              <w:rPr>
                <w:rFonts w:ascii="Arial" w:cs="Arial" w:eastAsia="Arial" w:hAnsi="Arial"/>
                <w:sz w:val="20"/>
                <w:szCs w:val="20"/>
                <w:b w:val="1"/>
                <w:bCs w:val="1"/>
                <w:color w:val="231F20"/>
              </w:rPr>
              <w:t>Total</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5"/>
          </w:tcPr>
          <w:p>
            <w:pPr>
              <w:ind w:left="60"/>
              <w:spacing w:after="0"/>
              <w:rPr>
                <w:sz w:val="20"/>
                <w:szCs w:val="20"/>
                <w:color w:val="auto"/>
              </w:rPr>
            </w:pPr>
            <w:r>
              <w:rPr>
                <w:rFonts w:ascii="Arial" w:cs="Arial" w:eastAsia="Arial" w:hAnsi="Arial"/>
                <w:sz w:val="16"/>
                <w:szCs w:val="16"/>
                <w:color w:val="231F20"/>
              </w:rPr>
              <w:t>(in millions)</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Pr>
          <w:p>
            <w:pPr>
              <w:jc w:val="right"/>
              <w:ind w:right="1160"/>
              <w:spacing w:after="0"/>
              <w:rPr>
                <w:sz w:val="20"/>
                <w:szCs w:val="20"/>
                <w:color w:val="auto"/>
              </w:rPr>
            </w:pPr>
            <w:r>
              <w:rPr>
                <w:rFonts w:ascii="Arial" w:cs="Arial" w:eastAsia="Arial" w:hAnsi="Arial"/>
                <w:sz w:val="20"/>
                <w:szCs w:val="20"/>
                <w:color w:val="231F20"/>
              </w:rPr>
              <w:t>Other segment</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980" w:type="dxa"/>
            <w:vAlign w:val="bottom"/>
          </w:tcPr>
          <w:p>
            <w:pPr>
              <w:jc w:val="right"/>
              <w:ind w:right="100"/>
              <w:spacing w:after="0" w:line="268" w:lineRule="exact"/>
              <w:rPr>
                <w:sz w:val="20"/>
                <w:szCs w:val="20"/>
                <w:color w:val="auto"/>
              </w:rPr>
            </w:pPr>
            <w:r>
              <w:rPr>
                <w:rFonts w:ascii="Arial" w:cs="Arial" w:eastAsia="Arial" w:hAnsi="Arial"/>
                <w:sz w:val="20"/>
                <w:szCs w:val="20"/>
                <w:color w:val="231F20"/>
              </w:rPr>
              <w:t>expenses</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 . . . . . . . . . . .</w:t>
            </w:r>
          </w:p>
        </w:tc>
        <w:tc>
          <w:tcPr>
            <w:tcW w:w="320" w:type="dxa"/>
            <w:vAlign w:val="bottom"/>
          </w:tcPr>
          <w:p>
            <w:pPr>
              <w:spacing w:after="0"/>
              <w:rPr>
                <w:sz w:val="23"/>
                <w:szCs w:val="23"/>
                <w:color w:val="auto"/>
              </w:rPr>
            </w:pPr>
          </w:p>
        </w:tc>
        <w:tc>
          <w:tcPr>
            <w:tcW w:w="5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67</w:t>
            </w:r>
          </w:p>
        </w:tc>
        <w:tc>
          <w:tcPr>
            <w:tcW w:w="30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4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40</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gridSpan w:val="2"/>
          </w:tcPr>
          <w:p>
            <w:pPr>
              <w:spacing w:after="0"/>
              <w:rPr>
                <w:sz w:val="23"/>
                <w:szCs w:val="23"/>
                <w:color w:val="auto"/>
              </w:rPr>
            </w:pPr>
          </w:p>
        </w:tc>
        <w:tc>
          <w:tcPr>
            <w:tcW w:w="5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107</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340"/>
              <w:spacing w:after="0"/>
              <w:rPr>
                <w:sz w:val="20"/>
                <w:szCs w:val="20"/>
                <w:color w:val="auto"/>
              </w:rPr>
            </w:pPr>
            <w:r>
              <w:rPr>
                <w:rFonts w:ascii="Arial" w:cs="Arial" w:eastAsia="Arial" w:hAnsi="Arial"/>
                <w:sz w:val="20"/>
                <w:szCs w:val="20"/>
                <w:color w:val="231F20"/>
              </w:rPr>
              <w:t>—</w:t>
            </w:r>
          </w:p>
        </w:tc>
        <w:tc>
          <w:tcPr>
            <w:tcW w:w="780" w:type="dxa"/>
            <w:vAlign w:val="bottom"/>
            <w:gridSpan w:val="2"/>
          </w:tcPr>
          <w:p>
            <w:pPr>
              <w:jc w:val="right"/>
              <w:spacing w:after="0"/>
              <w:rPr>
                <w:sz w:val="20"/>
                <w:szCs w:val="20"/>
                <w:color w:val="auto"/>
              </w:rPr>
            </w:pPr>
            <w:r>
              <w:rPr>
                <w:rFonts w:ascii="Arial" w:cs="Arial" w:eastAsia="Arial" w:hAnsi="Arial"/>
                <w:sz w:val="20"/>
                <w:szCs w:val="20"/>
                <w:color w:val="231F20"/>
              </w:rPr>
              <w:t>107</w:t>
            </w:r>
          </w:p>
        </w:tc>
        <w:tc>
          <w:tcPr>
            <w:tcW w:w="0" w:type="dxa"/>
            <w:vAlign w:val="bottom"/>
          </w:tcPr>
          <w:p>
            <w:pPr>
              <w:spacing w:after="0"/>
              <w:rPr>
                <w:sz w:val="1"/>
                <w:szCs w:val="1"/>
                <w:color w:val="auto"/>
              </w:rPr>
            </w:pPr>
          </w:p>
        </w:tc>
      </w:tr>
      <w:tr>
        <w:trPr>
          <w:trHeight w:val="270"/>
        </w:trPr>
        <w:tc>
          <w:tcPr>
            <w:tcW w:w="2980" w:type="dxa"/>
            <w:vAlign w:val="bottom"/>
          </w:tcPr>
          <w:p>
            <w:pPr>
              <w:jc w:val="right"/>
              <w:ind w:right="100"/>
              <w:spacing w:after="0"/>
              <w:rPr>
                <w:sz w:val="20"/>
                <w:szCs w:val="20"/>
                <w:color w:val="auto"/>
              </w:rPr>
            </w:pPr>
            <w:r>
              <w:rPr>
                <w:rFonts w:ascii="Arial" w:cs="Arial" w:eastAsia="Arial" w:hAnsi="Arial"/>
                <w:sz w:val="20"/>
                <w:szCs w:val="20"/>
                <w:color w:val="231F20"/>
                <w:w w:val="98"/>
              </w:rPr>
              <w:t>Segment profit or (loss)  . . . . . .</w:t>
            </w: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$922</w:t>
            </w:r>
          </w:p>
        </w:tc>
        <w:tc>
          <w:tcPr>
            <w:tcW w:w="30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Arial" w:cs="Arial" w:eastAsia="Arial" w:hAnsi="Arial"/>
                <w:sz w:val="20"/>
                <w:szCs w:val="20"/>
                <w:color w:val="231F20"/>
              </w:rPr>
              <w:t>$(66)</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20"/>
                <w:szCs w:val="20"/>
                <w:color w:val="231F20"/>
              </w:rPr>
              <w:t>$856</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2980" w:type="dxa"/>
            <w:vAlign w:val="bottom"/>
            <w:vMerge w:val="restart"/>
          </w:tcPr>
          <w:p>
            <w:pPr>
              <w:jc w:val="right"/>
              <w:ind w:right="100"/>
              <w:spacing w:after="0"/>
              <w:rPr>
                <w:sz w:val="20"/>
                <w:szCs w:val="20"/>
                <w:color w:val="auto"/>
              </w:rPr>
            </w:pPr>
            <w:r>
              <w:rPr>
                <w:rFonts w:ascii="Arial" w:cs="Arial" w:eastAsia="Arial" w:hAnsi="Arial"/>
                <w:sz w:val="20"/>
                <w:szCs w:val="20"/>
                <w:color w:val="231F20"/>
                <w:w w:val="94"/>
              </w:rPr>
              <w:t>Other profit or loss</w:t>
            </w:r>
            <w:r>
              <w:rPr>
                <w:rFonts w:ascii="Arial" w:cs="Arial" w:eastAsia="Arial" w:hAnsi="Arial"/>
                <w:sz w:val="26"/>
                <w:szCs w:val="26"/>
                <w:color w:val="231F20"/>
                <w:w w:val="94"/>
                <w:vertAlign w:val="superscript"/>
              </w:rPr>
              <w:t>(b)</w:t>
            </w:r>
            <w:r>
              <w:rPr>
                <w:rFonts w:ascii="Arial" w:cs="Arial" w:eastAsia="Arial" w:hAnsi="Arial"/>
                <w:sz w:val="20"/>
                <w:szCs w:val="20"/>
                <w:color w:val="231F20"/>
                <w:w w:val="94"/>
              </w:rPr>
              <w:t xml:space="preserve">  . . . . . . . . .</w:t>
            </w:r>
          </w:p>
        </w:tc>
        <w:tc>
          <w:tcPr>
            <w:tcW w:w="320" w:type="dxa"/>
            <w:vAlign w:val="bottom"/>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20"/>
                <w:szCs w:val="20"/>
                <w:color w:val="231F20"/>
              </w:rPr>
              <w:t>(291)</w:t>
            </w:r>
          </w:p>
        </w:tc>
        <w:tc>
          <w:tcPr>
            <w:tcW w:w="780" w:type="dxa"/>
            <w:vAlign w:val="bottom"/>
            <w:gridSpan w:val="2"/>
            <w:vMerge w:val="restart"/>
          </w:tcPr>
          <w:p>
            <w:pPr>
              <w:jc w:val="right"/>
              <w:spacing w:after="0"/>
              <w:rPr>
                <w:sz w:val="20"/>
                <w:szCs w:val="20"/>
                <w:color w:val="auto"/>
              </w:rPr>
            </w:pPr>
            <w:r>
              <w:rPr>
                <w:rFonts w:ascii="Arial" w:cs="Arial" w:eastAsia="Arial" w:hAnsi="Arial"/>
                <w:sz w:val="20"/>
                <w:szCs w:val="20"/>
                <w:color w:val="231F20"/>
              </w:rPr>
              <w:t>(291)</w:t>
            </w:r>
          </w:p>
        </w:tc>
        <w:tc>
          <w:tcPr>
            <w:tcW w:w="0" w:type="dxa"/>
            <w:vAlign w:val="bottom"/>
          </w:tcPr>
          <w:p>
            <w:pPr>
              <w:spacing w:after="0"/>
              <w:rPr>
                <w:sz w:val="1"/>
                <w:szCs w:val="1"/>
                <w:color w:val="auto"/>
              </w:rPr>
            </w:pPr>
          </w:p>
        </w:tc>
      </w:tr>
      <w:tr>
        <w:trPr>
          <w:trHeight w:val="20"/>
        </w:trPr>
        <w:tc>
          <w:tcPr>
            <w:tcW w:w="298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980" w:type="dxa"/>
            <w:vAlign w:val="bottom"/>
          </w:tcPr>
          <w:p>
            <w:pPr>
              <w:jc w:val="right"/>
              <w:ind w:right="100"/>
              <w:spacing w:after="0" w:line="253" w:lineRule="exact"/>
              <w:rPr>
                <w:sz w:val="20"/>
                <w:szCs w:val="20"/>
                <w:color w:val="auto"/>
              </w:rPr>
            </w:pPr>
            <w:r>
              <w:rPr>
                <w:rFonts w:ascii="Arial" w:cs="Arial" w:eastAsia="Arial" w:hAnsi="Arial"/>
                <w:sz w:val="20"/>
                <w:szCs w:val="20"/>
                <w:color w:val="231F20"/>
                <w:w w:val="96"/>
              </w:rPr>
              <w:t>Unallocated amounts</w:t>
            </w:r>
            <w:r>
              <w:rPr>
                <w:rFonts w:ascii="Arial" w:cs="Arial" w:eastAsia="Arial" w:hAnsi="Arial"/>
                <w:sz w:val="26"/>
                <w:szCs w:val="26"/>
                <w:color w:val="231F20"/>
                <w:w w:val="96"/>
                <w:vertAlign w:val="superscript"/>
              </w:rPr>
              <w:t>(c)</w:t>
            </w:r>
            <w:r>
              <w:rPr>
                <w:rFonts w:ascii="Arial" w:cs="Arial" w:eastAsia="Arial" w:hAnsi="Arial"/>
                <w:sz w:val="20"/>
                <w:szCs w:val="20"/>
                <w:color w:val="231F20"/>
                <w:w w:val="96"/>
              </w:rPr>
              <w:t xml:space="preserve"> . . . . . . .</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420"/>
              <w:spacing w:after="0" w:line="223" w:lineRule="exact"/>
              <w:rPr>
                <w:sz w:val="20"/>
                <w:szCs w:val="20"/>
                <w:color w:val="auto"/>
              </w:rPr>
            </w:pPr>
            <w:r>
              <w:rPr>
                <w:rFonts w:ascii="Arial" w:cs="Arial" w:eastAsia="Arial" w:hAnsi="Arial"/>
                <w:sz w:val="20"/>
                <w:szCs w:val="20"/>
                <w:color w:val="231F20"/>
              </w:rPr>
              <w:t>64</w:t>
            </w:r>
          </w:p>
        </w:tc>
        <w:tc>
          <w:tcPr>
            <w:tcW w:w="200" w:type="dxa"/>
            <w:vAlign w:val="bottom"/>
          </w:tcPr>
          <w:p>
            <w:pPr>
              <w:spacing w:after="0"/>
              <w:rPr>
                <w:sz w:val="22"/>
                <w:szCs w:val="22"/>
                <w:color w:val="auto"/>
              </w:rPr>
            </w:pPr>
          </w:p>
        </w:tc>
        <w:tc>
          <w:tcPr>
            <w:tcW w:w="5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64</w:t>
            </w:r>
          </w:p>
        </w:tc>
        <w:tc>
          <w:tcPr>
            <w:tcW w:w="0" w:type="dxa"/>
            <w:vAlign w:val="bottom"/>
          </w:tcPr>
          <w:p>
            <w:pPr>
              <w:spacing w:after="0"/>
              <w:rPr>
                <w:sz w:val="1"/>
                <w:szCs w:val="1"/>
                <w:color w:val="auto"/>
              </w:rPr>
            </w:pPr>
          </w:p>
        </w:tc>
      </w:tr>
      <w:tr>
        <w:trPr>
          <w:trHeight w:val="270"/>
        </w:trPr>
        <w:tc>
          <w:tcPr>
            <w:tcW w:w="2980" w:type="dxa"/>
            <w:vAlign w:val="bottom"/>
          </w:tcPr>
          <w:p>
            <w:pPr>
              <w:jc w:val="right"/>
              <w:ind w:right="100"/>
              <w:spacing w:after="0"/>
              <w:rPr>
                <w:sz w:val="20"/>
                <w:szCs w:val="20"/>
                <w:color w:val="auto"/>
              </w:rPr>
            </w:pPr>
            <w:r>
              <w:rPr>
                <w:rFonts w:ascii="Arial" w:cs="Arial" w:eastAsia="Arial" w:hAnsi="Arial"/>
                <w:sz w:val="20"/>
                <w:szCs w:val="20"/>
                <w:color w:val="231F20"/>
              </w:rPr>
              <w:t>Income before income taxes . .</w:t>
            </w: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231F20"/>
              </w:rPr>
              <w:t>$ 748</w:t>
            </w:r>
          </w:p>
        </w:tc>
        <w:tc>
          <w:tcPr>
            <w:tcW w:w="0" w:type="dxa"/>
            <w:vAlign w:val="bottom"/>
          </w:tcPr>
          <w:p>
            <w:pPr>
              <w:spacing w:after="0"/>
              <w:rPr>
                <w:sz w:val="1"/>
                <w:szCs w:val="1"/>
                <w:color w:val="auto"/>
              </w:rPr>
            </w:pPr>
          </w:p>
        </w:tc>
      </w:tr>
      <w:tr>
        <w:trPr>
          <w:trHeight w:val="30"/>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right="80" w:hanging="320"/>
        <w:spacing w:after="0" w:line="253" w:lineRule="auto"/>
        <w:tabs>
          <w:tab w:leader="none" w:pos="320" w:val="left"/>
        </w:tabs>
        <w:numPr>
          <w:ilvl w:val="0"/>
          <w:numId w:val="84"/>
        </w:numPr>
        <w:rPr>
          <w:rFonts w:ascii="Arial" w:cs="Arial" w:eastAsia="Arial" w:hAnsi="Arial"/>
          <w:sz w:val="16"/>
          <w:szCs w:val="16"/>
          <w:color w:val="231F20"/>
        </w:rPr>
      </w:pPr>
      <w:r>
        <w:rPr>
          <w:rFonts w:ascii="Arial" w:cs="Arial" w:eastAsia="Arial" w:hAnsi="Arial"/>
          <w:sz w:val="16"/>
          <w:szCs w:val="16"/>
          <w:color w:val="231F20"/>
        </w:rPr>
        <w:t>Amounts for our oil and natural gas segment include transportation costs, accretion expense, other operating expenses and gain on asset divestitures. Amounts for our carbon management segment primarily include operating lease costs.</w:t>
      </w:r>
    </w:p>
    <w:p>
      <w:pPr>
        <w:spacing w:after="0" w:line="44" w:lineRule="exact"/>
        <w:rPr>
          <w:rFonts w:ascii="Arial" w:cs="Arial" w:eastAsia="Arial" w:hAnsi="Arial"/>
          <w:sz w:val="16"/>
          <w:szCs w:val="16"/>
          <w:color w:val="231F20"/>
        </w:rPr>
      </w:pPr>
    </w:p>
    <w:p>
      <w:pPr>
        <w:ind w:left="320" w:right="160" w:hanging="320"/>
        <w:spacing w:after="0" w:line="253" w:lineRule="auto"/>
        <w:tabs>
          <w:tab w:leader="none" w:pos="320" w:val="left"/>
        </w:tabs>
        <w:numPr>
          <w:ilvl w:val="0"/>
          <w:numId w:val="84"/>
        </w:numPr>
        <w:rPr>
          <w:rFonts w:ascii="Arial" w:cs="Arial" w:eastAsia="Arial" w:hAnsi="Arial"/>
          <w:sz w:val="16"/>
          <w:szCs w:val="16"/>
          <w:color w:val="231F20"/>
        </w:rPr>
      </w:pPr>
      <w:r>
        <w:rPr>
          <w:rFonts w:ascii="Arial" w:cs="Arial" w:eastAsia="Arial" w:hAnsi="Arial"/>
          <w:sz w:val="16"/>
          <w:szCs w:val="16"/>
          <w:color w:val="231F20"/>
        </w:rPr>
        <w:t>Other profit or loss includes margin from purchased commodities and the margin we earn on sale of electricity from our Elk Hills power plant to customers.</w:t>
      </w:r>
    </w:p>
    <w:p>
      <w:pPr>
        <w:spacing w:after="0" w:line="44" w:lineRule="exact"/>
        <w:rPr>
          <w:rFonts w:ascii="Arial" w:cs="Arial" w:eastAsia="Arial" w:hAnsi="Arial"/>
          <w:sz w:val="16"/>
          <w:szCs w:val="16"/>
          <w:color w:val="231F20"/>
        </w:rPr>
      </w:pPr>
    </w:p>
    <w:p>
      <w:pPr>
        <w:ind w:left="320" w:right="60" w:hanging="320"/>
        <w:spacing w:after="0" w:line="257" w:lineRule="auto"/>
        <w:tabs>
          <w:tab w:leader="none" w:pos="320" w:val="left"/>
        </w:tabs>
        <w:numPr>
          <w:ilvl w:val="0"/>
          <w:numId w:val="84"/>
        </w:numPr>
        <w:rPr>
          <w:rFonts w:ascii="Arial" w:cs="Arial" w:eastAsia="Arial" w:hAnsi="Arial"/>
          <w:sz w:val="16"/>
          <w:szCs w:val="16"/>
          <w:color w:val="231F20"/>
        </w:rPr>
      </w:pPr>
      <w:r>
        <w:rPr>
          <w:rFonts w:ascii="Arial" w:cs="Arial" w:eastAsia="Arial" w:hAnsi="Arial"/>
          <w:sz w:val="16"/>
          <w:szCs w:val="16"/>
          <w:color w:val="231F20"/>
        </w:rPr>
        <w:t>Unallocated amounts include net loss from commodity derivatives, net loss on natural gas purchase derivatives, transportation costs, other operating expenses, net, other non-operating income, interest income, unallocated other revenue and loss on early extinguishment of debt.</w:t>
      </w:r>
    </w:p>
    <w:p>
      <w:pPr>
        <w:spacing w:after="0" w:line="134"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 xml:space="preserve">Total assets by segment is not provided to our CODM for decision-making; however, we regularly provide capital investment by segment to our CODM. The table below presents capital by segment with a reconciliation to our consolidated capital investment for the years ended December 31, 2025, 2024 and 2023. See </w:t>
      </w:r>
      <w:r>
        <w:rPr>
          <w:rFonts w:ascii="Arial" w:cs="Arial" w:eastAsia="Arial" w:hAnsi="Arial"/>
          <w:sz w:val="20"/>
          <w:szCs w:val="20"/>
          <w:i w:val="1"/>
          <w:iCs w:val="1"/>
          <w:color w:val="231F20"/>
        </w:rPr>
        <w:t>Note 4 Investments and Related Party Transactions</w:t>
      </w:r>
      <w:r>
        <w:rPr>
          <w:rFonts w:ascii="Arial" w:cs="Arial" w:eastAsia="Arial" w:hAnsi="Arial"/>
          <w:sz w:val="20"/>
          <w:szCs w:val="20"/>
          <w:color w:val="231F20"/>
        </w:rPr>
        <w:t xml:space="preserve"> for information on our investment in the Carbon TerraVault JV, which is part of our carbon management segment. See </w:t>
      </w:r>
      <w:r>
        <w:rPr>
          <w:rFonts w:ascii="Arial" w:cs="Arial" w:eastAsia="Arial" w:hAnsi="Arial"/>
          <w:sz w:val="20"/>
          <w:szCs w:val="20"/>
          <w:i w:val="1"/>
          <w:iCs w:val="1"/>
          <w:color w:val="231F20"/>
        </w:rPr>
        <w:t>Note 13 Leases</w:t>
      </w:r>
      <w:r>
        <w:rPr>
          <w:rFonts w:ascii="Arial" w:cs="Arial" w:eastAsia="Arial" w:hAnsi="Arial"/>
          <w:sz w:val="20"/>
          <w:szCs w:val="20"/>
          <w:color w:val="231F20"/>
        </w:rPr>
        <w:t xml:space="preserve"> for information leases we have entered into for our carbon management business. Included in our oil and gas segment is $659 million of oil and gas property, inclusive of C&amp;J Well Services, we acquired in the Berry Merger and $3 billion of oil and gas property acquired in the Aera Merger. Refer to </w:t>
      </w:r>
      <w:r>
        <w:rPr>
          <w:rFonts w:ascii="Arial" w:cs="Arial" w:eastAsia="Arial" w:hAnsi="Arial"/>
          <w:sz w:val="20"/>
          <w:szCs w:val="20"/>
          <w:i w:val="1"/>
          <w:iCs w:val="1"/>
          <w:color w:val="231F20"/>
        </w:rPr>
        <w:t>Note 2</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Business Combinations </w:t>
      </w:r>
      <w:r>
        <w:rPr>
          <w:rFonts w:ascii="Arial" w:cs="Arial" w:eastAsia="Arial" w:hAnsi="Arial"/>
          <w:sz w:val="20"/>
          <w:szCs w:val="20"/>
          <w:color w:val="231F20"/>
        </w:rPr>
        <w:t>for additional information on these transactions.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20"/>
                <w:szCs w:val="20"/>
                <w:b w:val="1"/>
                <w:bCs w:val="1"/>
                <w:color w:val="231F20"/>
                <w:w w:val="98"/>
              </w:rPr>
              <w:t>Oil and Natural</w:t>
            </w:r>
          </w:p>
        </w:tc>
        <w:tc>
          <w:tcPr>
            <w:tcW w:w="200" w:type="dxa"/>
            <w:vAlign w:val="bottom"/>
          </w:tcPr>
          <w:p>
            <w:pPr>
              <w:spacing w:after="0"/>
              <w:rPr>
                <w:sz w:val="20"/>
                <w:szCs w:val="20"/>
                <w:color w:val="auto"/>
              </w:rPr>
            </w:pPr>
          </w:p>
        </w:tc>
        <w:tc>
          <w:tcPr>
            <w:tcW w:w="1320" w:type="dxa"/>
            <w:vAlign w:val="bottom"/>
            <w:gridSpan w:val="3"/>
          </w:tcPr>
          <w:p>
            <w:pPr>
              <w:ind w:left="260"/>
              <w:spacing w:after="0"/>
              <w:rPr>
                <w:sz w:val="20"/>
                <w:szCs w:val="20"/>
                <w:color w:val="auto"/>
              </w:rPr>
            </w:pPr>
            <w:r>
              <w:rPr>
                <w:rFonts w:ascii="Arial" w:cs="Arial" w:eastAsia="Arial" w:hAnsi="Arial"/>
                <w:sz w:val="20"/>
                <w:szCs w:val="20"/>
                <w:b w:val="1"/>
                <w:bCs w:val="1"/>
                <w:color w:val="231F20"/>
              </w:rPr>
              <w:t>Carbon</w:t>
            </w:r>
          </w:p>
        </w:tc>
        <w:tc>
          <w:tcPr>
            <w:tcW w:w="1580" w:type="dxa"/>
            <w:vAlign w:val="bottom"/>
            <w:gridSpan w:val="4"/>
          </w:tcPr>
          <w:p>
            <w:pPr>
              <w:jc w:val="center"/>
              <w:spacing w:after="0"/>
              <w:rPr>
                <w:sz w:val="20"/>
                <w:szCs w:val="20"/>
                <w:color w:val="auto"/>
              </w:rPr>
            </w:pPr>
            <w:r>
              <w:rPr>
                <w:rFonts w:ascii="Arial" w:cs="Arial" w:eastAsia="Arial" w:hAnsi="Arial"/>
                <w:sz w:val="20"/>
                <w:szCs w:val="20"/>
                <w:b w:val="1"/>
                <w:bCs w:val="1"/>
                <w:color w:val="231F20"/>
              </w:rPr>
              <w:t>Corporate and</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3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420"/>
              <w:spacing w:after="0"/>
              <w:rPr>
                <w:sz w:val="20"/>
                <w:szCs w:val="20"/>
                <w:color w:val="auto"/>
              </w:rPr>
            </w:pPr>
            <w:r>
              <w:rPr>
                <w:rFonts w:ascii="Arial" w:cs="Arial" w:eastAsia="Arial" w:hAnsi="Arial"/>
                <w:sz w:val="20"/>
                <w:szCs w:val="20"/>
                <w:b w:val="1"/>
                <w:bCs w:val="1"/>
                <w:color w:val="231F20"/>
              </w:rPr>
              <w:t>Gas</w:t>
            </w:r>
          </w:p>
        </w:tc>
        <w:tc>
          <w:tcPr>
            <w:tcW w:w="20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Arial" w:cs="Arial" w:eastAsia="Arial" w:hAnsi="Arial"/>
                <w:sz w:val="20"/>
                <w:szCs w:val="20"/>
                <w:b w:val="1"/>
                <w:bCs w:val="1"/>
                <w:color w:val="231F20"/>
              </w:rPr>
              <w:t>Management</w:t>
            </w:r>
          </w:p>
        </w:tc>
        <w:tc>
          <w:tcPr>
            <w:tcW w:w="100" w:type="dxa"/>
            <w:vAlign w:val="bottom"/>
          </w:tcPr>
          <w:p>
            <w:pPr>
              <w:spacing w:after="0"/>
              <w:rPr>
                <w:sz w:val="21"/>
                <w:szCs w:val="21"/>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231F20"/>
              </w:rPr>
              <w:t>Other</w:t>
            </w:r>
          </w:p>
        </w:tc>
        <w:tc>
          <w:tcPr>
            <w:tcW w:w="1360" w:type="dxa"/>
            <w:vAlign w:val="bottom"/>
            <w:gridSpan w:val="3"/>
          </w:tcPr>
          <w:p>
            <w:pPr>
              <w:jc w:val="right"/>
              <w:spacing w:after="0"/>
              <w:rPr>
                <w:sz w:val="20"/>
                <w:szCs w:val="20"/>
                <w:color w:val="auto"/>
              </w:rPr>
            </w:pPr>
            <w:r>
              <w:rPr>
                <w:rFonts w:ascii="Arial" w:cs="Arial" w:eastAsia="Arial" w:hAnsi="Arial"/>
                <w:sz w:val="20"/>
                <w:szCs w:val="20"/>
                <w:b w:val="1"/>
                <w:bCs w:val="1"/>
                <w:color w:val="231F20"/>
              </w:rPr>
              <w:t>Consolidated</w:t>
            </w:r>
          </w:p>
        </w:tc>
      </w:tr>
      <w:tr>
        <w:trPr>
          <w:trHeight w:val="29"/>
        </w:trPr>
        <w:tc>
          <w:tcPr>
            <w:tcW w:w="3240" w:type="dxa"/>
            <w:vAlign w:val="bottom"/>
          </w:tcPr>
          <w:p>
            <w:pPr>
              <w:spacing w:after="0"/>
              <w:rPr>
                <w:sz w:val="2"/>
                <w:szCs w:val="2"/>
                <w:color w:val="auto"/>
              </w:rPr>
            </w:pPr>
          </w:p>
        </w:tc>
        <w:tc>
          <w:tcPr>
            <w:tcW w:w="460" w:type="dxa"/>
            <w:vAlign w:val="bottom"/>
            <w:shd w:val="clear" w:color="auto" w:fill="231F20"/>
          </w:tcPr>
          <w:p>
            <w:pPr>
              <w:spacing w:after="0"/>
              <w:rPr>
                <w:sz w:val="2"/>
                <w:szCs w:val="2"/>
                <w:color w:val="auto"/>
              </w:rPr>
            </w:pPr>
          </w:p>
        </w:tc>
        <w:tc>
          <w:tcPr>
            <w:tcW w:w="960" w:type="dxa"/>
            <w:vAlign w:val="bottom"/>
            <w:shd w:val="clear" w:color="auto" w:fill="231F2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231F20"/>
          </w:tcPr>
          <w:p>
            <w:pPr>
              <w:spacing w:after="0"/>
              <w:rPr>
                <w:sz w:val="2"/>
                <w:szCs w:val="2"/>
                <w:color w:val="auto"/>
              </w:rPr>
            </w:pPr>
          </w:p>
        </w:tc>
        <w:tc>
          <w:tcPr>
            <w:tcW w:w="660" w:type="dxa"/>
            <w:vAlign w:val="bottom"/>
            <w:shd w:val="clear" w:color="auto" w:fill="231F20"/>
          </w:tcPr>
          <w:p>
            <w:pPr>
              <w:spacing w:after="0"/>
              <w:rPr>
                <w:sz w:val="2"/>
                <w:szCs w:val="2"/>
                <w:color w:val="auto"/>
              </w:rPr>
            </w:pPr>
          </w:p>
        </w:tc>
        <w:tc>
          <w:tcPr>
            <w:tcW w:w="200" w:type="dxa"/>
            <w:vAlign w:val="bottom"/>
            <w:gridSpan w:val="2"/>
          </w:tcPr>
          <w:p>
            <w:pPr>
              <w:spacing w:after="0"/>
              <w:rPr>
                <w:sz w:val="2"/>
                <w:szCs w:val="2"/>
                <w:color w:val="auto"/>
              </w:rPr>
            </w:pPr>
          </w:p>
        </w:tc>
        <w:tc>
          <w:tcPr>
            <w:tcW w:w="640" w:type="dxa"/>
            <w:vAlign w:val="bottom"/>
            <w:shd w:val="clear" w:color="auto" w:fill="231F20"/>
          </w:tcPr>
          <w:p>
            <w:pPr>
              <w:spacing w:after="0"/>
              <w:rPr>
                <w:sz w:val="2"/>
                <w:szCs w:val="2"/>
                <w:color w:val="auto"/>
              </w:rPr>
            </w:pPr>
          </w:p>
        </w:tc>
        <w:tc>
          <w:tcPr>
            <w:tcW w:w="740" w:type="dxa"/>
            <w:vAlign w:val="bottom"/>
            <w:shd w:val="clear" w:color="auto" w:fill="231F2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231F20"/>
          </w:tcPr>
          <w:p>
            <w:pPr>
              <w:spacing w:after="0"/>
              <w:rPr>
                <w:sz w:val="2"/>
                <w:szCs w:val="2"/>
                <w:color w:val="auto"/>
              </w:rPr>
            </w:pPr>
          </w:p>
        </w:tc>
        <w:tc>
          <w:tcPr>
            <w:tcW w:w="740" w:type="dxa"/>
            <w:vAlign w:val="bottom"/>
            <w:shd w:val="clear" w:color="auto" w:fill="231F20"/>
          </w:tcPr>
          <w:p>
            <w:pPr>
              <w:spacing w:after="0"/>
              <w:rPr>
                <w:sz w:val="2"/>
                <w:szCs w:val="2"/>
                <w:color w:val="auto"/>
              </w:rPr>
            </w:pPr>
          </w:p>
        </w:tc>
      </w:tr>
      <w:tr>
        <w:trPr>
          <w:trHeight w:val="192"/>
        </w:trPr>
        <w:tc>
          <w:tcPr>
            <w:tcW w:w="3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6"/>
                <w:szCs w:val="16"/>
                <w:color w:val="231F20"/>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7"/>
        </w:trPr>
        <w:tc>
          <w:tcPr>
            <w:tcW w:w="3240" w:type="dxa"/>
            <w:vAlign w:val="bottom"/>
          </w:tcPr>
          <w:p>
            <w:pPr>
              <w:spacing w:after="0" w:line="217" w:lineRule="exact"/>
              <w:rPr>
                <w:sz w:val="20"/>
                <w:szCs w:val="20"/>
                <w:color w:val="auto"/>
              </w:rPr>
            </w:pPr>
            <w:r>
              <w:rPr>
                <w:rFonts w:ascii="Arial" w:cs="Arial" w:eastAsia="Arial" w:hAnsi="Arial"/>
                <w:sz w:val="20"/>
                <w:szCs w:val="20"/>
                <w:color w:val="231F20"/>
              </w:rPr>
              <w:t>Year ended December 31,</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240" w:type="dxa"/>
            <w:vAlign w:val="bottom"/>
          </w:tcPr>
          <w:p>
            <w:pPr>
              <w:spacing w:after="0" w:line="216" w:lineRule="exact"/>
              <w:rPr>
                <w:sz w:val="20"/>
                <w:szCs w:val="20"/>
                <w:color w:val="auto"/>
              </w:rPr>
            </w:pPr>
            <w:r>
              <w:rPr>
                <w:rFonts w:ascii="Arial" w:cs="Arial" w:eastAsia="Arial" w:hAnsi="Arial"/>
                <w:sz w:val="20"/>
                <w:szCs w:val="20"/>
                <w:color w:val="231F20"/>
              </w:rPr>
              <w:t>2025 . . . . . . . . . . . . . . . . . . . . . . . .</w:t>
            </w:r>
          </w:p>
        </w:tc>
        <w:tc>
          <w:tcPr>
            <w:tcW w:w="460" w:type="dxa"/>
            <w:vAlign w:val="bottom"/>
          </w:tcPr>
          <w:p>
            <w:pPr>
              <w:jc w:val="right"/>
              <w:spacing w:after="0" w:line="216" w:lineRule="exact"/>
              <w:rPr>
                <w:sz w:val="20"/>
                <w:szCs w:val="20"/>
                <w:color w:val="auto"/>
              </w:rPr>
            </w:pPr>
            <w:r>
              <w:rPr>
                <w:rFonts w:ascii="Arial" w:cs="Arial" w:eastAsia="Arial" w:hAnsi="Arial"/>
                <w:sz w:val="20"/>
                <w:szCs w:val="20"/>
                <w:color w:val="231F20"/>
              </w:rPr>
              <w:t>$</w:t>
            </w:r>
          </w:p>
        </w:tc>
        <w:tc>
          <w:tcPr>
            <w:tcW w:w="960" w:type="dxa"/>
            <w:vAlign w:val="bottom"/>
          </w:tcPr>
          <w:p>
            <w:pPr>
              <w:jc w:val="right"/>
              <w:ind w:right="180"/>
              <w:spacing w:after="0" w:line="216" w:lineRule="exact"/>
              <w:rPr>
                <w:sz w:val="20"/>
                <w:szCs w:val="20"/>
                <w:color w:val="auto"/>
              </w:rPr>
            </w:pPr>
            <w:r>
              <w:rPr>
                <w:rFonts w:ascii="Arial" w:cs="Arial" w:eastAsia="Arial" w:hAnsi="Arial"/>
                <w:sz w:val="20"/>
                <w:szCs w:val="20"/>
                <w:color w:val="231F20"/>
              </w:rPr>
              <w:t>276</w:t>
            </w:r>
          </w:p>
        </w:tc>
        <w:tc>
          <w:tcPr>
            <w:tcW w:w="760" w:type="dxa"/>
            <w:vAlign w:val="bottom"/>
            <w:gridSpan w:val="2"/>
          </w:tcPr>
          <w:p>
            <w:pPr>
              <w:ind w:left="460"/>
              <w:spacing w:after="0" w:line="216" w:lineRule="exact"/>
              <w:rPr>
                <w:sz w:val="20"/>
                <w:szCs w:val="20"/>
                <w:color w:val="auto"/>
              </w:rPr>
            </w:pPr>
            <w:r>
              <w:rPr>
                <w:rFonts w:ascii="Arial" w:cs="Arial" w:eastAsia="Arial" w:hAnsi="Arial"/>
                <w:sz w:val="20"/>
                <w:szCs w:val="20"/>
                <w:color w:val="231F20"/>
              </w:rPr>
              <w:t>$</w:t>
            </w:r>
          </w:p>
        </w:tc>
        <w:tc>
          <w:tcPr>
            <w:tcW w:w="660" w:type="dxa"/>
            <w:vAlign w:val="bottom"/>
          </w:tcPr>
          <w:p>
            <w:pPr>
              <w:jc w:val="right"/>
              <w:ind w:right="145"/>
              <w:spacing w:after="0" w:line="216" w:lineRule="exact"/>
              <w:rPr>
                <w:sz w:val="20"/>
                <w:szCs w:val="20"/>
                <w:color w:val="auto"/>
              </w:rPr>
            </w:pPr>
            <w:r>
              <w:rPr>
                <w:rFonts w:ascii="Arial" w:cs="Arial" w:eastAsia="Arial" w:hAnsi="Arial"/>
                <w:sz w:val="20"/>
                <w:szCs w:val="20"/>
                <w:color w:val="231F20"/>
              </w:rPr>
              <w:t>33</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220"/>
              <w:spacing w:after="0" w:line="216" w:lineRule="exact"/>
              <w:rPr>
                <w:sz w:val="20"/>
                <w:szCs w:val="20"/>
                <w:color w:val="auto"/>
              </w:rPr>
            </w:pPr>
            <w:r>
              <w:rPr>
                <w:rFonts w:ascii="Arial" w:cs="Arial" w:eastAsia="Arial" w:hAnsi="Arial"/>
                <w:sz w:val="20"/>
                <w:szCs w:val="20"/>
                <w:color w:val="231F20"/>
              </w:rPr>
              <w:t>13</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120"/>
              <w:spacing w:after="0" w:line="216" w:lineRule="exact"/>
              <w:rPr>
                <w:sz w:val="20"/>
                <w:szCs w:val="20"/>
                <w:color w:val="auto"/>
              </w:rPr>
            </w:pPr>
            <w:r>
              <w:rPr>
                <w:rFonts w:ascii="Arial" w:cs="Arial" w:eastAsia="Arial" w:hAnsi="Arial"/>
                <w:sz w:val="20"/>
                <w:szCs w:val="20"/>
                <w:color w:val="231F20"/>
              </w:rPr>
              <w:t>322</w:t>
            </w:r>
          </w:p>
        </w:tc>
      </w:tr>
      <w:tr>
        <w:trPr>
          <w:trHeight w:val="216"/>
        </w:trPr>
        <w:tc>
          <w:tcPr>
            <w:tcW w:w="3240" w:type="dxa"/>
            <w:vAlign w:val="bottom"/>
          </w:tcPr>
          <w:p>
            <w:pPr>
              <w:spacing w:after="0" w:line="216" w:lineRule="exact"/>
              <w:rPr>
                <w:sz w:val="20"/>
                <w:szCs w:val="20"/>
                <w:color w:val="auto"/>
              </w:rPr>
            </w:pPr>
            <w:r>
              <w:rPr>
                <w:rFonts w:ascii="Arial" w:cs="Arial" w:eastAsia="Arial" w:hAnsi="Arial"/>
                <w:sz w:val="20"/>
                <w:szCs w:val="20"/>
                <w:color w:val="231F20"/>
              </w:rPr>
              <w:t>Year ended December 31,</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240" w:type="dxa"/>
            <w:vAlign w:val="bottom"/>
          </w:tcPr>
          <w:p>
            <w:pPr>
              <w:spacing w:after="0" w:line="216" w:lineRule="exact"/>
              <w:rPr>
                <w:sz w:val="20"/>
                <w:szCs w:val="20"/>
                <w:color w:val="auto"/>
              </w:rPr>
            </w:pPr>
            <w:r>
              <w:rPr>
                <w:rFonts w:ascii="Arial" w:cs="Arial" w:eastAsia="Arial" w:hAnsi="Arial"/>
                <w:sz w:val="20"/>
                <w:szCs w:val="20"/>
                <w:color w:val="231F20"/>
              </w:rPr>
              <w:t>2024 . . . . . . . . . . . . . . . . . . . . . . . .</w:t>
            </w:r>
          </w:p>
        </w:tc>
        <w:tc>
          <w:tcPr>
            <w:tcW w:w="460" w:type="dxa"/>
            <w:vAlign w:val="bottom"/>
          </w:tcPr>
          <w:p>
            <w:pPr>
              <w:jc w:val="right"/>
              <w:spacing w:after="0" w:line="216" w:lineRule="exact"/>
              <w:rPr>
                <w:sz w:val="20"/>
                <w:szCs w:val="20"/>
                <w:color w:val="auto"/>
              </w:rPr>
            </w:pPr>
            <w:r>
              <w:rPr>
                <w:rFonts w:ascii="Arial" w:cs="Arial" w:eastAsia="Arial" w:hAnsi="Arial"/>
                <w:sz w:val="20"/>
                <w:szCs w:val="20"/>
                <w:color w:val="231F20"/>
              </w:rPr>
              <w:t>$</w:t>
            </w:r>
          </w:p>
        </w:tc>
        <w:tc>
          <w:tcPr>
            <w:tcW w:w="960" w:type="dxa"/>
            <w:vAlign w:val="bottom"/>
          </w:tcPr>
          <w:p>
            <w:pPr>
              <w:jc w:val="right"/>
              <w:ind w:right="180"/>
              <w:spacing w:after="0" w:line="216" w:lineRule="exact"/>
              <w:rPr>
                <w:sz w:val="20"/>
                <w:szCs w:val="20"/>
                <w:color w:val="auto"/>
              </w:rPr>
            </w:pPr>
            <w:r>
              <w:rPr>
                <w:rFonts w:ascii="Arial" w:cs="Arial" w:eastAsia="Arial" w:hAnsi="Arial"/>
                <w:sz w:val="20"/>
                <w:szCs w:val="20"/>
                <w:color w:val="231F20"/>
              </w:rPr>
              <w:t>234</w:t>
            </w:r>
          </w:p>
        </w:tc>
        <w:tc>
          <w:tcPr>
            <w:tcW w:w="760" w:type="dxa"/>
            <w:vAlign w:val="bottom"/>
            <w:gridSpan w:val="2"/>
          </w:tcPr>
          <w:p>
            <w:pPr>
              <w:ind w:left="460"/>
              <w:spacing w:after="0" w:line="216" w:lineRule="exact"/>
              <w:rPr>
                <w:sz w:val="20"/>
                <w:szCs w:val="20"/>
                <w:color w:val="auto"/>
              </w:rPr>
            </w:pPr>
            <w:r>
              <w:rPr>
                <w:rFonts w:ascii="Arial" w:cs="Arial" w:eastAsia="Arial" w:hAnsi="Arial"/>
                <w:sz w:val="20"/>
                <w:szCs w:val="20"/>
                <w:color w:val="231F20"/>
              </w:rPr>
              <w:t>$</w:t>
            </w:r>
          </w:p>
        </w:tc>
        <w:tc>
          <w:tcPr>
            <w:tcW w:w="660" w:type="dxa"/>
            <w:vAlign w:val="bottom"/>
          </w:tcPr>
          <w:p>
            <w:pPr>
              <w:jc w:val="right"/>
              <w:ind w:right="145"/>
              <w:spacing w:after="0" w:line="216" w:lineRule="exact"/>
              <w:rPr>
                <w:sz w:val="20"/>
                <w:szCs w:val="20"/>
                <w:color w:val="auto"/>
              </w:rPr>
            </w:pPr>
            <w:r>
              <w:rPr>
                <w:rFonts w:ascii="Arial" w:cs="Arial" w:eastAsia="Arial" w:hAnsi="Arial"/>
                <w:sz w:val="20"/>
                <w:szCs w:val="20"/>
                <w:color w:val="231F20"/>
              </w:rPr>
              <w:t>12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220"/>
              <w:spacing w:after="0" w:line="216" w:lineRule="exact"/>
              <w:rPr>
                <w:sz w:val="20"/>
                <w:szCs w:val="20"/>
                <w:color w:val="auto"/>
              </w:rPr>
            </w:pPr>
            <w:r>
              <w:rPr>
                <w:rFonts w:ascii="Arial" w:cs="Arial" w:eastAsia="Arial" w:hAnsi="Arial"/>
                <w:sz w:val="20"/>
                <w:szCs w:val="20"/>
                <w:color w:val="231F20"/>
              </w:rPr>
              <w:t>9</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120"/>
              <w:spacing w:after="0" w:line="216" w:lineRule="exact"/>
              <w:rPr>
                <w:sz w:val="20"/>
                <w:szCs w:val="20"/>
                <w:color w:val="auto"/>
              </w:rPr>
            </w:pPr>
            <w:r>
              <w:rPr>
                <w:rFonts w:ascii="Arial" w:cs="Arial" w:eastAsia="Arial" w:hAnsi="Arial"/>
                <w:sz w:val="20"/>
                <w:szCs w:val="20"/>
                <w:color w:val="231F20"/>
              </w:rPr>
              <w:t>255</w:t>
            </w:r>
          </w:p>
        </w:tc>
      </w:tr>
      <w:tr>
        <w:trPr>
          <w:trHeight w:val="216"/>
        </w:trPr>
        <w:tc>
          <w:tcPr>
            <w:tcW w:w="3240" w:type="dxa"/>
            <w:vAlign w:val="bottom"/>
          </w:tcPr>
          <w:p>
            <w:pPr>
              <w:spacing w:after="0" w:line="216" w:lineRule="exact"/>
              <w:rPr>
                <w:sz w:val="20"/>
                <w:szCs w:val="20"/>
                <w:color w:val="auto"/>
              </w:rPr>
            </w:pPr>
            <w:r>
              <w:rPr>
                <w:rFonts w:ascii="Arial" w:cs="Arial" w:eastAsia="Arial" w:hAnsi="Arial"/>
                <w:sz w:val="20"/>
                <w:szCs w:val="20"/>
                <w:color w:val="231F20"/>
              </w:rPr>
              <w:t>Year ended December 31,</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5"/>
        </w:trPr>
        <w:tc>
          <w:tcPr>
            <w:tcW w:w="3240" w:type="dxa"/>
            <w:vAlign w:val="bottom"/>
          </w:tcPr>
          <w:p>
            <w:pPr>
              <w:spacing w:after="0" w:line="226" w:lineRule="exact"/>
              <w:rPr>
                <w:sz w:val="20"/>
                <w:szCs w:val="20"/>
                <w:color w:val="auto"/>
              </w:rPr>
            </w:pPr>
            <w:r>
              <w:rPr>
                <w:rFonts w:ascii="Arial" w:cs="Arial" w:eastAsia="Arial" w:hAnsi="Arial"/>
                <w:sz w:val="20"/>
                <w:szCs w:val="20"/>
                <w:color w:val="231F20"/>
              </w:rPr>
              <w:t>2023 . . . . . . . . . . . . . . . . . . . . . . . .</w:t>
            </w:r>
          </w:p>
        </w:tc>
        <w:tc>
          <w:tcPr>
            <w:tcW w:w="460" w:type="dxa"/>
            <w:vAlign w:val="bottom"/>
          </w:tcPr>
          <w:p>
            <w:pPr>
              <w:jc w:val="right"/>
              <w:spacing w:after="0" w:line="226" w:lineRule="exact"/>
              <w:rPr>
                <w:sz w:val="20"/>
                <w:szCs w:val="20"/>
                <w:color w:val="auto"/>
              </w:rPr>
            </w:pPr>
            <w:r>
              <w:rPr>
                <w:rFonts w:ascii="Arial" w:cs="Arial" w:eastAsia="Arial" w:hAnsi="Arial"/>
                <w:sz w:val="20"/>
                <w:szCs w:val="20"/>
                <w:color w:val="231F20"/>
              </w:rPr>
              <w:t>$</w:t>
            </w:r>
          </w:p>
        </w:tc>
        <w:tc>
          <w:tcPr>
            <w:tcW w:w="960" w:type="dxa"/>
            <w:vAlign w:val="bottom"/>
          </w:tcPr>
          <w:p>
            <w:pPr>
              <w:jc w:val="right"/>
              <w:ind w:right="180"/>
              <w:spacing w:after="0" w:line="226" w:lineRule="exact"/>
              <w:rPr>
                <w:sz w:val="20"/>
                <w:szCs w:val="20"/>
                <w:color w:val="auto"/>
              </w:rPr>
            </w:pPr>
            <w:r>
              <w:rPr>
                <w:rFonts w:ascii="Arial" w:cs="Arial" w:eastAsia="Arial" w:hAnsi="Arial"/>
                <w:sz w:val="20"/>
                <w:szCs w:val="20"/>
                <w:color w:val="231F20"/>
              </w:rPr>
              <w:t>153</w:t>
            </w:r>
          </w:p>
        </w:tc>
        <w:tc>
          <w:tcPr>
            <w:tcW w:w="760" w:type="dxa"/>
            <w:vAlign w:val="bottom"/>
            <w:gridSpan w:val="2"/>
          </w:tcPr>
          <w:p>
            <w:pPr>
              <w:ind w:left="460"/>
              <w:spacing w:after="0" w:line="226" w:lineRule="exact"/>
              <w:rPr>
                <w:sz w:val="20"/>
                <w:szCs w:val="20"/>
                <w:color w:val="auto"/>
              </w:rPr>
            </w:pPr>
            <w:r>
              <w:rPr>
                <w:rFonts w:ascii="Arial" w:cs="Arial" w:eastAsia="Arial" w:hAnsi="Arial"/>
                <w:sz w:val="20"/>
                <w:szCs w:val="20"/>
                <w:color w:val="231F20"/>
              </w:rPr>
              <w:t>$</w:t>
            </w:r>
          </w:p>
        </w:tc>
        <w:tc>
          <w:tcPr>
            <w:tcW w:w="660" w:type="dxa"/>
            <w:vAlign w:val="bottom"/>
          </w:tcPr>
          <w:p>
            <w:pPr>
              <w:jc w:val="right"/>
              <w:ind w:right="145"/>
              <w:spacing w:after="0" w:line="226" w:lineRule="exact"/>
              <w:rPr>
                <w:sz w:val="20"/>
                <w:szCs w:val="20"/>
                <w:color w:val="auto"/>
              </w:rPr>
            </w:pPr>
            <w:r>
              <w:rPr>
                <w:rFonts w:ascii="Arial" w:cs="Arial" w:eastAsia="Arial" w:hAnsi="Arial"/>
                <w:sz w:val="20"/>
                <w:szCs w:val="20"/>
                <w:color w:val="231F20"/>
              </w:rPr>
              <w:t>5</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220"/>
              <w:spacing w:after="0" w:line="226" w:lineRule="exact"/>
              <w:rPr>
                <w:sz w:val="20"/>
                <w:szCs w:val="20"/>
                <w:color w:val="auto"/>
              </w:rPr>
            </w:pPr>
            <w:r>
              <w:rPr>
                <w:rFonts w:ascii="Arial" w:cs="Arial" w:eastAsia="Arial" w:hAnsi="Arial"/>
                <w:sz w:val="20"/>
                <w:szCs w:val="20"/>
                <w:color w:val="231F20"/>
              </w:rPr>
              <w:t>27</w:t>
            </w:r>
          </w:p>
        </w:tc>
        <w:tc>
          <w:tcPr>
            <w:tcW w:w="100" w:type="dxa"/>
            <w:vAlign w:val="bottom"/>
          </w:tcPr>
          <w:p>
            <w:pPr>
              <w:spacing w:after="0"/>
              <w:rPr>
                <w:sz w:val="19"/>
                <w:szCs w:val="19"/>
                <w:color w:val="auto"/>
              </w:rPr>
            </w:pPr>
          </w:p>
        </w:tc>
        <w:tc>
          <w:tcPr>
            <w:tcW w:w="620" w:type="dxa"/>
            <w:vAlign w:val="bottom"/>
            <w:gridSpan w:val="2"/>
          </w:tcPr>
          <w:p>
            <w:pPr>
              <w:jc w:val="right"/>
              <w:ind w:right="200"/>
              <w:spacing w:after="0" w:line="226"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120"/>
              <w:spacing w:after="0" w:line="226" w:lineRule="exact"/>
              <w:rPr>
                <w:sz w:val="20"/>
                <w:szCs w:val="20"/>
                <w:color w:val="auto"/>
              </w:rPr>
            </w:pPr>
            <w:r>
              <w:rPr>
                <w:rFonts w:ascii="Arial" w:cs="Arial" w:eastAsia="Arial" w:hAnsi="Arial"/>
                <w:sz w:val="20"/>
                <w:szCs w:val="20"/>
                <w:color w:val="231F20"/>
              </w:rPr>
              <w:t>185</w:t>
            </w:r>
          </w:p>
        </w:tc>
      </w:tr>
    </w:tbl>
    <w:p>
      <w:pPr>
        <w:spacing w:after="0" w:line="13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231F20"/>
        </w:rPr>
        <w:t>NOTE 17</w:t>
      </w:r>
      <w:r>
        <w:rPr>
          <w:sz w:val="20"/>
          <w:szCs w:val="20"/>
          <w:color w:val="auto"/>
        </w:rPr>
        <w:tab/>
      </w:r>
      <w:r>
        <w:rPr>
          <w:rFonts w:ascii="Arial" w:cs="Arial" w:eastAsia="Arial" w:hAnsi="Arial"/>
          <w:sz w:val="19"/>
          <w:szCs w:val="19"/>
          <w:b w:val="1"/>
          <w:bCs w:val="1"/>
          <w:color w:val="231F20"/>
        </w:rPr>
        <w:t>SUPPLEMENTAL ACCOUNT BALANCES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 xml:space="preserve">Other current assets, net — </w:t>
      </w:r>
      <w:r>
        <w:rPr>
          <w:rFonts w:ascii="Arial" w:cs="Arial" w:eastAsia="Arial" w:hAnsi="Arial"/>
          <w:sz w:val="20"/>
          <w:szCs w:val="20"/>
          <w:color w:val="231F20"/>
        </w:rPr>
        <w:t>Other current assets, net include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1400" w:type="dxa"/>
            <w:vAlign w:val="bottom"/>
            <w:gridSpan w:val="5"/>
          </w:tcPr>
          <w:p>
            <w:pPr>
              <w:ind w:left="100"/>
              <w:spacing w:after="0"/>
              <w:rPr>
                <w:sz w:val="20"/>
                <w:szCs w:val="20"/>
                <w:color w:val="auto"/>
              </w:rPr>
            </w:pPr>
            <w:r>
              <w:rPr>
                <w:rFonts w:ascii="Arial" w:cs="Arial" w:eastAsia="Arial" w:hAnsi="Arial"/>
                <w:sz w:val="20"/>
                <w:szCs w:val="20"/>
                <w:b w:val="1"/>
                <w:bCs w:val="1"/>
                <w:color w:val="231F20"/>
                <w:w w:val="98"/>
              </w:rPr>
              <w:t>December 31,</w:t>
            </w:r>
          </w:p>
        </w:tc>
        <w:tc>
          <w:tcPr>
            <w:tcW w:w="1500" w:type="dxa"/>
            <w:vAlign w:val="bottom"/>
            <w:gridSpan w:val="5"/>
          </w:tcPr>
          <w:p>
            <w:pPr>
              <w:ind w:left="200"/>
              <w:spacing w:after="0"/>
              <w:rPr>
                <w:sz w:val="20"/>
                <w:szCs w:val="20"/>
                <w:color w:val="auto"/>
              </w:rPr>
            </w:pPr>
            <w:r>
              <w:rPr>
                <w:rFonts w:ascii="Arial" w:cs="Arial" w:eastAsia="Arial" w:hAnsi="Arial"/>
                <w:sz w:val="20"/>
                <w:szCs w:val="20"/>
                <w:b w:val="1"/>
                <w:bCs w:val="1"/>
                <w:color w:val="231F20"/>
                <w:w w:val="98"/>
              </w:rPr>
              <w:t>December 31,</w:t>
            </w:r>
          </w:p>
        </w:tc>
      </w:tr>
      <w:tr>
        <w:trPr>
          <w:trHeight w:val="246"/>
        </w:trPr>
        <w:tc>
          <w:tcPr>
            <w:tcW w:w="6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ind w:right="142"/>
              <w:spacing w:after="0" w:line="226" w:lineRule="exact"/>
              <w:rPr>
                <w:sz w:val="20"/>
                <w:szCs w:val="20"/>
                <w:color w:val="auto"/>
              </w:rPr>
            </w:pPr>
            <w:r>
              <w:rPr>
                <w:rFonts w:ascii="Arial" w:cs="Arial" w:eastAsia="Arial" w:hAnsi="Arial"/>
                <w:sz w:val="20"/>
                <w:szCs w:val="20"/>
                <w:b w:val="1"/>
                <w:bCs w:val="1"/>
                <w:color w:val="231F20"/>
              </w:rPr>
              <w:t>2025</w:t>
            </w:r>
          </w:p>
        </w:tc>
        <w:tc>
          <w:tcPr>
            <w:tcW w:w="180" w:type="dxa"/>
            <w:vAlign w:val="bottom"/>
            <w:tcBorders>
              <w:bottom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ind w:right="140"/>
              <w:spacing w:after="0" w:line="226" w:lineRule="exact"/>
              <w:rPr>
                <w:sz w:val="20"/>
                <w:szCs w:val="20"/>
                <w:color w:val="auto"/>
              </w:rPr>
            </w:pPr>
            <w:r>
              <w:rPr>
                <w:rFonts w:ascii="Arial" w:cs="Arial" w:eastAsia="Arial" w:hAnsi="Arial"/>
                <w:sz w:val="20"/>
                <w:szCs w:val="20"/>
                <w:b w:val="1"/>
                <w:bCs w:val="1"/>
                <w:color w:val="231F20"/>
              </w:rPr>
              <w:t>2024</w:t>
            </w:r>
          </w:p>
        </w:tc>
        <w:tc>
          <w:tcPr>
            <w:tcW w:w="180" w:type="dxa"/>
            <w:vAlign w:val="bottom"/>
            <w:tcBorders>
              <w:bottom w:val="single" w:sz="8" w:color="231F20"/>
            </w:tcBorders>
          </w:tcPr>
          <w:p>
            <w:pPr>
              <w:spacing w:after="0"/>
              <w:rPr>
                <w:sz w:val="21"/>
                <w:szCs w:val="21"/>
                <w:color w:val="auto"/>
              </w:rPr>
            </w:pPr>
          </w:p>
        </w:tc>
      </w:tr>
      <w:tr>
        <w:trPr>
          <w:trHeight w:val="192"/>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5"/>
          </w:tcPr>
          <w:p>
            <w:pPr>
              <w:jc w:val="right"/>
              <w:ind w:right="60"/>
              <w:spacing w:after="0"/>
              <w:rPr>
                <w:sz w:val="20"/>
                <w:szCs w:val="20"/>
                <w:color w:val="auto"/>
              </w:rPr>
            </w:pPr>
            <w:r>
              <w:rPr>
                <w:rFonts w:ascii="Arial" w:cs="Arial" w:eastAsia="Arial" w:hAnsi="Arial"/>
                <w:sz w:val="16"/>
                <w:szCs w:val="16"/>
                <w:color w:val="231F20"/>
              </w:rPr>
              <w:t>(in millions)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7"/>
        </w:trPr>
        <w:tc>
          <w:tcPr>
            <w:tcW w:w="6220" w:type="dxa"/>
            <w:vAlign w:val="bottom"/>
          </w:tcPr>
          <w:p>
            <w:pPr>
              <w:jc w:val="right"/>
              <w:ind w:right="1"/>
              <w:spacing w:after="0" w:line="216" w:lineRule="exact"/>
              <w:rPr>
                <w:sz w:val="20"/>
                <w:szCs w:val="20"/>
                <w:color w:val="auto"/>
              </w:rPr>
            </w:pPr>
            <w:r>
              <w:rPr>
                <w:rFonts w:ascii="Arial" w:cs="Arial" w:eastAsia="Arial" w:hAnsi="Arial"/>
                <w:sz w:val="19"/>
                <w:szCs w:val="19"/>
                <w:color w:val="231F20"/>
              </w:rPr>
              <w:t>Net amounts due from joint interest partners</w:t>
            </w:r>
            <w:r>
              <w:rPr>
                <w:rFonts w:ascii="Arial" w:cs="Arial" w:eastAsia="Arial" w:hAnsi="Arial"/>
                <w:sz w:val="25"/>
                <w:szCs w:val="25"/>
                <w:color w:val="231F20"/>
                <w:vertAlign w:val="superscript"/>
              </w:rPr>
              <w:t>(a)</w:t>
            </w:r>
            <w:r>
              <w:rPr>
                <w:rFonts w:ascii="Arial" w:cs="Arial" w:eastAsia="Arial" w:hAnsi="Arial"/>
                <w:sz w:val="19"/>
                <w:szCs w:val="19"/>
                <w:color w:val="231F20"/>
              </w:rPr>
              <w:t xml:space="preserve">  . . . . . . . . . . . . . . . . . . .</w:t>
            </w:r>
          </w:p>
        </w:tc>
        <w:tc>
          <w:tcPr>
            <w:tcW w:w="460" w:type="dxa"/>
            <w:vAlign w:val="bottom"/>
            <w:gridSpan w:val="3"/>
          </w:tcPr>
          <w:p>
            <w:pPr>
              <w:jc w:val="right"/>
              <w:ind w:right="60"/>
              <w:spacing w:after="0" w:line="217" w:lineRule="exact"/>
              <w:rPr>
                <w:sz w:val="20"/>
                <w:szCs w:val="20"/>
                <w:color w:val="auto"/>
              </w:rPr>
            </w:pPr>
            <w:r>
              <w:rPr>
                <w:rFonts w:ascii="Arial" w:cs="Arial" w:eastAsia="Arial" w:hAnsi="Arial"/>
                <w:sz w:val="20"/>
                <w:szCs w:val="20"/>
                <w:color w:val="231F20"/>
              </w:rPr>
              <w:t>$</w:t>
            </w:r>
          </w:p>
        </w:tc>
        <w:tc>
          <w:tcPr>
            <w:tcW w:w="760" w:type="dxa"/>
            <w:vAlign w:val="bottom"/>
          </w:tcPr>
          <w:p>
            <w:pPr>
              <w:jc w:val="right"/>
              <w:spacing w:after="0" w:line="217" w:lineRule="exact"/>
              <w:rPr>
                <w:sz w:val="20"/>
                <w:szCs w:val="20"/>
                <w:color w:val="auto"/>
              </w:rPr>
            </w:pPr>
            <w:r>
              <w:rPr>
                <w:rFonts w:ascii="Arial" w:cs="Arial" w:eastAsia="Arial" w:hAnsi="Arial"/>
                <w:sz w:val="20"/>
                <w:szCs w:val="20"/>
                <w:color w:val="231F20"/>
              </w:rPr>
              <w:t>56</w:t>
            </w:r>
          </w:p>
        </w:tc>
        <w:tc>
          <w:tcPr>
            <w:tcW w:w="180" w:type="dxa"/>
            <w:vAlign w:val="bottom"/>
          </w:tcPr>
          <w:p>
            <w:pPr>
              <w:spacing w:after="0"/>
              <w:rPr>
                <w:sz w:val="18"/>
                <w:szCs w:val="18"/>
                <w:color w:val="auto"/>
              </w:rPr>
            </w:pPr>
          </w:p>
        </w:tc>
        <w:tc>
          <w:tcPr>
            <w:tcW w:w="560" w:type="dxa"/>
            <w:vAlign w:val="bottom"/>
            <w:gridSpan w:val="3"/>
          </w:tcPr>
          <w:p>
            <w:pPr>
              <w:jc w:val="right"/>
              <w:ind w:right="60"/>
              <w:spacing w:after="0" w:line="217" w:lineRule="exact"/>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80"/>
              <w:spacing w:after="0" w:line="217" w:lineRule="exact"/>
              <w:rPr>
                <w:sz w:val="20"/>
                <w:szCs w:val="20"/>
                <w:color w:val="auto"/>
              </w:rPr>
            </w:pPr>
            <w:r>
              <w:rPr>
                <w:rFonts w:ascii="Arial" w:cs="Arial" w:eastAsia="Arial" w:hAnsi="Arial"/>
                <w:sz w:val="20"/>
                <w:szCs w:val="20"/>
                <w:color w:val="231F20"/>
              </w:rPr>
              <w:t>41</w:t>
            </w:r>
          </w:p>
        </w:tc>
      </w:tr>
      <w:tr>
        <w:trPr>
          <w:trHeight w:val="216"/>
        </w:trPr>
        <w:tc>
          <w:tcPr>
            <w:tcW w:w="6220" w:type="dxa"/>
            <w:vAlign w:val="bottom"/>
          </w:tcPr>
          <w:p>
            <w:pPr>
              <w:jc w:val="right"/>
              <w:ind w:right="1"/>
              <w:spacing w:after="0" w:line="216" w:lineRule="exact"/>
              <w:rPr>
                <w:sz w:val="20"/>
                <w:szCs w:val="20"/>
                <w:color w:val="auto"/>
              </w:rPr>
            </w:pPr>
            <w:r>
              <w:rPr>
                <w:rFonts w:ascii="Arial" w:cs="Arial" w:eastAsia="Arial" w:hAnsi="Arial"/>
                <w:sz w:val="20"/>
                <w:szCs w:val="20"/>
                <w:color w:val="231F20"/>
                <w:w w:val="98"/>
              </w:rPr>
              <w:t>Fair value of commodity derivative contracts  . . . . . . . . . . . . . . . . . . .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231F20"/>
              </w:rPr>
              <w:t>187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231F20"/>
              </w:rPr>
              <w:t>14</w:t>
            </w:r>
          </w:p>
        </w:tc>
      </w:tr>
      <w:tr>
        <w:trPr>
          <w:trHeight w:val="216"/>
        </w:trPr>
        <w:tc>
          <w:tcPr>
            <w:tcW w:w="6220" w:type="dxa"/>
            <w:vAlign w:val="bottom"/>
          </w:tcPr>
          <w:p>
            <w:pPr>
              <w:jc w:val="right"/>
              <w:ind w:right="1"/>
              <w:spacing w:after="0" w:line="216" w:lineRule="exact"/>
              <w:rPr>
                <w:sz w:val="20"/>
                <w:szCs w:val="20"/>
                <w:color w:val="auto"/>
              </w:rPr>
            </w:pPr>
            <w:r>
              <w:rPr>
                <w:rFonts w:ascii="Arial" w:cs="Arial" w:eastAsia="Arial" w:hAnsi="Arial"/>
                <w:sz w:val="20"/>
                <w:szCs w:val="20"/>
                <w:color w:val="231F20"/>
                <w:w w:val="96"/>
              </w:rPr>
              <w:t>Prepaid expenses  . . . . . . . . . . . . . . . . . . . . . . . . . . . . . . . . . . . . . . . . .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231F20"/>
              </w:rPr>
              <w:t>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231F20"/>
              </w:rPr>
              <w:t>28</w:t>
            </w:r>
          </w:p>
        </w:tc>
      </w:tr>
      <w:tr>
        <w:trPr>
          <w:trHeight w:val="216"/>
        </w:trPr>
        <w:tc>
          <w:tcPr>
            <w:tcW w:w="6220" w:type="dxa"/>
            <w:vAlign w:val="bottom"/>
          </w:tcPr>
          <w:p>
            <w:pPr>
              <w:jc w:val="right"/>
              <w:ind w:right="1"/>
              <w:spacing w:after="0" w:line="216" w:lineRule="exact"/>
              <w:rPr>
                <w:sz w:val="20"/>
                <w:szCs w:val="20"/>
                <w:color w:val="auto"/>
              </w:rPr>
            </w:pPr>
            <w:r>
              <w:rPr>
                <w:rFonts w:ascii="Arial" w:cs="Arial" w:eastAsia="Arial" w:hAnsi="Arial"/>
                <w:sz w:val="20"/>
                <w:szCs w:val="20"/>
                <w:color w:val="231F20"/>
                <w:w w:val="97"/>
              </w:rPr>
              <w:t>Greenhouse gas allowances  . . . . . . . . . . . . . . . . . . . . . . . . . . . . . . . .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231F20"/>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231F20"/>
              </w:rPr>
              <w:t>27</w:t>
            </w:r>
          </w:p>
        </w:tc>
      </w:tr>
      <w:tr>
        <w:trPr>
          <w:trHeight w:val="216"/>
        </w:trPr>
        <w:tc>
          <w:tcPr>
            <w:tcW w:w="6220" w:type="dxa"/>
            <w:vAlign w:val="bottom"/>
          </w:tcPr>
          <w:p>
            <w:pPr>
              <w:jc w:val="right"/>
              <w:ind w:right="1"/>
              <w:spacing w:after="0" w:line="216" w:lineRule="exact"/>
              <w:rPr>
                <w:sz w:val="20"/>
                <w:szCs w:val="20"/>
                <w:color w:val="auto"/>
              </w:rPr>
            </w:pPr>
            <w:r>
              <w:rPr>
                <w:rFonts w:ascii="Arial" w:cs="Arial" w:eastAsia="Arial" w:hAnsi="Arial"/>
                <w:sz w:val="20"/>
                <w:szCs w:val="20"/>
                <w:color w:val="231F20"/>
                <w:w w:val="97"/>
              </w:rPr>
              <w:t>Income tax receivable . . . . . . . . . . . . . . . . . . . . . . . . . . . . . . . . . . . . . .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line="216" w:lineRule="exact"/>
              <w:rPr>
                <w:sz w:val="20"/>
                <w:szCs w:val="20"/>
                <w:color w:val="auto"/>
              </w:rPr>
            </w:pPr>
            <w:r>
              <w:rPr>
                <w:rFonts w:ascii="Arial" w:cs="Arial" w:eastAsia="Arial" w:hAnsi="Arial"/>
                <w:sz w:val="20"/>
                <w:szCs w:val="20"/>
                <w:color w:val="231F20"/>
              </w:rPr>
              <w:t>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231F20"/>
              </w:rPr>
              <w:t>50</w:t>
            </w:r>
          </w:p>
        </w:tc>
      </w:tr>
      <w:tr>
        <w:trPr>
          <w:trHeight w:val="223"/>
        </w:trPr>
        <w:tc>
          <w:tcPr>
            <w:tcW w:w="6220" w:type="dxa"/>
            <w:vAlign w:val="bottom"/>
          </w:tcPr>
          <w:p>
            <w:pPr>
              <w:jc w:val="right"/>
              <w:ind w:right="1"/>
              <w:spacing w:after="0" w:line="223" w:lineRule="exact"/>
              <w:rPr>
                <w:sz w:val="20"/>
                <w:szCs w:val="20"/>
                <w:color w:val="auto"/>
              </w:rPr>
            </w:pPr>
            <w:r>
              <w:rPr>
                <w:rFonts w:ascii="Arial" w:cs="Arial" w:eastAsia="Arial" w:hAnsi="Arial"/>
                <w:sz w:val="20"/>
                <w:szCs w:val="20"/>
                <w:color w:val="231F20"/>
                <w:w w:val="95"/>
              </w:rPr>
              <w:t>Other . . . . . . . . . . . . . . . . . . . . . . . . . . . . . . . . . . . . . . . . . . . . . . . . . . . .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line="223" w:lineRule="exact"/>
              <w:rPr>
                <w:sz w:val="20"/>
                <w:szCs w:val="20"/>
                <w:color w:val="auto"/>
              </w:rPr>
            </w:pPr>
            <w:r>
              <w:rPr>
                <w:rFonts w:ascii="Arial" w:cs="Arial" w:eastAsia="Arial" w:hAnsi="Arial"/>
                <w:sz w:val="20"/>
                <w:szCs w:val="20"/>
                <w:color w:val="231F20"/>
              </w:rPr>
              <w:t>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line="223" w:lineRule="exact"/>
              <w:rPr>
                <w:sz w:val="20"/>
                <w:szCs w:val="20"/>
                <w:color w:val="auto"/>
              </w:rPr>
            </w:pPr>
            <w:r>
              <w:rPr>
                <w:rFonts w:ascii="Arial" w:cs="Arial" w:eastAsia="Arial" w:hAnsi="Arial"/>
                <w:sz w:val="20"/>
                <w:szCs w:val="20"/>
                <w:color w:val="231F20"/>
              </w:rPr>
              <w:t>16</w:t>
            </w:r>
          </w:p>
        </w:tc>
      </w:tr>
      <w:tr>
        <w:trPr>
          <w:trHeight w:val="30"/>
        </w:trPr>
        <w:tc>
          <w:tcPr>
            <w:tcW w:w="62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46"/>
        </w:trPr>
        <w:tc>
          <w:tcPr>
            <w:tcW w:w="6220" w:type="dxa"/>
            <w:vAlign w:val="bottom"/>
          </w:tcPr>
          <w:p>
            <w:pPr>
              <w:jc w:val="right"/>
              <w:ind w:right="1"/>
              <w:spacing w:after="0"/>
              <w:rPr>
                <w:sz w:val="20"/>
                <w:szCs w:val="20"/>
                <w:color w:val="auto"/>
              </w:rPr>
            </w:pPr>
            <w:r>
              <w:rPr>
                <w:rFonts w:ascii="Arial" w:cs="Arial" w:eastAsia="Arial" w:hAnsi="Arial"/>
                <w:sz w:val="20"/>
                <w:szCs w:val="20"/>
                <w:color w:val="231F20"/>
              </w:rPr>
              <w:t>Other current assets, net . . . . . . . . . . . . . . . . . . . . . . . . . . . . . . . . .</w:t>
            </w:r>
          </w:p>
        </w:tc>
        <w:tc>
          <w:tcPr>
            <w:tcW w:w="460" w:type="dxa"/>
            <w:vAlign w:val="bottom"/>
            <w:gridSpan w:val="3"/>
          </w:tcPr>
          <w:p>
            <w:pPr>
              <w:jc w:val="right"/>
              <w:ind w:right="60"/>
              <w:spacing w:after="0"/>
              <w:rPr>
                <w:sz w:val="20"/>
                <w:szCs w:val="20"/>
                <w:color w:val="auto"/>
              </w:rPr>
            </w:pPr>
            <w:r>
              <w:rPr>
                <w:rFonts w:ascii="Arial" w:cs="Arial" w:eastAsia="Arial" w:hAnsi="Arial"/>
                <w:sz w:val="20"/>
                <w:szCs w:val="20"/>
                <w:color w:val="231F20"/>
              </w:rPr>
              <w:t>$</w:t>
            </w:r>
          </w:p>
        </w:tc>
        <w:tc>
          <w:tcPr>
            <w:tcW w:w="760" w:type="dxa"/>
            <w:vAlign w:val="bottom"/>
          </w:tcPr>
          <w:p>
            <w:pPr>
              <w:jc w:val="right"/>
              <w:spacing w:after="0"/>
              <w:rPr>
                <w:sz w:val="20"/>
                <w:szCs w:val="20"/>
                <w:color w:val="auto"/>
              </w:rPr>
            </w:pPr>
            <w:r>
              <w:rPr>
                <w:rFonts w:ascii="Arial" w:cs="Arial" w:eastAsia="Arial" w:hAnsi="Arial"/>
                <w:sz w:val="20"/>
                <w:szCs w:val="20"/>
                <w:color w:val="231F20"/>
              </w:rPr>
              <w:t>353</w:t>
            </w:r>
          </w:p>
        </w:tc>
        <w:tc>
          <w:tcPr>
            <w:tcW w:w="180" w:type="dxa"/>
            <w:vAlign w:val="bottom"/>
          </w:tcPr>
          <w:p>
            <w:pPr>
              <w:spacing w:after="0"/>
              <w:rPr>
                <w:sz w:val="21"/>
                <w:szCs w:val="21"/>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231F20"/>
              </w:rPr>
              <w:t>176</w:t>
            </w:r>
          </w:p>
        </w:tc>
      </w:tr>
      <w:tr>
        <w:trPr>
          <w:trHeight w:val="30"/>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53" w:lineRule="exact"/>
        <w:rPr>
          <w:sz w:val="20"/>
          <w:szCs w:val="20"/>
          <w:color w:val="auto"/>
        </w:rPr>
      </w:pPr>
    </w:p>
    <w:p>
      <w:pPr>
        <w:ind w:left="320" w:hanging="320"/>
        <w:spacing w:after="0" w:line="253" w:lineRule="auto"/>
        <w:tabs>
          <w:tab w:leader="none" w:pos="320" w:val="left"/>
        </w:tabs>
        <w:numPr>
          <w:ilvl w:val="0"/>
          <w:numId w:val="85"/>
        </w:numPr>
        <w:rPr>
          <w:rFonts w:ascii="Arial" w:cs="Arial" w:eastAsia="Arial" w:hAnsi="Arial"/>
          <w:sz w:val="16"/>
          <w:szCs w:val="16"/>
          <w:color w:val="231F20"/>
        </w:rPr>
      </w:pPr>
      <w:r>
        <w:rPr>
          <w:rFonts w:ascii="Arial" w:cs="Arial" w:eastAsia="Arial" w:hAnsi="Arial"/>
          <w:sz w:val="16"/>
          <w:szCs w:val="16"/>
          <w:color w:val="231F20"/>
        </w:rPr>
        <w:t>The amounts due from joint interest partners include $2 million and an insignificant amount of allowances for credit losses as of December 31, 2025 and December 31, 2024, respectively.</w:t>
      </w:r>
    </w:p>
    <w:p>
      <w:pPr>
        <w:sectPr>
          <w:pgSz w:w="11880" w:h="15480" w:orient="portrait"/>
          <w:cols w:equalWidth="0" w:num="1">
            <w:col w:w="9120"/>
          </w:cols>
          <w:pgMar w:left="1380" w:top="1270" w:right="1380" w:bottom="66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146</w:t>
      </w:r>
    </w:p>
    <w:p>
      <w:pPr>
        <w:sectPr>
          <w:pgSz w:w="11880" w:h="15480" w:orient="portrait"/>
          <w:cols w:equalWidth="0" w:num="1">
            <w:col w:w="9120"/>
          </w:cols>
          <w:pgMar w:left="1380" w:top="1270" w:right="1380" w:bottom="660" w:gutter="0" w:footer="0" w:header="0"/>
          <w:type w:val="continuous"/>
        </w:sectPr>
      </w:pPr>
    </w:p>
    <w:bookmarkStart w:id="150" w:name="page151"/>
    <w:bookmarkEnd w:id="150"/>
    <w:p>
      <w:pPr>
        <w:spacing w:after="0"/>
        <w:rPr>
          <w:sz w:val="20"/>
          <w:szCs w:val="20"/>
          <w:color w:val="auto"/>
        </w:rPr>
      </w:pPr>
      <w:r>
        <w:rPr>
          <w:rFonts w:ascii="Arial" w:cs="Arial" w:eastAsia="Arial" w:hAnsi="Arial"/>
          <w:sz w:val="20"/>
          <w:szCs w:val="20"/>
          <w:b w:val="1"/>
          <w:bCs w:val="1"/>
          <w:i w:val="1"/>
          <w:iCs w:val="1"/>
          <w:color w:val="231F20"/>
        </w:rPr>
        <w:t xml:space="preserve">Other noncurrent assets — </w:t>
      </w:r>
      <w:r>
        <w:rPr>
          <w:rFonts w:ascii="Arial" w:cs="Arial" w:eastAsia="Arial" w:hAnsi="Arial"/>
          <w:sz w:val="20"/>
          <w:szCs w:val="20"/>
          <w:color w:val="231F20"/>
        </w:rPr>
        <w:t>Other noncurrent assets include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1400" w:type="dxa"/>
            <w:vAlign w:val="bottom"/>
            <w:gridSpan w:val="7"/>
          </w:tcPr>
          <w:p>
            <w:pPr>
              <w:jc w:val="center"/>
              <w:spacing w:after="0"/>
              <w:rPr>
                <w:sz w:val="20"/>
                <w:szCs w:val="20"/>
                <w:color w:val="auto"/>
              </w:rPr>
            </w:pPr>
            <w:r>
              <w:rPr>
                <w:rFonts w:ascii="Arial" w:cs="Arial" w:eastAsia="Arial" w:hAnsi="Arial"/>
                <w:sz w:val="20"/>
                <w:szCs w:val="20"/>
                <w:b w:val="1"/>
                <w:bCs w:val="1"/>
                <w:color w:val="231F20"/>
                <w:w w:val="99"/>
              </w:rPr>
              <w:t>December 31,</w:t>
            </w:r>
          </w:p>
        </w:tc>
        <w:tc>
          <w:tcPr>
            <w:tcW w:w="1500" w:type="dxa"/>
            <w:vAlign w:val="bottom"/>
            <w:gridSpan w:val="5"/>
          </w:tcPr>
          <w:p>
            <w:pPr>
              <w:jc w:val="center"/>
              <w:ind w:left="100"/>
              <w:spacing w:after="0"/>
              <w:rPr>
                <w:sz w:val="20"/>
                <w:szCs w:val="20"/>
                <w:color w:val="auto"/>
              </w:rPr>
            </w:pPr>
            <w:r>
              <w:rPr>
                <w:rFonts w:ascii="Arial" w:cs="Arial" w:eastAsia="Arial" w:hAnsi="Arial"/>
                <w:sz w:val="20"/>
                <w:szCs w:val="20"/>
                <w:b w:val="1"/>
                <w:bCs w:val="1"/>
                <w:color w:val="231F20"/>
                <w:w w:val="99"/>
              </w:rPr>
              <w:t>December 31,</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center"/>
              <w:ind w:right="82"/>
              <w:spacing w:after="0" w:line="228" w:lineRule="exact"/>
              <w:rPr>
                <w:sz w:val="20"/>
                <w:szCs w:val="20"/>
                <w:color w:val="auto"/>
              </w:rPr>
            </w:pPr>
            <w:r>
              <w:rPr>
                <w:rFonts w:ascii="Arial" w:cs="Arial" w:eastAsia="Arial" w:hAnsi="Arial"/>
                <w:sz w:val="20"/>
                <w:szCs w:val="20"/>
                <w:b w:val="1"/>
                <w:bCs w:val="1"/>
                <w:color w:val="231F20"/>
              </w:rPr>
              <w:t>2025</w:t>
            </w:r>
          </w:p>
        </w:tc>
        <w:tc>
          <w:tcPr>
            <w:tcW w:w="6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jc w:val="center"/>
              <w:ind w:right="140"/>
              <w:spacing w:after="0" w:line="228" w:lineRule="exact"/>
              <w:rPr>
                <w:sz w:val="20"/>
                <w:szCs w:val="20"/>
                <w:color w:val="auto"/>
              </w:rPr>
            </w:pPr>
            <w:r>
              <w:rPr>
                <w:rFonts w:ascii="Arial" w:cs="Arial" w:eastAsia="Arial" w:hAnsi="Arial"/>
                <w:sz w:val="20"/>
                <w:szCs w:val="20"/>
                <w:b w:val="1"/>
                <w:bCs w:val="1"/>
                <w:color w:val="231F20"/>
              </w:rPr>
              <w:t>2024</w:t>
            </w:r>
          </w:p>
        </w:tc>
        <w:tc>
          <w:tcPr>
            <w:tcW w:w="1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6"/>
          </w:tcPr>
          <w:p>
            <w:pPr>
              <w:jc w:val="right"/>
              <w:ind w:right="60"/>
              <w:spacing w:after="0"/>
              <w:rPr>
                <w:sz w:val="20"/>
                <w:szCs w:val="20"/>
                <w:color w:val="auto"/>
              </w:rPr>
            </w:pPr>
            <w:r>
              <w:rPr>
                <w:rFonts w:ascii="Arial" w:cs="Arial" w:eastAsia="Arial" w:hAnsi="Arial"/>
                <w:sz w:val="16"/>
                <w:szCs w:val="16"/>
                <w:color w:val="231F20"/>
              </w:rPr>
              <w:t>(in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220" w:type="dxa"/>
            <w:vAlign w:val="bottom"/>
          </w:tcPr>
          <w:p>
            <w:pPr>
              <w:jc w:val="right"/>
              <w:spacing w:after="0"/>
              <w:rPr>
                <w:sz w:val="20"/>
                <w:szCs w:val="20"/>
                <w:color w:val="auto"/>
              </w:rPr>
            </w:pPr>
            <w:r>
              <w:rPr>
                <w:rFonts w:ascii="Arial" w:cs="Arial" w:eastAsia="Arial" w:hAnsi="Arial"/>
                <w:sz w:val="20"/>
                <w:szCs w:val="20"/>
                <w:color w:val="231F20"/>
                <w:w w:val="97"/>
              </w:rPr>
              <w:t>Operating lease right-of-use assets . . . . . . . . . . . . . . . . . . . . . . . . . . . .</w:t>
            </w:r>
          </w:p>
        </w:tc>
        <w:tc>
          <w:tcPr>
            <w:tcW w:w="460" w:type="dxa"/>
            <w:vAlign w:val="bottom"/>
            <w:gridSpan w:val="4"/>
          </w:tcPr>
          <w:p>
            <w:pPr>
              <w:jc w:val="right"/>
              <w:ind w:right="60"/>
              <w:spacing w:after="0"/>
              <w:rPr>
                <w:sz w:val="20"/>
                <w:szCs w:val="20"/>
                <w:color w:val="auto"/>
              </w:rPr>
            </w:pPr>
            <w:r>
              <w:rPr>
                <w:rFonts w:ascii="Arial" w:cs="Arial" w:eastAsia="Arial" w:hAnsi="Arial"/>
                <w:sz w:val="20"/>
                <w:szCs w:val="20"/>
                <w:color w:val="231F20"/>
              </w:rPr>
              <w:t>$</w:t>
            </w:r>
          </w:p>
        </w:tc>
        <w:tc>
          <w:tcPr>
            <w:tcW w:w="760" w:type="dxa"/>
            <w:vAlign w:val="bottom"/>
          </w:tcPr>
          <w:p>
            <w:pPr>
              <w:jc w:val="right"/>
              <w:spacing w:after="0"/>
              <w:rPr>
                <w:sz w:val="20"/>
                <w:szCs w:val="20"/>
                <w:color w:val="auto"/>
              </w:rPr>
            </w:pPr>
            <w:r>
              <w:rPr>
                <w:rFonts w:ascii="Arial" w:cs="Arial" w:eastAsia="Arial" w:hAnsi="Arial"/>
                <w:sz w:val="20"/>
                <w:szCs w:val="20"/>
                <w:color w:val="231F20"/>
              </w:rPr>
              <w:t>83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105</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9"/>
              </w:rPr>
              <w:t>Deferred financing costs - Revolving Credit Facility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23</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7"/>
              </w:rPr>
              <w:t>Emission reduction credits  .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11</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8"/>
              </w:rPr>
              <w:t>Fair value of commodity derivative contracts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20"/>
                <w:szCs w:val="20"/>
                <w:color w:val="231F20"/>
              </w:rPr>
              <w:t>101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16</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6"/>
              </w:rPr>
              <w:t>Funded pension . . . . . . . . . .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67</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6"/>
              </w:rPr>
              <w:t>Postretirement plan . . . . . . .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13</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5"/>
              </w:rPr>
              <w:t>Other . . . . . . . . . . . . . . . . . . .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37</w:t>
            </w:r>
          </w:p>
        </w:tc>
        <w:tc>
          <w:tcPr>
            <w:tcW w:w="0" w:type="dxa"/>
            <w:vAlign w:val="bottom"/>
          </w:tcPr>
          <w:p>
            <w:pPr>
              <w:spacing w:after="0"/>
              <w:rPr>
                <w:sz w:val="1"/>
                <w:szCs w:val="1"/>
                <w:color w:val="auto"/>
              </w:rPr>
            </w:pPr>
          </w:p>
        </w:tc>
      </w:tr>
      <w:tr>
        <w:trPr>
          <w:trHeight w:val="30"/>
        </w:trPr>
        <w:tc>
          <w:tcPr>
            <w:tcW w:w="6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20" w:type="dxa"/>
            <w:vAlign w:val="bottom"/>
          </w:tcPr>
          <w:p>
            <w:pPr>
              <w:jc w:val="right"/>
              <w:spacing w:after="0"/>
              <w:rPr>
                <w:sz w:val="20"/>
                <w:szCs w:val="20"/>
                <w:color w:val="auto"/>
              </w:rPr>
            </w:pPr>
            <w:r>
              <w:rPr>
                <w:rFonts w:ascii="Arial" w:cs="Arial" w:eastAsia="Arial" w:hAnsi="Arial"/>
                <w:sz w:val="20"/>
                <w:szCs w:val="20"/>
                <w:color w:val="231F20"/>
              </w:rPr>
              <w:t>Other noncurrent assets  . . . . . . . . . . . . . . . . . . . . . . . . . . . . . . . . .</w:t>
            </w:r>
          </w:p>
        </w:tc>
        <w:tc>
          <w:tcPr>
            <w:tcW w:w="460" w:type="dxa"/>
            <w:vAlign w:val="bottom"/>
            <w:gridSpan w:val="4"/>
          </w:tcPr>
          <w:p>
            <w:pPr>
              <w:jc w:val="right"/>
              <w:ind w:right="60"/>
              <w:spacing w:after="0"/>
              <w:rPr>
                <w:sz w:val="20"/>
                <w:szCs w:val="20"/>
                <w:color w:val="auto"/>
              </w:rPr>
            </w:pPr>
            <w:r>
              <w:rPr>
                <w:rFonts w:ascii="Arial" w:cs="Arial" w:eastAsia="Arial" w:hAnsi="Arial"/>
                <w:sz w:val="20"/>
                <w:szCs w:val="20"/>
                <w:color w:val="231F20"/>
              </w:rPr>
              <w:t>$</w:t>
            </w:r>
          </w:p>
        </w:tc>
        <w:tc>
          <w:tcPr>
            <w:tcW w:w="820" w:type="dxa"/>
            <w:vAlign w:val="bottom"/>
            <w:gridSpan w:val="2"/>
          </w:tcPr>
          <w:p>
            <w:pPr>
              <w:jc w:val="right"/>
              <w:ind w:right="60"/>
              <w:spacing w:after="0"/>
              <w:rPr>
                <w:sz w:val="20"/>
                <w:szCs w:val="20"/>
                <w:color w:val="auto"/>
              </w:rPr>
            </w:pPr>
            <w:r>
              <w:rPr>
                <w:rFonts w:ascii="Arial" w:cs="Arial" w:eastAsia="Arial" w:hAnsi="Arial"/>
                <w:sz w:val="20"/>
                <w:szCs w:val="20"/>
                <w:color w:val="231F20"/>
              </w:rPr>
              <w:t>373</w:t>
            </w:r>
          </w:p>
        </w:tc>
        <w:tc>
          <w:tcPr>
            <w:tcW w:w="120" w:type="dxa"/>
            <w:vAlign w:val="bottom"/>
          </w:tcPr>
          <w:p>
            <w:pPr>
              <w:spacing w:after="0"/>
              <w:rPr>
                <w:sz w:val="23"/>
                <w:szCs w:val="2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272</w:t>
            </w:r>
          </w:p>
        </w:tc>
        <w:tc>
          <w:tcPr>
            <w:tcW w:w="0" w:type="dxa"/>
            <w:vAlign w:val="bottom"/>
          </w:tcPr>
          <w:p>
            <w:pPr>
              <w:spacing w:after="0"/>
              <w:rPr>
                <w:sz w:val="1"/>
                <w:szCs w:val="1"/>
                <w:color w:val="auto"/>
              </w:rPr>
            </w:pPr>
          </w:p>
        </w:tc>
      </w:tr>
      <w:tr>
        <w:trPr>
          <w:trHeight w:val="30"/>
        </w:trPr>
        <w:tc>
          <w:tcPr>
            <w:tcW w:w="6220" w:type="dxa"/>
            <w:vAlign w:val="bottom"/>
            <w:vMerge w:val="restart"/>
          </w:tcPr>
          <w:p>
            <w:pPr>
              <w:jc w:val="right"/>
              <w:ind w:right="640"/>
              <w:spacing w:after="0"/>
              <w:rPr>
                <w:sz w:val="20"/>
                <w:szCs w:val="20"/>
                <w:color w:val="auto"/>
              </w:rPr>
            </w:pPr>
            <w:r>
              <w:rPr>
                <w:rFonts w:ascii="Arial" w:cs="Arial" w:eastAsia="Arial" w:hAnsi="Arial"/>
                <w:sz w:val="20"/>
                <w:szCs w:val="20"/>
                <w:b w:val="1"/>
                <w:bCs w:val="1"/>
                <w:i w:val="1"/>
                <w:iCs w:val="1"/>
                <w:color w:val="231F20"/>
                <w:w w:val="99"/>
              </w:rPr>
              <w:t xml:space="preserve">Accrued liabilities — </w:t>
            </w:r>
            <w:r>
              <w:rPr>
                <w:rFonts w:ascii="Arial" w:cs="Arial" w:eastAsia="Arial" w:hAnsi="Arial"/>
                <w:sz w:val="20"/>
                <w:szCs w:val="20"/>
                <w:color w:val="231F20"/>
                <w:w w:val="99"/>
              </w:rPr>
              <w:t>Accrued liabilities include the following:</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220" w:type="dxa"/>
            <w:vAlign w:val="bottom"/>
          </w:tcPr>
          <w:p>
            <w:pPr>
              <w:spacing w:after="0"/>
              <w:rPr>
                <w:sz w:val="24"/>
                <w:szCs w:val="24"/>
                <w:color w:val="auto"/>
              </w:rPr>
            </w:pPr>
          </w:p>
        </w:tc>
        <w:tc>
          <w:tcPr>
            <w:tcW w:w="1400" w:type="dxa"/>
            <w:vAlign w:val="bottom"/>
            <w:gridSpan w:val="7"/>
          </w:tcPr>
          <w:p>
            <w:pPr>
              <w:jc w:val="center"/>
              <w:spacing w:after="0"/>
              <w:rPr>
                <w:sz w:val="20"/>
                <w:szCs w:val="20"/>
                <w:color w:val="auto"/>
              </w:rPr>
            </w:pPr>
            <w:r>
              <w:rPr>
                <w:rFonts w:ascii="Arial" w:cs="Arial" w:eastAsia="Arial" w:hAnsi="Arial"/>
                <w:sz w:val="20"/>
                <w:szCs w:val="20"/>
                <w:b w:val="1"/>
                <w:bCs w:val="1"/>
                <w:color w:val="231F20"/>
                <w:w w:val="99"/>
              </w:rPr>
              <w:t>December 31,</w:t>
            </w:r>
          </w:p>
        </w:tc>
        <w:tc>
          <w:tcPr>
            <w:tcW w:w="1500" w:type="dxa"/>
            <w:vAlign w:val="bottom"/>
            <w:gridSpan w:val="5"/>
          </w:tcPr>
          <w:p>
            <w:pPr>
              <w:jc w:val="center"/>
              <w:ind w:left="100"/>
              <w:spacing w:after="0"/>
              <w:rPr>
                <w:sz w:val="20"/>
                <w:szCs w:val="20"/>
                <w:color w:val="auto"/>
              </w:rPr>
            </w:pPr>
            <w:r>
              <w:rPr>
                <w:rFonts w:ascii="Arial" w:cs="Arial" w:eastAsia="Arial" w:hAnsi="Arial"/>
                <w:sz w:val="20"/>
                <w:szCs w:val="20"/>
                <w:b w:val="1"/>
                <w:bCs w:val="1"/>
                <w:color w:val="231F20"/>
                <w:w w:val="99"/>
              </w:rPr>
              <w:t>December 31,</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center"/>
              <w:ind w:right="82"/>
              <w:spacing w:after="0"/>
              <w:rPr>
                <w:sz w:val="20"/>
                <w:szCs w:val="20"/>
                <w:color w:val="auto"/>
              </w:rPr>
            </w:pPr>
            <w:r>
              <w:rPr>
                <w:rFonts w:ascii="Arial" w:cs="Arial" w:eastAsia="Arial" w:hAnsi="Arial"/>
                <w:sz w:val="20"/>
                <w:szCs w:val="20"/>
                <w:b w:val="1"/>
                <w:bCs w:val="1"/>
                <w:color w:val="231F20"/>
              </w:rPr>
              <w:t>2025</w:t>
            </w:r>
          </w:p>
        </w:tc>
        <w:tc>
          <w:tcPr>
            <w:tcW w:w="6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jc w:val="center"/>
              <w:ind w:right="140"/>
              <w:spacing w:after="0"/>
              <w:rPr>
                <w:sz w:val="20"/>
                <w:szCs w:val="20"/>
                <w:color w:val="auto"/>
              </w:rPr>
            </w:pPr>
            <w:r>
              <w:rPr>
                <w:rFonts w:ascii="Arial" w:cs="Arial" w:eastAsia="Arial" w:hAnsi="Arial"/>
                <w:sz w:val="20"/>
                <w:szCs w:val="20"/>
                <w:b w:val="1"/>
                <w:bCs w:val="1"/>
                <w:color w:val="231F20"/>
              </w:rPr>
              <w:t>2024</w:t>
            </w:r>
          </w:p>
        </w:tc>
        <w:tc>
          <w:tcPr>
            <w:tcW w:w="1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6"/>
          </w:tcPr>
          <w:p>
            <w:pPr>
              <w:jc w:val="right"/>
              <w:ind w:right="60"/>
              <w:spacing w:after="0"/>
              <w:rPr>
                <w:sz w:val="20"/>
                <w:szCs w:val="20"/>
                <w:color w:val="auto"/>
              </w:rPr>
            </w:pPr>
            <w:r>
              <w:rPr>
                <w:rFonts w:ascii="Arial" w:cs="Arial" w:eastAsia="Arial" w:hAnsi="Arial"/>
                <w:sz w:val="16"/>
                <w:szCs w:val="16"/>
                <w:color w:val="231F20"/>
              </w:rPr>
              <w:t>(in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20" w:type="dxa"/>
            <w:vAlign w:val="bottom"/>
          </w:tcPr>
          <w:p>
            <w:pPr>
              <w:jc w:val="right"/>
              <w:spacing w:after="0"/>
              <w:rPr>
                <w:sz w:val="20"/>
                <w:szCs w:val="20"/>
                <w:color w:val="auto"/>
              </w:rPr>
            </w:pPr>
            <w:r>
              <w:rPr>
                <w:rFonts w:ascii="Arial" w:cs="Arial" w:eastAsia="Arial" w:hAnsi="Arial"/>
                <w:sz w:val="20"/>
                <w:szCs w:val="20"/>
                <w:color w:val="231F20"/>
                <w:w w:val="97"/>
              </w:rPr>
              <w:t>Compensation-related liabilities . . . . . . . . . . . . . . . . . . . . . . . . . . . . . . .</w:t>
            </w:r>
          </w:p>
        </w:tc>
        <w:tc>
          <w:tcPr>
            <w:tcW w:w="460" w:type="dxa"/>
            <w:vAlign w:val="bottom"/>
            <w:gridSpan w:val="4"/>
          </w:tcPr>
          <w:p>
            <w:pPr>
              <w:jc w:val="right"/>
              <w:ind w:right="120"/>
              <w:spacing w:after="0"/>
              <w:rPr>
                <w:sz w:val="20"/>
                <w:szCs w:val="20"/>
                <w:color w:val="auto"/>
              </w:rPr>
            </w:pPr>
            <w:r>
              <w:rPr>
                <w:rFonts w:ascii="Arial" w:cs="Arial" w:eastAsia="Arial" w:hAnsi="Arial"/>
                <w:sz w:val="20"/>
                <w:szCs w:val="20"/>
                <w:color w:val="231F20"/>
              </w:rPr>
              <w:t>$</w:t>
            </w: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159</w:t>
            </w:r>
          </w:p>
        </w:tc>
        <w:tc>
          <w:tcPr>
            <w:tcW w:w="120" w:type="dxa"/>
            <w:vAlign w:val="bottom"/>
          </w:tcPr>
          <w:p>
            <w:pPr>
              <w:spacing w:after="0"/>
              <w:rPr>
                <w:sz w:val="21"/>
                <w:szCs w:val="2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184</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7"/>
              </w:rPr>
              <w:t>Taxes other than on income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105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100</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8"/>
              </w:rPr>
              <w:t>Asset retirement obligations - current portion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134</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6"/>
              </w:rPr>
              <w:t>Interest . . . . . . . . . . . . . . . . .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12</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6"/>
              </w:rPr>
              <w:t>Operating lease liability . . . .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15</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rPr>
              <w:t>Settlements and premiums due on commodity derivative contracts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15</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6"/>
              </w:rPr>
              <w:t>Advanced payments  . . . . . .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25</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8"/>
              </w:rPr>
              <w:t>Payables to the former owners of Aera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29</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6"/>
              </w:rPr>
              <w:t>Greenhouse gas liability  . . .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8"/>
              </w:rPr>
              <w:t>Signal Hill offshore platform expense accrual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7"/>
              </w:rPr>
              <w:t>Fair value of derivative contracts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50</w:t>
            </w:r>
          </w:p>
        </w:tc>
        <w:tc>
          <w:tcPr>
            <w:tcW w:w="0" w:type="dxa"/>
            <w:vAlign w:val="bottom"/>
          </w:tcPr>
          <w:p>
            <w:pPr>
              <w:spacing w:after="0"/>
              <w:rPr>
                <w:sz w:val="1"/>
                <w:szCs w:val="1"/>
                <w:color w:val="auto"/>
              </w:rPr>
            </w:pP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5"/>
              </w:rPr>
              <w:t>Other . . . . . . . . . . . . . . . . . . . . . . . . . . . . . . . . . . . . . . . . . . . . . .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46</w:t>
            </w:r>
          </w:p>
        </w:tc>
        <w:tc>
          <w:tcPr>
            <w:tcW w:w="0" w:type="dxa"/>
            <w:vAlign w:val="bottom"/>
          </w:tcPr>
          <w:p>
            <w:pPr>
              <w:spacing w:after="0"/>
              <w:rPr>
                <w:sz w:val="1"/>
                <w:szCs w:val="1"/>
                <w:color w:val="auto"/>
              </w:rPr>
            </w:pPr>
          </w:p>
        </w:tc>
      </w:tr>
      <w:tr>
        <w:trPr>
          <w:trHeight w:val="28"/>
        </w:trPr>
        <w:tc>
          <w:tcPr>
            <w:tcW w:w="6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40" w:type="dxa"/>
            <w:vAlign w:val="bottom"/>
            <w:tcBorders>
              <w:bottom w:val="single" w:sz="8" w:color="231F20"/>
            </w:tcBorders>
            <w:gridSpan w:val="2"/>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20" w:type="dxa"/>
            <w:vAlign w:val="bottom"/>
          </w:tcPr>
          <w:p>
            <w:pPr>
              <w:jc w:val="right"/>
              <w:spacing w:after="0"/>
              <w:rPr>
                <w:sz w:val="20"/>
                <w:szCs w:val="20"/>
                <w:color w:val="auto"/>
              </w:rPr>
            </w:pPr>
            <w:r>
              <w:rPr>
                <w:rFonts w:ascii="Arial" w:cs="Arial" w:eastAsia="Arial" w:hAnsi="Arial"/>
                <w:sz w:val="20"/>
                <w:szCs w:val="20"/>
                <w:color w:val="231F20"/>
              </w:rPr>
              <w:t>Accrued liabilities . . . . . . . . . . . . . . . . . . . . . . . . . . . . . . . . . . . . . . .</w:t>
            </w:r>
          </w:p>
        </w:tc>
        <w:tc>
          <w:tcPr>
            <w:tcW w:w="460" w:type="dxa"/>
            <w:vAlign w:val="bottom"/>
            <w:gridSpan w:val="4"/>
          </w:tcPr>
          <w:p>
            <w:pPr>
              <w:jc w:val="right"/>
              <w:ind w:right="120"/>
              <w:spacing w:after="0"/>
              <w:rPr>
                <w:sz w:val="20"/>
                <w:szCs w:val="20"/>
                <w:color w:val="auto"/>
              </w:rPr>
            </w:pPr>
            <w:r>
              <w:rPr>
                <w:rFonts w:ascii="Arial" w:cs="Arial" w:eastAsia="Arial" w:hAnsi="Arial"/>
                <w:sz w:val="20"/>
                <w:szCs w:val="20"/>
                <w:color w:val="231F20"/>
              </w:rPr>
              <w:t>$</w:t>
            </w:r>
          </w:p>
        </w:tc>
        <w:tc>
          <w:tcPr>
            <w:tcW w:w="820" w:type="dxa"/>
            <w:vAlign w:val="bottom"/>
            <w:gridSpan w:val="2"/>
          </w:tcPr>
          <w:p>
            <w:pPr>
              <w:jc w:val="right"/>
              <w:spacing w:after="0"/>
              <w:rPr>
                <w:sz w:val="20"/>
                <w:szCs w:val="20"/>
                <w:color w:val="auto"/>
              </w:rPr>
            </w:pPr>
            <w:r>
              <w:rPr>
                <w:rFonts w:ascii="Arial" w:cs="Arial" w:eastAsia="Arial" w:hAnsi="Arial"/>
                <w:sz w:val="20"/>
                <w:szCs w:val="20"/>
                <w:color w:val="231F20"/>
              </w:rPr>
              <w:t>598</w:t>
            </w:r>
          </w:p>
        </w:tc>
        <w:tc>
          <w:tcPr>
            <w:tcW w:w="120" w:type="dxa"/>
            <w:vAlign w:val="bottom"/>
          </w:tcPr>
          <w:p>
            <w:pPr>
              <w:spacing w:after="0"/>
              <w:rPr>
                <w:sz w:val="23"/>
                <w:szCs w:val="23"/>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20"/>
              <w:spacing w:after="0"/>
              <w:rPr>
                <w:sz w:val="20"/>
                <w:szCs w:val="20"/>
                <w:color w:val="auto"/>
              </w:rPr>
            </w:pPr>
            <w:r>
              <w:rPr>
                <w:rFonts w:ascii="Arial" w:cs="Arial" w:eastAsia="Arial" w:hAnsi="Arial"/>
                <w:sz w:val="20"/>
                <w:szCs w:val="20"/>
                <w:color w:val="231F20"/>
              </w:rPr>
              <w:t>611</w:t>
            </w:r>
          </w:p>
        </w:tc>
        <w:tc>
          <w:tcPr>
            <w:tcW w:w="0" w:type="dxa"/>
            <w:vAlign w:val="bottom"/>
          </w:tcPr>
          <w:p>
            <w:pPr>
              <w:spacing w:after="0"/>
              <w:rPr>
                <w:sz w:val="1"/>
                <w:szCs w:val="1"/>
                <w:color w:val="auto"/>
              </w:rPr>
            </w:pPr>
          </w:p>
        </w:tc>
      </w:tr>
      <w:tr>
        <w:trPr>
          <w:trHeight w:val="30"/>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 xml:space="preserve">Other long-term liabilities — </w:t>
      </w:r>
      <w:r>
        <w:rPr>
          <w:rFonts w:ascii="Arial" w:cs="Arial" w:eastAsia="Arial" w:hAnsi="Arial"/>
          <w:sz w:val="20"/>
          <w:szCs w:val="20"/>
          <w:color w:val="231F20"/>
        </w:rPr>
        <w:t>Other long-term liabilities includes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1400" w:type="dxa"/>
            <w:vAlign w:val="bottom"/>
            <w:gridSpan w:val="5"/>
          </w:tcPr>
          <w:p>
            <w:pPr>
              <w:ind w:left="100"/>
              <w:spacing w:after="0"/>
              <w:rPr>
                <w:sz w:val="20"/>
                <w:szCs w:val="20"/>
                <w:color w:val="auto"/>
              </w:rPr>
            </w:pPr>
            <w:r>
              <w:rPr>
                <w:rFonts w:ascii="Arial" w:cs="Arial" w:eastAsia="Arial" w:hAnsi="Arial"/>
                <w:sz w:val="20"/>
                <w:szCs w:val="20"/>
                <w:b w:val="1"/>
                <w:bCs w:val="1"/>
                <w:color w:val="231F20"/>
                <w:w w:val="98"/>
              </w:rPr>
              <w:t>December 31,</w:t>
            </w:r>
          </w:p>
        </w:tc>
        <w:tc>
          <w:tcPr>
            <w:tcW w:w="1500" w:type="dxa"/>
            <w:vAlign w:val="bottom"/>
            <w:gridSpan w:val="5"/>
          </w:tcPr>
          <w:p>
            <w:pPr>
              <w:ind w:left="200"/>
              <w:spacing w:after="0"/>
              <w:rPr>
                <w:sz w:val="20"/>
                <w:szCs w:val="20"/>
                <w:color w:val="auto"/>
              </w:rPr>
            </w:pPr>
            <w:r>
              <w:rPr>
                <w:rFonts w:ascii="Arial" w:cs="Arial" w:eastAsia="Arial" w:hAnsi="Arial"/>
                <w:sz w:val="20"/>
                <w:szCs w:val="20"/>
                <w:b w:val="1"/>
                <w:bCs w:val="1"/>
                <w:color w:val="231F20"/>
                <w:w w:val="98"/>
              </w:rPr>
              <w:t>December 31,</w:t>
            </w:r>
          </w:p>
        </w:tc>
      </w:tr>
      <w:tr>
        <w:trPr>
          <w:trHeight w:val="220"/>
        </w:trPr>
        <w:tc>
          <w:tcPr>
            <w:tcW w:w="6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142"/>
              <w:spacing w:after="0" w:line="220" w:lineRule="exact"/>
              <w:rPr>
                <w:sz w:val="20"/>
                <w:szCs w:val="20"/>
                <w:color w:val="auto"/>
              </w:rPr>
            </w:pPr>
            <w:r>
              <w:rPr>
                <w:rFonts w:ascii="Arial" w:cs="Arial" w:eastAsia="Arial" w:hAnsi="Arial"/>
                <w:sz w:val="20"/>
                <w:szCs w:val="20"/>
                <w:b w:val="1"/>
                <w:bCs w:val="1"/>
                <w:color w:val="231F20"/>
              </w:rPr>
              <w:t>2025</w:t>
            </w:r>
          </w:p>
        </w:tc>
        <w:tc>
          <w:tcPr>
            <w:tcW w:w="180" w:type="dxa"/>
            <w:vAlign w:val="bottom"/>
            <w:tcBorders>
              <w:bottom w:val="single" w:sz="8" w:color="231F20"/>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140"/>
              <w:spacing w:after="0" w:line="220" w:lineRule="exact"/>
              <w:rPr>
                <w:sz w:val="20"/>
                <w:szCs w:val="20"/>
                <w:color w:val="auto"/>
              </w:rPr>
            </w:pPr>
            <w:r>
              <w:rPr>
                <w:rFonts w:ascii="Arial" w:cs="Arial" w:eastAsia="Arial" w:hAnsi="Arial"/>
                <w:sz w:val="20"/>
                <w:szCs w:val="20"/>
                <w:b w:val="1"/>
                <w:bCs w:val="1"/>
                <w:color w:val="231F20"/>
              </w:rPr>
              <w:t>2024</w:t>
            </w:r>
          </w:p>
        </w:tc>
        <w:tc>
          <w:tcPr>
            <w:tcW w:w="180" w:type="dxa"/>
            <w:vAlign w:val="bottom"/>
            <w:tcBorders>
              <w:bottom w:val="single" w:sz="8" w:color="231F20"/>
            </w:tcBorders>
          </w:tcPr>
          <w:p>
            <w:pPr>
              <w:spacing w:after="0"/>
              <w:rPr>
                <w:sz w:val="19"/>
                <w:szCs w:val="19"/>
                <w:color w:val="auto"/>
              </w:rPr>
            </w:pPr>
          </w:p>
        </w:tc>
      </w:tr>
      <w:tr>
        <w:trPr>
          <w:trHeight w:val="192"/>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5"/>
          </w:tcPr>
          <w:p>
            <w:pPr>
              <w:jc w:val="right"/>
              <w:ind w:right="60"/>
              <w:spacing w:after="0"/>
              <w:rPr>
                <w:sz w:val="20"/>
                <w:szCs w:val="20"/>
                <w:color w:val="auto"/>
              </w:rPr>
            </w:pPr>
            <w:r>
              <w:rPr>
                <w:rFonts w:ascii="Arial" w:cs="Arial" w:eastAsia="Arial" w:hAnsi="Arial"/>
                <w:sz w:val="16"/>
                <w:szCs w:val="16"/>
                <w:color w:val="231F20"/>
              </w:rPr>
              <w:t>(in millions)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0"/>
        </w:trPr>
        <w:tc>
          <w:tcPr>
            <w:tcW w:w="6220" w:type="dxa"/>
            <w:vAlign w:val="bottom"/>
          </w:tcPr>
          <w:p>
            <w:pPr>
              <w:jc w:val="right"/>
              <w:spacing w:after="0"/>
              <w:rPr>
                <w:sz w:val="20"/>
                <w:szCs w:val="20"/>
                <w:color w:val="auto"/>
              </w:rPr>
            </w:pPr>
            <w:r>
              <w:rPr>
                <w:rFonts w:ascii="Arial" w:cs="Arial" w:eastAsia="Arial" w:hAnsi="Arial"/>
                <w:sz w:val="20"/>
                <w:szCs w:val="20"/>
                <w:color w:val="231F20"/>
                <w:w w:val="97"/>
              </w:rPr>
              <w:t>Compensation-related liabilities . . . . . . . . . . . . . . . . . . . . . . . . . . . . . . .</w:t>
            </w:r>
          </w:p>
        </w:tc>
        <w:tc>
          <w:tcPr>
            <w:tcW w:w="460" w:type="dxa"/>
            <w:vAlign w:val="bottom"/>
            <w:gridSpan w:val="3"/>
          </w:tcPr>
          <w:p>
            <w:pPr>
              <w:jc w:val="right"/>
              <w:ind w:right="60"/>
              <w:spacing w:after="0"/>
              <w:rPr>
                <w:sz w:val="20"/>
                <w:szCs w:val="20"/>
                <w:color w:val="auto"/>
              </w:rPr>
            </w:pPr>
            <w:r>
              <w:rPr>
                <w:rFonts w:ascii="Arial" w:cs="Arial" w:eastAsia="Arial" w:hAnsi="Arial"/>
                <w:sz w:val="20"/>
                <w:szCs w:val="20"/>
                <w:color w:val="231F20"/>
              </w:rPr>
              <w:t>$</w:t>
            </w:r>
          </w:p>
        </w:tc>
        <w:tc>
          <w:tcPr>
            <w:tcW w:w="760" w:type="dxa"/>
            <w:vAlign w:val="bottom"/>
          </w:tcPr>
          <w:p>
            <w:pPr>
              <w:jc w:val="right"/>
              <w:spacing w:after="0"/>
              <w:rPr>
                <w:sz w:val="20"/>
                <w:szCs w:val="20"/>
                <w:color w:val="auto"/>
              </w:rPr>
            </w:pPr>
            <w:r>
              <w:rPr>
                <w:rFonts w:ascii="Arial" w:cs="Arial" w:eastAsia="Arial" w:hAnsi="Arial"/>
                <w:sz w:val="20"/>
                <w:szCs w:val="20"/>
                <w:color w:val="231F20"/>
              </w:rPr>
              <w:t>48</w:t>
            </w:r>
          </w:p>
        </w:tc>
        <w:tc>
          <w:tcPr>
            <w:tcW w:w="180" w:type="dxa"/>
            <w:vAlign w:val="bottom"/>
          </w:tcPr>
          <w:p>
            <w:pPr>
              <w:spacing w:after="0"/>
              <w:rPr>
                <w:sz w:val="21"/>
                <w:szCs w:val="21"/>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231F20"/>
              </w:rPr>
              <w:t>50</w:t>
            </w: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8"/>
              </w:rPr>
              <w:t>Postretirement and pension benefit plans . . . . . . . . . . . . . . . . . . . . . .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57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231F20"/>
              </w:rPr>
              <w:t>59</w:t>
            </w: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6"/>
              </w:rPr>
              <w:t>Operating lease liability . . . . . . . . . . . . . . . . . . . . . . . . . . . . . . . . . . . . .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61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231F20"/>
              </w:rPr>
              <w:t>76</w:t>
            </w:r>
          </w:p>
        </w:tc>
      </w:tr>
      <w:tr>
        <w:trPr>
          <w:trHeight w:val="240"/>
        </w:trPr>
        <w:tc>
          <w:tcPr>
            <w:tcW w:w="6220" w:type="dxa"/>
            <w:vAlign w:val="bottom"/>
          </w:tcPr>
          <w:p>
            <w:pPr>
              <w:jc w:val="right"/>
              <w:spacing w:after="0"/>
              <w:rPr>
                <w:sz w:val="20"/>
                <w:szCs w:val="20"/>
                <w:color w:val="auto"/>
              </w:rPr>
            </w:pPr>
            <w:r>
              <w:rPr>
                <w:rFonts w:ascii="Arial" w:cs="Arial" w:eastAsia="Arial" w:hAnsi="Arial"/>
                <w:sz w:val="20"/>
                <w:szCs w:val="20"/>
                <w:color w:val="231F20"/>
                <w:w w:val="98"/>
              </w:rPr>
              <w:t>Fair value of commodity derivative contracts  . . . . . . . . . . . . . . . . . . .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231F20"/>
              </w:rPr>
              <w:t>45</w:t>
            </w:r>
          </w:p>
        </w:tc>
      </w:tr>
      <w:tr>
        <w:trPr>
          <w:trHeight w:val="255"/>
        </w:trPr>
        <w:tc>
          <w:tcPr>
            <w:tcW w:w="6220" w:type="dxa"/>
            <w:vAlign w:val="bottom"/>
          </w:tcPr>
          <w:p>
            <w:pPr>
              <w:jc w:val="right"/>
              <w:spacing w:after="0" w:line="255" w:lineRule="exact"/>
              <w:rPr>
                <w:sz w:val="20"/>
                <w:szCs w:val="20"/>
                <w:color w:val="auto"/>
              </w:rPr>
            </w:pPr>
            <w:r>
              <w:rPr>
                <w:rFonts w:ascii="Arial" w:cs="Arial" w:eastAsia="Arial" w:hAnsi="Arial"/>
                <w:sz w:val="20"/>
                <w:szCs w:val="20"/>
                <w:color w:val="231F20"/>
                <w:w w:val="95"/>
              </w:rPr>
              <w:t>Contingent liability</w:t>
            </w:r>
            <w:r>
              <w:rPr>
                <w:rFonts w:ascii="Arial" w:cs="Arial" w:eastAsia="Arial" w:hAnsi="Arial"/>
                <w:sz w:val="26"/>
                <w:szCs w:val="26"/>
                <w:color w:val="231F20"/>
                <w:w w:val="95"/>
                <w:vertAlign w:val="superscript"/>
              </w:rPr>
              <w:t>(a)</w:t>
            </w:r>
            <w:r>
              <w:rPr>
                <w:rFonts w:ascii="Arial" w:cs="Arial" w:eastAsia="Arial" w:hAnsi="Arial"/>
                <w:sz w:val="20"/>
                <w:szCs w:val="20"/>
                <w:color w:val="231F20"/>
                <w:w w:val="95"/>
              </w:rPr>
              <w:t xml:space="preserve">   . . . . . . . . . . . . . . . . . . . . . . . . . . . . . . . . . . . . . . .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117</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231F20"/>
              </w:rPr>
              <w:t>107</w:t>
            </w:r>
          </w:p>
        </w:tc>
      </w:tr>
      <w:tr>
        <w:trPr>
          <w:trHeight w:val="225"/>
        </w:trPr>
        <w:tc>
          <w:tcPr>
            <w:tcW w:w="6220" w:type="dxa"/>
            <w:vAlign w:val="bottom"/>
          </w:tcPr>
          <w:p>
            <w:pPr>
              <w:jc w:val="right"/>
              <w:spacing w:after="0" w:line="226" w:lineRule="exact"/>
              <w:rPr>
                <w:sz w:val="20"/>
                <w:szCs w:val="20"/>
                <w:color w:val="auto"/>
              </w:rPr>
            </w:pPr>
            <w:r>
              <w:rPr>
                <w:rFonts w:ascii="Arial" w:cs="Arial" w:eastAsia="Arial" w:hAnsi="Arial"/>
                <w:sz w:val="20"/>
                <w:szCs w:val="20"/>
                <w:color w:val="231F20"/>
                <w:w w:val="95"/>
              </w:rPr>
              <w:t>Other . . . . . . . . . . . . . . . . . . . . . . . . . . . . . . . . . . . . . . . . . . . . . . . . . . . .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line="226" w:lineRule="exact"/>
              <w:rPr>
                <w:sz w:val="20"/>
                <w:szCs w:val="20"/>
                <w:color w:val="auto"/>
              </w:rPr>
            </w:pPr>
            <w:r>
              <w:rPr>
                <w:rFonts w:ascii="Arial" w:cs="Arial" w:eastAsia="Arial" w:hAnsi="Arial"/>
                <w:sz w:val="20"/>
                <w:szCs w:val="20"/>
                <w:color w:val="231F20"/>
              </w:rPr>
              <w:t>29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line="226" w:lineRule="exact"/>
              <w:rPr>
                <w:sz w:val="20"/>
                <w:szCs w:val="20"/>
                <w:color w:val="auto"/>
              </w:rPr>
            </w:pPr>
            <w:r>
              <w:rPr>
                <w:rFonts w:ascii="Arial" w:cs="Arial" w:eastAsia="Arial" w:hAnsi="Arial"/>
                <w:sz w:val="20"/>
                <w:szCs w:val="20"/>
                <w:color w:val="231F20"/>
              </w:rPr>
              <w:t>40</w:t>
            </w:r>
          </w:p>
        </w:tc>
      </w:tr>
      <w:tr>
        <w:trPr>
          <w:trHeight w:val="28"/>
        </w:trPr>
        <w:tc>
          <w:tcPr>
            <w:tcW w:w="62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220" w:type="dxa"/>
            <w:vAlign w:val="bottom"/>
          </w:tcPr>
          <w:p>
            <w:pPr>
              <w:jc w:val="right"/>
              <w:spacing w:after="0"/>
              <w:rPr>
                <w:sz w:val="20"/>
                <w:szCs w:val="20"/>
                <w:color w:val="auto"/>
              </w:rPr>
            </w:pPr>
            <w:r>
              <w:rPr>
                <w:rFonts w:ascii="Arial" w:cs="Arial" w:eastAsia="Arial" w:hAnsi="Arial"/>
                <w:sz w:val="20"/>
                <w:szCs w:val="20"/>
                <w:color w:val="231F20"/>
              </w:rPr>
              <w:t>Other long-term liabilities . . . . . . . . . . . . . . . . . . . . . . . . . . . . . . . . .</w:t>
            </w:r>
          </w:p>
        </w:tc>
        <w:tc>
          <w:tcPr>
            <w:tcW w:w="460" w:type="dxa"/>
            <w:vAlign w:val="bottom"/>
            <w:gridSpan w:val="3"/>
          </w:tcPr>
          <w:p>
            <w:pPr>
              <w:jc w:val="right"/>
              <w:ind w:right="60"/>
              <w:spacing w:after="0"/>
              <w:rPr>
                <w:sz w:val="20"/>
                <w:szCs w:val="20"/>
                <w:color w:val="auto"/>
              </w:rPr>
            </w:pPr>
            <w:r>
              <w:rPr>
                <w:rFonts w:ascii="Arial" w:cs="Arial" w:eastAsia="Arial" w:hAnsi="Arial"/>
                <w:sz w:val="20"/>
                <w:szCs w:val="20"/>
                <w:color w:val="231F20"/>
              </w:rPr>
              <w:t>$</w:t>
            </w:r>
          </w:p>
        </w:tc>
        <w:tc>
          <w:tcPr>
            <w:tcW w:w="760" w:type="dxa"/>
            <w:vAlign w:val="bottom"/>
          </w:tcPr>
          <w:p>
            <w:pPr>
              <w:jc w:val="right"/>
              <w:spacing w:after="0"/>
              <w:rPr>
                <w:sz w:val="20"/>
                <w:szCs w:val="20"/>
                <w:color w:val="auto"/>
              </w:rPr>
            </w:pPr>
            <w:r>
              <w:rPr>
                <w:rFonts w:ascii="Arial" w:cs="Arial" w:eastAsia="Arial" w:hAnsi="Arial"/>
                <w:sz w:val="20"/>
                <w:szCs w:val="20"/>
                <w:color w:val="231F20"/>
              </w:rPr>
              <w:t>329</w:t>
            </w:r>
          </w:p>
        </w:tc>
        <w:tc>
          <w:tcPr>
            <w:tcW w:w="18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180"/>
              <w:spacing w:after="0"/>
              <w:rPr>
                <w:sz w:val="20"/>
                <w:szCs w:val="20"/>
                <w:color w:val="auto"/>
              </w:rPr>
            </w:pPr>
            <w:r>
              <w:rPr>
                <w:rFonts w:ascii="Arial" w:cs="Arial" w:eastAsia="Arial" w:hAnsi="Arial"/>
                <w:sz w:val="20"/>
                <w:szCs w:val="20"/>
                <w:color w:val="231F20"/>
              </w:rPr>
              <w:t>377</w:t>
            </w:r>
          </w:p>
        </w:tc>
      </w:tr>
      <w:tr>
        <w:trPr>
          <w:trHeight w:val="30"/>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51" w:lineRule="exact"/>
        <w:rPr>
          <w:sz w:val="20"/>
          <w:szCs w:val="20"/>
          <w:color w:val="auto"/>
        </w:rPr>
      </w:pPr>
    </w:p>
    <w:p>
      <w:pPr>
        <w:ind w:left="320" w:right="400" w:hanging="320"/>
        <w:spacing w:after="0" w:line="256" w:lineRule="auto"/>
        <w:tabs>
          <w:tab w:leader="none" w:pos="320" w:val="left"/>
        </w:tabs>
        <w:numPr>
          <w:ilvl w:val="0"/>
          <w:numId w:val="86"/>
        </w:numPr>
        <w:rPr>
          <w:rFonts w:ascii="Arial" w:cs="Arial" w:eastAsia="Arial" w:hAnsi="Arial"/>
          <w:sz w:val="16"/>
          <w:szCs w:val="16"/>
          <w:color w:val="231F20"/>
        </w:rPr>
      </w:pPr>
      <w:r>
        <w:rPr>
          <w:rFonts w:ascii="Arial" w:cs="Arial" w:eastAsia="Arial" w:hAnsi="Arial"/>
          <w:sz w:val="16"/>
          <w:szCs w:val="16"/>
          <w:color w:val="231F20"/>
        </w:rPr>
        <w:t xml:space="preserve">See </w:t>
      </w:r>
      <w:r>
        <w:rPr>
          <w:rFonts w:ascii="Arial" w:cs="Arial" w:eastAsia="Arial" w:hAnsi="Arial"/>
          <w:sz w:val="16"/>
          <w:szCs w:val="16"/>
          <w:i w:val="1"/>
          <w:iCs w:val="1"/>
          <w:color w:val="231F20"/>
        </w:rPr>
        <w:t>Note 4 Investments and Related Party Transactions</w:t>
      </w:r>
      <w:r>
        <w:rPr>
          <w:rFonts w:ascii="Arial" w:cs="Arial" w:eastAsia="Arial" w:hAnsi="Arial"/>
          <w:sz w:val="16"/>
          <w:szCs w:val="16"/>
          <w:color w:val="231F20"/>
        </w:rPr>
        <w:t xml:space="preserve"> for information on the contingent liability related to the Carbon TerraVault JV.</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231F20"/>
        </w:rPr>
        <w:t>NOTE 18</w:t>
      </w:r>
      <w:r>
        <w:rPr>
          <w:sz w:val="20"/>
          <w:szCs w:val="20"/>
          <w:color w:val="auto"/>
        </w:rPr>
        <w:tab/>
      </w:r>
      <w:r>
        <w:rPr>
          <w:rFonts w:ascii="Arial" w:cs="Arial" w:eastAsia="Arial" w:hAnsi="Arial"/>
          <w:sz w:val="19"/>
          <w:szCs w:val="19"/>
          <w:b w:val="1"/>
          <w:bCs w:val="1"/>
          <w:color w:val="231F20"/>
        </w:rPr>
        <w:t>CONDENSED CONSOLIDATING FINANCIAL INFORMATION</w:t>
      </w:r>
    </w:p>
    <w:p>
      <w:pPr>
        <w:spacing w:after="0" w:line="192" w:lineRule="exact"/>
        <w:rPr>
          <w:sz w:val="20"/>
          <w:szCs w:val="20"/>
          <w:color w:val="auto"/>
        </w:rPr>
      </w:pPr>
    </w:p>
    <w:p>
      <w:pPr>
        <w:ind w:right="120" w:firstLine="300"/>
        <w:spacing w:after="0" w:line="266" w:lineRule="auto"/>
        <w:rPr>
          <w:sz w:val="20"/>
          <w:szCs w:val="20"/>
          <w:color w:val="auto"/>
        </w:rPr>
      </w:pPr>
      <w:r>
        <w:rPr>
          <w:rFonts w:ascii="Arial" w:cs="Arial" w:eastAsia="Arial" w:hAnsi="Arial"/>
          <w:sz w:val="19"/>
          <w:szCs w:val="19"/>
          <w:color w:val="231F20"/>
        </w:rPr>
        <w:t>We have designated certain of our subsidiaries as Unrestricted Subsidiaries under the indenture governing our 2026 Senior Notes (2026 Senior Notes Indenture), 2029 Senior Notes (2029 Senior Notes Indenture) and 2034 Senior Notes (2034 Senior Notes Indenture). Unrestricted Subsidiaries (as</w:t>
      </w:r>
    </w:p>
    <w:p>
      <w:pPr>
        <w:sectPr>
          <w:pgSz w:w="11880" w:h="15480" w:orient="portrait"/>
          <w:cols w:equalWidth="0" w:num="1">
            <w:col w:w="9120"/>
          </w:cols>
          <w:pgMar w:left="1380" w:top="1312" w:right="1380" w:bottom="66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147</w:t>
      </w:r>
    </w:p>
    <w:p>
      <w:pPr>
        <w:sectPr>
          <w:pgSz w:w="11880" w:h="15480" w:orient="portrait"/>
          <w:cols w:equalWidth="0" w:num="1">
            <w:col w:w="9120"/>
          </w:cols>
          <w:pgMar w:left="1380" w:top="1312" w:right="1380" w:bottom="660" w:gutter="0" w:footer="0" w:header="0"/>
          <w:type w:val="continuous"/>
        </w:sectPr>
      </w:pPr>
    </w:p>
    <w:bookmarkStart w:id="151" w:name="page152"/>
    <w:bookmarkEnd w:id="151"/>
    <w:p>
      <w:pPr>
        <w:spacing w:after="0" w:line="249" w:lineRule="auto"/>
        <w:rPr>
          <w:sz w:val="20"/>
          <w:szCs w:val="20"/>
          <w:color w:val="auto"/>
        </w:rPr>
      </w:pPr>
      <w:r>
        <w:rPr>
          <w:rFonts w:ascii="Arial" w:cs="Arial" w:eastAsia="Arial" w:hAnsi="Arial"/>
          <w:sz w:val="20"/>
          <w:szCs w:val="20"/>
          <w:color w:val="231F20"/>
        </w:rPr>
        <w:t>defined in the 2026 Senior Notes Indenture, 2029 Senior Notes Indenture, and 2034 Senior Notes Indenture) are subject to fewer restrictions under the indentures. We are required under the 2026 Senior Notes Indenture, 2029 Senior Notes Indenture and 2034 Senior Notes Indenture to present the financial condition and results of operations of CRC and its Restricted Subsidiaries (as defined in the 2026 Senior Notes Indenture, 2029 Senior Notes Indenture, and 2034 Senior Notes Indenture) separate from the financial condition and results of operations of its Unrestricted Subsidiaries. The following consolidating balance sheets as of December 31, 2025 and 2024 and the consolidating statements of operations for the year ended December 31, 2025, 2024, and 2023, as applicable, reflect the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Condensed Consolidating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1F20"/>
        </w:rPr>
        <w:t>As of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2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3340" w:type="dxa"/>
            <w:vAlign w:val="bottom"/>
            <w:tcBorders>
              <w:bottom w:val="single" w:sz="8" w:color="231F20"/>
            </w:tcBorders>
            <w:gridSpan w:val="12"/>
          </w:tcPr>
          <w:p>
            <w:pPr>
              <w:jc w:val="right"/>
              <w:ind w:right="660"/>
              <w:spacing w:after="0"/>
              <w:rPr>
                <w:sz w:val="20"/>
                <w:szCs w:val="20"/>
                <w:color w:val="auto"/>
              </w:rPr>
            </w:pPr>
            <w:r>
              <w:rPr>
                <w:rFonts w:ascii="Arial" w:cs="Arial" w:eastAsia="Arial" w:hAnsi="Arial"/>
                <w:sz w:val="20"/>
                <w:szCs w:val="20"/>
                <w:b w:val="1"/>
                <w:bCs w:val="1"/>
                <w:color w:val="231F20"/>
              </w:rPr>
              <w:t>As of December 31, 2025</w:t>
            </w:r>
          </w:p>
        </w:tc>
        <w:tc>
          <w:tcPr>
            <w:tcW w:w="100" w:type="dxa"/>
            <w:vAlign w:val="bottom"/>
            <w:tcBorders>
              <w:bottom w:val="single" w:sz="8" w:color="231F20"/>
            </w:tcBorders>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ind w:left="40"/>
              <w:spacing w:after="0" w:line="214" w:lineRule="exact"/>
              <w:rPr>
                <w:sz w:val="20"/>
                <w:szCs w:val="20"/>
                <w:color w:val="auto"/>
              </w:rPr>
            </w:pPr>
            <w:r>
              <w:rPr>
                <w:rFonts w:ascii="Arial" w:cs="Arial" w:eastAsia="Arial" w:hAnsi="Arial"/>
                <w:sz w:val="20"/>
                <w:szCs w:val="20"/>
                <w:b w:val="1"/>
                <w:bCs w:val="1"/>
                <w:color w:val="231F20"/>
              </w:rPr>
              <w:t>Combined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ind w:left="100"/>
              <w:spacing w:after="0" w:line="214" w:lineRule="exact"/>
              <w:rPr>
                <w:sz w:val="20"/>
                <w:szCs w:val="20"/>
                <w:color w:val="auto"/>
              </w:rPr>
            </w:pPr>
            <w:r>
              <w:rPr>
                <w:rFonts w:ascii="Arial" w:cs="Arial" w:eastAsia="Arial" w:hAnsi="Arial"/>
                <w:sz w:val="20"/>
                <w:szCs w:val="20"/>
                <w:b w:val="1"/>
                <w:bCs w:val="1"/>
                <w:color w:val="231F20"/>
              </w:rPr>
              <w:t>Combined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ind w:left="20"/>
              <w:spacing w:after="0" w:line="198" w:lineRule="exact"/>
              <w:rPr>
                <w:sz w:val="20"/>
                <w:szCs w:val="20"/>
                <w:color w:val="auto"/>
              </w:rPr>
            </w:pPr>
            <w:r>
              <w:rPr>
                <w:rFonts w:ascii="Arial" w:cs="Arial" w:eastAsia="Arial" w:hAnsi="Arial"/>
                <w:sz w:val="20"/>
                <w:szCs w:val="20"/>
                <w:b w:val="1"/>
                <w:bCs w:val="1"/>
                <w:color w:val="231F20"/>
                <w:w w:val="98"/>
              </w:rPr>
              <w:t>Unrestricted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ind w:left="100"/>
              <w:spacing w:after="0" w:line="198" w:lineRule="exact"/>
              <w:rPr>
                <w:sz w:val="20"/>
                <w:szCs w:val="20"/>
                <w:color w:val="auto"/>
              </w:rPr>
            </w:pPr>
            <w:r>
              <w:rPr>
                <w:rFonts w:ascii="Arial" w:cs="Arial" w:eastAsia="Arial" w:hAnsi="Arial"/>
                <w:sz w:val="20"/>
                <w:szCs w:val="20"/>
                <w:b w:val="1"/>
                <w:bCs w:val="1"/>
                <w:color w:val="231F20"/>
              </w:rPr>
              <w:t>Restricted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60"/>
              <w:spacing w:after="0" w:line="228" w:lineRule="exact"/>
              <w:rPr>
                <w:sz w:val="20"/>
                <w:szCs w:val="20"/>
                <w:color w:val="auto"/>
              </w:rPr>
            </w:pPr>
            <w:r>
              <w:rPr>
                <w:rFonts w:ascii="Arial" w:cs="Arial" w:eastAsia="Arial" w:hAnsi="Arial"/>
                <w:sz w:val="20"/>
                <w:szCs w:val="20"/>
                <w:b w:val="1"/>
                <w:bCs w:val="1"/>
                <w:color w:val="231F20"/>
              </w:rPr>
              <w:t>Parent</w:t>
            </w:r>
          </w:p>
        </w:tc>
        <w:tc>
          <w:tcPr>
            <w:tcW w:w="100" w:type="dxa"/>
            <w:vAlign w:val="bottom"/>
          </w:tcPr>
          <w:p>
            <w:pPr>
              <w:spacing w:after="0"/>
              <w:rPr>
                <w:sz w:val="21"/>
                <w:szCs w:val="21"/>
                <w:color w:val="auto"/>
              </w:rPr>
            </w:pPr>
          </w:p>
        </w:tc>
        <w:tc>
          <w:tcPr>
            <w:tcW w:w="5140" w:type="dxa"/>
            <w:vAlign w:val="bottom"/>
            <w:gridSpan w:val="19"/>
          </w:tcPr>
          <w:p>
            <w:pPr>
              <w:spacing w:after="0"/>
              <w:rPr>
                <w:sz w:val="20"/>
                <w:szCs w:val="20"/>
                <w:color w:val="auto"/>
              </w:rPr>
            </w:pPr>
            <w:r>
              <w:rPr>
                <w:rFonts w:ascii="Arial" w:cs="Arial" w:eastAsia="Arial" w:hAnsi="Arial"/>
                <w:sz w:val="20"/>
                <w:szCs w:val="20"/>
                <w:b w:val="1"/>
                <w:bCs w:val="1"/>
                <w:color w:val="231F20"/>
              </w:rPr>
              <w:t>Subsidiaries Subsidiaries Eliminations Consolidated</w:t>
            </w: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220" w:type="dxa"/>
            <w:vAlign w:val="bottom"/>
            <w:tcBorders>
              <w:top w:val="single" w:sz="8" w:color="231F20"/>
            </w:tcBorders>
          </w:tcPr>
          <w:p>
            <w:pPr>
              <w:spacing w:after="0"/>
              <w:rPr>
                <w:sz w:val="16"/>
                <w:szCs w:val="16"/>
                <w:color w:val="auto"/>
              </w:rPr>
            </w:pPr>
          </w:p>
        </w:tc>
        <w:tc>
          <w:tcPr>
            <w:tcW w:w="940" w:type="dxa"/>
            <w:vAlign w:val="bottom"/>
            <w:tcBorders>
              <w:top w:val="single" w:sz="8" w:color="231F20"/>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360" w:type="dxa"/>
            <w:vAlign w:val="bottom"/>
            <w:tcBorders>
              <w:top w:val="single" w:sz="8" w:color="231F20"/>
            </w:tcBorders>
          </w:tcPr>
          <w:p>
            <w:pPr>
              <w:spacing w:after="0"/>
              <w:rPr>
                <w:sz w:val="16"/>
                <w:szCs w:val="16"/>
                <w:color w:val="auto"/>
              </w:rPr>
            </w:pPr>
          </w:p>
        </w:tc>
        <w:tc>
          <w:tcPr>
            <w:tcW w:w="68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1000" w:type="dxa"/>
            <w:vAlign w:val="bottom"/>
            <w:tcBorders>
              <w:top w:val="single" w:sz="8" w:color="231F20"/>
            </w:tcBorders>
          </w:tcPr>
          <w:p>
            <w:pPr>
              <w:jc w:val="right"/>
              <w:ind w:right="41"/>
              <w:spacing w:after="0"/>
              <w:rPr>
                <w:sz w:val="20"/>
                <w:szCs w:val="20"/>
                <w:color w:val="auto"/>
              </w:rPr>
            </w:pPr>
            <w:r>
              <w:rPr>
                <w:rFonts w:ascii="Arial" w:cs="Arial" w:eastAsia="Arial" w:hAnsi="Arial"/>
                <w:sz w:val="16"/>
                <w:szCs w:val="16"/>
                <w:color w:val="231F20"/>
              </w:rPr>
              <w:t>(in millions)</w:t>
            </w:r>
          </w:p>
        </w:tc>
        <w:tc>
          <w:tcPr>
            <w:tcW w:w="100" w:type="dxa"/>
            <w:vAlign w:val="bottom"/>
            <w:gridSpan w:val="2"/>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260" w:type="dxa"/>
            <w:vAlign w:val="bottom"/>
            <w:tcBorders>
              <w:top w:val="single" w:sz="8" w:color="231F20"/>
            </w:tcBorders>
          </w:tcPr>
          <w:p>
            <w:pPr>
              <w:spacing w:after="0"/>
              <w:rPr>
                <w:sz w:val="16"/>
                <w:szCs w:val="16"/>
                <w:color w:val="auto"/>
              </w:rPr>
            </w:pPr>
          </w:p>
        </w:tc>
        <w:tc>
          <w:tcPr>
            <w:tcW w:w="78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420" w:type="dxa"/>
            <w:vAlign w:val="bottom"/>
            <w:tcBorders>
              <w:top w:val="single" w:sz="8" w:color="231F20"/>
            </w:tcBorders>
          </w:tcPr>
          <w:p>
            <w:pPr>
              <w:spacing w:after="0"/>
              <w:rPr>
                <w:sz w:val="16"/>
                <w:szCs w:val="16"/>
                <w:color w:val="auto"/>
              </w:rPr>
            </w:pPr>
          </w:p>
        </w:tc>
        <w:tc>
          <w:tcPr>
            <w:tcW w:w="74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r>
              <w:rPr>
                <w:rFonts w:ascii="Arial" w:cs="Arial" w:eastAsia="Arial" w:hAnsi="Arial"/>
                <w:sz w:val="20"/>
                <w:szCs w:val="20"/>
                <w:color w:val="231F20"/>
              </w:rPr>
              <w:t>Total current assets . . . . . . . .</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203</w:t>
            </w:r>
          </w:p>
        </w:tc>
        <w:tc>
          <w:tcPr>
            <w:tcW w:w="10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Arial" w:cs="Arial" w:eastAsia="Arial" w:hAnsi="Arial"/>
                <w:sz w:val="20"/>
                <w:szCs w:val="20"/>
                <w:color w:val="231F20"/>
              </w:rPr>
              <w:t>$</w:t>
            </w:r>
          </w:p>
        </w:tc>
        <w:tc>
          <w:tcPr>
            <w:tcW w:w="680" w:type="dxa"/>
            <w:vAlign w:val="bottom"/>
          </w:tcPr>
          <w:p>
            <w:pPr>
              <w:jc w:val="right"/>
              <w:spacing w:after="0"/>
              <w:rPr>
                <w:sz w:val="20"/>
                <w:szCs w:val="20"/>
                <w:color w:val="auto"/>
              </w:rPr>
            </w:pPr>
            <w:r>
              <w:rPr>
                <w:rFonts w:ascii="Arial" w:cs="Arial" w:eastAsia="Arial" w:hAnsi="Arial"/>
                <w:sz w:val="20"/>
                <w:szCs w:val="20"/>
                <w:color w:val="231F20"/>
              </w:rPr>
              <w:t>20</w:t>
            </w: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20"/>
                <w:szCs w:val="20"/>
                <w:color w:val="231F20"/>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715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560" w:type="dxa"/>
            <w:vAlign w:val="bottom"/>
            <w:gridSpan w:val="3"/>
          </w:tcPr>
          <w:p>
            <w:pPr>
              <w:jc w:val="right"/>
              <w:ind w:right="260"/>
              <w:spacing w:after="0"/>
              <w:rPr>
                <w:sz w:val="20"/>
                <w:szCs w:val="20"/>
                <w:color w:val="auto"/>
              </w:rPr>
            </w:pPr>
            <w:r>
              <w:rPr>
                <w:rFonts w:ascii="Arial" w:cs="Arial" w:eastAsia="Arial" w:hAnsi="Arial"/>
                <w:sz w:val="20"/>
                <w:szCs w:val="20"/>
                <w:color w:val="231F20"/>
              </w:rPr>
              <w:t>$</w:t>
            </w: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231F20"/>
              </w:rPr>
              <w:t>938</w:t>
            </w:r>
          </w:p>
        </w:tc>
        <w:tc>
          <w:tcPr>
            <w:tcW w:w="0" w:type="dxa"/>
            <w:vAlign w:val="bottom"/>
          </w:tcPr>
          <w:p>
            <w:pPr>
              <w:spacing w:after="0"/>
              <w:rPr>
                <w:sz w:val="1"/>
                <w:szCs w:val="1"/>
                <w:color w:val="auto"/>
              </w:rPr>
            </w:pPr>
          </w:p>
        </w:tc>
      </w:tr>
      <w:tr>
        <w:trPr>
          <w:trHeight w:val="228"/>
        </w:trPr>
        <w:tc>
          <w:tcPr>
            <w:tcW w:w="2720" w:type="dxa"/>
            <w:vAlign w:val="bottom"/>
          </w:tcPr>
          <w:p>
            <w:pPr>
              <w:spacing w:after="0" w:line="228" w:lineRule="exact"/>
              <w:rPr>
                <w:sz w:val="20"/>
                <w:szCs w:val="20"/>
                <w:color w:val="auto"/>
              </w:rPr>
            </w:pPr>
            <w:r>
              <w:rPr>
                <w:rFonts w:ascii="Arial" w:cs="Arial" w:eastAsia="Arial" w:hAnsi="Arial"/>
                <w:sz w:val="20"/>
                <w:szCs w:val="20"/>
                <w:color w:val="231F20"/>
              </w:rPr>
              <w:t>Total property, plant and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20" w:type="dxa"/>
            <w:vAlign w:val="bottom"/>
          </w:tcPr>
          <w:p>
            <w:pPr>
              <w:spacing w:after="0" w:line="226" w:lineRule="exact"/>
              <w:rPr>
                <w:sz w:val="20"/>
                <w:szCs w:val="20"/>
                <w:color w:val="auto"/>
              </w:rPr>
            </w:pPr>
            <w:r>
              <w:rPr>
                <w:rFonts w:ascii="Arial" w:cs="Arial" w:eastAsia="Arial" w:hAnsi="Arial"/>
                <w:sz w:val="20"/>
                <w:szCs w:val="20"/>
                <w:color w:val="231F20"/>
              </w:rPr>
              <w:t>equipment, net . . . . . . . . . . . .</w:t>
            </w:r>
          </w:p>
        </w:tc>
        <w:tc>
          <w:tcPr>
            <w:tcW w:w="220" w:type="dxa"/>
            <w:vAlign w:val="bottom"/>
          </w:tcPr>
          <w:p>
            <w:pPr>
              <w:spacing w:after="0"/>
              <w:rPr>
                <w:sz w:val="19"/>
                <w:szCs w:val="19"/>
                <w:color w:val="auto"/>
              </w:rPr>
            </w:pPr>
          </w:p>
        </w:tc>
        <w:tc>
          <w:tcPr>
            <w:tcW w:w="940" w:type="dxa"/>
            <w:vAlign w:val="bottom"/>
          </w:tcPr>
          <w:p>
            <w:pPr>
              <w:jc w:val="right"/>
              <w:spacing w:after="0" w:line="226" w:lineRule="exact"/>
              <w:rPr>
                <w:sz w:val="20"/>
                <w:szCs w:val="20"/>
                <w:color w:val="auto"/>
              </w:rPr>
            </w:pPr>
            <w:r>
              <w:rPr>
                <w:rFonts w:ascii="Arial" w:cs="Arial" w:eastAsia="Arial" w:hAnsi="Arial"/>
                <w:sz w:val="20"/>
                <w:szCs w:val="20"/>
                <w:color w:val="231F20"/>
              </w:rPr>
              <w:t>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line="226" w:lineRule="exact"/>
              <w:rPr>
                <w:sz w:val="20"/>
                <w:szCs w:val="20"/>
                <w:color w:val="auto"/>
              </w:rPr>
            </w:pPr>
            <w:r>
              <w:rPr>
                <w:rFonts w:ascii="Arial" w:cs="Arial" w:eastAsia="Arial" w:hAnsi="Arial"/>
                <w:sz w:val="20"/>
                <w:szCs w:val="20"/>
                <w:color w:val="231F20"/>
              </w:rPr>
              <w:t>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6" w:lineRule="exact"/>
              <w:rPr>
                <w:sz w:val="20"/>
                <w:szCs w:val="20"/>
                <w:color w:val="auto"/>
              </w:rPr>
            </w:pPr>
            <w:r>
              <w:rPr>
                <w:rFonts w:ascii="Arial" w:cs="Arial" w:eastAsia="Arial" w:hAnsi="Arial"/>
                <w:sz w:val="20"/>
                <w:szCs w:val="20"/>
                <w:color w:val="231F20"/>
              </w:rPr>
              <w:t>5,857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line="226" w:lineRule="exact"/>
              <w:rPr>
                <w:sz w:val="20"/>
                <w:szCs w:val="20"/>
                <w:color w:val="auto"/>
              </w:rPr>
            </w:pPr>
            <w:r>
              <w:rPr>
                <w:rFonts w:ascii="Arial" w:cs="Arial" w:eastAsia="Arial" w:hAnsi="Arial"/>
                <w:sz w:val="20"/>
                <w:szCs w:val="20"/>
                <w:color w:val="231F20"/>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231F20"/>
              </w:rPr>
              <w:t>5,905</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20"/>
                <w:szCs w:val="20"/>
                <w:color w:val="231F20"/>
              </w:rPr>
              <w:t>Investments in consolidated</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720" w:type="dxa"/>
            <w:vAlign w:val="bottom"/>
          </w:tcPr>
          <w:p>
            <w:pPr>
              <w:spacing w:after="0" w:line="228" w:lineRule="exact"/>
              <w:rPr>
                <w:sz w:val="20"/>
                <w:szCs w:val="20"/>
                <w:color w:val="auto"/>
              </w:rPr>
            </w:pPr>
            <w:r>
              <w:rPr>
                <w:rFonts w:ascii="Arial" w:cs="Arial" w:eastAsia="Arial" w:hAnsi="Arial"/>
                <w:sz w:val="20"/>
                <w:szCs w:val="20"/>
                <w:color w:val="231F20"/>
              </w:rPr>
              <w:t>subsidiaries  . . . . . . . . . . . . . .</w:t>
            </w:r>
          </w:p>
        </w:tc>
        <w:tc>
          <w:tcPr>
            <w:tcW w:w="220" w:type="dxa"/>
            <w:vAlign w:val="bottom"/>
          </w:tcPr>
          <w:p>
            <w:pPr>
              <w:spacing w:after="0"/>
              <w:rPr>
                <w:sz w:val="19"/>
                <w:szCs w:val="19"/>
                <w:color w:val="auto"/>
              </w:rPr>
            </w:pPr>
          </w:p>
        </w:tc>
        <w:tc>
          <w:tcPr>
            <w:tcW w:w="940" w:type="dxa"/>
            <w:vAlign w:val="bottom"/>
          </w:tcPr>
          <w:p>
            <w:pPr>
              <w:jc w:val="right"/>
              <w:spacing w:after="0" w:line="228" w:lineRule="exact"/>
              <w:rPr>
                <w:sz w:val="20"/>
                <w:szCs w:val="20"/>
                <w:color w:val="auto"/>
              </w:rPr>
            </w:pPr>
            <w:r>
              <w:rPr>
                <w:rFonts w:ascii="Arial" w:cs="Arial" w:eastAsia="Arial" w:hAnsi="Arial"/>
                <w:sz w:val="20"/>
                <w:szCs w:val="20"/>
                <w:color w:val="231F20"/>
              </w:rPr>
              <w:t>6,579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line="228" w:lineRule="exact"/>
              <w:rPr>
                <w:sz w:val="20"/>
                <w:szCs w:val="20"/>
                <w:color w:val="auto"/>
              </w:rPr>
            </w:pPr>
            <w:r>
              <w:rPr>
                <w:rFonts w:ascii="Arial" w:cs="Arial" w:eastAsia="Arial" w:hAnsi="Arial"/>
                <w:sz w:val="20"/>
                <w:szCs w:val="20"/>
                <w:color w:val="231F20"/>
              </w:rPr>
              <w:t>(51)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color w:val="231F20"/>
              </w:rPr>
              <w:t>18,099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231F20"/>
              </w:rPr>
              <w:t>(24,627)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28"/>
        </w:trPr>
        <w:tc>
          <w:tcPr>
            <w:tcW w:w="2720" w:type="dxa"/>
            <w:vAlign w:val="bottom"/>
          </w:tcPr>
          <w:p>
            <w:pPr>
              <w:spacing w:after="0" w:line="228" w:lineRule="exact"/>
              <w:rPr>
                <w:sz w:val="20"/>
                <w:szCs w:val="20"/>
                <w:color w:val="auto"/>
              </w:rPr>
            </w:pPr>
            <w:r>
              <w:rPr>
                <w:rFonts w:ascii="Arial" w:cs="Arial" w:eastAsia="Arial" w:hAnsi="Arial"/>
                <w:sz w:val="20"/>
                <w:szCs w:val="20"/>
                <w:color w:val="231F20"/>
              </w:rPr>
              <w:t>Deferred tax asset . . . . . . . . .</w:t>
            </w:r>
          </w:p>
        </w:tc>
        <w:tc>
          <w:tcPr>
            <w:tcW w:w="220" w:type="dxa"/>
            <w:vAlign w:val="bottom"/>
          </w:tcPr>
          <w:p>
            <w:pPr>
              <w:spacing w:after="0"/>
              <w:rPr>
                <w:sz w:val="19"/>
                <w:szCs w:val="19"/>
                <w:color w:val="auto"/>
              </w:rPr>
            </w:pPr>
          </w:p>
        </w:tc>
        <w:tc>
          <w:tcPr>
            <w:tcW w:w="940" w:type="dxa"/>
            <w:vAlign w:val="bottom"/>
          </w:tcPr>
          <w:p>
            <w:pPr>
              <w:jc w:val="right"/>
              <w:spacing w:after="0" w:line="228" w:lineRule="exact"/>
              <w:rPr>
                <w:sz w:val="20"/>
                <w:szCs w:val="20"/>
                <w:color w:val="auto"/>
              </w:rPr>
            </w:pPr>
            <w:r>
              <w:rPr>
                <w:rFonts w:ascii="Arial" w:cs="Arial" w:eastAsia="Arial" w:hAnsi="Arial"/>
                <w:sz w:val="20"/>
                <w:szCs w:val="20"/>
                <w:color w:val="231F20"/>
              </w:rPr>
              <w:t>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140"/>
              <w:spacing w:after="0" w:line="228"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line="228" w:lineRule="exact"/>
              <w:rPr>
                <w:sz w:val="20"/>
                <w:szCs w:val="20"/>
                <w:color w:val="auto"/>
              </w:rPr>
            </w:pPr>
            <w:r>
              <w:rPr>
                <w:rFonts w:ascii="Arial" w:cs="Arial" w:eastAsia="Arial" w:hAnsi="Arial"/>
                <w:sz w:val="20"/>
                <w:szCs w:val="20"/>
                <w:color w:val="231F20"/>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231F20"/>
              </w:rPr>
              <w:t>76</w:t>
            </w:r>
          </w:p>
        </w:tc>
        <w:tc>
          <w:tcPr>
            <w:tcW w:w="0" w:type="dxa"/>
            <w:vAlign w:val="bottom"/>
          </w:tcPr>
          <w:p>
            <w:pPr>
              <w:spacing w:after="0"/>
              <w:rPr>
                <w:sz w:val="1"/>
                <w:szCs w:val="1"/>
                <w:color w:val="auto"/>
              </w:rPr>
            </w:pPr>
          </w:p>
        </w:tc>
      </w:tr>
      <w:tr>
        <w:trPr>
          <w:trHeight w:val="228"/>
        </w:trPr>
        <w:tc>
          <w:tcPr>
            <w:tcW w:w="2720" w:type="dxa"/>
            <w:vAlign w:val="bottom"/>
          </w:tcPr>
          <w:p>
            <w:pPr>
              <w:spacing w:after="0" w:line="228" w:lineRule="exact"/>
              <w:rPr>
                <w:sz w:val="20"/>
                <w:szCs w:val="20"/>
                <w:color w:val="auto"/>
              </w:rPr>
            </w:pPr>
            <w:r>
              <w:rPr>
                <w:rFonts w:ascii="Arial" w:cs="Arial" w:eastAsia="Arial" w:hAnsi="Arial"/>
                <w:sz w:val="20"/>
                <w:szCs w:val="20"/>
                <w:color w:val="231F20"/>
              </w:rPr>
              <w:t>Investment in unconsolidated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20" w:type="dxa"/>
            <w:vAlign w:val="bottom"/>
          </w:tcPr>
          <w:p>
            <w:pPr>
              <w:spacing w:after="0" w:line="226" w:lineRule="exact"/>
              <w:rPr>
                <w:sz w:val="20"/>
                <w:szCs w:val="20"/>
                <w:color w:val="auto"/>
              </w:rPr>
            </w:pPr>
            <w:r>
              <w:rPr>
                <w:rFonts w:ascii="Arial" w:cs="Arial" w:eastAsia="Arial" w:hAnsi="Arial"/>
                <w:sz w:val="20"/>
                <w:szCs w:val="20"/>
                <w:color w:val="231F20"/>
                <w:w w:val="99"/>
              </w:rPr>
              <w:t>subsidiaries . . . . . . . . . . . . . . .</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line="226" w:lineRule="exact"/>
              <w:rPr>
                <w:sz w:val="20"/>
                <w:szCs w:val="20"/>
                <w:color w:val="auto"/>
              </w:rPr>
            </w:pPr>
            <w:r>
              <w:rPr>
                <w:rFonts w:ascii="Arial" w:cs="Arial" w:eastAsia="Arial" w:hAnsi="Arial"/>
                <w:sz w:val="20"/>
                <w:szCs w:val="20"/>
                <w:color w:val="231F20"/>
              </w:rPr>
              <w:t>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6" w:lineRule="exact"/>
              <w:rPr>
                <w:sz w:val="20"/>
                <w:szCs w:val="20"/>
                <w:color w:val="auto"/>
              </w:rPr>
            </w:pPr>
            <w:r>
              <w:rPr>
                <w:rFonts w:ascii="Arial" w:cs="Arial" w:eastAsia="Arial" w:hAnsi="Arial"/>
                <w:sz w:val="20"/>
                <w:szCs w:val="20"/>
                <w:color w:val="231F20"/>
              </w:rPr>
              <w:t>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line="226" w:lineRule="exact"/>
              <w:rPr>
                <w:sz w:val="20"/>
                <w:szCs w:val="20"/>
                <w:color w:val="auto"/>
              </w:rPr>
            </w:pPr>
            <w:r>
              <w:rPr>
                <w:rFonts w:ascii="Arial" w:cs="Arial" w:eastAsia="Arial" w:hAnsi="Arial"/>
                <w:sz w:val="20"/>
                <w:szCs w:val="20"/>
                <w:color w:val="231F20"/>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231F20"/>
              </w:rPr>
              <w:t>111</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20"/>
                <w:szCs w:val="20"/>
                <w:color w:val="231F20"/>
              </w:rPr>
              <w:t>Other assets . . . . . . . . . . . . .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31F20"/>
              </w:rPr>
              <w:t>31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320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231F20"/>
              </w:rPr>
              <w:t>373</w:t>
            </w:r>
          </w:p>
        </w:tc>
        <w:tc>
          <w:tcPr>
            <w:tcW w:w="0" w:type="dxa"/>
            <w:vAlign w:val="bottom"/>
          </w:tcPr>
          <w:p>
            <w:pPr>
              <w:spacing w:after="0"/>
              <w:rPr>
                <w:sz w:val="1"/>
                <w:szCs w:val="1"/>
                <w:color w:val="auto"/>
              </w:rPr>
            </w:pPr>
          </w:p>
        </w:tc>
      </w:tr>
      <w:tr>
        <w:trPr>
          <w:trHeight w:val="28"/>
        </w:trPr>
        <w:tc>
          <w:tcPr>
            <w:tcW w:w="272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TOTAL ASSETS </w:t>
            </w:r>
            <w:r>
              <w:rPr>
                <w:rFonts w:ascii="Arial" w:cs="Arial" w:eastAsia="Arial" w:hAnsi="Arial"/>
                <w:sz w:val="20"/>
                <w:szCs w:val="20"/>
                <w:color w:val="231F20"/>
              </w:rPr>
              <w:t>. . . . . . . . . .</w:t>
            </w:r>
          </w:p>
        </w:tc>
        <w:tc>
          <w:tcPr>
            <w:tcW w:w="22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31F20"/>
            </w:tcBorders>
            <w:gridSpan w:val="2"/>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720" w:type="dxa"/>
            <w:vAlign w:val="bottom"/>
            <w:vMerge w:val="continue"/>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6,907</w:t>
            </w:r>
          </w:p>
        </w:tc>
        <w:tc>
          <w:tcPr>
            <w:tcW w:w="100" w:type="dxa"/>
            <w:vAlign w:val="bottom"/>
          </w:tcPr>
          <w:p>
            <w:pPr>
              <w:spacing w:after="0"/>
              <w:rPr>
                <w:sz w:val="22"/>
                <w:szCs w:val="22"/>
                <w:color w:val="auto"/>
              </w:rPr>
            </w:pPr>
          </w:p>
        </w:tc>
        <w:tc>
          <w:tcPr>
            <w:tcW w:w="440" w:type="dxa"/>
            <w:vAlign w:val="bottom"/>
            <w:gridSpan w:val="2"/>
          </w:tcPr>
          <w:p>
            <w:pPr>
              <w:ind w:left="120"/>
              <w:spacing w:after="0"/>
              <w:rPr>
                <w:sz w:val="20"/>
                <w:szCs w:val="20"/>
                <w:color w:val="auto"/>
              </w:rPr>
            </w:pPr>
            <w:r>
              <w:rPr>
                <w:rFonts w:ascii="Arial" w:cs="Arial" w:eastAsia="Arial" w:hAnsi="Arial"/>
                <w:sz w:val="20"/>
                <w:szCs w:val="20"/>
                <w:color w:val="231F20"/>
              </w:rPr>
              <w:t>$</w:t>
            </w:r>
          </w:p>
        </w:tc>
        <w:tc>
          <w:tcPr>
            <w:tcW w:w="680" w:type="dxa"/>
            <w:vAlign w:val="bottom"/>
          </w:tcPr>
          <w:p>
            <w:pPr>
              <w:jc w:val="right"/>
              <w:spacing w:after="0"/>
              <w:rPr>
                <w:sz w:val="20"/>
                <w:szCs w:val="20"/>
                <w:color w:val="auto"/>
              </w:rPr>
            </w:pPr>
            <w:r>
              <w:rPr>
                <w:rFonts w:ascii="Arial" w:cs="Arial" w:eastAsia="Arial" w:hAnsi="Arial"/>
                <w:sz w:val="20"/>
                <w:szCs w:val="20"/>
                <w:color w:val="231F20"/>
              </w:rPr>
              <w:t>78</w:t>
            </w:r>
          </w:p>
        </w:tc>
        <w:tc>
          <w:tcPr>
            <w:tcW w:w="8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20"/>
                <w:szCs w:val="20"/>
                <w:color w:val="231F20"/>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25,045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860" w:type="dxa"/>
            <w:vAlign w:val="bottom"/>
            <w:gridSpan w:val="2"/>
          </w:tcPr>
          <w:p>
            <w:pPr>
              <w:jc w:val="right"/>
              <w:ind w:right="20"/>
              <w:spacing w:after="0"/>
              <w:rPr>
                <w:sz w:val="20"/>
                <w:szCs w:val="20"/>
                <w:color w:val="auto"/>
              </w:rPr>
            </w:pPr>
            <w:r>
              <w:rPr>
                <w:rFonts w:ascii="Arial" w:cs="Arial" w:eastAsia="Arial" w:hAnsi="Arial"/>
                <w:sz w:val="20"/>
                <w:szCs w:val="20"/>
                <w:color w:val="231F20"/>
              </w:rPr>
              <w:t>(24,627)</w:t>
            </w:r>
          </w:p>
        </w:tc>
        <w:tc>
          <w:tcPr>
            <w:tcW w:w="560" w:type="dxa"/>
            <w:vAlign w:val="bottom"/>
            <w:gridSpan w:val="3"/>
          </w:tcPr>
          <w:p>
            <w:pPr>
              <w:jc w:val="right"/>
              <w:ind w:right="260"/>
              <w:spacing w:after="0"/>
              <w:rPr>
                <w:sz w:val="20"/>
                <w:szCs w:val="20"/>
                <w:color w:val="auto"/>
              </w:rPr>
            </w:pPr>
            <w:r>
              <w:rPr>
                <w:rFonts w:ascii="Arial" w:cs="Arial" w:eastAsia="Arial" w:hAnsi="Arial"/>
                <w:sz w:val="20"/>
                <w:szCs w:val="20"/>
                <w:color w:val="231F20"/>
              </w:rPr>
              <w:t>$</w:t>
            </w: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231F20"/>
              </w:rPr>
              <w:t>7,403</w:t>
            </w:r>
          </w:p>
        </w:tc>
        <w:tc>
          <w:tcPr>
            <w:tcW w:w="0" w:type="dxa"/>
            <w:vAlign w:val="bottom"/>
          </w:tcPr>
          <w:p>
            <w:pPr>
              <w:spacing w:after="0"/>
              <w:rPr>
                <w:sz w:val="1"/>
                <w:szCs w:val="1"/>
                <w:color w:val="auto"/>
              </w:rPr>
            </w:pPr>
          </w:p>
        </w:tc>
      </w:tr>
      <w:tr>
        <w:trPr>
          <w:trHeight w:val="28"/>
        </w:trPr>
        <w:tc>
          <w:tcPr>
            <w:tcW w:w="272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8"/>
        </w:trPr>
        <w:tc>
          <w:tcPr>
            <w:tcW w:w="2720" w:type="dxa"/>
            <w:vAlign w:val="bottom"/>
          </w:tcPr>
          <w:p>
            <w:pPr>
              <w:spacing w:after="0"/>
              <w:rPr>
                <w:sz w:val="20"/>
                <w:szCs w:val="20"/>
                <w:color w:val="auto"/>
              </w:rPr>
            </w:pPr>
            <w:r>
              <w:rPr>
                <w:rFonts w:ascii="Arial" w:cs="Arial" w:eastAsia="Arial" w:hAnsi="Arial"/>
                <w:sz w:val="20"/>
                <w:szCs w:val="20"/>
                <w:color w:val="231F20"/>
              </w:rPr>
              <w:t>Total current liabilities . . . . . .</w:t>
            </w:r>
          </w:p>
        </w:tc>
        <w:tc>
          <w:tcPr>
            <w:tcW w:w="2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0"/>
                <w:szCs w:val="20"/>
                <w:color w:val="231F20"/>
              </w:rPr>
              <w:t>180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31F20"/>
              </w:rPr>
              <w:t>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864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560" w:type="dxa"/>
            <w:vAlign w:val="bottom"/>
            <w:gridSpan w:val="3"/>
          </w:tcPr>
          <w:p>
            <w:pPr>
              <w:jc w:val="right"/>
              <w:ind w:right="260"/>
              <w:spacing w:after="0"/>
              <w:rPr>
                <w:sz w:val="20"/>
                <w:szCs w:val="20"/>
                <w:color w:val="auto"/>
              </w:rPr>
            </w:pPr>
            <w:r>
              <w:rPr>
                <w:rFonts w:ascii="Arial" w:cs="Arial" w:eastAsia="Arial" w:hAnsi="Arial"/>
                <w:sz w:val="20"/>
                <w:szCs w:val="20"/>
                <w:color w:val="231F20"/>
              </w:rPr>
              <w:t>$</w:t>
            </w: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231F20"/>
              </w:rPr>
              <w:t>1,050</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20"/>
                <w:szCs w:val="20"/>
                <w:color w:val="231F20"/>
              </w:rPr>
              <w:t>Long-term debt  . . . . . . . . . .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1,283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20"/>
                <w:szCs w:val="20"/>
                <w:color w:val="231F20"/>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231F20"/>
              </w:rPr>
              <w:t>1,283</w:t>
            </w:r>
          </w:p>
        </w:tc>
        <w:tc>
          <w:tcPr>
            <w:tcW w:w="0" w:type="dxa"/>
            <w:vAlign w:val="bottom"/>
          </w:tcPr>
          <w:p>
            <w:pPr>
              <w:spacing w:after="0"/>
              <w:rPr>
                <w:sz w:val="1"/>
                <w:szCs w:val="1"/>
                <w:color w:val="auto"/>
              </w:rPr>
            </w:pPr>
          </w:p>
        </w:tc>
      </w:tr>
      <w:tr>
        <w:trPr>
          <w:trHeight w:val="228"/>
        </w:trPr>
        <w:tc>
          <w:tcPr>
            <w:tcW w:w="2720" w:type="dxa"/>
            <w:vAlign w:val="bottom"/>
          </w:tcPr>
          <w:p>
            <w:pPr>
              <w:spacing w:after="0" w:line="228" w:lineRule="exact"/>
              <w:rPr>
                <w:sz w:val="20"/>
                <w:szCs w:val="20"/>
                <w:color w:val="auto"/>
              </w:rPr>
            </w:pPr>
            <w:r>
              <w:rPr>
                <w:rFonts w:ascii="Arial" w:cs="Arial" w:eastAsia="Arial" w:hAnsi="Arial"/>
                <w:sz w:val="20"/>
                <w:szCs w:val="20"/>
                <w:color w:val="231F20"/>
              </w:rPr>
              <w:t>Asset retirement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20" w:type="dxa"/>
            <w:vAlign w:val="bottom"/>
          </w:tcPr>
          <w:p>
            <w:pPr>
              <w:spacing w:after="0" w:line="228" w:lineRule="exact"/>
              <w:rPr>
                <w:sz w:val="20"/>
                <w:szCs w:val="20"/>
                <w:color w:val="auto"/>
              </w:rPr>
            </w:pPr>
            <w:r>
              <w:rPr>
                <w:rFonts w:ascii="Arial" w:cs="Arial" w:eastAsia="Arial" w:hAnsi="Arial"/>
                <w:sz w:val="20"/>
                <w:szCs w:val="20"/>
                <w:color w:val="231F20"/>
              </w:rPr>
              <w:t>obligations  . . . . . . . . . . . . . . .</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color w:val="231F20"/>
              </w:rPr>
              <w:t>913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line="228" w:lineRule="exact"/>
              <w:rPr>
                <w:sz w:val="20"/>
                <w:szCs w:val="20"/>
                <w:color w:val="auto"/>
              </w:rPr>
            </w:pPr>
            <w:r>
              <w:rPr>
                <w:rFonts w:ascii="Arial" w:cs="Arial" w:eastAsia="Arial" w:hAnsi="Arial"/>
                <w:sz w:val="20"/>
                <w:szCs w:val="20"/>
                <w:color w:val="231F20"/>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231F20"/>
              </w:rPr>
              <w:t>913</w:t>
            </w:r>
          </w:p>
        </w:tc>
        <w:tc>
          <w:tcPr>
            <w:tcW w:w="0" w:type="dxa"/>
            <w:vAlign w:val="bottom"/>
          </w:tcPr>
          <w:p>
            <w:pPr>
              <w:spacing w:after="0"/>
              <w:rPr>
                <w:sz w:val="1"/>
                <w:szCs w:val="1"/>
                <w:color w:val="auto"/>
              </w:rPr>
            </w:pPr>
          </w:p>
        </w:tc>
      </w:tr>
      <w:tr>
        <w:trPr>
          <w:trHeight w:val="228"/>
        </w:trPr>
        <w:tc>
          <w:tcPr>
            <w:tcW w:w="2720" w:type="dxa"/>
            <w:vAlign w:val="bottom"/>
          </w:tcPr>
          <w:p>
            <w:pPr>
              <w:spacing w:after="0" w:line="228" w:lineRule="exact"/>
              <w:rPr>
                <w:sz w:val="20"/>
                <w:szCs w:val="20"/>
                <w:color w:val="auto"/>
              </w:rPr>
            </w:pPr>
            <w:r>
              <w:rPr>
                <w:rFonts w:ascii="Arial" w:cs="Arial" w:eastAsia="Arial" w:hAnsi="Arial"/>
                <w:sz w:val="20"/>
                <w:szCs w:val="20"/>
                <w:color w:val="231F20"/>
              </w:rPr>
              <w:t>Other long-term liabilities  . . .</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231F20"/>
              </w:rPr>
              <w:t>110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line="228" w:lineRule="exact"/>
              <w:rPr>
                <w:sz w:val="20"/>
                <w:szCs w:val="20"/>
                <w:color w:val="auto"/>
              </w:rPr>
            </w:pPr>
            <w:r>
              <w:rPr>
                <w:rFonts w:ascii="Arial" w:cs="Arial" w:eastAsia="Arial" w:hAnsi="Arial"/>
                <w:sz w:val="20"/>
                <w:szCs w:val="20"/>
                <w:color w:val="231F20"/>
              </w:rPr>
              <w:t>130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Arial" w:cs="Arial" w:eastAsia="Arial" w:hAnsi="Arial"/>
                <w:sz w:val="20"/>
                <w:szCs w:val="20"/>
                <w:color w:val="231F20"/>
              </w:rPr>
              <w:t>89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line="228" w:lineRule="exact"/>
              <w:rPr>
                <w:sz w:val="20"/>
                <w:szCs w:val="20"/>
                <w:color w:val="auto"/>
              </w:rPr>
            </w:pPr>
            <w:r>
              <w:rPr>
                <w:rFonts w:ascii="Arial" w:cs="Arial" w:eastAsia="Arial" w:hAnsi="Arial"/>
                <w:sz w:val="20"/>
                <w:szCs w:val="20"/>
                <w:color w:val="231F20"/>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231F20"/>
              </w:rPr>
              <w:t>329</w:t>
            </w:r>
          </w:p>
        </w:tc>
        <w:tc>
          <w:tcPr>
            <w:tcW w:w="0" w:type="dxa"/>
            <w:vAlign w:val="bottom"/>
          </w:tcPr>
          <w:p>
            <w:pPr>
              <w:spacing w:after="0"/>
              <w:rPr>
                <w:sz w:val="1"/>
                <w:szCs w:val="1"/>
                <w:color w:val="auto"/>
              </w:rPr>
            </w:pPr>
          </w:p>
        </w:tc>
      </w:tr>
      <w:tr>
        <w:trPr>
          <w:trHeight w:val="228"/>
        </w:trPr>
        <w:tc>
          <w:tcPr>
            <w:tcW w:w="2720" w:type="dxa"/>
            <w:vAlign w:val="bottom"/>
          </w:tcPr>
          <w:p>
            <w:pPr>
              <w:spacing w:after="0" w:line="228" w:lineRule="exact"/>
              <w:rPr>
                <w:sz w:val="20"/>
                <w:szCs w:val="20"/>
                <w:color w:val="auto"/>
              </w:rPr>
            </w:pPr>
            <w:r>
              <w:rPr>
                <w:rFonts w:ascii="Arial" w:cs="Arial" w:eastAsia="Arial" w:hAnsi="Arial"/>
                <w:sz w:val="20"/>
                <w:szCs w:val="20"/>
                <w:color w:val="231F20"/>
              </w:rPr>
              <w:t>Deferred tax liability . . . . . . . .</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231F20"/>
              </w:rPr>
              <w:t>154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140"/>
              <w:spacing w:after="0" w:line="228"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0"/>
              <w:spacing w:after="0" w:line="228" w:lineRule="exact"/>
              <w:rPr>
                <w:sz w:val="20"/>
                <w:szCs w:val="20"/>
                <w:color w:val="auto"/>
              </w:rPr>
            </w:pPr>
            <w:r>
              <w:rPr>
                <w:rFonts w:ascii="Arial" w:cs="Arial" w:eastAsia="Arial" w:hAnsi="Arial"/>
                <w:sz w:val="20"/>
                <w:szCs w:val="20"/>
                <w:color w:val="231F20"/>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60"/>
              <w:spacing w:after="0" w:line="228" w:lineRule="exact"/>
              <w:rPr>
                <w:sz w:val="20"/>
                <w:szCs w:val="20"/>
                <w:color w:val="auto"/>
              </w:rPr>
            </w:pPr>
            <w:r>
              <w:rPr>
                <w:rFonts w:ascii="Arial" w:cs="Arial" w:eastAsia="Arial" w:hAnsi="Arial"/>
                <w:sz w:val="20"/>
                <w:szCs w:val="20"/>
                <w:color w:val="231F20"/>
              </w:rPr>
              <w:t>154</w:t>
            </w:r>
          </w:p>
        </w:tc>
        <w:tc>
          <w:tcPr>
            <w:tcW w:w="0" w:type="dxa"/>
            <w:vAlign w:val="bottom"/>
          </w:tcPr>
          <w:p>
            <w:pPr>
              <w:spacing w:after="0"/>
              <w:rPr>
                <w:sz w:val="1"/>
                <w:szCs w:val="1"/>
                <w:color w:val="auto"/>
              </w:rPr>
            </w:pPr>
          </w:p>
        </w:tc>
      </w:tr>
      <w:tr>
        <w:trPr>
          <w:trHeight w:val="226"/>
        </w:trPr>
        <w:tc>
          <w:tcPr>
            <w:tcW w:w="2720" w:type="dxa"/>
            <w:vAlign w:val="bottom"/>
          </w:tcPr>
          <w:p>
            <w:pPr>
              <w:spacing w:after="0" w:line="226" w:lineRule="exact"/>
              <w:rPr>
                <w:sz w:val="20"/>
                <w:szCs w:val="20"/>
                <w:color w:val="auto"/>
              </w:rPr>
            </w:pPr>
            <w:r>
              <w:rPr>
                <w:rFonts w:ascii="Arial" w:cs="Arial" w:eastAsia="Arial" w:hAnsi="Arial"/>
                <w:sz w:val="20"/>
                <w:szCs w:val="20"/>
                <w:color w:val="231F20"/>
              </w:rPr>
              <w:t>Amounts due to (from)</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20"/>
                <w:szCs w:val="20"/>
                <w:color w:val="231F20"/>
              </w:rPr>
              <w:t>affiliates  . . . . . . . . . . . . . . . .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1,508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31F20"/>
              </w:rPr>
              <w:t>61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231F20"/>
              </w:rPr>
              <w:t>(1,569)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26"/>
        </w:trPr>
        <w:tc>
          <w:tcPr>
            <w:tcW w:w="2720" w:type="dxa"/>
            <w:vAlign w:val="bottom"/>
          </w:tcPr>
          <w:p>
            <w:pPr>
              <w:spacing w:after="0" w:line="226" w:lineRule="exact"/>
              <w:rPr>
                <w:sz w:val="20"/>
                <w:szCs w:val="20"/>
                <w:color w:val="auto"/>
              </w:rPr>
            </w:pPr>
            <w:r>
              <w:rPr>
                <w:rFonts w:ascii="Arial" w:cs="Arial" w:eastAsia="Arial" w:hAnsi="Arial"/>
                <w:sz w:val="20"/>
                <w:szCs w:val="20"/>
                <w:color w:val="231F20"/>
                <w:w w:val="99"/>
              </w:rPr>
              <w:t>Total equity . . . . . . . . . . . . . . .</w:t>
            </w:r>
          </w:p>
        </w:tc>
        <w:tc>
          <w:tcPr>
            <w:tcW w:w="220" w:type="dxa"/>
            <w:vAlign w:val="bottom"/>
          </w:tcPr>
          <w:p>
            <w:pPr>
              <w:spacing w:after="0"/>
              <w:rPr>
                <w:sz w:val="19"/>
                <w:szCs w:val="19"/>
                <w:color w:val="auto"/>
              </w:rPr>
            </w:pPr>
          </w:p>
        </w:tc>
        <w:tc>
          <w:tcPr>
            <w:tcW w:w="940" w:type="dxa"/>
            <w:vAlign w:val="bottom"/>
          </w:tcPr>
          <w:p>
            <w:pPr>
              <w:jc w:val="right"/>
              <w:spacing w:after="0" w:line="226" w:lineRule="exact"/>
              <w:rPr>
                <w:sz w:val="20"/>
                <w:szCs w:val="20"/>
                <w:color w:val="auto"/>
              </w:rPr>
            </w:pPr>
            <w:r>
              <w:rPr>
                <w:rFonts w:ascii="Arial" w:cs="Arial" w:eastAsia="Arial" w:hAnsi="Arial"/>
                <w:sz w:val="20"/>
                <w:szCs w:val="20"/>
                <w:color w:val="231F20"/>
              </w:rPr>
              <w:t>3,674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line="226" w:lineRule="exact"/>
              <w:rPr>
                <w:sz w:val="20"/>
                <w:szCs w:val="20"/>
                <w:color w:val="auto"/>
              </w:rPr>
            </w:pPr>
            <w:r>
              <w:rPr>
                <w:rFonts w:ascii="Arial" w:cs="Arial" w:eastAsia="Arial" w:hAnsi="Arial"/>
                <w:sz w:val="20"/>
                <w:szCs w:val="20"/>
                <w:color w:val="231F20"/>
              </w:rPr>
              <w:t>(120)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6" w:lineRule="exact"/>
              <w:rPr>
                <w:sz w:val="20"/>
                <w:szCs w:val="20"/>
                <w:color w:val="auto"/>
              </w:rPr>
            </w:pPr>
            <w:r>
              <w:rPr>
                <w:rFonts w:ascii="Arial" w:cs="Arial" w:eastAsia="Arial" w:hAnsi="Arial"/>
                <w:sz w:val="20"/>
                <w:szCs w:val="20"/>
                <w:color w:val="231F20"/>
              </w:rPr>
              <w:t>24,747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231F20"/>
              </w:rPr>
              <w:t>(24,627)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231F20"/>
              </w:rPr>
              <w:t>3,674</w:t>
            </w:r>
          </w:p>
        </w:tc>
        <w:tc>
          <w:tcPr>
            <w:tcW w:w="0" w:type="dxa"/>
            <w:vAlign w:val="bottom"/>
          </w:tcPr>
          <w:p>
            <w:pPr>
              <w:spacing w:after="0"/>
              <w:rPr>
                <w:sz w:val="1"/>
                <w:szCs w:val="1"/>
                <w:color w:val="auto"/>
              </w:rPr>
            </w:pPr>
          </w:p>
        </w:tc>
      </w:tr>
      <w:tr>
        <w:trPr>
          <w:trHeight w:val="30"/>
        </w:trPr>
        <w:tc>
          <w:tcPr>
            <w:tcW w:w="2720" w:type="dxa"/>
            <w:vAlign w:val="bottom"/>
            <w:vMerge w:val="restart"/>
          </w:tcPr>
          <w:p>
            <w:pPr>
              <w:spacing w:after="0"/>
              <w:rPr>
                <w:sz w:val="20"/>
                <w:szCs w:val="20"/>
                <w:color w:val="auto"/>
              </w:rPr>
            </w:pPr>
            <w:r>
              <w:rPr>
                <w:rFonts w:ascii="Arial" w:cs="Arial" w:eastAsia="Arial" w:hAnsi="Arial"/>
                <w:sz w:val="20"/>
                <w:szCs w:val="20"/>
                <w:b w:val="1"/>
                <w:bCs w:val="1"/>
                <w:color w:val="231F20"/>
              </w:rPr>
              <w:t>TOTAL LIABILITIES AND</w:t>
            </w:r>
          </w:p>
        </w:tc>
        <w:tc>
          <w:tcPr>
            <w:tcW w:w="22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7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20"/>
                <w:szCs w:val="20"/>
                <w:b w:val="1"/>
                <w:bCs w:val="1"/>
                <w:color w:val="231F20"/>
              </w:rPr>
              <w:t>STOCKHOLDERS’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20" w:type="dxa"/>
            <w:vAlign w:val="bottom"/>
          </w:tcPr>
          <w:p>
            <w:pPr>
              <w:spacing w:after="0" w:line="226" w:lineRule="exact"/>
              <w:rPr>
                <w:sz w:val="20"/>
                <w:szCs w:val="20"/>
                <w:color w:val="auto"/>
              </w:rPr>
            </w:pPr>
            <w:r>
              <w:rPr>
                <w:rFonts w:ascii="Arial" w:cs="Arial" w:eastAsia="Arial" w:hAnsi="Arial"/>
                <w:sz w:val="20"/>
                <w:szCs w:val="20"/>
                <w:b w:val="1"/>
                <w:bCs w:val="1"/>
                <w:color w:val="231F20"/>
              </w:rPr>
              <w:t xml:space="preserve">EQUITY  </w:t>
            </w:r>
            <w:r>
              <w:rPr>
                <w:rFonts w:ascii="Arial" w:cs="Arial" w:eastAsia="Arial" w:hAnsi="Arial"/>
                <w:sz w:val="20"/>
                <w:szCs w:val="20"/>
                <w:color w:val="231F20"/>
              </w:rPr>
              <w:t>. . . . . . . . . . . . . . . . .</w:t>
            </w:r>
          </w:p>
        </w:tc>
        <w:tc>
          <w:tcPr>
            <w:tcW w:w="220" w:type="dxa"/>
            <w:vAlign w:val="bottom"/>
          </w:tcPr>
          <w:p>
            <w:pPr>
              <w:jc w:val="right"/>
              <w:spacing w:after="0" w:line="226" w:lineRule="exact"/>
              <w:rPr>
                <w:sz w:val="20"/>
                <w:szCs w:val="20"/>
                <w:color w:val="auto"/>
              </w:rPr>
            </w:pPr>
            <w:r>
              <w:rPr>
                <w:rFonts w:ascii="Arial" w:cs="Arial" w:eastAsia="Arial" w:hAnsi="Arial"/>
                <w:sz w:val="20"/>
                <w:szCs w:val="20"/>
                <w:color w:val="231F20"/>
              </w:rPr>
              <w:t>$</w:t>
            </w:r>
          </w:p>
        </w:tc>
        <w:tc>
          <w:tcPr>
            <w:tcW w:w="940" w:type="dxa"/>
            <w:vAlign w:val="bottom"/>
          </w:tcPr>
          <w:p>
            <w:pPr>
              <w:jc w:val="right"/>
              <w:spacing w:after="0" w:line="226" w:lineRule="exact"/>
              <w:rPr>
                <w:sz w:val="20"/>
                <w:szCs w:val="20"/>
                <w:color w:val="auto"/>
              </w:rPr>
            </w:pPr>
            <w:r>
              <w:rPr>
                <w:rFonts w:ascii="Arial" w:cs="Arial" w:eastAsia="Arial" w:hAnsi="Arial"/>
                <w:sz w:val="20"/>
                <w:szCs w:val="20"/>
                <w:color w:val="231F20"/>
              </w:rPr>
              <w:t>6,909</w:t>
            </w:r>
          </w:p>
        </w:tc>
        <w:tc>
          <w:tcPr>
            <w:tcW w:w="100" w:type="dxa"/>
            <w:vAlign w:val="bottom"/>
          </w:tcPr>
          <w:p>
            <w:pPr>
              <w:spacing w:after="0"/>
              <w:rPr>
                <w:sz w:val="19"/>
                <w:szCs w:val="19"/>
                <w:color w:val="auto"/>
              </w:rPr>
            </w:pPr>
          </w:p>
        </w:tc>
        <w:tc>
          <w:tcPr>
            <w:tcW w:w="440" w:type="dxa"/>
            <w:vAlign w:val="bottom"/>
            <w:gridSpan w:val="2"/>
          </w:tcPr>
          <w:p>
            <w:pPr>
              <w:ind w:left="120"/>
              <w:spacing w:after="0" w:line="226" w:lineRule="exact"/>
              <w:rPr>
                <w:sz w:val="20"/>
                <w:szCs w:val="20"/>
                <w:color w:val="auto"/>
              </w:rPr>
            </w:pPr>
            <w:r>
              <w:rPr>
                <w:rFonts w:ascii="Arial" w:cs="Arial" w:eastAsia="Arial" w:hAnsi="Arial"/>
                <w:sz w:val="20"/>
                <w:szCs w:val="20"/>
                <w:color w:val="231F20"/>
              </w:rPr>
              <w:t>$</w:t>
            </w:r>
          </w:p>
        </w:tc>
        <w:tc>
          <w:tcPr>
            <w:tcW w:w="680" w:type="dxa"/>
            <w:vAlign w:val="bottom"/>
          </w:tcPr>
          <w:p>
            <w:pPr>
              <w:jc w:val="right"/>
              <w:spacing w:after="0" w:line="226" w:lineRule="exact"/>
              <w:rPr>
                <w:sz w:val="20"/>
                <w:szCs w:val="20"/>
                <w:color w:val="auto"/>
              </w:rPr>
            </w:pPr>
            <w:r>
              <w:rPr>
                <w:rFonts w:ascii="Arial" w:cs="Arial" w:eastAsia="Arial" w:hAnsi="Arial"/>
                <w:sz w:val="20"/>
                <w:szCs w:val="20"/>
                <w:color w:val="231F20"/>
              </w:rPr>
              <w:t>77</w:t>
            </w:r>
          </w:p>
        </w:tc>
        <w:tc>
          <w:tcPr>
            <w:tcW w:w="80" w:type="dxa"/>
            <w:vAlign w:val="bottom"/>
          </w:tcPr>
          <w:p>
            <w:pPr>
              <w:spacing w:after="0"/>
              <w:rPr>
                <w:sz w:val="19"/>
                <w:szCs w:val="19"/>
                <w:color w:val="auto"/>
              </w:rPr>
            </w:pPr>
          </w:p>
        </w:tc>
        <w:tc>
          <w:tcPr>
            <w:tcW w:w="280" w:type="dxa"/>
            <w:vAlign w:val="bottom"/>
            <w:gridSpan w:val="3"/>
          </w:tcPr>
          <w:p>
            <w:pPr>
              <w:jc w:val="right"/>
              <w:spacing w:after="0" w:line="226" w:lineRule="exact"/>
              <w:rPr>
                <w:sz w:val="20"/>
                <w:szCs w:val="20"/>
                <w:color w:val="auto"/>
              </w:rPr>
            </w:pPr>
            <w:r>
              <w:rPr>
                <w:rFonts w:ascii="Arial" w:cs="Arial" w:eastAsia="Arial" w:hAnsi="Arial"/>
                <w:sz w:val="20"/>
                <w:szCs w:val="20"/>
                <w:color w:val="231F20"/>
              </w:rPr>
              <w:t>$</w:t>
            </w:r>
          </w:p>
        </w:tc>
        <w:tc>
          <w:tcPr>
            <w:tcW w:w="1000" w:type="dxa"/>
            <w:vAlign w:val="bottom"/>
          </w:tcPr>
          <w:p>
            <w:pPr>
              <w:jc w:val="right"/>
              <w:spacing w:after="0" w:line="226" w:lineRule="exact"/>
              <w:rPr>
                <w:sz w:val="20"/>
                <w:szCs w:val="20"/>
                <w:color w:val="auto"/>
              </w:rPr>
            </w:pPr>
            <w:r>
              <w:rPr>
                <w:rFonts w:ascii="Arial" w:cs="Arial" w:eastAsia="Arial" w:hAnsi="Arial"/>
                <w:sz w:val="20"/>
                <w:szCs w:val="20"/>
                <w:color w:val="231F20"/>
              </w:rPr>
              <w:t>25,044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w:t>
            </w:r>
          </w:p>
        </w:tc>
        <w:tc>
          <w:tcPr>
            <w:tcW w:w="86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231F20"/>
              </w:rPr>
              <w:t>(24,627)</w:t>
            </w:r>
          </w:p>
        </w:tc>
        <w:tc>
          <w:tcPr>
            <w:tcW w:w="560" w:type="dxa"/>
            <w:vAlign w:val="bottom"/>
            <w:gridSpan w:val="3"/>
          </w:tcPr>
          <w:p>
            <w:pPr>
              <w:jc w:val="right"/>
              <w:ind w:right="260"/>
              <w:spacing w:after="0" w:line="226" w:lineRule="exact"/>
              <w:rPr>
                <w:sz w:val="20"/>
                <w:szCs w:val="20"/>
                <w:color w:val="auto"/>
              </w:rPr>
            </w:pPr>
            <w:r>
              <w:rPr>
                <w:rFonts w:ascii="Arial" w:cs="Arial" w:eastAsia="Arial" w:hAnsi="Arial"/>
                <w:sz w:val="20"/>
                <w:szCs w:val="20"/>
                <w:color w:val="231F20"/>
              </w:rPr>
              <w:t>$</w:t>
            </w:r>
          </w:p>
        </w:tc>
        <w:tc>
          <w:tcPr>
            <w:tcW w:w="800" w:type="dxa"/>
            <w:vAlign w:val="bottom"/>
            <w:gridSpan w:val="2"/>
          </w:tcPr>
          <w:p>
            <w:pPr>
              <w:jc w:val="right"/>
              <w:ind w:right="60"/>
              <w:spacing w:after="0" w:line="226" w:lineRule="exact"/>
              <w:rPr>
                <w:sz w:val="20"/>
                <w:szCs w:val="20"/>
                <w:color w:val="auto"/>
              </w:rPr>
            </w:pPr>
            <w:r>
              <w:rPr>
                <w:rFonts w:ascii="Arial" w:cs="Arial" w:eastAsia="Arial" w:hAnsi="Arial"/>
                <w:sz w:val="20"/>
                <w:szCs w:val="20"/>
                <w:color w:val="231F20"/>
              </w:rPr>
              <w:t>7,403</w:t>
            </w: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148</w:t>
      </w:r>
    </w:p>
    <w:p>
      <w:pPr>
        <w:sectPr>
          <w:pgSz w:w="11880" w:h="15480" w:orient="portrait"/>
          <w:cols w:equalWidth="0" w:num="1">
            <w:col w:w="9120"/>
          </w:cols>
          <w:pgMar w:left="1380" w:top="1316" w:right="1380" w:bottom="66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50"/>
        </w:trPr>
        <w:tc>
          <w:tcPr>
            <w:tcW w:w="2660" w:type="dxa"/>
            <w:vAlign w:val="bottom"/>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2900" w:type="dxa"/>
            <w:vAlign w:val="bottom"/>
            <w:tcBorders>
              <w:bottom w:val="single" w:sz="8" w:color="231F20"/>
            </w:tcBorders>
            <w:gridSpan w:val="16"/>
          </w:tcPr>
          <w:p>
            <w:pPr>
              <w:jc w:val="center"/>
              <w:ind w:left="60"/>
              <w:spacing w:after="0"/>
              <w:rPr>
                <w:sz w:val="20"/>
                <w:szCs w:val="20"/>
                <w:color w:val="auto"/>
              </w:rPr>
            </w:pPr>
            <w:r>
              <w:rPr>
                <w:rFonts w:ascii="Arial" w:cs="Arial" w:eastAsia="Arial" w:hAnsi="Arial"/>
                <w:sz w:val="20"/>
                <w:szCs w:val="20"/>
                <w:b w:val="1"/>
                <w:bCs w:val="1"/>
                <w:color w:val="231F20"/>
                <w:w w:val="99"/>
              </w:rPr>
              <w:t>As of December 31, 2024</w:t>
            </w:r>
          </w:p>
        </w:tc>
        <w:tc>
          <w:tcPr>
            <w:tcW w:w="3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54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5"/>
          </w:tcPr>
          <w:p>
            <w:pPr>
              <w:jc w:val="center"/>
              <w:ind w:right="40"/>
              <w:spacing w:after="0" w:line="214" w:lineRule="exact"/>
              <w:rPr>
                <w:sz w:val="20"/>
                <w:szCs w:val="20"/>
                <w:color w:val="auto"/>
              </w:rPr>
            </w:pPr>
            <w:r>
              <w:rPr>
                <w:rFonts w:ascii="Arial" w:cs="Arial" w:eastAsia="Arial" w:hAnsi="Arial"/>
                <w:sz w:val="20"/>
                <w:szCs w:val="20"/>
                <w:b w:val="1"/>
                <w:bCs w:val="1"/>
                <w:color w:val="231F20"/>
                <w:w w:val="98"/>
              </w:rPr>
              <w:t>Combined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6"/>
          </w:tcPr>
          <w:p>
            <w:pPr>
              <w:jc w:val="center"/>
              <w:ind w:right="120"/>
              <w:spacing w:after="0" w:line="214" w:lineRule="exact"/>
              <w:rPr>
                <w:sz w:val="20"/>
                <w:szCs w:val="20"/>
                <w:color w:val="auto"/>
              </w:rPr>
            </w:pPr>
            <w:r>
              <w:rPr>
                <w:rFonts w:ascii="Arial" w:cs="Arial" w:eastAsia="Arial" w:hAnsi="Arial"/>
                <w:sz w:val="20"/>
                <w:szCs w:val="20"/>
                <w:b w:val="1"/>
                <w:bCs w:val="1"/>
                <w:color w:val="231F20"/>
              </w:rPr>
              <w:t>Combined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6"/>
          </w:tcPr>
          <w:p>
            <w:pPr>
              <w:jc w:val="center"/>
              <w:ind w:right="20"/>
              <w:spacing w:after="0" w:line="200" w:lineRule="exact"/>
              <w:rPr>
                <w:sz w:val="20"/>
                <w:szCs w:val="20"/>
                <w:color w:val="auto"/>
              </w:rPr>
            </w:pPr>
            <w:r>
              <w:rPr>
                <w:rFonts w:ascii="Arial" w:cs="Arial" w:eastAsia="Arial" w:hAnsi="Arial"/>
                <w:sz w:val="20"/>
                <w:szCs w:val="20"/>
                <w:b w:val="1"/>
                <w:bCs w:val="1"/>
                <w:color w:val="231F20"/>
                <w:w w:val="98"/>
              </w:rPr>
              <w:t>Unrestricted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6"/>
          </w:tcPr>
          <w:p>
            <w:pPr>
              <w:jc w:val="center"/>
              <w:ind w:right="120"/>
              <w:spacing w:after="0" w:line="200" w:lineRule="exact"/>
              <w:rPr>
                <w:sz w:val="20"/>
                <w:szCs w:val="20"/>
                <w:color w:val="auto"/>
              </w:rPr>
            </w:pPr>
            <w:r>
              <w:rPr>
                <w:rFonts w:ascii="Arial" w:cs="Arial" w:eastAsia="Arial" w:hAnsi="Arial"/>
                <w:sz w:val="20"/>
                <w:szCs w:val="20"/>
                <w:b w:val="1"/>
                <w:bCs w:val="1"/>
                <w:color w:val="231F20"/>
              </w:rPr>
              <w:t>Restricted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60"/>
              <w:spacing w:after="0" w:line="228" w:lineRule="exact"/>
              <w:rPr>
                <w:sz w:val="20"/>
                <w:szCs w:val="20"/>
                <w:color w:val="auto"/>
              </w:rPr>
            </w:pPr>
            <w:r>
              <w:rPr>
                <w:rFonts w:ascii="Arial" w:cs="Arial" w:eastAsia="Arial" w:hAnsi="Arial"/>
                <w:sz w:val="20"/>
                <w:szCs w:val="20"/>
                <w:b w:val="1"/>
                <w:bCs w:val="1"/>
                <w:color w:val="231F20"/>
              </w:rPr>
              <w:t>Parent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80" w:type="dxa"/>
            <w:vAlign w:val="bottom"/>
            <w:gridSpan w:val="24"/>
          </w:tcPr>
          <w:p>
            <w:pPr>
              <w:jc w:val="center"/>
              <w:ind w:right="100"/>
              <w:spacing w:after="0" w:line="228" w:lineRule="exact"/>
              <w:rPr>
                <w:sz w:val="20"/>
                <w:szCs w:val="20"/>
                <w:color w:val="auto"/>
              </w:rPr>
            </w:pPr>
            <w:r>
              <w:rPr>
                <w:rFonts w:ascii="Arial" w:cs="Arial" w:eastAsia="Arial" w:hAnsi="Arial"/>
                <w:sz w:val="20"/>
                <w:szCs w:val="20"/>
                <w:b w:val="1"/>
                <w:bCs w:val="1"/>
                <w:color w:val="231F20"/>
              </w:rPr>
              <w:t>Subsidiaries Subsidiaries Eliminations</w:t>
            </w:r>
          </w:p>
        </w:tc>
        <w:tc>
          <w:tcPr>
            <w:tcW w:w="20" w:type="dxa"/>
            <w:vAlign w:val="bottom"/>
          </w:tcPr>
          <w:p>
            <w:pPr>
              <w:spacing w:after="0"/>
              <w:rPr>
                <w:sz w:val="21"/>
                <w:szCs w:val="21"/>
                <w:color w:val="auto"/>
              </w:rPr>
            </w:pPr>
          </w:p>
        </w:tc>
        <w:tc>
          <w:tcPr>
            <w:tcW w:w="1340" w:type="dxa"/>
            <w:vAlign w:val="bottom"/>
            <w:gridSpan w:val="5"/>
          </w:tcPr>
          <w:p>
            <w:pPr>
              <w:spacing w:after="0" w:line="228" w:lineRule="exact"/>
              <w:rPr>
                <w:sz w:val="20"/>
                <w:szCs w:val="20"/>
                <w:color w:val="auto"/>
              </w:rPr>
            </w:pPr>
            <w:r>
              <w:rPr>
                <w:rFonts w:ascii="Arial" w:cs="Arial" w:eastAsia="Arial" w:hAnsi="Arial"/>
                <w:sz w:val="20"/>
                <w:szCs w:val="20"/>
                <w:b w:val="1"/>
                <w:bCs w:val="1"/>
                <w:color w:val="231F20"/>
              </w:rPr>
              <w:t>Consolidated</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400" w:type="dxa"/>
            <w:vAlign w:val="bottom"/>
            <w:tcBorders>
              <w:top w:val="single" w:sz="8" w:color="231F20"/>
            </w:tcBorders>
          </w:tcPr>
          <w:p>
            <w:pPr>
              <w:spacing w:after="0"/>
              <w:rPr>
                <w:sz w:val="16"/>
                <w:szCs w:val="16"/>
                <w:color w:val="auto"/>
              </w:rPr>
            </w:pPr>
          </w:p>
        </w:tc>
        <w:tc>
          <w:tcPr>
            <w:tcW w:w="60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40" w:type="dxa"/>
            <w:vAlign w:val="bottom"/>
            <w:tcBorders>
              <w:top w:val="single" w:sz="8" w:color="231F20"/>
            </w:tcBorders>
          </w:tcPr>
          <w:p>
            <w:pPr>
              <w:spacing w:after="0"/>
              <w:rPr>
                <w:sz w:val="16"/>
                <w:szCs w:val="16"/>
                <w:color w:val="auto"/>
              </w:rPr>
            </w:pPr>
          </w:p>
        </w:tc>
        <w:tc>
          <w:tcPr>
            <w:tcW w:w="940" w:type="dxa"/>
            <w:vAlign w:val="bottom"/>
            <w:tcBorders>
              <w:top w:val="single" w:sz="8" w:color="231F20"/>
            </w:tcBorders>
            <w:gridSpan w:val="2"/>
          </w:tcPr>
          <w:p>
            <w:pPr>
              <w:jc w:val="center"/>
              <w:ind w:right="120"/>
              <w:spacing w:after="0"/>
              <w:rPr>
                <w:sz w:val="20"/>
                <w:szCs w:val="20"/>
                <w:color w:val="auto"/>
              </w:rPr>
            </w:pPr>
            <w:r>
              <w:rPr>
                <w:rFonts w:ascii="Arial" w:cs="Arial" w:eastAsia="Arial" w:hAnsi="Arial"/>
                <w:sz w:val="16"/>
                <w:szCs w:val="16"/>
                <w:color w:val="231F20"/>
              </w:rPr>
              <w:t>(in millions)</w:t>
            </w:r>
          </w:p>
        </w:tc>
        <w:tc>
          <w:tcPr>
            <w:tcW w:w="80" w:type="dxa"/>
            <w:vAlign w:val="bottom"/>
            <w:gridSpan w:val="3"/>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660" w:type="dxa"/>
            <w:vAlign w:val="bottom"/>
            <w:tcBorders>
              <w:top w:val="single" w:sz="8" w:color="231F20"/>
            </w:tcBorders>
          </w:tcPr>
          <w:p>
            <w:pPr>
              <w:spacing w:after="0"/>
              <w:rPr>
                <w:sz w:val="16"/>
                <w:szCs w:val="16"/>
                <w:color w:val="auto"/>
              </w:rPr>
            </w:pPr>
          </w:p>
        </w:tc>
        <w:tc>
          <w:tcPr>
            <w:tcW w:w="38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540" w:type="dxa"/>
            <w:vAlign w:val="bottom"/>
            <w:tcBorders>
              <w:top w:val="single" w:sz="8" w:color="231F20"/>
            </w:tcBorders>
          </w:tcPr>
          <w:p>
            <w:pPr>
              <w:spacing w:after="0"/>
              <w:rPr>
                <w:sz w:val="16"/>
                <w:szCs w:val="16"/>
                <w:color w:val="auto"/>
              </w:rPr>
            </w:pPr>
          </w:p>
        </w:tc>
        <w:tc>
          <w:tcPr>
            <w:tcW w:w="7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r>
              <w:rPr>
                <w:rFonts w:ascii="Arial" w:cs="Arial" w:eastAsia="Arial" w:hAnsi="Arial"/>
                <w:sz w:val="20"/>
                <w:szCs w:val="20"/>
                <w:color w:val="231F20"/>
              </w:rPr>
              <w:t>Total current assets  . . . . . . .</w:t>
            </w:r>
          </w:p>
        </w:tc>
        <w:tc>
          <w:tcPr>
            <w:tcW w:w="24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231F20"/>
              </w:rPr>
              <w:t>437</w:t>
            </w:r>
          </w:p>
        </w:tc>
        <w:tc>
          <w:tcPr>
            <w:tcW w:w="20" w:type="dxa"/>
            <w:vAlign w:val="bottom"/>
          </w:tcPr>
          <w:p>
            <w:pPr>
              <w:spacing w:after="0"/>
              <w:rPr>
                <w:sz w:val="20"/>
                <w:szCs w:val="20"/>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20"/>
                <w:szCs w:val="20"/>
                <w:color w:val="231F20"/>
              </w:rPr>
              <w:t>$</w:t>
            </w:r>
          </w:p>
        </w:tc>
        <w:tc>
          <w:tcPr>
            <w:tcW w:w="600" w:type="dxa"/>
            <w:vAlign w:val="bottom"/>
          </w:tcPr>
          <w:p>
            <w:pPr>
              <w:jc w:val="right"/>
              <w:spacing w:after="0"/>
              <w:rPr>
                <w:sz w:val="20"/>
                <w:szCs w:val="20"/>
                <w:color w:val="auto"/>
              </w:rPr>
            </w:pPr>
            <w:r>
              <w:rPr>
                <w:rFonts w:ascii="Arial" w:cs="Arial" w:eastAsia="Arial" w:hAnsi="Arial"/>
                <w:sz w:val="20"/>
                <w:szCs w:val="20"/>
                <w:color w:val="231F20"/>
              </w:rPr>
              <w:t>46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541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20"/>
                <w:szCs w:val="20"/>
                <w:color w:val="231F20"/>
              </w:rPr>
              <w:t>$</w:t>
            </w:r>
          </w:p>
        </w:tc>
        <w:tc>
          <w:tcPr>
            <w:tcW w:w="540" w:type="dxa"/>
            <w:vAlign w:val="bottom"/>
            <w:gridSpan w:val="5"/>
          </w:tcPr>
          <w:p>
            <w:pPr>
              <w:jc w:val="right"/>
              <w:ind w:right="240"/>
              <w:spacing w:after="0"/>
              <w:rPr>
                <w:sz w:val="20"/>
                <w:szCs w:val="20"/>
                <w:color w:val="auto"/>
              </w:rPr>
            </w:pPr>
            <w:r>
              <w:rPr>
                <w:rFonts w:ascii="Arial" w:cs="Arial" w:eastAsia="Arial" w:hAnsi="Arial"/>
                <w:sz w:val="20"/>
                <w:szCs w:val="20"/>
                <w:color w:val="231F20"/>
              </w:rPr>
              <w:t>—</w:t>
            </w:r>
          </w:p>
        </w:tc>
        <w:tc>
          <w:tcPr>
            <w:tcW w:w="600" w:type="dxa"/>
            <w:vAlign w:val="bottom"/>
            <w:gridSpan w:val="3"/>
          </w:tcPr>
          <w:p>
            <w:pPr>
              <w:ind w:left="40"/>
              <w:spacing w:after="0"/>
              <w:rPr>
                <w:sz w:val="20"/>
                <w:szCs w:val="20"/>
                <w:color w:val="auto"/>
              </w:rPr>
            </w:pPr>
            <w:r>
              <w:rPr>
                <w:rFonts w:ascii="Arial" w:cs="Arial" w:eastAsia="Arial" w:hAnsi="Arial"/>
                <w:sz w:val="20"/>
                <w:szCs w:val="20"/>
                <w:color w:val="231F20"/>
              </w:rPr>
              <w:t>$</w:t>
            </w:r>
          </w:p>
        </w:tc>
        <w:tc>
          <w:tcPr>
            <w:tcW w:w="720" w:type="dxa"/>
            <w:vAlign w:val="bottom"/>
          </w:tcPr>
          <w:p>
            <w:pPr>
              <w:jc w:val="right"/>
              <w:spacing w:after="0"/>
              <w:rPr>
                <w:sz w:val="20"/>
                <w:szCs w:val="20"/>
                <w:color w:val="auto"/>
              </w:rPr>
            </w:pPr>
            <w:r>
              <w:rPr>
                <w:rFonts w:ascii="Arial" w:cs="Arial" w:eastAsia="Arial" w:hAnsi="Arial"/>
                <w:sz w:val="20"/>
                <w:szCs w:val="20"/>
                <w:color w:val="231F20"/>
              </w:rPr>
              <w:t>1,024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231F20"/>
              </w:rPr>
              <w:t>Total property, plant and</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231F20"/>
              </w:rPr>
              <w:t>equipment, net  . . . . .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line="226" w:lineRule="exact"/>
              <w:rPr>
                <w:sz w:val="20"/>
                <w:szCs w:val="20"/>
                <w:color w:val="auto"/>
              </w:rPr>
            </w:pPr>
            <w:r>
              <w:rPr>
                <w:rFonts w:ascii="Arial" w:cs="Arial" w:eastAsia="Arial" w:hAnsi="Arial"/>
                <w:sz w:val="20"/>
                <w:szCs w:val="20"/>
                <w:color w:val="231F20"/>
              </w:rPr>
              <w:t>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231F20"/>
              </w:rPr>
              <w:t>31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231F20"/>
              </w:rPr>
              <w:t>5,635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5"/>
          </w:tcPr>
          <w:p>
            <w:pPr>
              <w:jc w:val="right"/>
              <w:ind w:right="240"/>
              <w:spacing w:after="0" w:line="226"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ind w:right="40"/>
              <w:spacing w:after="0" w:line="226" w:lineRule="exact"/>
              <w:rPr>
                <w:sz w:val="20"/>
                <w:szCs w:val="20"/>
                <w:color w:val="auto"/>
              </w:rPr>
            </w:pPr>
            <w:r>
              <w:rPr>
                <w:rFonts w:ascii="Arial" w:cs="Arial" w:eastAsia="Arial" w:hAnsi="Arial"/>
                <w:sz w:val="20"/>
                <w:szCs w:val="20"/>
                <w:color w:val="231F20"/>
              </w:rPr>
              <w:t>5,680</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231F20"/>
              </w:rPr>
              <w:t>Investments in consolidated</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231F20"/>
              </w:rPr>
              <w:t>subsidiaries . . . . . . . .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line="226" w:lineRule="exact"/>
              <w:rPr>
                <w:sz w:val="20"/>
                <w:szCs w:val="20"/>
                <w:color w:val="auto"/>
              </w:rPr>
            </w:pPr>
            <w:r>
              <w:rPr>
                <w:rFonts w:ascii="Arial" w:cs="Arial" w:eastAsia="Arial" w:hAnsi="Arial"/>
                <w:sz w:val="20"/>
                <w:szCs w:val="20"/>
                <w:color w:val="231F20"/>
              </w:rPr>
              <w:t>4,869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3"/>
          </w:tcPr>
          <w:p>
            <w:pPr>
              <w:jc w:val="right"/>
              <w:spacing w:after="0" w:line="226" w:lineRule="exact"/>
              <w:rPr>
                <w:sz w:val="20"/>
                <w:szCs w:val="20"/>
                <w:color w:val="auto"/>
              </w:rPr>
            </w:pPr>
            <w:r>
              <w:rPr>
                <w:rFonts w:ascii="Arial" w:cs="Arial" w:eastAsia="Arial" w:hAnsi="Arial"/>
                <w:sz w:val="20"/>
                <w:szCs w:val="20"/>
                <w:color w:val="231F20"/>
              </w:rPr>
              <w:t>(32)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231F20"/>
              </w:rPr>
              <w:t>15,050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spacing w:after="0" w:line="226" w:lineRule="exact"/>
              <w:rPr>
                <w:sz w:val="20"/>
                <w:szCs w:val="20"/>
                <w:color w:val="auto"/>
              </w:rPr>
            </w:pPr>
            <w:r>
              <w:rPr>
                <w:rFonts w:ascii="Arial" w:cs="Arial" w:eastAsia="Arial" w:hAnsi="Arial"/>
                <w:sz w:val="20"/>
                <w:szCs w:val="20"/>
                <w:color w:val="231F20"/>
              </w:rPr>
              <w:t>(19,887)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ind w:right="40"/>
              <w:spacing w:after="0" w:line="226"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231F20"/>
              </w:rPr>
              <w:t>Deferred tax asset  . .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231F20"/>
              </w:rPr>
              <w:t>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4"/>
          </w:tcPr>
          <w:p>
            <w:pPr>
              <w:jc w:val="right"/>
              <w:ind w:right="100"/>
              <w:spacing w:after="0" w:line="228"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tcPr>
          <w:p>
            <w:pPr>
              <w:jc w:val="right"/>
              <w:ind w:right="100"/>
              <w:spacing w:after="0" w:line="228" w:lineRule="exact"/>
              <w:rPr>
                <w:sz w:val="20"/>
                <w:szCs w:val="20"/>
                <w:color w:val="auto"/>
              </w:rPr>
            </w:pPr>
            <w:r>
              <w:rPr>
                <w:rFonts w:ascii="Arial" w:cs="Arial" w:eastAsia="Arial" w:hAnsi="Arial"/>
                <w:sz w:val="20"/>
                <w:szCs w:val="20"/>
                <w:color w:val="231F20"/>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5"/>
          </w:tcPr>
          <w:p>
            <w:pPr>
              <w:jc w:val="right"/>
              <w:ind w:right="240"/>
              <w:spacing w:after="0" w:line="228"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231F20"/>
              </w:rPr>
              <w:t>73</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231F20"/>
              </w:rPr>
              <w:t>Investment in unconsolidated</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231F20"/>
                <w:w w:val="98"/>
              </w:rPr>
              <w:t>subsidiaries  . . . . . . . .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line="226"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231F20"/>
              </w:rPr>
              <w:t>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line="226" w:lineRule="exact"/>
              <w:rPr>
                <w:sz w:val="20"/>
                <w:szCs w:val="20"/>
                <w:color w:val="auto"/>
              </w:rPr>
            </w:pPr>
            <w:r>
              <w:rPr>
                <w:rFonts w:ascii="Arial" w:cs="Arial" w:eastAsia="Arial" w:hAnsi="Arial"/>
                <w:sz w:val="20"/>
                <w:szCs w:val="20"/>
                <w:color w:val="231F20"/>
              </w:rPr>
              <w:t>59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5"/>
          </w:tcPr>
          <w:p>
            <w:pPr>
              <w:jc w:val="right"/>
              <w:ind w:right="240"/>
              <w:spacing w:after="0" w:line="226"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ind w:right="40"/>
              <w:spacing w:after="0" w:line="226" w:lineRule="exact"/>
              <w:rPr>
                <w:sz w:val="20"/>
                <w:szCs w:val="20"/>
                <w:color w:val="auto"/>
              </w:rPr>
            </w:pPr>
            <w:r>
              <w:rPr>
                <w:rFonts w:ascii="Arial" w:cs="Arial" w:eastAsia="Arial" w:hAnsi="Arial"/>
                <w:sz w:val="20"/>
                <w:szCs w:val="20"/>
                <w:color w:val="231F20"/>
              </w:rPr>
              <w:t>86</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231F20"/>
              </w:rPr>
              <w:t>Other assets . . . . . . . . . . . .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231F20"/>
              </w:rPr>
              <w:t>113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231F20"/>
              </w:rPr>
              <w:t>58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231F20"/>
              </w:rPr>
              <w:t>101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gridSpan w:val="5"/>
          </w:tcPr>
          <w:p>
            <w:pPr>
              <w:jc w:val="right"/>
              <w:ind w:right="24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20"/>
                <w:szCs w:val="20"/>
                <w:color w:val="231F20"/>
              </w:rPr>
              <w:t>272</w:t>
            </w:r>
          </w:p>
        </w:tc>
        <w:tc>
          <w:tcPr>
            <w:tcW w:w="0" w:type="dxa"/>
            <w:vAlign w:val="bottom"/>
          </w:tcPr>
          <w:p>
            <w:pPr>
              <w:spacing w:after="0"/>
              <w:rPr>
                <w:sz w:val="1"/>
                <w:szCs w:val="1"/>
                <w:color w:val="auto"/>
              </w:rPr>
            </w:pPr>
          </w:p>
        </w:tc>
      </w:tr>
      <w:tr>
        <w:trPr>
          <w:trHeight w:val="28"/>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TOTAL ASSETS  </w:t>
            </w:r>
            <w:r>
              <w:rPr>
                <w:rFonts w:ascii="Arial" w:cs="Arial" w:eastAsia="Arial" w:hAnsi="Arial"/>
                <w:sz w:val="20"/>
                <w:szCs w:val="20"/>
                <w:color w:val="231F20"/>
              </w:rPr>
              <w:t>. . . . . . . . .</w:t>
            </w:r>
          </w:p>
        </w:tc>
        <w:tc>
          <w:tcPr>
            <w:tcW w:w="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660" w:type="dxa"/>
            <w:vAlign w:val="bottom"/>
            <w:vMerge w:val="continue"/>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231F20"/>
              </w:rPr>
              <w:t>5,506</w:t>
            </w:r>
          </w:p>
        </w:tc>
        <w:tc>
          <w:tcPr>
            <w:tcW w:w="520" w:type="dxa"/>
            <w:vAlign w:val="bottom"/>
            <w:gridSpan w:val="4"/>
          </w:tcPr>
          <w:p>
            <w:pPr>
              <w:jc w:val="right"/>
              <w:spacing w:after="0"/>
              <w:rPr>
                <w:sz w:val="20"/>
                <w:szCs w:val="20"/>
                <w:color w:val="auto"/>
              </w:rPr>
            </w:pPr>
            <w:r>
              <w:rPr>
                <w:rFonts w:ascii="Arial" w:cs="Arial" w:eastAsia="Arial" w:hAnsi="Arial"/>
                <w:sz w:val="20"/>
                <w:szCs w:val="20"/>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231F20"/>
              </w:rPr>
              <w:t>130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4"/>
          </w:tcPr>
          <w:p>
            <w:pPr>
              <w:jc w:val="right"/>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231F20"/>
              </w:rPr>
              <w:t>21,386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4"/>
          </w:tcPr>
          <w:p>
            <w:pPr>
              <w:jc w:val="right"/>
              <w:spacing w:after="0"/>
              <w:rPr>
                <w:sz w:val="20"/>
                <w:szCs w:val="20"/>
                <w:color w:val="auto"/>
              </w:rPr>
            </w:pPr>
            <w:r>
              <w:rPr>
                <w:rFonts w:ascii="Arial" w:cs="Arial" w:eastAsia="Arial" w:hAnsi="Arial"/>
                <w:sz w:val="20"/>
                <w:szCs w:val="20"/>
                <w:color w:val="231F20"/>
              </w:rPr>
              <w:t>$ (19,887)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20"/>
                <w:szCs w:val="20"/>
                <w:color w:val="231F20"/>
              </w:rPr>
              <w:t>$</w:t>
            </w:r>
          </w:p>
        </w:tc>
        <w:tc>
          <w:tcPr>
            <w:tcW w:w="760" w:type="dxa"/>
            <w:vAlign w:val="bottom"/>
            <w:gridSpan w:val="3"/>
          </w:tcPr>
          <w:p>
            <w:pPr>
              <w:jc w:val="right"/>
              <w:ind w:right="40"/>
              <w:spacing w:after="0"/>
              <w:rPr>
                <w:sz w:val="20"/>
                <w:szCs w:val="20"/>
                <w:color w:val="auto"/>
              </w:rPr>
            </w:pPr>
            <w:r>
              <w:rPr>
                <w:rFonts w:ascii="Arial" w:cs="Arial" w:eastAsia="Arial" w:hAnsi="Arial"/>
                <w:sz w:val="20"/>
                <w:szCs w:val="20"/>
                <w:color w:val="231F20"/>
              </w:rPr>
              <w:t>7,135</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2660" w:type="dxa"/>
            <w:vAlign w:val="bottom"/>
          </w:tcPr>
          <w:p>
            <w:pPr>
              <w:spacing w:after="0"/>
              <w:rPr>
                <w:sz w:val="20"/>
                <w:szCs w:val="20"/>
                <w:color w:val="auto"/>
              </w:rPr>
            </w:pPr>
            <w:r>
              <w:rPr>
                <w:rFonts w:ascii="Arial" w:cs="Arial" w:eastAsia="Arial" w:hAnsi="Arial"/>
                <w:sz w:val="20"/>
                <w:szCs w:val="20"/>
                <w:color w:val="231F20"/>
              </w:rPr>
              <w:t>Total current liabilities  . . . . .</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231F20"/>
              </w:rPr>
              <w:t>224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231F20"/>
              </w:rPr>
              <w:t>14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231F20"/>
              </w:rPr>
              <w:t>742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gridSpan w:val="5"/>
          </w:tcPr>
          <w:p>
            <w:pPr>
              <w:jc w:val="right"/>
              <w:ind w:right="240"/>
              <w:spacing w:after="0"/>
              <w:rPr>
                <w:sz w:val="20"/>
                <w:szCs w:val="20"/>
                <w:color w:val="auto"/>
              </w:rPr>
            </w:pPr>
            <w:r>
              <w:rPr>
                <w:rFonts w:ascii="Arial" w:cs="Arial" w:eastAsia="Arial" w:hAnsi="Arial"/>
                <w:sz w:val="20"/>
                <w:szCs w:val="20"/>
                <w:color w:val="231F20"/>
              </w:rPr>
              <w:t>—</w:t>
            </w:r>
          </w:p>
        </w:tc>
        <w:tc>
          <w:tcPr>
            <w:tcW w:w="600" w:type="dxa"/>
            <w:vAlign w:val="bottom"/>
            <w:gridSpan w:val="3"/>
          </w:tcPr>
          <w:p>
            <w:pPr>
              <w:jc w:val="right"/>
              <w:ind w:right="220"/>
              <w:spacing w:after="0"/>
              <w:rPr>
                <w:sz w:val="20"/>
                <w:szCs w:val="20"/>
                <w:color w:val="auto"/>
              </w:rPr>
            </w:pPr>
            <w:r>
              <w:rPr>
                <w:rFonts w:ascii="Arial" w:cs="Arial" w:eastAsia="Arial" w:hAnsi="Arial"/>
                <w:sz w:val="20"/>
                <w:szCs w:val="20"/>
                <w:color w:val="231F20"/>
              </w:rPr>
              <w:t>$</w:t>
            </w:r>
          </w:p>
        </w:tc>
        <w:tc>
          <w:tcPr>
            <w:tcW w:w="760" w:type="dxa"/>
            <w:vAlign w:val="bottom"/>
            <w:gridSpan w:val="3"/>
          </w:tcPr>
          <w:p>
            <w:pPr>
              <w:jc w:val="right"/>
              <w:ind w:right="40"/>
              <w:spacing w:after="0"/>
              <w:rPr>
                <w:sz w:val="20"/>
                <w:szCs w:val="20"/>
                <w:color w:val="auto"/>
              </w:rPr>
            </w:pPr>
            <w:r>
              <w:rPr>
                <w:rFonts w:ascii="Arial" w:cs="Arial" w:eastAsia="Arial" w:hAnsi="Arial"/>
                <w:sz w:val="20"/>
                <w:szCs w:val="20"/>
                <w:color w:val="231F20"/>
              </w:rPr>
              <w:t>980</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231F20"/>
              </w:rPr>
              <w:t>Long-term debt . . . . . . . . . .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231F20"/>
              </w:rPr>
              <w:t>1,132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gridSpan w:val="5"/>
          </w:tcPr>
          <w:p>
            <w:pPr>
              <w:jc w:val="right"/>
              <w:ind w:right="24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20"/>
                <w:szCs w:val="20"/>
                <w:color w:val="231F20"/>
              </w:rPr>
              <w:t>1,132</w:t>
            </w: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231F20"/>
              </w:rPr>
              <w:t>Asset retirement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231F20"/>
              </w:rPr>
              <w:t>obligations . . . . . . . . .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4"/>
          </w:tcPr>
          <w:p>
            <w:pPr>
              <w:jc w:val="right"/>
              <w:ind w:right="100"/>
              <w:spacing w:after="0" w:line="228"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231F20"/>
              </w:rPr>
              <w:t>995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5"/>
          </w:tcPr>
          <w:p>
            <w:pPr>
              <w:jc w:val="right"/>
              <w:ind w:right="240"/>
              <w:spacing w:after="0" w:line="228"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231F20"/>
              </w:rPr>
              <w:t>995</w:t>
            </w: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231F20"/>
              </w:rPr>
              <w:t>Other long-term liabilities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231F20"/>
              </w:rPr>
              <w:t>114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231F20"/>
              </w:rPr>
              <w:t>138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231F20"/>
              </w:rPr>
              <w:t>125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5"/>
          </w:tcPr>
          <w:p>
            <w:pPr>
              <w:jc w:val="right"/>
              <w:ind w:right="240"/>
              <w:spacing w:after="0" w:line="228"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231F20"/>
              </w:rPr>
              <w:t>377</w:t>
            </w: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231F20"/>
              </w:rPr>
              <w:t>Amounts due to (from)</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231F20"/>
              </w:rPr>
              <w:t>affiliates . . . . . . . . . . . . . . . .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20"/>
                <w:szCs w:val="20"/>
                <w:color w:val="231F20"/>
              </w:rPr>
              <w:t>385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(385)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gridSpan w:val="5"/>
          </w:tcPr>
          <w:p>
            <w:pPr>
              <w:jc w:val="right"/>
              <w:ind w:right="24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231F20"/>
              </w:rPr>
              <w:t>Deferred tax liability  .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231F20"/>
              </w:rPr>
              <w:t>113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4"/>
          </w:tcPr>
          <w:p>
            <w:pPr>
              <w:jc w:val="right"/>
              <w:ind w:right="100"/>
              <w:spacing w:after="0" w:line="228"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tcPr>
          <w:p>
            <w:pPr>
              <w:jc w:val="right"/>
              <w:ind w:right="100"/>
              <w:spacing w:after="0" w:line="228" w:lineRule="exact"/>
              <w:rPr>
                <w:sz w:val="20"/>
                <w:szCs w:val="20"/>
                <w:color w:val="auto"/>
              </w:rPr>
            </w:pPr>
            <w:r>
              <w:rPr>
                <w:rFonts w:ascii="Arial" w:cs="Arial" w:eastAsia="Arial" w:hAnsi="Arial"/>
                <w:sz w:val="20"/>
                <w:szCs w:val="20"/>
                <w:color w:val="231F20"/>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5"/>
          </w:tcPr>
          <w:p>
            <w:pPr>
              <w:jc w:val="right"/>
              <w:ind w:right="240"/>
              <w:spacing w:after="0" w:line="228"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231F20"/>
              </w:rPr>
              <w:t>113</w:t>
            </w: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231F20"/>
              </w:rPr>
              <w:t>Total equity . . . . . . . .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231F20"/>
              </w:rPr>
              <w:t>3,538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231F20"/>
              </w:rPr>
              <w:t>(22)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231F20"/>
              </w:rPr>
              <w:t>19,909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spacing w:after="0" w:line="228" w:lineRule="exact"/>
              <w:rPr>
                <w:sz w:val="20"/>
                <w:szCs w:val="20"/>
                <w:color w:val="auto"/>
              </w:rPr>
            </w:pPr>
            <w:r>
              <w:rPr>
                <w:rFonts w:ascii="Arial" w:cs="Arial" w:eastAsia="Arial" w:hAnsi="Arial"/>
                <w:sz w:val="20"/>
                <w:szCs w:val="20"/>
                <w:color w:val="231F20"/>
              </w:rPr>
              <w:t>(19,887)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231F20"/>
              </w:rPr>
              <w:t>3,538</w:t>
            </w:r>
          </w:p>
        </w:tc>
        <w:tc>
          <w:tcPr>
            <w:tcW w:w="0" w:type="dxa"/>
            <w:vAlign w:val="bottom"/>
          </w:tcPr>
          <w:p>
            <w:pPr>
              <w:spacing w:after="0"/>
              <w:rPr>
                <w:sz w:val="1"/>
                <w:szCs w:val="1"/>
                <w:color w:val="auto"/>
              </w:rPr>
            </w:pPr>
          </w:p>
        </w:tc>
      </w:tr>
      <w:tr>
        <w:trPr>
          <w:trHeight w:val="28"/>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231F20"/>
              </w:rPr>
              <w:t>TOTAL LIABILITIES AND</w:t>
            </w:r>
          </w:p>
        </w:tc>
        <w:tc>
          <w:tcPr>
            <w:tcW w:w="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6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b w:val="1"/>
                <w:bCs w:val="1"/>
                <w:color w:val="231F20"/>
              </w:rPr>
              <w:t>STOCKHOLDERS’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b w:val="1"/>
                <w:bCs w:val="1"/>
                <w:color w:val="231F20"/>
              </w:rPr>
              <w:t xml:space="preserve">EQUITY </w:t>
            </w:r>
            <w:r>
              <w:rPr>
                <w:rFonts w:ascii="Arial" w:cs="Arial" w:eastAsia="Arial" w:hAnsi="Arial"/>
                <w:sz w:val="20"/>
                <w:szCs w:val="20"/>
                <w:color w:val="231F20"/>
              </w:rPr>
              <w:t>. . . . . . . . . . . . . . . . .</w:t>
            </w:r>
          </w:p>
        </w:tc>
        <w:tc>
          <w:tcPr>
            <w:tcW w:w="240" w:type="dxa"/>
            <w:vAlign w:val="bottom"/>
            <w:gridSpan w:val="2"/>
          </w:tcPr>
          <w:p>
            <w:pPr>
              <w:jc w:val="right"/>
              <w:ind w:right="80"/>
              <w:spacing w:after="0" w:line="228" w:lineRule="exact"/>
              <w:rPr>
                <w:sz w:val="20"/>
                <w:szCs w:val="20"/>
                <w:color w:val="auto"/>
              </w:rPr>
            </w:pPr>
            <w:r>
              <w:rPr>
                <w:rFonts w:ascii="Arial" w:cs="Arial" w:eastAsia="Arial" w:hAnsi="Arial"/>
                <w:sz w:val="20"/>
                <w:szCs w:val="20"/>
                <w:color w:val="231F20"/>
              </w:rPr>
              <w:t>$</w:t>
            </w:r>
          </w:p>
        </w:tc>
        <w:tc>
          <w:tcPr>
            <w:tcW w:w="940" w:type="dxa"/>
            <w:vAlign w:val="bottom"/>
            <w:gridSpan w:val="3"/>
          </w:tcPr>
          <w:p>
            <w:pPr>
              <w:jc w:val="right"/>
              <w:ind w:right="20"/>
              <w:spacing w:after="0" w:line="228" w:lineRule="exact"/>
              <w:rPr>
                <w:sz w:val="20"/>
                <w:szCs w:val="20"/>
                <w:color w:val="auto"/>
              </w:rPr>
            </w:pPr>
            <w:r>
              <w:rPr>
                <w:rFonts w:ascii="Arial" w:cs="Arial" w:eastAsia="Arial" w:hAnsi="Arial"/>
                <w:sz w:val="20"/>
                <w:szCs w:val="20"/>
                <w:color w:val="231F20"/>
              </w:rPr>
              <w:t>5,506</w:t>
            </w:r>
          </w:p>
        </w:tc>
        <w:tc>
          <w:tcPr>
            <w:tcW w:w="520" w:type="dxa"/>
            <w:vAlign w:val="bottom"/>
            <w:gridSpan w:val="4"/>
          </w:tcPr>
          <w:p>
            <w:pPr>
              <w:jc w:val="right"/>
              <w:spacing w:after="0" w:line="228" w:lineRule="exact"/>
              <w:rPr>
                <w:sz w:val="20"/>
                <w:szCs w:val="20"/>
                <w:color w:val="auto"/>
              </w:rPr>
            </w:pPr>
            <w:r>
              <w:rPr>
                <w:rFonts w:ascii="Arial" w:cs="Arial" w:eastAsia="Arial" w:hAnsi="Arial"/>
                <w:sz w:val="20"/>
                <w:szCs w:val="20"/>
                <w:color w:val="231F20"/>
              </w:rPr>
              <w:t>$</w:t>
            </w:r>
          </w:p>
        </w:tc>
        <w:tc>
          <w:tcPr>
            <w:tcW w:w="68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231F20"/>
              </w:rPr>
              <w:t>130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4"/>
          </w:tcPr>
          <w:p>
            <w:pPr>
              <w:jc w:val="right"/>
              <w:spacing w:after="0" w:line="228" w:lineRule="exact"/>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231F20"/>
              </w:rPr>
              <w:t>21,386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spacing w:after="0" w:line="228" w:lineRule="exact"/>
              <w:rPr>
                <w:sz w:val="20"/>
                <w:szCs w:val="20"/>
                <w:color w:val="auto"/>
              </w:rPr>
            </w:pPr>
            <w:r>
              <w:rPr>
                <w:rFonts w:ascii="Arial" w:cs="Arial" w:eastAsia="Arial" w:hAnsi="Arial"/>
                <w:sz w:val="20"/>
                <w:szCs w:val="20"/>
                <w:color w:val="231F20"/>
              </w:rPr>
              <w:t>$(19,887)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3"/>
          </w:tcPr>
          <w:p>
            <w:pPr>
              <w:jc w:val="right"/>
              <w:ind w:right="180"/>
              <w:spacing w:after="0" w:line="228" w:lineRule="exact"/>
              <w:rPr>
                <w:sz w:val="20"/>
                <w:szCs w:val="20"/>
                <w:color w:val="auto"/>
              </w:rPr>
            </w:pPr>
            <w:r>
              <w:rPr>
                <w:rFonts w:ascii="Arial" w:cs="Arial" w:eastAsia="Arial" w:hAnsi="Arial"/>
                <w:sz w:val="20"/>
                <w:szCs w:val="20"/>
                <w:color w:val="231F20"/>
              </w:rPr>
              <w:t>$</w:t>
            </w:r>
          </w:p>
        </w:tc>
        <w:tc>
          <w:tcPr>
            <w:tcW w:w="760" w:type="dxa"/>
            <w:vAlign w:val="bottom"/>
            <w:gridSpan w:val="3"/>
          </w:tcPr>
          <w:p>
            <w:pPr>
              <w:jc w:val="right"/>
              <w:ind w:right="40"/>
              <w:spacing w:after="0" w:line="228" w:lineRule="exact"/>
              <w:rPr>
                <w:sz w:val="20"/>
                <w:szCs w:val="20"/>
                <w:color w:val="auto"/>
              </w:rPr>
            </w:pPr>
            <w:r>
              <w:rPr>
                <w:rFonts w:ascii="Arial" w:cs="Arial" w:eastAsia="Arial" w:hAnsi="Arial"/>
                <w:sz w:val="20"/>
                <w:szCs w:val="20"/>
                <w:color w:val="231F20"/>
              </w:rPr>
              <w:t>7,135</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gridSpan w:val="2"/>
          </w:tcPr>
          <w:p>
            <w:pPr>
              <w:spacing w:after="0"/>
              <w:rPr>
                <w:sz w:val="2"/>
                <w:szCs w:val="2"/>
                <w:color w:val="auto"/>
              </w:rPr>
            </w:pPr>
          </w:p>
        </w:tc>
        <w:tc>
          <w:tcPr>
            <w:tcW w:w="100" w:type="dxa"/>
            <w:vAlign w:val="bottom"/>
            <w:tcBorders>
              <w:bottom w:val="single" w:sz="8" w:color="231F20"/>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231F20"/>
            </w:tcBorders>
            <w:gridSpan w:val="2"/>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160" w:type="dxa"/>
            <w:vAlign w:val="bottom"/>
            <w:tcBorders>
              <w:bottom w:val="single" w:sz="8" w:color="231F20"/>
            </w:tcBorders>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231F20"/>
            </w:tcBorders>
            <w:gridSpan w:val="2"/>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Borders>
              <w:bottom w:val="single" w:sz="8" w:color="231F20"/>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260" w:type="dxa"/>
            <w:vAlign w:val="bottom"/>
            <w:gridSpan w:val="26"/>
          </w:tcPr>
          <w:p>
            <w:pPr>
              <w:ind w:left="2140"/>
              <w:spacing w:after="0"/>
              <w:rPr>
                <w:sz w:val="20"/>
                <w:szCs w:val="20"/>
                <w:color w:val="auto"/>
              </w:rPr>
            </w:pPr>
            <w:r>
              <w:rPr>
                <w:rFonts w:ascii="Arial" w:cs="Arial" w:eastAsia="Arial" w:hAnsi="Arial"/>
                <w:sz w:val="20"/>
                <w:szCs w:val="20"/>
                <w:b w:val="1"/>
                <w:bCs w:val="1"/>
                <w:color w:val="231F20"/>
              </w:rPr>
              <w:t>Condensed Consolidating Statement of Operations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60" w:type="dxa"/>
            <w:vAlign w:val="bottom"/>
            <w:gridSpan w:val="26"/>
          </w:tcPr>
          <w:p>
            <w:pPr>
              <w:ind w:left="1940"/>
              <w:spacing w:after="0"/>
              <w:rPr>
                <w:sz w:val="20"/>
                <w:szCs w:val="20"/>
                <w:color w:val="auto"/>
              </w:rPr>
            </w:pPr>
            <w:r>
              <w:rPr>
                <w:rFonts w:ascii="Arial" w:cs="Arial" w:eastAsia="Arial" w:hAnsi="Arial"/>
                <w:sz w:val="20"/>
                <w:szCs w:val="20"/>
                <w:b w:val="1"/>
                <w:bCs w:val="1"/>
                <w:color w:val="231F20"/>
              </w:rPr>
              <w:t>For the years ended December 31, 2025, 2024 and 2023</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gridSpan w:val="21"/>
          </w:tcPr>
          <w:p>
            <w:pPr>
              <w:jc w:val="center"/>
              <w:ind w:right="340"/>
              <w:spacing w:after="0"/>
              <w:rPr>
                <w:sz w:val="20"/>
                <w:szCs w:val="20"/>
                <w:color w:val="auto"/>
              </w:rPr>
            </w:pPr>
            <w:r>
              <w:rPr>
                <w:rFonts w:ascii="Arial" w:cs="Arial" w:eastAsia="Arial" w:hAnsi="Arial"/>
                <w:sz w:val="20"/>
                <w:szCs w:val="20"/>
                <w:b w:val="1"/>
                <w:bCs w:val="1"/>
                <w:color w:val="231F20"/>
              </w:rPr>
              <w:t>Year ended December 31, 2025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gridSpan w:val="3"/>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gridSpan w:val="2"/>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gridSpan w:val="4"/>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6"/>
          </w:tcPr>
          <w:p>
            <w:pPr>
              <w:jc w:val="center"/>
              <w:ind w:right="160"/>
              <w:spacing w:after="0" w:line="212" w:lineRule="exact"/>
              <w:rPr>
                <w:sz w:val="20"/>
                <w:szCs w:val="20"/>
                <w:color w:val="auto"/>
              </w:rPr>
            </w:pPr>
            <w:r>
              <w:rPr>
                <w:rFonts w:ascii="Arial" w:cs="Arial" w:eastAsia="Arial" w:hAnsi="Arial"/>
                <w:sz w:val="20"/>
                <w:szCs w:val="20"/>
                <w:b w:val="1"/>
                <w:bCs w:val="1"/>
                <w:color w:val="231F20"/>
              </w:rPr>
              <w:t>Combined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6"/>
          </w:tcPr>
          <w:p>
            <w:pPr>
              <w:jc w:val="center"/>
              <w:ind w:right="140"/>
              <w:spacing w:after="0" w:line="212" w:lineRule="exact"/>
              <w:rPr>
                <w:sz w:val="20"/>
                <w:szCs w:val="20"/>
                <w:color w:val="auto"/>
              </w:rPr>
            </w:pPr>
            <w:r>
              <w:rPr>
                <w:rFonts w:ascii="Arial" w:cs="Arial" w:eastAsia="Arial" w:hAnsi="Arial"/>
                <w:sz w:val="20"/>
                <w:szCs w:val="20"/>
                <w:b w:val="1"/>
                <w:bCs w:val="1"/>
                <w:color w:val="231F20"/>
                <w:w w:val="98"/>
              </w:rPr>
              <w:t>Combined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8"/>
          </w:tcPr>
          <w:p>
            <w:pPr>
              <w:jc w:val="center"/>
              <w:ind w:right="60"/>
              <w:spacing w:after="0" w:line="200" w:lineRule="exact"/>
              <w:rPr>
                <w:sz w:val="20"/>
                <w:szCs w:val="20"/>
                <w:color w:val="auto"/>
              </w:rPr>
            </w:pPr>
            <w:r>
              <w:rPr>
                <w:rFonts w:ascii="Arial" w:cs="Arial" w:eastAsia="Arial" w:hAnsi="Arial"/>
                <w:sz w:val="20"/>
                <w:szCs w:val="20"/>
                <w:b w:val="1"/>
                <w:bCs w:val="1"/>
                <w:color w:val="231F20"/>
              </w:rPr>
              <w:t>Unrestricted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6"/>
          </w:tcPr>
          <w:p>
            <w:pPr>
              <w:jc w:val="center"/>
              <w:ind w:right="140"/>
              <w:spacing w:after="0" w:line="200" w:lineRule="exact"/>
              <w:rPr>
                <w:sz w:val="20"/>
                <w:szCs w:val="20"/>
                <w:color w:val="auto"/>
              </w:rPr>
            </w:pPr>
            <w:r>
              <w:rPr>
                <w:rFonts w:ascii="Arial" w:cs="Arial" w:eastAsia="Arial" w:hAnsi="Arial"/>
                <w:sz w:val="20"/>
                <w:szCs w:val="20"/>
                <w:b w:val="1"/>
                <w:bCs w:val="1"/>
                <w:color w:val="231F20"/>
                <w:w w:val="98"/>
              </w:rPr>
              <w:t>Restricted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20"/>
                <w:szCs w:val="20"/>
                <w:b w:val="1"/>
                <w:bCs w:val="1"/>
                <w:color w:val="231F20"/>
                <w:w w:val="99"/>
              </w:rPr>
              <w:t>Parent</w:t>
            </w:r>
          </w:p>
        </w:tc>
        <w:tc>
          <w:tcPr>
            <w:tcW w:w="100" w:type="dxa"/>
            <w:vAlign w:val="bottom"/>
            <w:gridSpan w:val="2"/>
          </w:tcPr>
          <w:p>
            <w:pPr>
              <w:spacing w:after="0"/>
              <w:rPr>
                <w:sz w:val="21"/>
                <w:szCs w:val="21"/>
                <w:color w:val="auto"/>
              </w:rPr>
            </w:pPr>
          </w:p>
        </w:tc>
        <w:tc>
          <w:tcPr>
            <w:tcW w:w="1200" w:type="dxa"/>
            <w:vAlign w:val="bottom"/>
            <w:gridSpan w:val="6"/>
          </w:tcPr>
          <w:p>
            <w:pPr>
              <w:jc w:val="center"/>
              <w:spacing w:after="0"/>
              <w:rPr>
                <w:sz w:val="20"/>
                <w:szCs w:val="20"/>
                <w:color w:val="auto"/>
              </w:rPr>
            </w:pPr>
            <w:r>
              <w:rPr>
                <w:rFonts w:ascii="Arial" w:cs="Arial" w:eastAsia="Arial" w:hAnsi="Arial"/>
                <w:sz w:val="20"/>
                <w:szCs w:val="20"/>
                <w:b w:val="1"/>
                <w:bCs w:val="1"/>
                <w:color w:val="231F20"/>
              </w:rPr>
              <w:t>Subsidiaries</w:t>
            </w:r>
          </w:p>
        </w:tc>
        <w:tc>
          <w:tcPr>
            <w:tcW w:w="8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7"/>
          </w:tcPr>
          <w:p>
            <w:pPr>
              <w:jc w:val="center"/>
              <w:ind w:right="20"/>
              <w:spacing w:after="0"/>
              <w:rPr>
                <w:sz w:val="20"/>
                <w:szCs w:val="20"/>
                <w:color w:val="auto"/>
              </w:rPr>
            </w:pPr>
            <w:r>
              <w:rPr>
                <w:rFonts w:ascii="Arial" w:cs="Arial" w:eastAsia="Arial" w:hAnsi="Arial"/>
                <w:sz w:val="20"/>
                <w:szCs w:val="20"/>
                <w:b w:val="1"/>
                <w:bCs w:val="1"/>
                <w:color w:val="231F20"/>
              </w:rPr>
              <w:t>Subsidiaries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0" w:type="dxa"/>
            <w:vAlign w:val="bottom"/>
            <w:gridSpan w:val="13"/>
          </w:tcPr>
          <w:p>
            <w:pPr>
              <w:jc w:val="right"/>
              <w:ind w:right="40"/>
              <w:spacing w:after="0"/>
              <w:rPr>
                <w:sz w:val="20"/>
                <w:szCs w:val="20"/>
                <w:color w:val="auto"/>
              </w:rPr>
            </w:pPr>
            <w:r>
              <w:rPr>
                <w:rFonts w:ascii="Arial" w:cs="Arial" w:eastAsia="Arial" w:hAnsi="Arial"/>
                <w:sz w:val="20"/>
                <w:szCs w:val="20"/>
                <w:b w:val="1"/>
                <w:bCs w:val="1"/>
                <w:color w:val="231F20"/>
              </w:rPr>
              <w:t>Eliminations Consolidated</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400" w:type="dxa"/>
            <w:vAlign w:val="bottom"/>
            <w:tcBorders>
              <w:top w:val="single" w:sz="8" w:color="231F20"/>
            </w:tcBorders>
          </w:tcPr>
          <w:p>
            <w:pPr>
              <w:spacing w:after="0"/>
              <w:rPr>
                <w:sz w:val="16"/>
                <w:szCs w:val="16"/>
                <w:color w:val="auto"/>
              </w:rPr>
            </w:pPr>
          </w:p>
        </w:tc>
        <w:tc>
          <w:tcPr>
            <w:tcW w:w="60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40" w:type="dxa"/>
            <w:vAlign w:val="bottom"/>
            <w:tcBorders>
              <w:top w:val="single" w:sz="8" w:color="231F20"/>
            </w:tcBorders>
          </w:tcPr>
          <w:p>
            <w:pPr>
              <w:spacing w:after="0"/>
              <w:rPr>
                <w:sz w:val="16"/>
                <w:szCs w:val="16"/>
                <w:color w:val="auto"/>
              </w:rPr>
            </w:pPr>
          </w:p>
        </w:tc>
        <w:tc>
          <w:tcPr>
            <w:tcW w:w="1000" w:type="dxa"/>
            <w:vAlign w:val="bottom"/>
            <w:tcBorders>
              <w:top w:val="single" w:sz="8" w:color="231F20"/>
            </w:tcBorders>
            <w:gridSpan w:val="4"/>
          </w:tcPr>
          <w:p>
            <w:pPr>
              <w:jc w:val="center"/>
              <w:ind w:right="140"/>
              <w:spacing w:after="0"/>
              <w:rPr>
                <w:sz w:val="20"/>
                <w:szCs w:val="20"/>
                <w:color w:val="auto"/>
              </w:rPr>
            </w:pPr>
            <w:r>
              <w:rPr>
                <w:rFonts w:ascii="Arial" w:cs="Arial" w:eastAsia="Arial" w:hAnsi="Arial"/>
                <w:sz w:val="16"/>
                <w:szCs w:val="16"/>
                <w:color w:val="231F20"/>
              </w:rPr>
              <w:t>(in millions)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660" w:type="dxa"/>
            <w:vAlign w:val="bottom"/>
            <w:tcBorders>
              <w:top w:val="single" w:sz="8" w:color="231F20"/>
            </w:tcBorders>
          </w:tcPr>
          <w:p>
            <w:pPr>
              <w:spacing w:after="0"/>
              <w:rPr>
                <w:sz w:val="16"/>
                <w:szCs w:val="16"/>
                <w:color w:val="auto"/>
              </w:rPr>
            </w:pPr>
          </w:p>
        </w:tc>
        <w:tc>
          <w:tcPr>
            <w:tcW w:w="38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40" w:type="dxa"/>
            <w:vAlign w:val="bottom"/>
            <w:tcBorders>
              <w:top w:val="single" w:sz="8" w:color="231F20"/>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top w:val="single" w:sz="8" w:color="231F20"/>
            </w:tcBorders>
          </w:tcPr>
          <w:p>
            <w:pPr>
              <w:spacing w:after="0"/>
              <w:rPr>
                <w:sz w:val="16"/>
                <w:szCs w:val="16"/>
                <w:color w:val="auto"/>
              </w:rPr>
            </w:pPr>
          </w:p>
        </w:tc>
        <w:tc>
          <w:tcPr>
            <w:tcW w:w="720" w:type="dxa"/>
            <w:vAlign w:val="bottom"/>
            <w:tcBorders>
              <w:top w:val="single" w:sz="8" w:color="231F20"/>
            </w:tcBorders>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r>
              <w:rPr>
                <w:rFonts w:ascii="Arial" w:cs="Arial" w:eastAsia="Arial" w:hAnsi="Arial"/>
                <w:sz w:val="20"/>
                <w:szCs w:val="20"/>
                <w:color w:val="231F20"/>
              </w:rPr>
              <w:t>Total operating revenues  . . .</w:t>
            </w:r>
          </w:p>
        </w:tc>
        <w:tc>
          <w:tcPr>
            <w:tcW w:w="24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4"/>
          </w:tcPr>
          <w:p>
            <w:pPr>
              <w:jc w:val="right"/>
              <w:ind w:right="180"/>
              <w:spacing w:after="0"/>
              <w:rPr>
                <w:sz w:val="20"/>
                <w:szCs w:val="20"/>
                <w:color w:val="auto"/>
              </w:rPr>
            </w:pPr>
            <w:r>
              <w:rPr>
                <w:rFonts w:ascii="Arial" w:cs="Arial" w:eastAsia="Arial" w:hAnsi="Arial"/>
                <w:sz w:val="20"/>
                <w:szCs w:val="20"/>
                <w:color w:val="231F20"/>
              </w:rPr>
              <w:t>$</w:t>
            </w:r>
          </w:p>
        </w:tc>
        <w:tc>
          <w:tcPr>
            <w:tcW w:w="760" w:type="dxa"/>
            <w:vAlign w:val="bottom"/>
            <w:gridSpan w:val="4"/>
          </w:tcPr>
          <w:p>
            <w:pPr>
              <w:jc w:val="right"/>
              <w:ind w:right="240"/>
              <w:spacing w:after="0"/>
              <w:rPr>
                <w:sz w:val="20"/>
                <w:szCs w:val="20"/>
                <w:color w:val="auto"/>
              </w:rPr>
            </w:pPr>
            <w:r>
              <w:rPr>
                <w:rFonts w:ascii="Arial" w:cs="Arial" w:eastAsia="Arial" w:hAnsi="Arial"/>
                <w:sz w:val="20"/>
                <w:szCs w:val="20"/>
                <w:color w:val="231F20"/>
              </w:rPr>
              <w:t>—</w:t>
            </w:r>
          </w:p>
        </w:tc>
        <w:tc>
          <w:tcPr>
            <w:tcW w:w="360" w:type="dxa"/>
            <w:vAlign w:val="bottom"/>
            <w:gridSpan w:val="4"/>
          </w:tcPr>
          <w:p>
            <w:pPr>
              <w:jc w:val="right"/>
              <w:ind w:right="80"/>
              <w:spacing w:after="0"/>
              <w:rPr>
                <w:sz w:val="20"/>
                <w:szCs w:val="20"/>
                <w:color w:val="auto"/>
              </w:rPr>
            </w:pPr>
            <w:r>
              <w:rPr>
                <w:rFonts w:ascii="Arial" w:cs="Arial" w:eastAsia="Arial" w:hAnsi="Arial"/>
                <w:sz w:val="20"/>
                <w:szCs w:val="20"/>
                <w:color w:val="231F20"/>
              </w:rPr>
              <w:t>$</w:t>
            </w:r>
          </w:p>
        </w:tc>
        <w:tc>
          <w:tcPr>
            <w:tcW w:w="940" w:type="dxa"/>
            <w:vAlign w:val="bottom"/>
            <w:gridSpan w:val="2"/>
          </w:tcPr>
          <w:p>
            <w:pPr>
              <w:jc w:val="right"/>
              <w:ind w:right="20"/>
              <w:spacing w:after="0"/>
              <w:rPr>
                <w:sz w:val="20"/>
                <w:szCs w:val="20"/>
                <w:color w:val="auto"/>
              </w:rPr>
            </w:pPr>
            <w:r>
              <w:rPr>
                <w:rFonts w:ascii="Arial" w:cs="Arial" w:eastAsia="Arial" w:hAnsi="Arial"/>
                <w:sz w:val="20"/>
                <w:szCs w:val="20"/>
                <w:color w:val="231F20"/>
              </w:rPr>
              <w:t>3,741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20"/>
                <w:szCs w:val="20"/>
                <w:color w:val="231F20"/>
              </w:rPr>
              <w:t>$</w:t>
            </w:r>
          </w:p>
        </w:tc>
        <w:tc>
          <w:tcPr>
            <w:tcW w:w="460" w:type="dxa"/>
            <w:vAlign w:val="bottom"/>
            <w:gridSpan w:val="3"/>
          </w:tcPr>
          <w:p>
            <w:pPr>
              <w:jc w:val="right"/>
              <w:spacing w:after="0"/>
              <w:rPr>
                <w:sz w:val="20"/>
                <w:szCs w:val="20"/>
                <w:color w:val="auto"/>
              </w:rPr>
            </w:pPr>
            <w:r>
              <w:rPr>
                <w:rFonts w:ascii="Arial" w:cs="Arial" w:eastAsia="Arial" w:hAnsi="Arial"/>
                <w:sz w:val="20"/>
                <w:szCs w:val="20"/>
                <w:color w:val="231F20"/>
              </w:rPr>
              <w:t>(82)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3"/>
          </w:tcPr>
          <w:p>
            <w:pPr>
              <w:jc w:val="right"/>
              <w:ind w:right="420"/>
              <w:spacing w:after="0"/>
              <w:rPr>
                <w:sz w:val="20"/>
                <w:szCs w:val="20"/>
                <w:color w:val="auto"/>
              </w:rPr>
            </w:pPr>
            <w:r>
              <w:rPr>
                <w:rFonts w:ascii="Arial" w:cs="Arial" w:eastAsia="Arial" w:hAnsi="Arial"/>
                <w:sz w:val="20"/>
                <w:szCs w:val="20"/>
                <w:color w:val="231F20"/>
              </w:rPr>
              <w:t>$</w:t>
            </w:r>
          </w:p>
        </w:tc>
        <w:tc>
          <w:tcPr>
            <w:tcW w:w="720" w:type="dxa"/>
            <w:vAlign w:val="bottom"/>
          </w:tcPr>
          <w:p>
            <w:pPr>
              <w:jc w:val="right"/>
              <w:spacing w:after="0"/>
              <w:rPr>
                <w:sz w:val="20"/>
                <w:szCs w:val="20"/>
                <w:color w:val="auto"/>
              </w:rPr>
            </w:pPr>
            <w:r>
              <w:rPr>
                <w:rFonts w:ascii="Arial" w:cs="Arial" w:eastAsia="Arial" w:hAnsi="Arial"/>
                <w:sz w:val="20"/>
                <w:szCs w:val="20"/>
                <w:color w:val="231F20"/>
              </w:rPr>
              <w:t>3,669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231F20"/>
              </w:rPr>
              <w:t>Total costs and other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color w:val="231F20"/>
              </w:rPr>
              <w:t>381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line="228" w:lineRule="exact"/>
              <w:rPr>
                <w:sz w:val="20"/>
                <w:szCs w:val="20"/>
                <w:color w:val="auto"/>
              </w:rPr>
            </w:pPr>
            <w:r>
              <w:rPr>
                <w:rFonts w:ascii="Arial" w:cs="Arial" w:eastAsia="Arial" w:hAnsi="Arial"/>
                <w:sz w:val="20"/>
                <w:szCs w:val="20"/>
                <w:color w:val="231F20"/>
              </w:rPr>
              <w:t>62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line="228" w:lineRule="exact"/>
              <w:rPr>
                <w:sz w:val="20"/>
                <w:szCs w:val="20"/>
                <w:color w:val="auto"/>
              </w:rPr>
            </w:pPr>
            <w:r>
              <w:rPr>
                <w:rFonts w:ascii="Arial" w:cs="Arial" w:eastAsia="Arial" w:hAnsi="Arial"/>
                <w:sz w:val="20"/>
                <w:szCs w:val="20"/>
                <w:color w:val="231F20"/>
              </w:rPr>
              <w:t>2,709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3"/>
          </w:tcPr>
          <w:p>
            <w:pPr>
              <w:jc w:val="right"/>
              <w:spacing w:after="0" w:line="228" w:lineRule="exact"/>
              <w:rPr>
                <w:sz w:val="20"/>
                <w:szCs w:val="20"/>
                <w:color w:val="auto"/>
              </w:rPr>
            </w:pPr>
            <w:r>
              <w:rPr>
                <w:rFonts w:ascii="Arial" w:cs="Arial" w:eastAsia="Arial" w:hAnsi="Arial"/>
                <w:sz w:val="20"/>
                <w:szCs w:val="20"/>
                <w:color w:val="231F20"/>
              </w:rPr>
              <w:t>(82)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line="228" w:lineRule="exact"/>
              <w:rPr>
                <w:sz w:val="20"/>
                <w:szCs w:val="20"/>
                <w:color w:val="auto"/>
              </w:rPr>
            </w:pPr>
            <w:r>
              <w:rPr>
                <w:rFonts w:ascii="Arial" w:cs="Arial" w:eastAsia="Arial" w:hAnsi="Arial"/>
                <w:sz w:val="20"/>
                <w:szCs w:val="20"/>
                <w:color w:val="231F20"/>
              </w:rPr>
              <w:t>3,070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231F20"/>
              </w:rPr>
              <w:t>Loss on asset divestitures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60"/>
              <w:spacing w:after="0" w:line="226"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4"/>
          </w:tcPr>
          <w:p>
            <w:pPr>
              <w:jc w:val="right"/>
              <w:ind w:right="240"/>
              <w:spacing w:after="0" w:line="226"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spacing w:after="0" w:line="226" w:lineRule="exact"/>
              <w:rPr>
                <w:sz w:val="20"/>
                <w:szCs w:val="20"/>
                <w:color w:val="auto"/>
              </w:rPr>
            </w:pPr>
            <w:r>
              <w:rPr>
                <w:rFonts w:ascii="Arial" w:cs="Arial" w:eastAsia="Arial" w:hAnsi="Arial"/>
                <w:sz w:val="20"/>
                <w:szCs w:val="20"/>
                <w:color w:val="231F20"/>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5"/>
          </w:tcPr>
          <w:p>
            <w:pPr>
              <w:jc w:val="right"/>
              <w:ind w:right="140"/>
              <w:spacing w:after="0" w:line="226"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spacing w:after="0" w:line="226" w:lineRule="exact"/>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color w:val="231F20"/>
              </w:rPr>
              <w:t>Non-operating (loss)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line="228" w:lineRule="exact"/>
              <w:rPr>
                <w:sz w:val="20"/>
                <w:szCs w:val="20"/>
                <w:color w:val="auto"/>
              </w:rPr>
            </w:pPr>
            <w:r>
              <w:rPr>
                <w:rFonts w:ascii="Arial" w:cs="Arial" w:eastAsia="Arial" w:hAnsi="Arial"/>
                <w:sz w:val="20"/>
                <w:szCs w:val="20"/>
                <w:color w:val="231F20"/>
                <w:w w:val="99"/>
              </w:rPr>
              <w:t>income . . . . . . . . . . . .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8" w:lineRule="exact"/>
              <w:rPr>
                <w:sz w:val="20"/>
                <w:szCs w:val="20"/>
                <w:color w:val="auto"/>
              </w:rPr>
            </w:pPr>
            <w:r>
              <w:rPr>
                <w:rFonts w:ascii="Arial" w:cs="Arial" w:eastAsia="Arial" w:hAnsi="Arial"/>
                <w:sz w:val="20"/>
                <w:szCs w:val="20"/>
                <w:color w:val="231F20"/>
              </w:rPr>
              <w:t>(94)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line="228" w:lineRule="exact"/>
              <w:rPr>
                <w:sz w:val="20"/>
                <w:szCs w:val="20"/>
                <w:color w:val="auto"/>
              </w:rPr>
            </w:pPr>
            <w:r>
              <w:rPr>
                <w:rFonts w:ascii="Arial" w:cs="Arial" w:eastAsia="Arial" w:hAnsi="Arial"/>
                <w:sz w:val="20"/>
                <w:szCs w:val="20"/>
                <w:color w:val="231F20"/>
              </w:rPr>
              <w:t>(16)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tcPr>
          <w:p>
            <w:pPr>
              <w:jc w:val="right"/>
              <w:ind w:right="40"/>
              <w:spacing w:after="0" w:line="228" w:lineRule="exact"/>
              <w:rPr>
                <w:sz w:val="20"/>
                <w:szCs w:val="20"/>
                <w:color w:val="auto"/>
              </w:rPr>
            </w:pPr>
            <w:r>
              <w:rPr>
                <w:rFonts w:ascii="Arial" w:cs="Arial" w:eastAsia="Arial" w:hAnsi="Arial"/>
                <w:sz w:val="20"/>
                <w:szCs w:val="20"/>
                <w:color w:val="231F20"/>
              </w:rPr>
              <w:t>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5"/>
          </w:tcPr>
          <w:p>
            <w:pPr>
              <w:jc w:val="right"/>
              <w:ind w:right="140"/>
              <w:spacing w:after="0" w:line="228"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spacing w:after="0" w:line="228" w:lineRule="exact"/>
              <w:rPr>
                <w:sz w:val="20"/>
                <w:szCs w:val="20"/>
                <w:color w:val="auto"/>
              </w:rPr>
            </w:pPr>
            <w:r>
              <w:rPr>
                <w:rFonts w:ascii="Arial" w:cs="Arial" w:eastAsia="Arial" w:hAnsi="Arial"/>
                <w:sz w:val="20"/>
                <w:szCs w:val="20"/>
                <w:color w:val="231F20"/>
              </w:rPr>
              <w:t>(96)</w:t>
            </w:r>
          </w:p>
        </w:tc>
        <w:tc>
          <w:tcPr>
            <w:tcW w:w="0" w:type="dxa"/>
            <w:vAlign w:val="bottom"/>
          </w:tcPr>
          <w:p>
            <w:pPr>
              <w:spacing w:after="0"/>
              <w:rPr>
                <w:sz w:val="1"/>
                <w:szCs w:val="1"/>
                <w:color w:val="auto"/>
              </w:rPr>
            </w:pPr>
          </w:p>
        </w:tc>
      </w:tr>
      <w:tr>
        <w:trPr>
          <w:trHeight w:val="28"/>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231F20"/>
              </w:rPr>
              <w:t>(LOSS) INCOME BEFORE</w:t>
            </w:r>
          </w:p>
        </w:tc>
        <w:tc>
          <w:tcPr>
            <w:tcW w:w="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6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20"/>
                <w:szCs w:val="20"/>
                <w:b w:val="1"/>
                <w:bCs w:val="1"/>
                <w:color w:val="231F20"/>
              </w:rPr>
              <w:t xml:space="preserve">INCOME TAXES </w:t>
            </w:r>
            <w:r>
              <w:rPr>
                <w:rFonts w:ascii="Arial" w:cs="Arial" w:eastAsia="Arial" w:hAnsi="Arial"/>
                <w:sz w:val="20"/>
                <w:szCs w:val="20"/>
                <w:color w:val="231F20"/>
              </w:rPr>
              <w:t>. . . . . . . . .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(465)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231F20"/>
              </w:rPr>
              <w:t>(78)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20"/>
                <w:szCs w:val="20"/>
                <w:color w:val="231F20"/>
              </w:rPr>
              <w:t>1,045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gridSpan w:val="5"/>
          </w:tcPr>
          <w:p>
            <w:pPr>
              <w:jc w:val="right"/>
              <w:ind w:right="140"/>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502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60" w:type="dxa"/>
            <w:vAlign w:val="bottom"/>
          </w:tcPr>
          <w:p>
            <w:pPr>
              <w:spacing w:after="0" w:line="226" w:lineRule="exact"/>
              <w:rPr>
                <w:sz w:val="20"/>
                <w:szCs w:val="20"/>
                <w:color w:val="auto"/>
              </w:rPr>
            </w:pPr>
            <w:r>
              <w:rPr>
                <w:rFonts w:ascii="Arial" w:cs="Arial" w:eastAsia="Arial" w:hAnsi="Arial"/>
                <w:sz w:val="20"/>
                <w:szCs w:val="20"/>
                <w:color w:val="231F20"/>
              </w:rPr>
              <w:t>Income tax provision . . . . . .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line="226" w:lineRule="exact"/>
              <w:rPr>
                <w:sz w:val="20"/>
                <w:szCs w:val="20"/>
                <w:color w:val="auto"/>
              </w:rPr>
            </w:pPr>
            <w:r>
              <w:rPr>
                <w:rFonts w:ascii="Arial" w:cs="Arial" w:eastAsia="Arial" w:hAnsi="Arial"/>
                <w:sz w:val="20"/>
                <w:szCs w:val="20"/>
                <w:color w:val="231F20"/>
              </w:rPr>
              <w:t>(139)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4"/>
          </w:tcPr>
          <w:p>
            <w:pPr>
              <w:jc w:val="right"/>
              <w:ind w:right="240"/>
              <w:spacing w:after="0" w:line="226"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tcPr>
          <w:p>
            <w:pPr>
              <w:jc w:val="right"/>
              <w:ind w:right="40"/>
              <w:spacing w:after="0" w:line="226" w:lineRule="exact"/>
              <w:rPr>
                <w:sz w:val="20"/>
                <w:szCs w:val="20"/>
                <w:color w:val="auto"/>
              </w:rPr>
            </w:pPr>
            <w:r>
              <w:rPr>
                <w:rFonts w:ascii="Arial" w:cs="Arial" w:eastAsia="Arial" w:hAnsi="Arial"/>
                <w:sz w:val="20"/>
                <w:szCs w:val="20"/>
                <w:color w:val="231F20"/>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gridSpan w:val="5"/>
          </w:tcPr>
          <w:p>
            <w:pPr>
              <w:jc w:val="right"/>
              <w:ind w:right="140"/>
              <w:spacing w:after="0" w:line="226" w:lineRule="exact"/>
              <w:rPr>
                <w:sz w:val="20"/>
                <w:szCs w:val="20"/>
                <w:color w:val="auto"/>
              </w:rPr>
            </w:pPr>
            <w:r>
              <w:rPr>
                <w:rFonts w:ascii="Arial" w:cs="Arial" w:eastAsia="Arial" w:hAnsi="Arial"/>
                <w:sz w:val="20"/>
                <w:szCs w:val="20"/>
                <w:color w:val="231F20"/>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spacing w:after="0" w:line="226" w:lineRule="exact"/>
              <w:rPr>
                <w:sz w:val="20"/>
                <w:szCs w:val="20"/>
                <w:color w:val="auto"/>
              </w:rPr>
            </w:pPr>
            <w:r>
              <w:rPr>
                <w:rFonts w:ascii="Arial" w:cs="Arial" w:eastAsia="Arial" w:hAnsi="Arial"/>
                <w:sz w:val="20"/>
                <w:szCs w:val="20"/>
                <w:color w:val="231F20"/>
              </w:rPr>
              <w:t>(139)</w:t>
            </w:r>
          </w:p>
        </w:tc>
        <w:tc>
          <w:tcPr>
            <w:tcW w:w="0" w:type="dxa"/>
            <w:vAlign w:val="bottom"/>
          </w:tcPr>
          <w:p>
            <w:pPr>
              <w:spacing w:after="0"/>
              <w:rPr>
                <w:sz w:val="1"/>
                <w:szCs w:val="1"/>
                <w:color w:val="auto"/>
              </w:rPr>
            </w:pPr>
          </w:p>
        </w:tc>
      </w:tr>
      <w:tr>
        <w:trPr>
          <w:trHeight w:val="30"/>
        </w:trPr>
        <w:tc>
          <w:tcPr>
            <w:tcW w:w="266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NET (LOSS) INCOME  </w:t>
            </w:r>
            <w:r>
              <w:rPr>
                <w:rFonts w:ascii="Arial" w:cs="Arial" w:eastAsia="Arial" w:hAnsi="Arial"/>
                <w:sz w:val="20"/>
                <w:szCs w:val="20"/>
                <w:color w:val="231F20"/>
              </w:rPr>
              <w:t>. . . . .</w:t>
            </w:r>
          </w:p>
        </w:tc>
        <w:tc>
          <w:tcPr>
            <w:tcW w:w="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20" w:type="dxa"/>
            <w:vAlign w:val="bottom"/>
            <w:tcBorders>
              <w:bottom w:val="single" w:sz="8" w:color="231F20"/>
            </w:tcBorders>
            <w:gridSpan w:val="2"/>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231F20"/>
            </w:tcBorders>
            <w:gridSpan w:val="3"/>
          </w:tcPr>
          <w:p>
            <w:pPr>
              <w:spacing w:after="0"/>
              <w:rPr>
                <w:sz w:val="2"/>
                <w:szCs w:val="2"/>
                <w:color w:val="auto"/>
              </w:rPr>
            </w:pPr>
          </w:p>
        </w:tc>
        <w:tc>
          <w:tcPr>
            <w:tcW w:w="980" w:type="dxa"/>
            <w:vAlign w:val="bottom"/>
            <w:tcBorders>
              <w:bottom w:val="single" w:sz="8" w:color="231F20"/>
            </w:tcBorders>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231F20"/>
            </w:tcBorders>
            <w:gridSpan w:val="2"/>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660" w:type="dxa"/>
            <w:vAlign w:val="bottom"/>
            <w:vMerge w:val="continue"/>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(604)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20"/>
                <w:szCs w:val="20"/>
                <w:color w:val="231F20"/>
              </w:rPr>
              <w:t>$</w:t>
            </w:r>
          </w:p>
        </w:tc>
        <w:tc>
          <w:tcPr>
            <w:tcW w:w="600" w:type="dxa"/>
            <w:vAlign w:val="bottom"/>
          </w:tcPr>
          <w:p>
            <w:pPr>
              <w:jc w:val="right"/>
              <w:spacing w:after="0"/>
              <w:rPr>
                <w:sz w:val="20"/>
                <w:szCs w:val="20"/>
                <w:color w:val="auto"/>
              </w:rPr>
            </w:pPr>
            <w:r>
              <w:rPr>
                <w:rFonts w:ascii="Arial" w:cs="Arial" w:eastAsia="Arial" w:hAnsi="Arial"/>
                <w:sz w:val="20"/>
                <w:szCs w:val="20"/>
                <w:color w:val="231F20"/>
              </w:rPr>
              <w:t>(78)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4"/>
          </w:tcPr>
          <w:p>
            <w:pPr>
              <w:jc w:val="right"/>
              <w:spacing w:after="0"/>
              <w:rPr>
                <w:sz w:val="20"/>
                <w:szCs w:val="20"/>
                <w:color w:val="auto"/>
              </w:rPr>
            </w:pPr>
            <w:r>
              <w:rPr>
                <w:rFonts w:ascii="Arial" w:cs="Arial" w:eastAsia="Arial" w:hAnsi="Arial"/>
                <w:sz w:val="20"/>
                <w:szCs w:val="20"/>
                <w:color w:val="231F20"/>
              </w:rPr>
              <w:t>$</w:t>
            </w:r>
          </w:p>
        </w:tc>
        <w:tc>
          <w:tcPr>
            <w:tcW w:w="1020" w:type="dxa"/>
            <w:vAlign w:val="bottom"/>
            <w:gridSpan w:val="5"/>
          </w:tcPr>
          <w:p>
            <w:pPr>
              <w:jc w:val="right"/>
              <w:ind w:right="40"/>
              <w:spacing w:after="0"/>
              <w:rPr>
                <w:sz w:val="20"/>
                <w:szCs w:val="20"/>
                <w:color w:val="auto"/>
              </w:rPr>
            </w:pPr>
            <w:r>
              <w:rPr>
                <w:rFonts w:ascii="Arial" w:cs="Arial" w:eastAsia="Arial" w:hAnsi="Arial"/>
                <w:sz w:val="20"/>
                <w:szCs w:val="20"/>
                <w:color w:val="231F20"/>
              </w:rPr>
              <w:t>1,045</w:t>
            </w:r>
          </w:p>
        </w:tc>
        <w:tc>
          <w:tcPr>
            <w:tcW w:w="760" w:type="dxa"/>
            <w:vAlign w:val="bottom"/>
            <w:gridSpan w:val="3"/>
          </w:tcPr>
          <w:p>
            <w:pPr>
              <w:jc w:val="right"/>
              <w:ind w:right="300"/>
              <w:spacing w:after="0"/>
              <w:rPr>
                <w:sz w:val="20"/>
                <w:szCs w:val="20"/>
                <w:color w:val="auto"/>
              </w:rPr>
            </w:pPr>
            <w:r>
              <w:rPr>
                <w:rFonts w:ascii="Arial" w:cs="Arial" w:eastAsia="Arial" w:hAnsi="Arial"/>
                <w:sz w:val="20"/>
                <w:szCs w:val="20"/>
                <w:color w:val="231F20"/>
              </w:rPr>
              <w:t>$</w:t>
            </w:r>
          </w:p>
        </w:tc>
        <w:tc>
          <w:tcPr>
            <w:tcW w:w="540" w:type="dxa"/>
            <w:vAlign w:val="bottom"/>
            <w:gridSpan w:val="5"/>
          </w:tcPr>
          <w:p>
            <w:pPr>
              <w:jc w:val="right"/>
              <w:ind w:right="140"/>
              <w:spacing w:after="0"/>
              <w:rPr>
                <w:sz w:val="20"/>
                <w:szCs w:val="20"/>
                <w:color w:val="auto"/>
              </w:rPr>
            </w:pPr>
            <w:r>
              <w:rPr>
                <w:rFonts w:ascii="Arial" w:cs="Arial" w:eastAsia="Arial" w:hAnsi="Arial"/>
                <w:sz w:val="20"/>
                <w:szCs w:val="20"/>
                <w:color w:val="231F20"/>
              </w:rPr>
              <w:t>—</w:t>
            </w:r>
          </w:p>
        </w:tc>
        <w:tc>
          <w:tcPr>
            <w:tcW w:w="600" w:type="dxa"/>
            <w:vAlign w:val="bottom"/>
            <w:gridSpan w:val="3"/>
          </w:tcPr>
          <w:p>
            <w:pPr>
              <w:jc w:val="right"/>
              <w:ind w:right="140"/>
              <w:spacing w:after="0"/>
              <w:rPr>
                <w:sz w:val="20"/>
                <w:szCs w:val="20"/>
                <w:color w:val="auto"/>
              </w:rPr>
            </w:pPr>
            <w:r>
              <w:rPr>
                <w:rFonts w:ascii="Arial" w:cs="Arial" w:eastAsia="Arial" w:hAnsi="Arial"/>
                <w:sz w:val="20"/>
                <w:szCs w:val="20"/>
                <w:color w:val="231F20"/>
              </w:rPr>
              <w:t>$</w:t>
            </w:r>
          </w:p>
        </w:tc>
        <w:tc>
          <w:tcPr>
            <w:tcW w:w="720" w:type="dxa"/>
            <w:vAlign w:val="bottom"/>
          </w:tcPr>
          <w:p>
            <w:pPr>
              <w:jc w:val="right"/>
              <w:spacing w:after="0"/>
              <w:rPr>
                <w:sz w:val="20"/>
                <w:szCs w:val="20"/>
                <w:color w:val="auto"/>
              </w:rPr>
            </w:pPr>
            <w:r>
              <w:rPr>
                <w:rFonts w:ascii="Arial" w:cs="Arial" w:eastAsia="Arial" w:hAnsi="Arial"/>
                <w:sz w:val="20"/>
                <w:szCs w:val="20"/>
                <w:color w:val="231F20"/>
              </w:rPr>
              <w:t>363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380" w:top="1270" w:right="134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231F20"/>
        </w:rPr>
        <w:t>149</w:t>
      </w:r>
    </w:p>
    <w:p>
      <w:pPr>
        <w:sectPr>
          <w:pgSz w:w="11880" w:h="15480" w:orient="portrait"/>
          <w:cols w:equalWidth="0" w:num="1">
            <w:col w:w="9160"/>
          </w:cols>
          <w:pgMar w:left="1380" w:top="1270" w:right="1340" w:bottom="66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50"/>
        </w:trPr>
        <w:tc>
          <w:tcPr>
            <w:tcW w:w="2820" w:type="dxa"/>
            <w:vAlign w:val="bottom"/>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60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3460" w:type="dxa"/>
            <w:vAlign w:val="bottom"/>
            <w:tcBorders>
              <w:bottom w:val="single" w:sz="8" w:color="231F20"/>
            </w:tcBorders>
            <w:gridSpan w:val="15"/>
          </w:tcPr>
          <w:p>
            <w:pPr>
              <w:ind w:left="160"/>
              <w:spacing w:after="0"/>
              <w:rPr>
                <w:sz w:val="20"/>
                <w:szCs w:val="20"/>
                <w:color w:val="auto"/>
              </w:rPr>
            </w:pPr>
            <w:r>
              <w:rPr>
                <w:rFonts w:ascii="Arial" w:cs="Arial" w:eastAsia="Arial" w:hAnsi="Arial"/>
                <w:sz w:val="20"/>
                <w:szCs w:val="20"/>
                <w:b w:val="1"/>
                <w:bCs w:val="1"/>
                <w:color w:val="231F20"/>
              </w:rPr>
              <w:t>Year ended December 31, 2024</w:t>
            </w:r>
          </w:p>
        </w:tc>
        <w:tc>
          <w:tcPr>
            <w:tcW w:w="6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ind w:left="40"/>
              <w:spacing w:after="0" w:line="214" w:lineRule="exact"/>
              <w:rPr>
                <w:sz w:val="20"/>
                <w:szCs w:val="20"/>
                <w:color w:val="auto"/>
              </w:rPr>
            </w:pPr>
            <w:r>
              <w:rPr>
                <w:rFonts w:ascii="Arial" w:cs="Arial" w:eastAsia="Arial" w:hAnsi="Arial"/>
                <w:sz w:val="20"/>
                <w:szCs w:val="20"/>
                <w:b w:val="1"/>
                <w:bCs w:val="1"/>
                <w:color w:val="231F20"/>
              </w:rPr>
              <w:t>Combined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center"/>
              <w:ind w:right="160"/>
              <w:spacing w:after="0" w:line="214" w:lineRule="exact"/>
              <w:rPr>
                <w:sz w:val="20"/>
                <w:szCs w:val="20"/>
                <w:color w:val="auto"/>
              </w:rPr>
            </w:pPr>
            <w:r>
              <w:rPr>
                <w:rFonts w:ascii="Arial" w:cs="Arial" w:eastAsia="Arial" w:hAnsi="Arial"/>
                <w:sz w:val="20"/>
                <w:szCs w:val="20"/>
                <w:b w:val="1"/>
                <w:bCs w:val="1"/>
                <w:color w:val="231F20"/>
              </w:rPr>
              <w:t>Combined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5"/>
          </w:tcPr>
          <w:p>
            <w:pPr>
              <w:ind w:left="20"/>
              <w:spacing w:after="0" w:line="200" w:lineRule="exact"/>
              <w:rPr>
                <w:sz w:val="20"/>
                <w:szCs w:val="20"/>
                <w:color w:val="auto"/>
              </w:rPr>
            </w:pPr>
            <w:r>
              <w:rPr>
                <w:rFonts w:ascii="Arial" w:cs="Arial" w:eastAsia="Arial" w:hAnsi="Arial"/>
                <w:sz w:val="20"/>
                <w:szCs w:val="20"/>
                <w:b w:val="1"/>
                <w:bCs w:val="1"/>
                <w:color w:val="231F20"/>
              </w:rPr>
              <w:t>Unrestricted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4"/>
          </w:tcPr>
          <w:p>
            <w:pPr>
              <w:jc w:val="center"/>
              <w:ind w:right="160"/>
              <w:spacing w:after="0" w:line="200" w:lineRule="exact"/>
              <w:rPr>
                <w:sz w:val="20"/>
                <w:szCs w:val="20"/>
                <w:color w:val="auto"/>
              </w:rPr>
            </w:pPr>
            <w:r>
              <w:rPr>
                <w:rFonts w:ascii="Arial" w:cs="Arial" w:eastAsia="Arial" w:hAnsi="Arial"/>
                <w:sz w:val="20"/>
                <w:szCs w:val="20"/>
                <w:b w:val="1"/>
                <w:bCs w:val="1"/>
                <w:color w:val="231F20"/>
              </w:rPr>
              <w:t>Restricted</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980" w:type="dxa"/>
            <w:vAlign w:val="bottom"/>
            <w:gridSpan w:val="2"/>
          </w:tcPr>
          <w:p>
            <w:pPr>
              <w:ind w:left="180"/>
              <w:spacing w:after="0" w:line="228" w:lineRule="exact"/>
              <w:rPr>
                <w:sz w:val="20"/>
                <w:szCs w:val="20"/>
                <w:color w:val="auto"/>
              </w:rPr>
            </w:pPr>
            <w:r>
              <w:rPr>
                <w:rFonts w:ascii="Arial" w:cs="Arial" w:eastAsia="Arial" w:hAnsi="Arial"/>
                <w:sz w:val="20"/>
                <w:szCs w:val="20"/>
                <w:b w:val="1"/>
                <w:bCs w:val="1"/>
                <w:color w:val="231F20"/>
              </w:rPr>
              <w:t>Parent</w:t>
            </w:r>
          </w:p>
        </w:tc>
        <w:tc>
          <w:tcPr>
            <w:tcW w:w="120" w:type="dxa"/>
            <w:vAlign w:val="bottom"/>
          </w:tcPr>
          <w:p>
            <w:pPr>
              <w:spacing w:after="0"/>
              <w:rPr>
                <w:sz w:val="21"/>
                <w:szCs w:val="21"/>
                <w:color w:val="auto"/>
              </w:rPr>
            </w:pPr>
          </w:p>
        </w:tc>
        <w:tc>
          <w:tcPr>
            <w:tcW w:w="1200" w:type="dxa"/>
            <w:vAlign w:val="bottom"/>
            <w:gridSpan w:val="4"/>
          </w:tcPr>
          <w:p>
            <w:pPr>
              <w:spacing w:after="0" w:line="228" w:lineRule="exact"/>
              <w:rPr>
                <w:sz w:val="20"/>
                <w:szCs w:val="20"/>
                <w:color w:val="auto"/>
              </w:rPr>
            </w:pPr>
            <w:r>
              <w:rPr>
                <w:rFonts w:ascii="Arial" w:cs="Arial" w:eastAsia="Arial" w:hAnsi="Arial"/>
                <w:sz w:val="20"/>
                <w:szCs w:val="20"/>
                <w:b w:val="1"/>
                <w:bCs w:val="1"/>
                <w:color w:val="231F20"/>
                <w:w w:val="99"/>
              </w:rPr>
              <w:t>Subsidiaries</w:t>
            </w:r>
          </w:p>
        </w:tc>
        <w:tc>
          <w:tcPr>
            <w:tcW w:w="60" w:type="dxa"/>
            <w:vAlign w:val="bottom"/>
          </w:tcPr>
          <w:p>
            <w:pPr>
              <w:spacing w:after="0"/>
              <w:rPr>
                <w:sz w:val="21"/>
                <w:szCs w:val="21"/>
                <w:color w:val="auto"/>
              </w:rPr>
            </w:pPr>
          </w:p>
        </w:tc>
        <w:tc>
          <w:tcPr>
            <w:tcW w:w="1300" w:type="dxa"/>
            <w:vAlign w:val="bottom"/>
            <w:gridSpan w:val="6"/>
          </w:tcPr>
          <w:p>
            <w:pPr>
              <w:jc w:val="center"/>
              <w:spacing w:after="0" w:line="228" w:lineRule="exact"/>
              <w:rPr>
                <w:sz w:val="20"/>
                <w:szCs w:val="20"/>
                <w:color w:val="auto"/>
              </w:rPr>
            </w:pPr>
            <w:r>
              <w:rPr>
                <w:rFonts w:ascii="Arial" w:cs="Arial" w:eastAsia="Arial" w:hAnsi="Arial"/>
                <w:sz w:val="20"/>
                <w:szCs w:val="20"/>
                <w:b w:val="1"/>
                <w:bCs w:val="1"/>
                <w:color w:val="231F20"/>
                <w:w w:val="99"/>
              </w:rPr>
              <w:t>Subsidiaries</w:t>
            </w:r>
          </w:p>
        </w:tc>
        <w:tc>
          <w:tcPr>
            <w:tcW w:w="1320" w:type="dxa"/>
            <w:vAlign w:val="bottom"/>
            <w:gridSpan w:val="6"/>
          </w:tcPr>
          <w:p>
            <w:pPr>
              <w:ind w:left="60"/>
              <w:spacing w:after="0" w:line="228" w:lineRule="exact"/>
              <w:rPr>
                <w:sz w:val="20"/>
                <w:szCs w:val="20"/>
                <w:color w:val="auto"/>
              </w:rPr>
            </w:pPr>
            <w:r>
              <w:rPr>
                <w:rFonts w:ascii="Arial" w:cs="Arial" w:eastAsia="Arial" w:hAnsi="Arial"/>
                <w:sz w:val="20"/>
                <w:szCs w:val="20"/>
                <w:b w:val="1"/>
                <w:bCs w:val="1"/>
                <w:color w:val="231F20"/>
              </w:rPr>
              <w:t>Eliminations</w:t>
            </w:r>
          </w:p>
        </w:tc>
        <w:tc>
          <w:tcPr>
            <w:tcW w:w="1320" w:type="dxa"/>
            <w:vAlign w:val="bottom"/>
            <w:gridSpan w:val="5"/>
          </w:tcPr>
          <w:p>
            <w:pPr>
              <w:jc w:val="right"/>
              <w:spacing w:after="0" w:line="228" w:lineRule="exact"/>
              <w:rPr>
                <w:sz w:val="20"/>
                <w:szCs w:val="20"/>
                <w:color w:val="auto"/>
              </w:rPr>
            </w:pPr>
            <w:r>
              <w:rPr>
                <w:rFonts w:ascii="Arial" w:cs="Arial" w:eastAsia="Arial" w:hAnsi="Arial"/>
                <w:sz w:val="20"/>
                <w:szCs w:val="20"/>
                <w:b w:val="1"/>
                <w:bCs w:val="1"/>
                <w:color w:val="231F20"/>
              </w:rPr>
              <w:t>Consolidated</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380" w:type="dxa"/>
            <w:vAlign w:val="bottom"/>
            <w:tcBorders>
              <w:top w:val="single" w:sz="8" w:color="231F20"/>
            </w:tcBorders>
          </w:tcPr>
          <w:p>
            <w:pPr>
              <w:spacing w:after="0"/>
              <w:rPr>
                <w:sz w:val="16"/>
                <w:szCs w:val="16"/>
                <w:color w:val="auto"/>
              </w:rPr>
            </w:pPr>
          </w:p>
        </w:tc>
        <w:tc>
          <w:tcPr>
            <w:tcW w:w="600" w:type="dxa"/>
            <w:vAlign w:val="bottom"/>
            <w:tcBorders>
              <w:top w:val="single" w:sz="8" w:color="231F20"/>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340" w:type="dxa"/>
            <w:vAlign w:val="bottom"/>
            <w:tcBorders>
              <w:top w:val="single" w:sz="8" w:color="231F20"/>
            </w:tcBorders>
          </w:tcPr>
          <w:p>
            <w:pPr>
              <w:spacing w:after="0"/>
              <w:rPr>
                <w:sz w:val="16"/>
                <w:szCs w:val="16"/>
                <w:color w:val="auto"/>
              </w:rPr>
            </w:pPr>
          </w:p>
        </w:tc>
        <w:tc>
          <w:tcPr>
            <w:tcW w:w="72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231F20"/>
            </w:tcBorders>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880" w:type="dxa"/>
            <w:vAlign w:val="bottom"/>
            <w:tcBorders>
              <w:top w:val="single" w:sz="8" w:color="231F20"/>
            </w:tcBorders>
            <w:gridSpan w:val="2"/>
          </w:tcPr>
          <w:p>
            <w:pPr>
              <w:jc w:val="right"/>
              <w:ind w:right="40"/>
              <w:spacing w:after="0"/>
              <w:rPr>
                <w:sz w:val="20"/>
                <w:szCs w:val="20"/>
                <w:color w:val="auto"/>
              </w:rPr>
            </w:pPr>
            <w:r>
              <w:rPr>
                <w:rFonts w:ascii="Arial" w:cs="Arial" w:eastAsia="Arial" w:hAnsi="Arial"/>
                <w:sz w:val="16"/>
                <w:szCs w:val="16"/>
                <w:color w:val="231F20"/>
              </w:rPr>
              <w:t>(in millions)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480" w:type="dxa"/>
            <w:vAlign w:val="bottom"/>
            <w:tcBorders>
              <w:top w:val="single" w:sz="8" w:color="231F20"/>
            </w:tcBorders>
          </w:tcPr>
          <w:p>
            <w:pPr>
              <w:spacing w:after="0"/>
              <w:rPr>
                <w:sz w:val="16"/>
                <w:szCs w:val="16"/>
                <w:color w:val="auto"/>
              </w:rPr>
            </w:pPr>
          </w:p>
        </w:tc>
        <w:tc>
          <w:tcPr>
            <w:tcW w:w="60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231F20"/>
            </w:tcBorders>
          </w:tcPr>
          <w:p>
            <w:pPr>
              <w:spacing w:after="0"/>
              <w:rPr>
                <w:sz w:val="16"/>
                <w:szCs w:val="16"/>
                <w:color w:val="auto"/>
              </w:rPr>
            </w:pPr>
          </w:p>
        </w:tc>
        <w:tc>
          <w:tcPr>
            <w:tcW w:w="400" w:type="dxa"/>
            <w:vAlign w:val="bottom"/>
            <w:tcBorders>
              <w:top w:val="single" w:sz="8" w:color="231F20"/>
            </w:tcBorders>
          </w:tcPr>
          <w:p>
            <w:pPr>
              <w:spacing w:after="0"/>
              <w:rPr>
                <w:sz w:val="16"/>
                <w:szCs w:val="16"/>
                <w:color w:val="auto"/>
              </w:rPr>
            </w:pPr>
          </w:p>
        </w:tc>
        <w:tc>
          <w:tcPr>
            <w:tcW w:w="660" w:type="dxa"/>
            <w:vAlign w:val="bottom"/>
            <w:tcBorders>
              <w:top w:val="single" w:sz="8" w:color="231F20"/>
            </w:tcBorders>
          </w:tcPr>
          <w:p>
            <w:pPr>
              <w:spacing w:after="0"/>
              <w:rPr>
                <w:sz w:val="16"/>
                <w:szCs w:val="16"/>
                <w:color w:val="auto"/>
              </w:rPr>
            </w:pPr>
          </w:p>
        </w:tc>
        <w:tc>
          <w:tcPr>
            <w:tcW w:w="100" w:type="dxa"/>
            <w:vAlign w:val="bottom"/>
            <w:tcBorders>
              <w:top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20" w:type="dxa"/>
            <w:vAlign w:val="bottom"/>
          </w:tcPr>
          <w:p>
            <w:pPr>
              <w:spacing w:after="0"/>
              <w:rPr>
                <w:sz w:val="20"/>
                <w:szCs w:val="20"/>
                <w:color w:val="auto"/>
              </w:rPr>
            </w:pPr>
            <w:r>
              <w:rPr>
                <w:rFonts w:ascii="Arial" w:cs="Arial" w:eastAsia="Arial" w:hAnsi="Arial"/>
                <w:sz w:val="20"/>
                <w:szCs w:val="20"/>
                <w:color w:val="231F20"/>
              </w:rPr>
              <w:t>Total operating revenues  . . . .</w:t>
            </w:r>
          </w:p>
        </w:tc>
        <w:tc>
          <w:tcPr>
            <w:tcW w:w="380" w:type="dxa"/>
            <w:vAlign w:val="bottom"/>
          </w:tcPr>
          <w:p>
            <w:pPr>
              <w:jc w:val="right"/>
              <w:ind w:right="120"/>
              <w:spacing w:after="0"/>
              <w:rPr>
                <w:sz w:val="20"/>
                <w:szCs w:val="20"/>
                <w:color w:val="auto"/>
              </w:rPr>
            </w:pPr>
            <w:r>
              <w:rPr>
                <w:rFonts w:ascii="Arial" w:cs="Arial" w:eastAsia="Arial" w:hAnsi="Arial"/>
                <w:sz w:val="20"/>
                <w:szCs w:val="20"/>
                <w:color w:val="231F20"/>
              </w:rPr>
              <w:t>$</w:t>
            </w:r>
          </w:p>
        </w:tc>
        <w:tc>
          <w:tcPr>
            <w:tcW w:w="720" w:type="dxa"/>
            <w:vAlign w:val="bottom"/>
            <w:gridSpan w:val="2"/>
          </w:tcPr>
          <w:p>
            <w:pPr>
              <w:jc w:val="right"/>
              <w:ind w:right="120"/>
              <w:spacing w:after="0"/>
              <w:rPr>
                <w:sz w:val="20"/>
                <w:szCs w:val="20"/>
                <w:color w:val="auto"/>
              </w:rPr>
            </w:pPr>
            <w:r>
              <w:rPr>
                <w:rFonts w:ascii="Arial" w:cs="Arial" w:eastAsia="Arial" w:hAnsi="Arial"/>
                <w:sz w:val="20"/>
                <w:szCs w:val="20"/>
                <w:color w:val="231F20"/>
              </w:rPr>
              <w:t>18</w:t>
            </w:r>
          </w:p>
        </w:tc>
        <w:tc>
          <w:tcPr>
            <w:tcW w:w="420" w:type="dxa"/>
            <w:vAlign w:val="bottom"/>
            <w:gridSpan w:val="2"/>
          </w:tcPr>
          <w:p>
            <w:pPr>
              <w:ind w:left="120"/>
              <w:spacing w:after="0"/>
              <w:rPr>
                <w:sz w:val="20"/>
                <w:szCs w:val="20"/>
                <w:color w:val="auto"/>
              </w:rPr>
            </w:pPr>
            <w:r>
              <w:rPr>
                <w:rFonts w:ascii="Arial" w:cs="Arial" w:eastAsia="Arial" w:hAnsi="Arial"/>
                <w:sz w:val="20"/>
                <w:szCs w:val="20"/>
                <w:color w:val="231F20"/>
              </w:rPr>
              <w:t>$</w:t>
            </w:r>
          </w:p>
        </w:tc>
        <w:tc>
          <w:tcPr>
            <w:tcW w:w="84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360" w:type="dxa"/>
            <w:vAlign w:val="bottom"/>
            <w:gridSpan w:val="3"/>
          </w:tcPr>
          <w:p>
            <w:pPr>
              <w:jc w:val="right"/>
              <w:spacing w:after="0"/>
              <w:rPr>
                <w:sz w:val="20"/>
                <w:szCs w:val="20"/>
                <w:color w:val="auto"/>
              </w:rPr>
            </w:pPr>
            <w:r>
              <w:rPr>
                <w:rFonts w:ascii="Arial" w:cs="Arial" w:eastAsia="Arial" w:hAnsi="Arial"/>
                <w:sz w:val="20"/>
                <w:szCs w:val="20"/>
                <w:color w:val="231F20"/>
              </w:rPr>
              <w:t>$</w:t>
            </w:r>
          </w:p>
        </w:tc>
        <w:tc>
          <w:tcPr>
            <w:tcW w:w="880" w:type="dxa"/>
            <w:vAlign w:val="bottom"/>
            <w:gridSpan w:val="2"/>
          </w:tcPr>
          <w:p>
            <w:pPr>
              <w:jc w:val="right"/>
              <w:ind w:right="100"/>
              <w:spacing w:after="0"/>
              <w:rPr>
                <w:sz w:val="20"/>
                <w:szCs w:val="20"/>
                <w:color w:val="auto"/>
              </w:rPr>
            </w:pPr>
            <w:r>
              <w:rPr>
                <w:rFonts w:ascii="Arial" w:cs="Arial" w:eastAsia="Arial" w:hAnsi="Arial"/>
                <w:sz w:val="20"/>
                <w:szCs w:val="20"/>
                <w:color w:val="231F20"/>
              </w:rPr>
              <w:t>3,345</w:t>
            </w:r>
          </w:p>
        </w:tc>
        <w:tc>
          <w:tcPr>
            <w:tcW w:w="60" w:type="dxa"/>
            <w:vAlign w:val="bottom"/>
          </w:tcPr>
          <w:p>
            <w:pPr>
              <w:spacing w:after="0"/>
              <w:rPr>
                <w:sz w:val="20"/>
                <w:szCs w:val="20"/>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20"/>
                <w:szCs w:val="20"/>
                <w:color w:val="231F20"/>
              </w:rPr>
              <w:t>$</w:t>
            </w:r>
          </w:p>
        </w:tc>
        <w:tc>
          <w:tcPr>
            <w:tcW w:w="720" w:type="dxa"/>
            <w:vAlign w:val="bottom"/>
            <w:gridSpan w:val="3"/>
          </w:tcPr>
          <w:p>
            <w:pPr>
              <w:jc w:val="right"/>
              <w:ind w:right="60"/>
              <w:spacing w:after="0"/>
              <w:rPr>
                <w:sz w:val="20"/>
                <w:szCs w:val="20"/>
                <w:color w:val="auto"/>
              </w:rPr>
            </w:pPr>
            <w:r>
              <w:rPr>
                <w:rFonts w:ascii="Arial" w:cs="Arial" w:eastAsia="Arial" w:hAnsi="Arial"/>
                <w:sz w:val="20"/>
                <w:szCs w:val="20"/>
                <w:color w:val="231F20"/>
              </w:rPr>
              <w:t>(165)</w:t>
            </w:r>
          </w:p>
        </w:tc>
        <w:tc>
          <w:tcPr>
            <w:tcW w:w="560" w:type="dxa"/>
            <w:vAlign w:val="bottom"/>
            <w:gridSpan w:val="3"/>
          </w:tcPr>
          <w:p>
            <w:pPr>
              <w:jc w:val="right"/>
              <w:ind w:right="240"/>
              <w:spacing w:after="0"/>
              <w:rPr>
                <w:sz w:val="20"/>
                <w:szCs w:val="20"/>
                <w:color w:val="auto"/>
              </w:rPr>
            </w:pPr>
            <w:r>
              <w:rPr>
                <w:rFonts w:ascii="Arial" w:cs="Arial" w:eastAsia="Arial" w:hAnsi="Arial"/>
                <w:sz w:val="20"/>
                <w:szCs w:val="20"/>
                <w:color w:val="231F20"/>
              </w:rPr>
              <w:t>$</w:t>
            </w:r>
          </w:p>
        </w:tc>
        <w:tc>
          <w:tcPr>
            <w:tcW w:w="760" w:type="dxa"/>
            <w:vAlign w:val="bottom"/>
            <w:gridSpan w:val="2"/>
          </w:tcPr>
          <w:p>
            <w:pPr>
              <w:jc w:val="right"/>
              <w:ind w:right="100"/>
              <w:spacing w:after="0"/>
              <w:rPr>
                <w:sz w:val="20"/>
                <w:szCs w:val="20"/>
                <w:color w:val="auto"/>
              </w:rPr>
            </w:pPr>
            <w:r>
              <w:rPr>
                <w:rFonts w:ascii="Arial" w:cs="Arial" w:eastAsia="Arial" w:hAnsi="Arial"/>
                <w:sz w:val="20"/>
                <w:szCs w:val="20"/>
                <w:color w:val="231F20"/>
              </w:rPr>
              <w:t>3,198</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20"/>
                <w:szCs w:val="20"/>
                <w:color w:val="231F20"/>
              </w:rPr>
              <w:t>Total costs and other  . . . . . . .</w:t>
            </w:r>
          </w:p>
        </w:tc>
        <w:tc>
          <w:tcPr>
            <w:tcW w:w="3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20"/>
                <w:szCs w:val="20"/>
                <w:color w:val="231F20"/>
              </w:rPr>
              <w:t>290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231F20"/>
              </w:rPr>
              <w:t>66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20"/>
                <w:szCs w:val="20"/>
                <w:color w:val="231F20"/>
              </w:rPr>
              <w:t>2,398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20"/>
                <w:szCs w:val="20"/>
                <w:color w:val="231F20"/>
              </w:rPr>
              <w:t>(165)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20"/>
                <w:szCs w:val="20"/>
                <w:color w:val="231F20"/>
              </w:rPr>
              <w:t>2,589</w:t>
            </w:r>
          </w:p>
        </w:tc>
        <w:tc>
          <w:tcPr>
            <w:tcW w:w="0" w:type="dxa"/>
            <w:vAlign w:val="bottom"/>
          </w:tcPr>
          <w:p>
            <w:pPr>
              <w:spacing w:after="0"/>
              <w:rPr>
                <w:sz w:val="1"/>
                <w:szCs w:val="1"/>
                <w:color w:val="auto"/>
              </w:rPr>
            </w:pPr>
          </w:p>
        </w:tc>
      </w:tr>
      <w:tr>
        <w:trPr>
          <w:trHeight w:val="226"/>
        </w:trPr>
        <w:tc>
          <w:tcPr>
            <w:tcW w:w="2820" w:type="dxa"/>
            <w:vAlign w:val="bottom"/>
          </w:tcPr>
          <w:p>
            <w:pPr>
              <w:spacing w:after="0" w:line="226" w:lineRule="exact"/>
              <w:rPr>
                <w:sz w:val="20"/>
                <w:szCs w:val="20"/>
                <w:color w:val="auto"/>
              </w:rPr>
            </w:pPr>
            <w:r>
              <w:rPr>
                <w:rFonts w:ascii="Arial" w:cs="Arial" w:eastAsia="Arial" w:hAnsi="Arial"/>
                <w:sz w:val="20"/>
                <w:szCs w:val="20"/>
                <w:color w:val="231F20"/>
              </w:rPr>
              <w:t>Gain on asset divestitures  . . .</w:t>
            </w:r>
          </w:p>
        </w:tc>
        <w:tc>
          <w:tcPr>
            <w:tcW w:w="380" w:type="dxa"/>
            <w:vAlign w:val="bottom"/>
          </w:tcPr>
          <w:p>
            <w:pPr>
              <w:spacing w:after="0"/>
              <w:rPr>
                <w:sz w:val="19"/>
                <w:szCs w:val="19"/>
                <w:color w:val="auto"/>
              </w:rPr>
            </w:pPr>
          </w:p>
        </w:tc>
        <w:tc>
          <w:tcPr>
            <w:tcW w:w="720" w:type="dxa"/>
            <w:vAlign w:val="bottom"/>
            <w:gridSpan w:val="2"/>
          </w:tcPr>
          <w:p>
            <w:pPr>
              <w:jc w:val="right"/>
              <w:ind w:right="120"/>
              <w:spacing w:after="0" w:line="226" w:lineRule="exact"/>
              <w:rPr>
                <w:sz w:val="20"/>
                <w:szCs w:val="20"/>
                <w:color w:val="auto"/>
              </w:rPr>
            </w:pPr>
            <w:r>
              <w:rPr>
                <w:rFonts w:ascii="Arial" w:cs="Arial" w:eastAsia="Arial" w:hAnsi="Arial"/>
                <w:sz w:val="20"/>
                <w:szCs w:val="20"/>
                <w:color w:val="231F20"/>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3"/>
          </w:tcPr>
          <w:p>
            <w:pPr>
              <w:jc w:val="right"/>
              <w:ind w:right="120"/>
              <w:spacing w:after="0" w:line="226" w:lineRule="exact"/>
              <w:rPr>
                <w:sz w:val="20"/>
                <w:szCs w:val="20"/>
                <w:color w:val="auto"/>
              </w:rPr>
            </w:pPr>
            <w:r>
              <w:rPr>
                <w:rFonts w:ascii="Arial" w:cs="Arial" w:eastAsia="Arial" w:hAnsi="Arial"/>
                <w:sz w:val="20"/>
                <w:szCs w:val="20"/>
                <w:color w:val="231F20"/>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3"/>
          </w:tcPr>
          <w:p>
            <w:pPr>
              <w:jc w:val="right"/>
              <w:ind w:right="120"/>
              <w:spacing w:after="0" w:line="226" w:lineRule="exact"/>
              <w:rPr>
                <w:sz w:val="20"/>
                <w:szCs w:val="20"/>
                <w:color w:val="auto"/>
              </w:rPr>
            </w:pPr>
            <w:r>
              <w:rPr>
                <w:rFonts w:ascii="Arial" w:cs="Arial" w:eastAsia="Arial" w:hAnsi="Arial"/>
                <w:sz w:val="20"/>
                <w:szCs w:val="20"/>
                <w:color w:val="231F20"/>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11</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20"/>
                <w:szCs w:val="20"/>
                <w:color w:val="231F20"/>
              </w:rPr>
              <w:t>Non-operating (loss)</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20" w:type="dxa"/>
            <w:vAlign w:val="bottom"/>
          </w:tcPr>
          <w:p>
            <w:pPr>
              <w:spacing w:after="0" w:line="226" w:lineRule="exact"/>
              <w:rPr>
                <w:sz w:val="20"/>
                <w:szCs w:val="20"/>
                <w:color w:val="auto"/>
              </w:rPr>
            </w:pPr>
            <w:r>
              <w:rPr>
                <w:rFonts w:ascii="Arial" w:cs="Arial" w:eastAsia="Arial" w:hAnsi="Arial"/>
                <w:sz w:val="20"/>
                <w:szCs w:val="20"/>
                <w:color w:val="231F20"/>
              </w:rPr>
              <w:t>income . . . . . . . . . . . . . . . . . . .</w:t>
            </w:r>
          </w:p>
        </w:tc>
        <w:tc>
          <w:tcPr>
            <w:tcW w:w="380" w:type="dxa"/>
            <w:vAlign w:val="bottom"/>
          </w:tcPr>
          <w:p>
            <w:pPr>
              <w:spacing w:after="0"/>
              <w:rPr>
                <w:sz w:val="19"/>
                <w:szCs w:val="19"/>
                <w:color w:val="auto"/>
              </w:rPr>
            </w:pPr>
          </w:p>
        </w:tc>
        <w:tc>
          <w:tcPr>
            <w:tcW w:w="720" w:type="dxa"/>
            <w:vAlign w:val="bottom"/>
            <w:gridSpan w:val="2"/>
          </w:tcPr>
          <w:p>
            <w:pPr>
              <w:jc w:val="right"/>
              <w:ind w:right="40"/>
              <w:spacing w:after="0" w:line="226" w:lineRule="exact"/>
              <w:rPr>
                <w:sz w:val="20"/>
                <w:szCs w:val="20"/>
                <w:color w:val="auto"/>
              </w:rPr>
            </w:pPr>
            <w:r>
              <w:rPr>
                <w:rFonts w:ascii="Arial" w:cs="Arial" w:eastAsia="Arial" w:hAnsi="Arial"/>
                <w:sz w:val="20"/>
                <w:szCs w:val="20"/>
                <w:color w:val="231F20"/>
              </w:rPr>
              <w:t>(92)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3"/>
          </w:tcPr>
          <w:p>
            <w:pPr>
              <w:jc w:val="right"/>
              <w:ind w:right="60"/>
              <w:spacing w:after="0" w:line="226" w:lineRule="exact"/>
              <w:rPr>
                <w:sz w:val="20"/>
                <w:szCs w:val="20"/>
                <w:color w:val="auto"/>
              </w:rPr>
            </w:pPr>
            <w:r>
              <w:rPr>
                <w:rFonts w:ascii="Arial" w:cs="Arial" w:eastAsia="Arial" w:hAnsi="Arial"/>
                <w:sz w:val="20"/>
                <w:szCs w:val="20"/>
                <w:color w:val="231F20"/>
              </w:rPr>
              <w:t>(21)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line="226" w:lineRule="exact"/>
              <w:rPr>
                <w:sz w:val="20"/>
                <w:szCs w:val="20"/>
                <w:color w:val="auto"/>
              </w:rPr>
            </w:pPr>
            <w:r>
              <w:rPr>
                <w:rFonts w:ascii="Arial" w:cs="Arial" w:eastAsia="Arial" w:hAnsi="Arial"/>
                <w:sz w:val="20"/>
                <w:szCs w:val="20"/>
                <w:color w:val="231F20"/>
              </w:rPr>
              <w:t>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3"/>
          </w:tcPr>
          <w:p>
            <w:pPr>
              <w:jc w:val="right"/>
              <w:ind w:right="120"/>
              <w:spacing w:after="0" w:line="226" w:lineRule="exact"/>
              <w:rPr>
                <w:sz w:val="20"/>
                <w:szCs w:val="20"/>
                <w:color w:val="auto"/>
              </w:rPr>
            </w:pPr>
            <w:r>
              <w:rPr>
                <w:rFonts w:ascii="Arial" w:cs="Arial" w:eastAsia="Arial" w:hAnsi="Arial"/>
                <w:sz w:val="20"/>
                <w:szCs w:val="20"/>
                <w:color w:val="231F20"/>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40"/>
              <w:spacing w:after="0" w:line="226" w:lineRule="exact"/>
              <w:rPr>
                <w:sz w:val="20"/>
                <w:szCs w:val="20"/>
                <w:color w:val="auto"/>
              </w:rPr>
            </w:pPr>
            <w:r>
              <w:rPr>
                <w:rFonts w:ascii="Arial" w:cs="Arial" w:eastAsia="Arial" w:hAnsi="Arial"/>
                <w:sz w:val="20"/>
                <w:szCs w:val="20"/>
                <w:color w:val="231F20"/>
              </w:rPr>
              <w:t>(104)</w:t>
            </w:r>
          </w:p>
        </w:tc>
        <w:tc>
          <w:tcPr>
            <w:tcW w:w="0" w:type="dxa"/>
            <w:vAlign w:val="bottom"/>
          </w:tcPr>
          <w:p>
            <w:pPr>
              <w:spacing w:after="0"/>
              <w:rPr>
                <w:sz w:val="1"/>
                <w:szCs w:val="1"/>
                <w:color w:val="auto"/>
              </w:rPr>
            </w:pPr>
          </w:p>
        </w:tc>
      </w:tr>
      <w:tr>
        <w:trPr>
          <w:trHeight w:val="30"/>
        </w:trPr>
        <w:tc>
          <w:tcPr>
            <w:tcW w:w="2820" w:type="dxa"/>
            <w:vAlign w:val="bottom"/>
            <w:vMerge w:val="restart"/>
          </w:tcPr>
          <w:p>
            <w:pPr>
              <w:spacing w:after="0"/>
              <w:rPr>
                <w:sz w:val="20"/>
                <w:szCs w:val="20"/>
                <w:color w:val="auto"/>
              </w:rPr>
            </w:pPr>
            <w:r>
              <w:rPr>
                <w:rFonts w:ascii="Arial" w:cs="Arial" w:eastAsia="Arial" w:hAnsi="Arial"/>
                <w:sz w:val="20"/>
                <w:szCs w:val="20"/>
                <w:b w:val="1"/>
                <w:bCs w:val="1"/>
                <w:color w:val="231F20"/>
              </w:rPr>
              <w:t>(LOSS) INCOME BEFORE</w:t>
            </w:r>
          </w:p>
        </w:tc>
        <w:tc>
          <w:tcPr>
            <w:tcW w:w="3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2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820" w:type="dxa"/>
            <w:vAlign w:val="bottom"/>
          </w:tcPr>
          <w:p>
            <w:pPr>
              <w:spacing w:after="0" w:line="228" w:lineRule="exact"/>
              <w:rPr>
                <w:sz w:val="20"/>
                <w:szCs w:val="20"/>
                <w:color w:val="auto"/>
              </w:rPr>
            </w:pPr>
            <w:r>
              <w:rPr>
                <w:rFonts w:ascii="Arial" w:cs="Arial" w:eastAsia="Arial" w:hAnsi="Arial"/>
                <w:sz w:val="20"/>
                <w:szCs w:val="20"/>
                <w:b w:val="1"/>
                <w:bCs w:val="1"/>
                <w:color w:val="231F20"/>
              </w:rPr>
              <w:t xml:space="preserve">INCOME TAXES </w:t>
            </w:r>
            <w:r>
              <w:rPr>
                <w:rFonts w:ascii="Arial" w:cs="Arial" w:eastAsia="Arial" w:hAnsi="Arial"/>
                <w:sz w:val="20"/>
                <w:szCs w:val="20"/>
                <w:color w:val="231F20"/>
              </w:rPr>
              <w:t>. . . . . . . . . . .</w:t>
            </w:r>
          </w:p>
        </w:tc>
        <w:tc>
          <w:tcPr>
            <w:tcW w:w="380" w:type="dxa"/>
            <w:vAlign w:val="bottom"/>
          </w:tcPr>
          <w:p>
            <w:pPr>
              <w:spacing w:after="0"/>
              <w:rPr>
                <w:sz w:val="19"/>
                <w:szCs w:val="19"/>
                <w:color w:val="auto"/>
              </w:rPr>
            </w:pPr>
          </w:p>
        </w:tc>
        <w:tc>
          <w:tcPr>
            <w:tcW w:w="720" w:type="dxa"/>
            <w:vAlign w:val="bottom"/>
            <w:gridSpan w:val="2"/>
          </w:tcPr>
          <w:p>
            <w:pPr>
              <w:jc w:val="right"/>
              <w:ind w:right="40"/>
              <w:spacing w:after="0" w:line="228" w:lineRule="exact"/>
              <w:rPr>
                <w:sz w:val="20"/>
                <w:szCs w:val="20"/>
                <w:color w:val="auto"/>
              </w:rPr>
            </w:pPr>
            <w:r>
              <w:rPr>
                <w:rFonts w:ascii="Arial" w:cs="Arial" w:eastAsia="Arial" w:hAnsi="Arial"/>
                <w:sz w:val="20"/>
                <w:szCs w:val="20"/>
                <w:color w:val="231F20"/>
              </w:rPr>
              <w:t>(364)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3"/>
          </w:tcPr>
          <w:p>
            <w:pPr>
              <w:jc w:val="right"/>
              <w:ind w:right="60"/>
              <w:spacing w:after="0" w:line="228" w:lineRule="exact"/>
              <w:rPr>
                <w:sz w:val="20"/>
                <w:szCs w:val="20"/>
                <w:color w:val="auto"/>
              </w:rPr>
            </w:pPr>
            <w:r>
              <w:rPr>
                <w:rFonts w:ascii="Arial" w:cs="Arial" w:eastAsia="Arial" w:hAnsi="Arial"/>
                <w:sz w:val="20"/>
                <w:szCs w:val="20"/>
                <w:color w:val="231F20"/>
              </w:rPr>
              <w:t>(87)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231F20"/>
              </w:rPr>
              <w:t>967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3"/>
          </w:tcPr>
          <w:p>
            <w:pPr>
              <w:jc w:val="right"/>
              <w:ind w:right="120"/>
              <w:spacing w:after="0" w:line="228" w:lineRule="exact"/>
              <w:rPr>
                <w:sz w:val="20"/>
                <w:szCs w:val="20"/>
                <w:color w:val="auto"/>
              </w:rPr>
            </w:pPr>
            <w:r>
              <w:rPr>
                <w:rFonts w:ascii="Arial" w:cs="Arial" w:eastAsia="Arial" w:hAnsi="Arial"/>
                <w:sz w:val="20"/>
                <w:szCs w:val="20"/>
                <w:color w:val="231F20"/>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00"/>
              <w:spacing w:after="0" w:line="228" w:lineRule="exact"/>
              <w:rPr>
                <w:sz w:val="20"/>
                <w:szCs w:val="20"/>
                <w:color w:val="auto"/>
              </w:rPr>
            </w:pPr>
            <w:r>
              <w:rPr>
                <w:rFonts w:ascii="Arial" w:cs="Arial" w:eastAsia="Arial" w:hAnsi="Arial"/>
                <w:sz w:val="20"/>
                <w:szCs w:val="20"/>
                <w:color w:val="231F20"/>
              </w:rPr>
              <w:t>516</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20"/>
                <w:szCs w:val="20"/>
                <w:color w:val="231F20"/>
              </w:rPr>
              <w:t>Income tax provision . . . . . . . .</w:t>
            </w:r>
          </w:p>
        </w:tc>
        <w:tc>
          <w:tcPr>
            <w:tcW w:w="3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231F20"/>
              </w:rPr>
              <w:t>(140)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20"/>
                <w:szCs w:val="20"/>
                <w:color w:val="231F20"/>
              </w:rPr>
              <w:t>(140)</w:t>
            </w:r>
          </w:p>
        </w:tc>
        <w:tc>
          <w:tcPr>
            <w:tcW w:w="0" w:type="dxa"/>
            <w:vAlign w:val="bottom"/>
          </w:tcPr>
          <w:p>
            <w:pPr>
              <w:spacing w:after="0"/>
              <w:rPr>
                <w:sz w:val="1"/>
                <w:szCs w:val="1"/>
                <w:color w:val="auto"/>
              </w:rPr>
            </w:pPr>
          </w:p>
        </w:tc>
      </w:tr>
      <w:tr>
        <w:trPr>
          <w:trHeight w:val="28"/>
        </w:trPr>
        <w:tc>
          <w:tcPr>
            <w:tcW w:w="2820" w:type="dxa"/>
            <w:vAlign w:val="bottom"/>
            <w:vMerge w:val="restart"/>
          </w:tcPr>
          <w:p>
            <w:pPr>
              <w:spacing w:after="0"/>
              <w:rPr>
                <w:sz w:val="20"/>
                <w:szCs w:val="20"/>
                <w:color w:val="auto"/>
              </w:rPr>
            </w:pPr>
            <w:r>
              <w:rPr>
                <w:rFonts w:ascii="Arial" w:cs="Arial" w:eastAsia="Arial" w:hAnsi="Arial"/>
                <w:sz w:val="20"/>
                <w:szCs w:val="20"/>
                <w:b w:val="1"/>
                <w:bCs w:val="1"/>
                <w:color w:val="231F20"/>
              </w:rPr>
              <w:t xml:space="preserve">NET (LOSS) INCOME  </w:t>
            </w:r>
            <w:r>
              <w:rPr>
                <w:rFonts w:ascii="Arial" w:cs="Arial" w:eastAsia="Arial" w:hAnsi="Arial"/>
                <w:sz w:val="20"/>
                <w:szCs w:val="20"/>
                <w:color w:val="231F20"/>
              </w:rPr>
              <w:t>. . . . . .</w:t>
            </w:r>
          </w:p>
        </w:tc>
        <w:tc>
          <w:tcPr>
            <w:tcW w:w="3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820" w:type="dxa"/>
            <w:vAlign w:val="bottom"/>
            <w:vMerge w:val="continue"/>
          </w:tcPr>
          <w:p>
            <w:pPr>
              <w:spacing w:after="0"/>
              <w:rPr>
                <w:sz w:val="22"/>
                <w:szCs w:val="22"/>
                <w:color w:val="auto"/>
              </w:rPr>
            </w:pPr>
          </w:p>
        </w:tc>
        <w:tc>
          <w:tcPr>
            <w:tcW w:w="380" w:type="dxa"/>
            <w:vAlign w:val="bottom"/>
          </w:tcPr>
          <w:p>
            <w:pPr>
              <w:jc w:val="right"/>
              <w:ind w:right="100"/>
              <w:spacing w:after="0"/>
              <w:rPr>
                <w:sz w:val="20"/>
                <w:szCs w:val="20"/>
                <w:color w:val="auto"/>
              </w:rPr>
            </w:pPr>
            <w:r>
              <w:rPr>
                <w:rFonts w:ascii="Arial" w:cs="Arial" w:eastAsia="Arial" w:hAnsi="Arial"/>
                <w:sz w:val="20"/>
                <w:szCs w:val="20"/>
                <w:color w:val="231F20"/>
              </w:rPr>
              <w:t>$</w:t>
            </w: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231F20"/>
              </w:rPr>
              <w:t>(504)</w:t>
            </w:r>
          </w:p>
        </w:tc>
        <w:tc>
          <w:tcPr>
            <w:tcW w:w="420" w:type="dxa"/>
            <w:vAlign w:val="bottom"/>
            <w:gridSpan w:val="2"/>
          </w:tcPr>
          <w:p>
            <w:pPr>
              <w:ind w:left="140"/>
              <w:spacing w:after="0"/>
              <w:rPr>
                <w:sz w:val="20"/>
                <w:szCs w:val="20"/>
                <w:color w:val="auto"/>
              </w:rPr>
            </w:pPr>
            <w:r>
              <w:rPr>
                <w:rFonts w:ascii="Arial" w:cs="Arial" w:eastAsia="Arial" w:hAnsi="Arial"/>
                <w:sz w:val="20"/>
                <w:szCs w:val="20"/>
                <w:color w:val="231F20"/>
              </w:rPr>
              <w:t>$</w:t>
            </w:r>
          </w:p>
        </w:tc>
        <w:tc>
          <w:tcPr>
            <w:tcW w:w="840" w:type="dxa"/>
            <w:vAlign w:val="bottom"/>
            <w:gridSpan w:val="3"/>
          </w:tcPr>
          <w:p>
            <w:pPr>
              <w:jc w:val="right"/>
              <w:ind w:right="60"/>
              <w:spacing w:after="0"/>
              <w:rPr>
                <w:sz w:val="20"/>
                <w:szCs w:val="20"/>
                <w:color w:val="auto"/>
              </w:rPr>
            </w:pPr>
            <w:r>
              <w:rPr>
                <w:rFonts w:ascii="Arial" w:cs="Arial" w:eastAsia="Arial" w:hAnsi="Arial"/>
                <w:sz w:val="20"/>
                <w:szCs w:val="20"/>
                <w:color w:val="231F20"/>
              </w:rPr>
              <w:t>(87)</w:t>
            </w:r>
          </w:p>
        </w:tc>
        <w:tc>
          <w:tcPr>
            <w:tcW w:w="360" w:type="dxa"/>
            <w:vAlign w:val="bottom"/>
            <w:gridSpan w:val="3"/>
          </w:tcPr>
          <w:p>
            <w:pPr>
              <w:jc w:val="right"/>
              <w:spacing w:after="0"/>
              <w:rPr>
                <w:sz w:val="20"/>
                <w:szCs w:val="20"/>
                <w:color w:val="auto"/>
              </w:rPr>
            </w:pPr>
            <w:r>
              <w:rPr>
                <w:rFonts w:ascii="Arial" w:cs="Arial" w:eastAsia="Arial" w:hAnsi="Arial"/>
                <w:sz w:val="20"/>
                <w:szCs w:val="20"/>
                <w:color w:val="231F20"/>
              </w:rPr>
              <w:t>$</w:t>
            </w:r>
          </w:p>
        </w:tc>
        <w:tc>
          <w:tcPr>
            <w:tcW w:w="880" w:type="dxa"/>
            <w:vAlign w:val="bottom"/>
            <w:gridSpan w:val="2"/>
          </w:tcPr>
          <w:p>
            <w:pPr>
              <w:jc w:val="right"/>
              <w:ind w:right="100"/>
              <w:spacing w:after="0"/>
              <w:rPr>
                <w:sz w:val="20"/>
                <w:szCs w:val="20"/>
                <w:color w:val="auto"/>
              </w:rPr>
            </w:pPr>
            <w:r>
              <w:rPr>
                <w:rFonts w:ascii="Arial" w:cs="Arial" w:eastAsia="Arial" w:hAnsi="Arial"/>
                <w:sz w:val="20"/>
                <w:szCs w:val="20"/>
                <w:color w:val="231F20"/>
              </w:rPr>
              <w:t>967</w:t>
            </w:r>
          </w:p>
        </w:tc>
        <w:tc>
          <w:tcPr>
            <w:tcW w:w="60" w:type="dxa"/>
            <w:vAlign w:val="bottom"/>
          </w:tcPr>
          <w:p>
            <w:pPr>
              <w:spacing w:after="0"/>
              <w:rPr>
                <w:sz w:val="22"/>
                <w:szCs w:val="22"/>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20"/>
                <w:szCs w:val="20"/>
                <w:color w:val="231F20"/>
              </w:rPr>
              <w:t>$</w:t>
            </w:r>
          </w:p>
        </w:tc>
        <w:tc>
          <w:tcPr>
            <w:tcW w:w="720" w:type="dxa"/>
            <w:vAlign w:val="bottom"/>
            <w:gridSpan w:val="3"/>
          </w:tcPr>
          <w:p>
            <w:pPr>
              <w:jc w:val="right"/>
              <w:ind w:right="120"/>
              <w:spacing w:after="0"/>
              <w:rPr>
                <w:sz w:val="20"/>
                <w:szCs w:val="20"/>
                <w:color w:val="auto"/>
              </w:rPr>
            </w:pPr>
            <w:r>
              <w:rPr>
                <w:rFonts w:ascii="Arial" w:cs="Arial" w:eastAsia="Arial" w:hAnsi="Arial"/>
                <w:sz w:val="20"/>
                <w:szCs w:val="20"/>
                <w:color w:val="231F20"/>
              </w:rPr>
              <w:t>—</w:t>
            </w:r>
          </w:p>
        </w:tc>
        <w:tc>
          <w:tcPr>
            <w:tcW w:w="560" w:type="dxa"/>
            <w:vAlign w:val="bottom"/>
            <w:gridSpan w:val="3"/>
          </w:tcPr>
          <w:p>
            <w:pPr>
              <w:jc w:val="right"/>
              <w:ind w:right="180"/>
              <w:spacing w:after="0"/>
              <w:rPr>
                <w:sz w:val="20"/>
                <w:szCs w:val="20"/>
                <w:color w:val="auto"/>
              </w:rPr>
            </w:pPr>
            <w:r>
              <w:rPr>
                <w:rFonts w:ascii="Arial" w:cs="Arial" w:eastAsia="Arial" w:hAnsi="Arial"/>
                <w:sz w:val="20"/>
                <w:szCs w:val="20"/>
                <w:color w:val="231F20"/>
              </w:rPr>
              <w:t>$</w:t>
            </w:r>
          </w:p>
        </w:tc>
        <w:tc>
          <w:tcPr>
            <w:tcW w:w="760" w:type="dxa"/>
            <w:vAlign w:val="bottom"/>
            <w:gridSpan w:val="2"/>
          </w:tcPr>
          <w:p>
            <w:pPr>
              <w:jc w:val="right"/>
              <w:ind w:right="100"/>
              <w:spacing w:after="0"/>
              <w:rPr>
                <w:sz w:val="20"/>
                <w:szCs w:val="20"/>
                <w:color w:val="auto"/>
              </w:rPr>
            </w:pPr>
            <w:r>
              <w:rPr>
                <w:rFonts w:ascii="Arial" w:cs="Arial" w:eastAsia="Arial" w:hAnsi="Arial"/>
                <w:sz w:val="20"/>
                <w:szCs w:val="20"/>
                <w:color w:val="231F20"/>
              </w:rPr>
              <w:t>376</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40" w:type="dxa"/>
            <w:vAlign w:val="bottom"/>
            <w:gridSpan w:val="9"/>
          </w:tcPr>
          <w:p>
            <w:pPr>
              <w:jc w:val="right"/>
              <w:ind w:right="80"/>
              <w:spacing w:after="0"/>
              <w:rPr>
                <w:sz w:val="20"/>
                <w:szCs w:val="20"/>
                <w:color w:val="auto"/>
              </w:rPr>
            </w:pPr>
            <w:r>
              <w:rPr>
                <w:rFonts w:ascii="Arial" w:cs="Arial" w:eastAsia="Arial" w:hAnsi="Arial"/>
                <w:sz w:val="20"/>
                <w:szCs w:val="20"/>
                <w:b w:val="1"/>
                <w:bCs w:val="1"/>
                <w:color w:val="231F20"/>
              </w:rPr>
              <w:t>Year ended December 31, 2023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gridSpan w:val="2"/>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60" w:type="dxa"/>
            <w:vAlign w:val="bottom"/>
            <w:tcBorders>
              <w:bottom w:val="single" w:sz="8" w:color="231F20"/>
            </w:tcBorders>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4"/>
          </w:tcPr>
          <w:p>
            <w:pPr>
              <w:ind w:left="40"/>
              <w:spacing w:after="0" w:line="214" w:lineRule="exact"/>
              <w:rPr>
                <w:sz w:val="20"/>
                <w:szCs w:val="20"/>
                <w:color w:val="auto"/>
              </w:rPr>
            </w:pPr>
            <w:r>
              <w:rPr>
                <w:rFonts w:ascii="Arial" w:cs="Arial" w:eastAsia="Arial" w:hAnsi="Arial"/>
                <w:sz w:val="20"/>
                <w:szCs w:val="20"/>
                <w:b w:val="1"/>
                <w:bCs w:val="1"/>
                <w:color w:val="231F20"/>
              </w:rPr>
              <w:t>Combined</w:t>
            </w:r>
          </w:p>
        </w:tc>
        <w:tc>
          <w:tcPr>
            <w:tcW w:w="1360" w:type="dxa"/>
            <w:vAlign w:val="bottom"/>
            <w:gridSpan w:val="3"/>
          </w:tcPr>
          <w:p>
            <w:pPr>
              <w:jc w:val="right"/>
              <w:ind w:right="240"/>
              <w:spacing w:after="0" w:line="214" w:lineRule="exact"/>
              <w:rPr>
                <w:sz w:val="20"/>
                <w:szCs w:val="20"/>
                <w:color w:val="auto"/>
              </w:rPr>
            </w:pPr>
            <w:r>
              <w:rPr>
                <w:rFonts w:ascii="Arial" w:cs="Arial" w:eastAsia="Arial" w:hAnsi="Arial"/>
                <w:sz w:val="20"/>
                <w:szCs w:val="20"/>
                <w:b w:val="1"/>
                <w:bCs w:val="1"/>
                <w:color w:val="231F20"/>
              </w:rPr>
              <w:t>Combined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ind w:right="120"/>
              <w:spacing w:after="0"/>
              <w:rPr>
                <w:sz w:val="20"/>
                <w:szCs w:val="20"/>
                <w:color w:val="auto"/>
              </w:rPr>
            </w:pPr>
            <w:r>
              <w:rPr>
                <w:rFonts w:ascii="Arial" w:cs="Arial" w:eastAsia="Arial" w:hAnsi="Arial"/>
                <w:sz w:val="20"/>
                <w:szCs w:val="20"/>
                <w:b w:val="1"/>
                <w:bCs w:val="1"/>
                <w:color w:val="231F20"/>
              </w:rPr>
              <w:t>Parent</w:t>
            </w:r>
          </w:p>
        </w:tc>
        <w:tc>
          <w:tcPr>
            <w:tcW w:w="200" w:type="dxa"/>
            <w:vAlign w:val="bottom"/>
            <w:vMerge w:val="restart"/>
          </w:tcPr>
          <w:p>
            <w:pPr>
              <w:spacing w:after="0"/>
              <w:rPr>
                <w:sz w:val="17"/>
                <w:szCs w:val="17"/>
                <w:color w:val="auto"/>
              </w:rPr>
            </w:pPr>
          </w:p>
        </w:tc>
        <w:tc>
          <w:tcPr>
            <w:tcW w:w="1380" w:type="dxa"/>
            <w:vAlign w:val="bottom"/>
            <w:gridSpan w:val="5"/>
          </w:tcPr>
          <w:p>
            <w:pPr>
              <w:jc w:val="right"/>
              <w:ind w:right="200"/>
              <w:spacing w:after="0" w:line="200" w:lineRule="exact"/>
              <w:rPr>
                <w:sz w:val="20"/>
                <w:szCs w:val="20"/>
                <w:color w:val="auto"/>
              </w:rPr>
            </w:pPr>
            <w:r>
              <w:rPr>
                <w:rFonts w:ascii="Arial" w:cs="Arial" w:eastAsia="Arial" w:hAnsi="Arial"/>
                <w:sz w:val="20"/>
                <w:szCs w:val="20"/>
                <w:b w:val="1"/>
                <w:bCs w:val="1"/>
                <w:color w:val="231F20"/>
                <w:w w:val="98"/>
              </w:rPr>
              <w:t>Unrestricted</w:t>
            </w:r>
          </w:p>
        </w:tc>
        <w:tc>
          <w:tcPr>
            <w:tcW w:w="1360" w:type="dxa"/>
            <w:vAlign w:val="bottom"/>
            <w:gridSpan w:val="3"/>
          </w:tcPr>
          <w:p>
            <w:pPr>
              <w:jc w:val="right"/>
              <w:ind w:right="240"/>
              <w:spacing w:after="0" w:line="200" w:lineRule="exact"/>
              <w:rPr>
                <w:sz w:val="20"/>
                <w:szCs w:val="20"/>
                <w:color w:val="auto"/>
              </w:rPr>
            </w:pPr>
            <w:r>
              <w:rPr>
                <w:rFonts w:ascii="Arial" w:cs="Arial" w:eastAsia="Arial" w:hAnsi="Arial"/>
                <w:sz w:val="20"/>
                <w:szCs w:val="20"/>
                <w:b w:val="1"/>
                <w:bCs w:val="1"/>
                <w:color w:val="231F20"/>
              </w:rPr>
              <w:t>Restricted</w:t>
            </w:r>
          </w:p>
        </w:tc>
        <w:tc>
          <w:tcPr>
            <w:tcW w:w="1300" w:type="dxa"/>
            <w:vAlign w:val="bottom"/>
            <w:gridSpan w:val="5"/>
            <w:vMerge w:val="restart"/>
          </w:tcPr>
          <w:p>
            <w:pPr>
              <w:ind w:left="100"/>
              <w:spacing w:after="0"/>
              <w:rPr>
                <w:sz w:val="20"/>
                <w:szCs w:val="20"/>
                <w:color w:val="auto"/>
              </w:rPr>
            </w:pPr>
            <w:r>
              <w:rPr>
                <w:rFonts w:ascii="Arial" w:cs="Arial" w:eastAsia="Arial" w:hAnsi="Arial"/>
                <w:sz w:val="20"/>
                <w:szCs w:val="20"/>
                <w:b w:val="1"/>
                <w:bCs w:val="1"/>
                <w:color w:val="231F20"/>
                <w:w w:val="99"/>
              </w:rPr>
              <w:t>Eliminations</w:t>
            </w:r>
          </w:p>
        </w:tc>
        <w:tc>
          <w:tcPr>
            <w:tcW w:w="200" w:type="dxa"/>
            <w:vAlign w:val="bottom"/>
          </w:tcPr>
          <w:p>
            <w:pPr>
              <w:spacing w:after="0"/>
              <w:rPr>
                <w:sz w:val="17"/>
                <w:szCs w:val="17"/>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231F20"/>
              </w:rPr>
              <w:t>Consolidated</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380" w:type="dxa"/>
            <w:vAlign w:val="bottom"/>
            <w:gridSpan w:val="5"/>
          </w:tcPr>
          <w:p>
            <w:pPr>
              <w:jc w:val="right"/>
              <w:ind w:right="200"/>
              <w:spacing w:after="0" w:line="228" w:lineRule="exact"/>
              <w:rPr>
                <w:sz w:val="20"/>
                <w:szCs w:val="20"/>
                <w:color w:val="auto"/>
              </w:rPr>
            </w:pPr>
            <w:r>
              <w:rPr>
                <w:rFonts w:ascii="Arial" w:cs="Arial" w:eastAsia="Arial" w:hAnsi="Arial"/>
                <w:sz w:val="20"/>
                <w:szCs w:val="20"/>
                <w:b w:val="1"/>
                <w:bCs w:val="1"/>
                <w:color w:val="231F20"/>
                <w:w w:val="97"/>
              </w:rPr>
              <w:t>Subsidiaries</w:t>
            </w:r>
          </w:p>
        </w:tc>
        <w:tc>
          <w:tcPr>
            <w:tcW w:w="1360" w:type="dxa"/>
            <w:vAlign w:val="bottom"/>
            <w:gridSpan w:val="3"/>
          </w:tcPr>
          <w:p>
            <w:pPr>
              <w:ind w:left="40"/>
              <w:spacing w:after="0" w:line="228" w:lineRule="exact"/>
              <w:rPr>
                <w:sz w:val="20"/>
                <w:szCs w:val="20"/>
                <w:color w:val="auto"/>
              </w:rPr>
            </w:pPr>
            <w:r>
              <w:rPr>
                <w:rFonts w:ascii="Arial" w:cs="Arial" w:eastAsia="Arial" w:hAnsi="Arial"/>
                <w:sz w:val="20"/>
                <w:szCs w:val="20"/>
                <w:b w:val="1"/>
                <w:bCs w:val="1"/>
                <w:color w:val="231F20"/>
              </w:rPr>
              <w:t>Subsidiaries</w:t>
            </w:r>
          </w:p>
        </w:tc>
        <w:tc>
          <w:tcPr>
            <w:tcW w:w="130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880" w:type="dxa"/>
            <w:vAlign w:val="bottom"/>
            <w:tcBorders>
              <w:top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400" w:type="dxa"/>
            <w:vAlign w:val="bottom"/>
            <w:tcBorders>
              <w:top w:val="single" w:sz="8" w:color="231F20"/>
            </w:tcBorders>
          </w:tcPr>
          <w:p>
            <w:pPr>
              <w:spacing w:after="0"/>
              <w:rPr>
                <w:sz w:val="16"/>
                <w:szCs w:val="16"/>
                <w:color w:val="auto"/>
              </w:rPr>
            </w:pPr>
          </w:p>
        </w:tc>
        <w:tc>
          <w:tcPr>
            <w:tcW w:w="660" w:type="dxa"/>
            <w:vAlign w:val="bottom"/>
            <w:tcBorders>
              <w:top w:val="single" w:sz="8" w:color="231F20"/>
            </w:tcBorders>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231F20"/>
            </w:tcBorders>
          </w:tcPr>
          <w:p>
            <w:pPr>
              <w:spacing w:after="0"/>
              <w:rPr>
                <w:sz w:val="16"/>
                <w:szCs w:val="16"/>
                <w:color w:val="auto"/>
              </w:rPr>
            </w:pPr>
          </w:p>
        </w:tc>
        <w:tc>
          <w:tcPr>
            <w:tcW w:w="1000" w:type="dxa"/>
            <w:vAlign w:val="bottom"/>
            <w:tcBorders>
              <w:top w:val="single" w:sz="8" w:color="231F20"/>
            </w:tcBorders>
          </w:tcPr>
          <w:p>
            <w:pPr>
              <w:jc w:val="right"/>
              <w:spacing w:after="0"/>
              <w:rPr>
                <w:sz w:val="20"/>
                <w:szCs w:val="20"/>
                <w:color w:val="auto"/>
              </w:rPr>
            </w:pPr>
            <w:r>
              <w:rPr>
                <w:rFonts w:ascii="Arial" w:cs="Arial" w:eastAsia="Arial" w:hAnsi="Arial"/>
                <w:sz w:val="16"/>
                <w:szCs w:val="16"/>
                <w:color w:val="231F20"/>
              </w:rPr>
              <w:t>(in millions)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800" w:type="dxa"/>
            <w:vAlign w:val="bottom"/>
            <w:tcBorders>
              <w:top w:val="single" w:sz="8" w:color="231F20"/>
            </w:tcBorders>
          </w:tcPr>
          <w:p>
            <w:pPr>
              <w:spacing w:after="0"/>
              <w:rPr>
                <w:sz w:val="16"/>
                <w:szCs w:val="16"/>
                <w:color w:val="auto"/>
              </w:rPr>
            </w:pPr>
          </w:p>
        </w:tc>
        <w:tc>
          <w:tcPr>
            <w:tcW w:w="260" w:type="dxa"/>
            <w:vAlign w:val="bottom"/>
            <w:tcBorders>
              <w:top w:val="single" w:sz="8" w:color="231F20"/>
            </w:tcBorders>
          </w:tcPr>
          <w:p>
            <w:pPr>
              <w:spacing w:after="0"/>
              <w:rPr>
                <w:sz w:val="16"/>
                <w:szCs w:val="16"/>
                <w:color w:val="auto"/>
              </w:rPr>
            </w:pPr>
          </w:p>
        </w:tc>
        <w:tc>
          <w:tcPr>
            <w:tcW w:w="80" w:type="dxa"/>
            <w:vAlign w:val="bottom"/>
            <w:tcBorders>
              <w:top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0"/>
                <w:szCs w:val="20"/>
                <w:color w:val="auto"/>
              </w:rPr>
            </w:pPr>
            <w:r>
              <w:rPr>
                <w:rFonts w:ascii="Arial" w:cs="Arial" w:eastAsia="Arial" w:hAnsi="Arial"/>
                <w:sz w:val="20"/>
                <w:szCs w:val="20"/>
                <w:color w:val="231F20"/>
              </w:rPr>
              <w:t>Total operating</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color w:val="231F20"/>
              </w:rPr>
              <w:t>revenues . . . . . . . . . . . .</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21</w:t>
            </w:r>
          </w:p>
        </w:tc>
        <w:tc>
          <w:tcPr>
            <w:tcW w:w="20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Arial" w:cs="Arial" w:eastAsia="Arial" w:hAnsi="Arial"/>
                <w:sz w:val="20"/>
                <w:szCs w:val="20"/>
                <w:color w:val="231F20"/>
              </w:rPr>
              <w:t>$</w:t>
            </w:r>
          </w:p>
        </w:tc>
        <w:tc>
          <w:tcPr>
            <w:tcW w:w="920" w:type="dxa"/>
            <w:vAlign w:val="bottom"/>
            <w:gridSpan w:val="3"/>
          </w:tcPr>
          <w:p>
            <w:pPr>
              <w:jc w:val="right"/>
              <w:ind w:right="340"/>
              <w:spacing w:after="0"/>
              <w:rPr>
                <w:sz w:val="20"/>
                <w:szCs w:val="20"/>
                <w:color w:val="auto"/>
              </w:rPr>
            </w:pPr>
            <w:r>
              <w:rPr>
                <w:rFonts w:ascii="Arial" w:cs="Arial" w:eastAsia="Arial" w:hAnsi="Arial"/>
                <w:sz w:val="20"/>
                <w:szCs w:val="20"/>
                <w:color w:val="231F20"/>
              </w:rPr>
              <w:t>—</w:t>
            </w:r>
          </w:p>
        </w:tc>
        <w:tc>
          <w:tcPr>
            <w:tcW w:w="260" w:type="dxa"/>
            <w:vAlign w:val="bottom"/>
          </w:tcPr>
          <w:p>
            <w:pPr>
              <w:ind w:left="60"/>
              <w:spacing w:after="0"/>
              <w:rPr>
                <w:sz w:val="20"/>
                <w:szCs w:val="20"/>
                <w:color w:val="auto"/>
              </w:rPr>
            </w:pPr>
            <w:r>
              <w:rPr>
                <w:rFonts w:ascii="Arial" w:cs="Arial" w:eastAsia="Arial" w:hAnsi="Arial"/>
                <w:sz w:val="20"/>
                <w:szCs w:val="20"/>
                <w:color w:val="231F20"/>
              </w:rPr>
              <w:t>$</w:t>
            </w: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2,780</w:t>
            </w:r>
          </w:p>
        </w:tc>
        <w:tc>
          <w:tcPr>
            <w:tcW w:w="960" w:type="dxa"/>
            <w:vAlign w:val="bottom"/>
            <w:gridSpan w:val="3"/>
          </w:tcPr>
          <w:p>
            <w:pPr>
              <w:jc w:val="right"/>
              <w:ind w:right="640"/>
              <w:spacing w:after="0"/>
              <w:rPr>
                <w:sz w:val="20"/>
                <w:szCs w:val="20"/>
                <w:color w:val="auto"/>
              </w:rPr>
            </w:pPr>
            <w:r>
              <w:rPr>
                <w:rFonts w:ascii="Arial" w:cs="Arial" w:eastAsia="Arial" w:hAnsi="Arial"/>
                <w:sz w:val="20"/>
                <w:szCs w:val="20"/>
                <w:color w:val="231F20"/>
              </w:rPr>
              <w:t>$</w:t>
            </w:r>
          </w:p>
        </w:tc>
        <w:tc>
          <w:tcPr>
            <w:tcW w:w="340" w:type="dxa"/>
            <w:vAlign w:val="bottom"/>
            <w:gridSpan w:val="2"/>
          </w:tcPr>
          <w:p>
            <w:pPr>
              <w:ind w:left="60"/>
              <w:spacing w:after="0"/>
              <w:rPr>
                <w:sz w:val="20"/>
                <w:szCs w:val="20"/>
                <w:color w:val="auto"/>
              </w:rPr>
            </w:pPr>
            <w:r>
              <w:rPr>
                <w:rFonts w:ascii="Arial" w:cs="Arial" w:eastAsia="Arial" w:hAnsi="Arial"/>
                <w:sz w:val="20"/>
                <w:szCs w:val="20"/>
                <w:color w:val="231F20"/>
              </w:rPr>
              <w:t>—</w:t>
            </w:r>
          </w:p>
        </w:tc>
        <w:tc>
          <w:tcPr>
            <w:tcW w:w="660" w:type="dxa"/>
            <w:vAlign w:val="bottom"/>
            <w:gridSpan w:val="2"/>
          </w:tcPr>
          <w:p>
            <w:pPr>
              <w:ind w:lef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2,801</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color w:val="231F20"/>
              </w:rPr>
              <w:t>Total costs and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color w:val="231F20"/>
              </w:rPr>
              <w:t>other . . . . . . . . . . . . . . .</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239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231F20"/>
              </w:rPr>
              <w:t>49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1,737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2,025</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color w:val="231F20"/>
              </w:rPr>
              <w:t>Gain on asset</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color w:val="231F20"/>
              </w:rPr>
              <w:t>divestitures . . . . . . . . . .</w:t>
            </w:r>
          </w:p>
        </w:tc>
        <w:tc>
          <w:tcPr>
            <w:tcW w:w="1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20"/>
                <w:szCs w:val="20"/>
                <w:color w:val="231F20"/>
              </w:rPr>
              <w:t>—</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32</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color w:val="231F20"/>
              </w:rPr>
              <w:t>Non-operating (loss)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color w:val="231F20"/>
              </w:rPr>
              <w:t>income  . . . . . . . . . . . . .</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(51)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(60)</w:t>
            </w:r>
          </w:p>
        </w:tc>
        <w:tc>
          <w:tcPr>
            <w:tcW w:w="0" w:type="dxa"/>
            <w:vAlign w:val="bottom"/>
          </w:tcPr>
          <w:p>
            <w:pPr>
              <w:spacing w:after="0"/>
              <w:rPr>
                <w:sz w:val="1"/>
                <w:szCs w:val="1"/>
                <w:color w:val="auto"/>
              </w:rPr>
            </w:pPr>
          </w:p>
        </w:tc>
      </w:tr>
      <w:tr>
        <w:trPr>
          <w:trHeight w:val="28"/>
        </w:trPr>
        <w:tc>
          <w:tcPr>
            <w:tcW w:w="2300" w:type="dxa"/>
            <w:vAlign w:val="bottom"/>
            <w:vMerge w:val="restart"/>
          </w:tcPr>
          <w:p>
            <w:pPr>
              <w:spacing w:after="0"/>
              <w:rPr>
                <w:sz w:val="20"/>
                <w:szCs w:val="20"/>
                <w:color w:val="auto"/>
              </w:rPr>
            </w:pPr>
            <w:r>
              <w:rPr>
                <w:rFonts w:ascii="Arial" w:cs="Arial" w:eastAsia="Arial" w:hAnsi="Arial"/>
                <w:sz w:val="20"/>
                <w:szCs w:val="20"/>
                <w:b w:val="1"/>
                <w:bCs w:val="1"/>
                <w:color w:val="231F20"/>
              </w:rPr>
              <w:t>(LOSS) INCOME</w:t>
            </w:r>
          </w:p>
        </w:tc>
        <w:tc>
          <w:tcPr>
            <w:tcW w:w="18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0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b w:val="1"/>
                <w:bCs w:val="1"/>
                <w:color w:val="231F20"/>
              </w:rPr>
              <w:t>BEFORE INCOME</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b w:val="1"/>
                <w:bCs w:val="1"/>
                <w:color w:val="231F20"/>
              </w:rPr>
              <w:t xml:space="preserve">TAXES </w:t>
            </w:r>
            <w:r>
              <w:rPr>
                <w:rFonts w:ascii="Arial" w:cs="Arial" w:eastAsia="Arial" w:hAnsi="Arial"/>
                <w:sz w:val="20"/>
                <w:szCs w:val="20"/>
                <w:color w:val="231F20"/>
              </w:rPr>
              <w:t>. . . . . . . . . . . . .</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(269)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(63)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1,080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748</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color w:val="231F20"/>
              </w:rPr>
              <w:t>Income tax provision . .</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(184)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20"/>
                <w:szCs w:val="20"/>
                <w:color w:val="231F20"/>
              </w:rPr>
              <w:t>—</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(184)</w:t>
            </w:r>
          </w:p>
        </w:tc>
        <w:tc>
          <w:tcPr>
            <w:tcW w:w="0" w:type="dxa"/>
            <w:vAlign w:val="bottom"/>
          </w:tcPr>
          <w:p>
            <w:pPr>
              <w:spacing w:after="0"/>
              <w:rPr>
                <w:sz w:val="1"/>
                <w:szCs w:val="1"/>
                <w:color w:val="auto"/>
              </w:rPr>
            </w:pPr>
          </w:p>
        </w:tc>
      </w:tr>
      <w:tr>
        <w:trPr>
          <w:trHeight w:val="28"/>
        </w:trPr>
        <w:tc>
          <w:tcPr>
            <w:tcW w:w="2300" w:type="dxa"/>
            <w:vAlign w:val="bottom"/>
            <w:vMerge w:val="restart"/>
          </w:tcPr>
          <w:p>
            <w:pPr>
              <w:spacing w:after="0"/>
              <w:rPr>
                <w:sz w:val="20"/>
                <w:szCs w:val="20"/>
                <w:color w:val="auto"/>
              </w:rPr>
            </w:pPr>
            <w:r>
              <w:rPr>
                <w:rFonts w:ascii="Arial" w:cs="Arial" w:eastAsia="Arial" w:hAnsi="Arial"/>
                <w:sz w:val="20"/>
                <w:szCs w:val="20"/>
                <w:b w:val="1"/>
                <w:bCs w:val="1"/>
                <w:color w:val="231F20"/>
              </w:rPr>
              <w:t>NET (LOSS)</w:t>
            </w:r>
          </w:p>
        </w:tc>
        <w:tc>
          <w:tcPr>
            <w:tcW w:w="18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30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b w:val="1"/>
                <w:bCs w:val="1"/>
                <w:color w:val="231F20"/>
              </w:rPr>
              <w:t xml:space="preserve">INCOME </w:t>
            </w:r>
            <w:r>
              <w:rPr>
                <w:rFonts w:ascii="Arial" w:cs="Arial" w:eastAsia="Arial" w:hAnsi="Arial"/>
                <w:sz w:val="20"/>
                <w:szCs w:val="20"/>
                <w:color w:val="231F20"/>
              </w:rPr>
              <w:t>. . . . . . . . . . . .</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080" w:type="dxa"/>
            <w:vAlign w:val="bottom"/>
            <w:gridSpan w:val="2"/>
          </w:tcPr>
          <w:p>
            <w:pPr>
              <w:jc w:val="right"/>
              <w:ind w:right="140"/>
              <w:spacing w:after="0"/>
              <w:rPr>
                <w:sz w:val="20"/>
                <w:szCs w:val="20"/>
                <w:color w:val="auto"/>
              </w:rPr>
            </w:pPr>
            <w:r>
              <w:rPr>
                <w:rFonts w:ascii="Arial" w:cs="Arial" w:eastAsia="Arial" w:hAnsi="Arial"/>
                <w:sz w:val="20"/>
                <w:szCs w:val="20"/>
                <w:color w:val="231F20"/>
              </w:rPr>
              <w:t>(453)</w:t>
            </w:r>
          </w:p>
        </w:tc>
        <w:tc>
          <w:tcPr>
            <w:tcW w:w="460" w:type="dxa"/>
            <w:vAlign w:val="bottom"/>
            <w:gridSpan w:val="2"/>
          </w:tcPr>
          <w:p>
            <w:pPr>
              <w:ind w:left="120"/>
              <w:spacing w:after="0"/>
              <w:rPr>
                <w:sz w:val="20"/>
                <w:szCs w:val="20"/>
                <w:color w:val="auto"/>
              </w:rPr>
            </w:pPr>
            <w:r>
              <w:rPr>
                <w:rFonts w:ascii="Arial" w:cs="Arial" w:eastAsia="Arial" w:hAnsi="Arial"/>
                <w:sz w:val="20"/>
                <w:szCs w:val="20"/>
                <w:color w:val="231F20"/>
              </w:rPr>
              <w:t>$</w:t>
            </w: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(63)</w:t>
            </w:r>
          </w:p>
        </w:tc>
        <w:tc>
          <w:tcPr>
            <w:tcW w:w="20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20"/>
                <w:szCs w:val="20"/>
                <w:color w:val="231F20"/>
              </w:rPr>
              <w:t>$</w:t>
            </w: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231F20"/>
              </w:rPr>
              <w:t>1,080</w:t>
            </w:r>
          </w:p>
        </w:tc>
        <w:tc>
          <w:tcPr>
            <w:tcW w:w="960" w:type="dxa"/>
            <w:vAlign w:val="bottom"/>
            <w:gridSpan w:val="3"/>
          </w:tcPr>
          <w:p>
            <w:pPr>
              <w:jc w:val="right"/>
              <w:ind w:right="640"/>
              <w:spacing w:after="0"/>
              <w:rPr>
                <w:sz w:val="20"/>
                <w:szCs w:val="20"/>
                <w:color w:val="auto"/>
              </w:rPr>
            </w:pPr>
            <w:r>
              <w:rPr>
                <w:rFonts w:ascii="Arial" w:cs="Arial" w:eastAsia="Arial" w:hAnsi="Arial"/>
                <w:sz w:val="20"/>
                <w:szCs w:val="20"/>
                <w:color w:val="231F20"/>
              </w:rPr>
              <w:t>$</w:t>
            </w:r>
          </w:p>
        </w:tc>
        <w:tc>
          <w:tcPr>
            <w:tcW w:w="340" w:type="dxa"/>
            <w:vAlign w:val="bottom"/>
            <w:gridSpan w:val="2"/>
          </w:tcPr>
          <w:p>
            <w:pPr>
              <w:ind w:left="60"/>
              <w:spacing w:after="0"/>
              <w:rPr>
                <w:sz w:val="20"/>
                <w:szCs w:val="20"/>
                <w:color w:val="auto"/>
              </w:rPr>
            </w:pPr>
            <w:r>
              <w:rPr>
                <w:rFonts w:ascii="Arial" w:cs="Arial" w:eastAsia="Arial" w:hAnsi="Arial"/>
                <w:sz w:val="20"/>
                <w:szCs w:val="20"/>
                <w:color w:val="231F20"/>
              </w:rPr>
              <w:t>—</w:t>
            </w:r>
          </w:p>
        </w:tc>
        <w:tc>
          <w:tcPr>
            <w:tcW w:w="660" w:type="dxa"/>
            <w:vAlign w:val="bottom"/>
            <w:gridSpan w:val="2"/>
          </w:tcPr>
          <w:p>
            <w:pPr>
              <w:ind w:left="240"/>
              <w:spacing w:after="0"/>
              <w:rPr>
                <w:sz w:val="20"/>
                <w:szCs w:val="20"/>
                <w:color w:val="auto"/>
              </w:rPr>
            </w:pPr>
            <w:r>
              <w:rPr>
                <w:rFonts w:ascii="Arial" w:cs="Arial" w:eastAsia="Arial" w:hAnsi="Arial"/>
                <w:sz w:val="20"/>
                <w:szCs w:val="20"/>
                <w:color w:val="231F20"/>
              </w:rPr>
              <w:t>$</w:t>
            </w:r>
          </w:p>
        </w:tc>
        <w:tc>
          <w:tcPr>
            <w:tcW w:w="860" w:type="dxa"/>
            <w:vAlign w:val="bottom"/>
          </w:tcPr>
          <w:p>
            <w:pPr>
              <w:jc w:val="right"/>
              <w:spacing w:after="0"/>
              <w:rPr>
                <w:sz w:val="20"/>
                <w:szCs w:val="20"/>
                <w:color w:val="auto"/>
              </w:rPr>
            </w:pPr>
            <w:r>
              <w:rPr>
                <w:rFonts w:ascii="Arial" w:cs="Arial" w:eastAsia="Arial" w:hAnsi="Arial"/>
                <w:sz w:val="20"/>
                <w:szCs w:val="20"/>
                <w:color w:val="231F20"/>
              </w:rPr>
              <w:t>564</w:t>
            </w:r>
          </w:p>
        </w:tc>
        <w:tc>
          <w:tcPr>
            <w:tcW w:w="0" w:type="dxa"/>
            <w:vAlign w:val="bottom"/>
          </w:tcPr>
          <w:p>
            <w:pPr>
              <w:spacing w:after="0"/>
              <w:rPr>
                <w:sz w:val="1"/>
                <w:szCs w:val="1"/>
                <w:color w:val="auto"/>
              </w:rPr>
            </w:pPr>
          </w:p>
        </w:tc>
      </w:tr>
      <w:tr>
        <w:trPr>
          <w:trHeight w:val="28"/>
        </w:trPr>
        <w:tc>
          <w:tcPr>
            <w:tcW w:w="2300" w:type="dxa"/>
            <w:vAlign w:val="bottom"/>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231F20"/>
        </w:rPr>
        <w:t>NOTE 19</w:t>
      </w:r>
      <w:r>
        <w:rPr>
          <w:sz w:val="20"/>
          <w:szCs w:val="20"/>
          <w:color w:val="auto"/>
        </w:rPr>
        <w:tab/>
      </w:r>
      <w:r>
        <w:rPr>
          <w:rFonts w:ascii="Arial" w:cs="Arial" w:eastAsia="Arial" w:hAnsi="Arial"/>
          <w:sz w:val="19"/>
          <w:szCs w:val="19"/>
          <w:b w:val="1"/>
          <w:bCs w:val="1"/>
          <w:color w:val="231F20"/>
        </w:rPr>
        <w:t>SUBSEQUENT EVENTS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Reorganization</w:t>
      </w:r>
    </w:p>
    <w:p>
      <w:pPr>
        <w:spacing w:after="0" w:line="215" w:lineRule="exact"/>
        <w:rPr>
          <w:sz w:val="20"/>
          <w:szCs w:val="20"/>
          <w:color w:val="auto"/>
        </w:rPr>
      </w:pPr>
    </w:p>
    <w:p>
      <w:pPr>
        <w:ind w:right="160" w:firstLine="300"/>
        <w:spacing w:after="0" w:line="248" w:lineRule="auto"/>
        <w:rPr>
          <w:sz w:val="20"/>
          <w:szCs w:val="20"/>
          <w:color w:val="auto"/>
        </w:rPr>
      </w:pPr>
      <w:r>
        <w:rPr>
          <w:rFonts w:ascii="Arial" w:cs="Arial" w:eastAsia="Arial" w:hAnsi="Arial"/>
          <w:sz w:val="20"/>
          <w:szCs w:val="20"/>
          <w:color w:val="231F20"/>
        </w:rPr>
        <w:t>In February 2026, we undertook a reduction in force following the Berry Merger that resulted in a reduction of our headcount and we expect to recognize a charge of approximately $22 million in other operating expenses, net on our condensed consolidated statement of operations for the three months ended March 31, 2026, which primarily includes severance.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Dividends</w:t>
      </w:r>
    </w:p>
    <w:p>
      <w:pPr>
        <w:spacing w:after="0" w:line="215" w:lineRule="exact"/>
        <w:rPr>
          <w:sz w:val="20"/>
          <w:szCs w:val="20"/>
          <w:color w:val="auto"/>
        </w:rPr>
      </w:pPr>
    </w:p>
    <w:p>
      <w:pPr>
        <w:ind w:right="40" w:firstLine="300"/>
        <w:spacing w:after="0" w:line="246" w:lineRule="auto"/>
        <w:rPr>
          <w:sz w:val="20"/>
          <w:szCs w:val="20"/>
          <w:color w:val="auto"/>
        </w:rPr>
      </w:pPr>
      <w:r>
        <w:rPr>
          <w:rFonts w:ascii="Arial" w:cs="Arial" w:eastAsia="Arial" w:hAnsi="Arial"/>
          <w:sz w:val="20"/>
          <w:szCs w:val="20"/>
          <w:color w:val="231F20"/>
        </w:rPr>
        <w:t>On March 1, 2026, our Board of Directors declared a cash dividend of $0.405 per share of common stock. The dividend is payable to shareholders of record at the close of business on March 13, 2026 and is expected to be paid on March 20, 2026.</w:t>
      </w:r>
    </w:p>
    <w:p>
      <w:pPr>
        <w:sectPr>
          <w:pgSz w:w="11880" w:h="15480" w:orient="portrait"/>
          <w:cols w:equalWidth="0" w:num="1">
            <w:col w:w="9120"/>
          </w:cols>
          <w:pgMar w:left="1380" w:top="1270"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150</w:t>
      </w:r>
    </w:p>
    <w:p>
      <w:pPr>
        <w:sectPr>
          <w:pgSz w:w="11880" w:h="15480" w:orient="portrait"/>
          <w:cols w:equalWidth="0" w:num="1">
            <w:col w:w="9120"/>
          </w:cols>
          <w:pgMar w:left="1380" w:top="1270" w:right="1380" w:bottom="660" w:gutter="0" w:footer="0" w:header="0"/>
          <w:type w:val="continuous"/>
        </w:sectPr>
      </w:pPr>
    </w:p>
    <w:bookmarkStart w:id="154" w:name="page155"/>
    <w:bookmarkEnd w:id="154"/>
    <w:p>
      <w:pPr>
        <w:spacing w:after="0"/>
        <w:rPr>
          <w:sz w:val="20"/>
          <w:szCs w:val="20"/>
          <w:color w:val="auto"/>
        </w:rPr>
      </w:pPr>
      <w:r>
        <w:rPr>
          <w:rFonts w:ascii="Arial" w:cs="Arial" w:eastAsia="Arial" w:hAnsi="Arial"/>
          <w:sz w:val="20"/>
          <w:szCs w:val="20"/>
          <w:b w:val="1"/>
          <w:bCs w:val="1"/>
          <w:i w:val="1"/>
          <w:iCs w:val="1"/>
          <w:color w:val="231F20"/>
        </w:rPr>
        <w:t>Share Repurchase Program</w:t>
      </w:r>
    </w:p>
    <w:p>
      <w:pPr>
        <w:spacing w:after="0" w:line="227" w:lineRule="exact"/>
        <w:rPr>
          <w:sz w:val="20"/>
          <w:szCs w:val="20"/>
          <w:color w:val="auto"/>
        </w:rPr>
      </w:pPr>
    </w:p>
    <w:p>
      <w:pPr>
        <w:ind w:right="40" w:firstLine="300"/>
        <w:spacing w:after="0" w:line="243" w:lineRule="auto"/>
        <w:rPr>
          <w:sz w:val="20"/>
          <w:szCs w:val="20"/>
          <w:color w:val="auto"/>
        </w:rPr>
      </w:pPr>
      <w:r>
        <w:rPr>
          <w:rFonts w:ascii="Arial" w:cs="Arial" w:eastAsia="Arial" w:hAnsi="Arial"/>
          <w:sz w:val="20"/>
          <w:szCs w:val="20"/>
          <w:color w:val="231F20"/>
        </w:rPr>
        <w:t>In February 2026, our Board of Directors increased the Share Repurchase Program by $430 million and extended the program through December 31, 2027.</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Supplemental Oil and Gas Information (Unaudited)</w:t>
      </w:r>
    </w:p>
    <w:p>
      <w:pPr>
        <w:spacing w:after="0" w:line="227" w:lineRule="exact"/>
        <w:rPr>
          <w:sz w:val="20"/>
          <w:szCs w:val="20"/>
          <w:color w:val="auto"/>
        </w:rPr>
      </w:pPr>
    </w:p>
    <w:p>
      <w:pPr>
        <w:ind w:right="200" w:firstLine="300"/>
        <w:spacing w:after="0" w:line="248" w:lineRule="auto"/>
        <w:rPr>
          <w:sz w:val="20"/>
          <w:szCs w:val="20"/>
          <w:color w:val="auto"/>
        </w:rPr>
      </w:pPr>
      <w:r>
        <w:rPr>
          <w:rFonts w:ascii="Arial" w:cs="Arial" w:eastAsia="Arial" w:hAnsi="Arial"/>
          <w:sz w:val="20"/>
          <w:szCs w:val="20"/>
          <w:color w:val="231F20"/>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PSCs in our Long Beach operations in the Wilmington field. Our proved reserves are located within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PROVED DEVELOPED AND UNDEVELOPED RESERVES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231F20"/>
              </w:rPr>
              <w:t>Natural</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00" w:type="dxa"/>
            <w:vAlign w:val="bottom"/>
          </w:tcPr>
          <w:p>
            <w:pPr>
              <w:spacing w:after="0"/>
              <w:rPr>
                <w:sz w:val="21"/>
                <w:szCs w:val="21"/>
                <w:color w:val="auto"/>
              </w:rPr>
            </w:pPr>
          </w:p>
        </w:tc>
        <w:tc>
          <w:tcPr>
            <w:tcW w:w="800" w:type="dxa"/>
            <w:vAlign w:val="bottom"/>
            <w:tcBorders>
              <w:bottom w:val="single" w:sz="8" w:color="231F20"/>
            </w:tcBorders>
          </w:tcPr>
          <w:p>
            <w:pPr>
              <w:jc w:val="right"/>
              <w:ind w:right="130"/>
              <w:spacing w:after="0" w:line="244" w:lineRule="exact"/>
              <w:rPr>
                <w:sz w:val="20"/>
                <w:szCs w:val="20"/>
                <w:color w:val="auto"/>
              </w:rPr>
            </w:pPr>
            <w:r>
              <w:rPr>
                <w:rFonts w:ascii="Arial" w:cs="Arial" w:eastAsia="Arial" w:hAnsi="Arial"/>
                <w:sz w:val="18"/>
                <w:szCs w:val="18"/>
                <w:b w:val="1"/>
                <w:bCs w:val="1"/>
                <w:color w:val="231F20"/>
              </w:rPr>
              <w:t>Oil</w:t>
            </w:r>
            <w:r>
              <w:rPr>
                <w:rFonts w:ascii="Arial" w:cs="Arial" w:eastAsia="Arial" w:hAnsi="Arial"/>
                <w:sz w:val="23"/>
                <w:szCs w:val="23"/>
                <w:b w:val="1"/>
                <w:bCs w:val="1"/>
                <w:color w:val="231F20"/>
                <w:vertAlign w:val="superscript"/>
              </w:rPr>
              <w:t>(a)</w:t>
            </w:r>
          </w:p>
        </w:tc>
        <w:tc>
          <w:tcPr>
            <w:tcW w:w="80" w:type="dxa"/>
            <w:vAlign w:val="bottom"/>
          </w:tcPr>
          <w:p>
            <w:pPr>
              <w:spacing w:after="0"/>
              <w:rPr>
                <w:sz w:val="21"/>
                <w:szCs w:val="21"/>
                <w:color w:val="auto"/>
              </w:rPr>
            </w:pPr>
          </w:p>
        </w:tc>
        <w:tc>
          <w:tcPr>
            <w:tcW w:w="980" w:type="dxa"/>
            <w:vAlign w:val="bottom"/>
            <w:tcBorders>
              <w:bottom w:val="single" w:sz="8" w:color="231F20"/>
            </w:tcBorders>
          </w:tcPr>
          <w:p>
            <w:pPr>
              <w:jc w:val="right"/>
              <w:ind w:right="151"/>
              <w:spacing w:after="0"/>
              <w:rPr>
                <w:sz w:val="20"/>
                <w:szCs w:val="20"/>
                <w:color w:val="auto"/>
              </w:rPr>
            </w:pPr>
            <w:r>
              <w:rPr>
                <w:rFonts w:ascii="Arial" w:cs="Arial" w:eastAsia="Arial" w:hAnsi="Arial"/>
                <w:sz w:val="18"/>
                <w:szCs w:val="18"/>
                <w:b w:val="1"/>
                <w:bCs w:val="1"/>
                <w:color w:val="231F20"/>
              </w:rPr>
              <w:t>NGLs</w:t>
            </w:r>
          </w:p>
        </w:tc>
        <w:tc>
          <w:tcPr>
            <w:tcW w:w="80" w:type="dxa"/>
            <w:vAlign w:val="bottom"/>
          </w:tcPr>
          <w:p>
            <w:pPr>
              <w:spacing w:after="0"/>
              <w:rPr>
                <w:sz w:val="21"/>
                <w:szCs w:val="21"/>
                <w:color w:val="auto"/>
              </w:rPr>
            </w:pPr>
          </w:p>
        </w:tc>
        <w:tc>
          <w:tcPr>
            <w:tcW w:w="900" w:type="dxa"/>
            <w:vAlign w:val="bottom"/>
            <w:tcBorders>
              <w:bottom w:val="single" w:sz="8" w:color="231F20"/>
            </w:tcBorders>
          </w:tcPr>
          <w:p>
            <w:pPr>
              <w:jc w:val="right"/>
              <w:ind w:right="192"/>
              <w:spacing w:after="0"/>
              <w:rPr>
                <w:sz w:val="20"/>
                <w:szCs w:val="20"/>
                <w:color w:val="auto"/>
              </w:rPr>
            </w:pPr>
            <w:r>
              <w:rPr>
                <w:rFonts w:ascii="Arial" w:cs="Arial" w:eastAsia="Arial" w:hAnsi="Arial"/>
                <w:sz w:val="18"/>
                <w:szCs w:val="18"/>
                <w:b w:val="1"/>
                <w:bCs w:val="1"/>
                <w:color w:val="231F20"/>
              </w:rPr>
              <w:t>Gas</w:t>
            </w:r>
          </w:p>
        </w:tc>
        <w:tc>
          <w:tcPr>
            <w:tcW w:w="80" w:type="dxa"/>
            <w:vAlign w:val="bottom"/>
          </w:tcPr>
          <w:p>
            <w:pPr>
              <w:spacing w:after="0"/>
              <w:rPr>
                <w:sz w:val="21"/>
                <w:szCs w:val="21"/>
                <w:color w:val="auto"/>
              </w:rPr>
            </w:pPr>
          </w:p>
        </w:tc>
        <w:tc>
          <w:tcPr>
            <w:tcW w:w="900" w:type="dxa"/>
            <w:vAlign w:val="bottom"/>
            <w:tcBorders>
              <w:bottom w:val="single" w:sz="8" w:color="231F20"/>
            </w:tcBorders>
          </w:tcPr>
          <w:p>
            <w:pPr>
              <w:jc w:val="right"/>
              <w:ind w:right="75"/>
              <w:spacing w:after="0" w:line="244" w:lineRule="exact"/>
              <w:rPr>
                <w:sz w:val="20"/>
                <w:szCs w:val="20"/>
                <w:color w:val="auto"/>
              </w:rPr>
            </w:pPr>
            <w:r>
              <w:rPr>
                <w:rFonts w:ascii="Arial" w:cs="Arial" w:eastAsia="Arial" w:hAnsi="Arial"/>
                <w:sz w:val="18"/>
                <w:szCs w:val="18"/>
                <w:b w:val="1"/>
                <w:bCs w:val="1"/>
                <w:color w:val="231F20"/>
              </w:rPr>
              <w:t>Total</w:t>
            </w:r>
            <w:r>
              <w:rPr>
                <w:rFonts w:ascii="Arial" w:cs="Arial" w:eastAsia="Arial" w:hAnsi="Arial"/>
                <w:sz w:val="23"/>
                <w:szCs w:val="23"/>
                <w:b w:val="1"/>
                <w:bCs w:val="1"/>
                <w:color w:val="231F20"/>
                <w:vertAlign w:val="superscript"/>
              </w:rPr>
              <w:t>(b)</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6"/>
                <w:szCs w:val="16"/>
                <w:color w:val="231F20"/>
              </w:rPr>
              <w:t>(MMBbl)</w:t>
            </w:r>
          </w:p>
        </w:tc>
        <w:tc>
          <w:tcPr>
            <w:tcW w:w="80" w:type="dxa"/>
            <w:vAlign w:val="bottom"/>
          </w:tcPr>
          <w:p>
            <w:pPr>
              <w:spacing w:after="0"/>
              <w:rPr>
                <w:sz w:val="16"/>
                <w:szCs w:val="16"/>
                <w:color w:val="auto"/>
              </w:rPr>
            </w:pPr>
          </w:p>
        </w:tc>
        <w:tc>
          <w:tcPr>
            <w:tcW w:w="980" w:type="dxa"/>
            <w:vAlign w:val="bottom"/>
          </w:tcPr>
          <w:p>
            <w:pPr>
              <w:jc w:val="right"/>
              <w:ind w:right="91"/>
              <w:spacing w:after="0"/>
              <w:rPr>
                <w:sz w:val="20"/>
                <w:szCs w:val="20"/>
                <w:color w:val="auto"/>
              </w:rPr>
            </w:pPr>
            <w:r>
              <w:rPr>
                <w:rFonts w:ascii="Arial" w:cs="Arial" w:eastAsia="Arial" w:hAnsi="Arial"/>
                <w:sz w:val="16"/>
                <w:szCs w:val="16"/>
                <w:color w:val="231F20"/>
              </w:rPr>
              <w:t>(MMBbl)</w:t>
            </w:r>
          </w:p>
        </w:tc>
        <w:tc>
          <w:tcPr>
            <w:tcW w:w="80" w:type="dxa"/>
            <w:vAlign w:val="bottom"/>
          </w:tcPr>
          <w:p>
            <w:pPr>
              <w:spacing w:after="0"/>
              <w:rPr>
                <w:sz w:val="16"/>
                <w:szCs w:val="16"/>
                <w:color w:val="auto"/>
              </w:rPr>
            </w:pPr>
          </w:p>
        </w:tc>
        <w:tc>
          <w:tcPr>
            <w:tcW w:w="900" w:type="dxa"/>
            <w:vAlign w:val="bottom"/>
          </w:tcPr>
          <w:p>
            <w:pPr>
              <w:jc w:val="right"/>
              <w:ind w:right="192"/>
              <w:spacing w:after="0"/>
              <w:rPr>
                <w:sz w:val="20"/>
                <w:szCs w:val="20"/>
                <w:color w:val="auto"/>
              </w:rPr>
            </w:pPr>
            <w:r>
              <w:rPr>
                <w:rFonts w:ascii="Arial" w:cs="Arial" w:eastAsia="Arial" w:hAnsi="Arial"/>
                <w:sz w:val="16"/>
                <w:szCs w:val="16"/>
                <w:color w:val="231F20"/>
              </w:rPr>
              <w:t>(Bcf)</w:t>
            </w:r>
          </w:p>
        </w:tc>
        <w:tc>
          <w:tcPr>
            <w:tcW w:w="8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6"/>
                <w:szCs w:val="16"/>
                <w:color w:val="231F20"/>
              </w:rPr>
              <w:t>(MMBoe)</w:t>
            </w:r>
          </w:p>
        </w:tc>
        <w:tc>
          <w:tcPr>
            <w:tcW w:w="0" w:type="dxa"/>
            <w:vAlign w:val="bottom"/>
          </w:tcPr>
          <w:p>
            <w:pPr>
              <w:spacing w:after="0"/>
              <w:rPr>
                <w:sz w:val="1"/>
                <w:szCs w:val="1"/>
                <w:color w:val="auto"/>
              </w:rPr>
            </w:pPr>
          </w:p>
        </w:tc>
      </w:tr>
      <w:tr>
        <w:trPr>
          <w:trHeight w:val="224"/>
        </w:trPr>
        <w:tc>
          <w:tcPr>
            <w:tcW w:w="5300" w:type="dxa"/>
            <w:vAlign w:val="bottom"/>
          </w:tcPr>
          <w:p>
            <w:pPr>
              <w:jc w:val="right"/>
              <w:ind w:right="110"/>
              <w:spacing w:after="0"/>
              <w:rPr>
                <w:sz w:val="20"/>
                <w:szCs w:val="20"/>
                <w:color w:val="auto"/>
              </w:rPr>
            </w:pPr>
            <w:r>
              <w:rPr>
                <w:rFonts w:ascii="Arial" w:cs="Arial" w:eastAsia="Arial" w:hAnsi="Arial"/>
                <w:sz w:val="18"/>
                <w:szCs w:val="18"/>
                <w:b w:val="1"/>
                <w:bCs w:val="1"/>
                <w:color w:val="231F20"/>
                <w:w w:val="98"/>
              </w:rPr>
              <w:t xml:space="preserve">Balance at December 31, 2022 </w:t>
            </w:r>
            <w:r>
              <w:rPr>
                <w:rFonts w:ascii="Arial" w:cs="Arial" w:eastAsia="Arial" w:hAnsi="Arial"/>
                <w:sz w:val="18"/>
                <w:szCs w:val="18"/>
                <w:color w:val="231F20"/>
                <w:w w:val="98"/>
              </w:rPr>
              <w:t>.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294</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38</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511</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417</w:t>
            </w:r>
          </w:p>
        </w:tc>
        <w:tc>
          <w:tcPr>
            <w:tcW w:w="0" w:type="dxa"/>
            <w:vAlign w:val="bottom"/>
          </w:tcPr>
          <w:p>
            <w:pPr>
              <w:spacing w:after="0"/>
              <w:rPr>
                <w:sz w:val="1"/>
                <w:szCs w:val="1"/>
                <w:color w:val="auto"/>
              </w:rPr>
            </w:pPr>
          </w:p>
        </w:tc>
      </w:tr>
      <w:tr>
        <w:trPr>
          <w:trHeight w:val="239"/>
        </w:trPr>
        <w:tc>
          <w:tcPr>
            <w:tcW w:w="5300" w:type="dxa"/>
            <w:vAlign w:val="bottom"/>
          </w:tcPr>
          <w:p>
            <w:pPr>
              <w:jc w:val="right"/>
              <w:ind w:right="110"/>
              <w:spacing w:after="0" w:line="239" w:lineRule="exact"/>
              <w:rPr>
                <w:sz w:val="20"/>
                <w:szCs w:val="20"/>
                <w:color w:val="auto"/>
              </w:rPr>
            </w:pPr>
            <w:r>
              <w:rPr>
                <w:rFonts w:ascii="Arial" w:cs="Arial" w:eastAsia="Arial" w:hAnsi="Arial"/>
                <w:sz w:val="18"/>
                <w:szCs w:val="18"/>
                <w:color w:val="231F20"/>
                <w:w w:val="98"/>
              </w:rPr>
              <w:t>Revisions of previous estimates</w:t>
            </w:r>
            <w:r>
              <w:rPr>
                <w:rFonts w:ascii="Arial" w:cs="Arial" w:eastAsia="Arial" w:hAnsi="Arial"/>
                <w:sz w:val="23"/>
                <w:szCs w:val="23"/>
                <w:color w:val="231F20"/>
                <w:w w:val="98"/>
                <w:vertAlign w:val="superscript"/>
              </w:rPr>
              <w:t>(c)</w:t>
            </w:r>
            <w:r>
              <w:rPr>
                <w:rFonts w:ascii="Arial" w:cs="Arial" w:eastAsia="Arial" w:hAnsi="Arial"/>
                <w:sz w:val="18"/>
                <w:szCs w:val="18"/>
                <w:color w:val="231F20"/>
                <w:w w:val="98"/>
              </w:rPr>
              <w:t xml:space="preserve">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51</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(2)</w:t>
            </w:r>
          </w:p>
        </w:tc>
        <w:tc>
          <w:tcPr>
            <w:tcW w:w="0" w:type="dxa"/>
            <w:vAlign w:val="bottom"/>
          </w:tcPr>
          <w:p>
            <w:pPr>
              <w:spacing w:after="0"/>
              <w:rPr>
                <w:sz w:val="1"/>
                <w:szCs w:val="1"/>
                <w:color w:val="auto"/>
              </w:rPr>
            </w:pPr>
          </w:p>
        </w:tc>
      </w:tr>
      <w:tr>
        <w:trPr>
          <w:trHeight w:val="201"/>
        </w:trPr>
        <w:tc>
          <w:tcPr>
            <w:tcW w:w="5300" w:type="dxa"/>
            <w:vAlign w:val="bottom"/>
          </w:tcPr>
          <w:p>
            <w:pPr>
              <w:jc w:val="right"/>
              <w:ind w:right="110"/>
              <w:spacing w:after="0" w:line="201" w:lineRule="exact"/>
              <w:rPr>
                <w:sz w:val="20"/>
                <w:szCs w:val="20"/>
                <w:color w:val="auto"/>
              </w:rPr>
            </w:pPr>
            <w:r>
              <w:rPr>
                <w:rFonts w:ascii="Arial" w:cs="Arial" w:eastAsia="Arial" w:hAnsi="Arial"/>
                <w:sz w:val="18"/>
                <w:szCs w:val="18"/>
                <w:color w:val="231F20"/>
                <w:w w:val="98"/>
              </w:rPr>
              <w:t>Improved recovery  . . . . . . . . . . . . . . . . . . . . . . . . . . . . . . . . . . . .</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231F20"/>
              </w:rPr>
              <w:t>1</w:t>
            </w:r>
          </w:p>
        </w:tc>
        <w:tc>
          <w:tcPr>
            <w:tcW w:w="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231F20"/>
              </w:rPr>
              <w:t>—</w:t>
            </w:r>
          </w:p>
        </w:tc>
        <w:tc>
          <w:tcPr>
            <w:tcW w:w="8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231F20"/>
              </w:rPr>
              <w:t>—</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231F20"/>
              </w:rPr>
              <w:t>1</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8"/>
              </w:rPr>
              <w:t>Extensions and discoveries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9"/>
              </w:rPr>
              <w:t>Acquisitions and divestitures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(12)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31F20"/>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(12)</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8"/>
              </w:rPr>
              <w:t>Production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(51)</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(32)</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31F20"/>
                <w:w w:val="98"/>
              </w:rPr>
              <w:t xml:space="preserve">Balance at December 31, 2023 </w:t>
            </w:r>
            <w:r>
              <w:rPr>
                <w:rFonts w:ascii="Arial" w:cs="Arial" w:eastAsia="Arial" w:hAnsi="Arial"/>
                <w:sz w:val="18"/>
                <w:szCs w:val="18"/>
                <w:color w:val="231F20"/>
                <w:w w:val="98"/>
              </w:rPr>
              <w:t>. . . . . . . . . . . . . . . . . . . . . . . . . .</w:t>
            </w: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256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35</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518</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377</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8"/>
              </w:rPr>
              <w:t>Revisions of previous estimates</w:t>
            </w:r>
            <w:r>
              <w:rPr>
                <w:rFonts w:ascii="Arial" w:cs="Arial" w:eastAsia="Arial" w:hAnsi="Arial"/>
                <w:sz w:val="23"/>
                <w:szCs w:val="23"/>
                <w:color w:val="231F20"/>
                <w:w w:val="98"/>
                <w:vertAlign w:val="superscript"/>
              </w:rPr>
              <w:t>(c)</w:t>
            </w:r>
            <w:r>
              <w:rPr>
                <w:rFonts w:ascii="Arial" w:cs="Arial" w:eastAsia="Arial" w:hAnsi="Arial"/>
                <w:sz w:val="18"/>
                <w:szCs w:val="18"/>
                <w:color w:val="231F20"/>
                <w:w w:val="98"/>
              </w:rPr>
              <w:t xml:space="preserve">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(19)</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(72)</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(29)</w:t>
            </w:r>
          </w:p>
        </w:tc>
        <w:tc>
          <w:tcPr>
            <w:tcW w:w="0" w:type="dxa"/>
            <w:vAlign w:val="bottom"/>
          </w:tcPr>
          <w:p>
            <w:pPr>
              <w:spacing w:after="0"/>
              <w:rPr>
                <w:sz w:val="1"/>
                <w:szCs w:val="1"/>
                <w:color w:val="auto"/>
              </w:rPr>
            </w:pPr>
          </w:p>
        </w:tc>
      </w:tr>
      <w:tr>
        <w:trPr>
          <w:trHeight w:val="201"/>
        </w:trPr>
        <w:tc>
          <w:tcPr>
            <w:tcW w:w="5300" w:type="dxa"/>
            <w:vAlign w:val="bottom"/>
          </w:tcPr>
          <w:p>
            <w:pPr>
              <w:jc w:val="right"/>
              <w:ind w:right="110"/>
              <w:spacing w:after="0" w:line="201" w:lineRule="exact"/>
              <w:rPr>
                <w:sz w:val="20"/>
                <w:szCs w:val="20"/>
                <w:color w:val="auto"/>
              </w:rPr>
            </w:pPr>
            <w:r>
              <w:rPr>
                <w:rFonts w:ascii="Arial" w:cs="Arial" w:eastAsia="Arial" w:hAnsi="Arial"/>
                <w:sz w:val="18"/>
                <w:szCs w:val="18"/>
                <w:color w:val="231F20"/>
                <w:w w:val="98"/>
              </w:rPr>
              <w:t>Improved recovery  . . . . . . . . . . . . . . . . . . . . . . . . . . . . . . . . . . . .</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231F20"/>
              </w:rPr>
              <w:t>1</w:t>
            </w:r>
          </w:p>
        </w:tc>
        <w:tc>
          <w:tcPr>
            <w:tcW w:w="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231F20"/>
              </w:rPr>
              <w:t>—</w:t>
            </w:r>
          </w:p>
        </w:tc>
        <w:tc>
          <w:tcPr>
            <w:tcW w:w="8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231F20"/>
              </w:rPr>
              <w:t>—</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231F20"/>
              </w:rPr>
              <w:t>1</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9"/>
              </w:rPr>
              <w:t>Acquisitions and divestitures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234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236</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8"/>
              </w:rPr>
              <w:t>Production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(42)</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(40)</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31F20"/>
                <w:w w:val="98"/>
              </w:rPr>
              <w:t xml:space="preserve">Balance at December 31, 2024 </w:t>
            </w:r>
            <w:r>
              <w:rPr>
                <w:rFonts w:ascii="Arial" w:cs="Arial" w:eastAsia="Arial" w:hAnsi="Arial"/>
                <w:sz w:val="18"/>
                <w:szCs w:val="18"/>
                <w:color w:val="231F20"/>
                <w:w w:val="98"/>
              </w:rPr>
              <w:t>. . . . . . . . . . . . . . . . . . . . . . . . . .</w:t>
            </w: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443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34</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409</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545</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8"/>
              </w:rPr>
              <w:t>Revisions of previous estimates</w:t>
            </w:r>
            <w:r>
              <w:rPr>
                <w:rFonts w:ascii="Arial" w:cs="Arial" w:eastAsia="Arial" w:hAnsi="Arial"/>
                <w:sz w:val="23"/>
                <w:szCs w:val="23"/>
                <w:color w:val="231F20"/>
                <w:w w:val="98"/>
                <w:vertAlign w:val="superscript"/>
              </w:rPr>
              <w:t>(c)</w:t>
            </w:r>
            <w:r>
              <w:rPr>
                <w:rFonts w:ascii="Arial" w:cs="Arial" w:eastAsia="Arial" w:hAnsi="Arial"/>
                <w:sz w:val="18"/>
                <w:szCs w:val="18"/>
                <w:color w:val="231F20"/>
                <w:w w:val="98"/>
              </w:rPr>
              <w:t xml:space="preserve">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6</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36</w:t>
            </w:r>
          </w:p>
        </w:tc>
        <w:tc>
          <w:tcPr>
            <w:tcW w:w="0" w:type="dxa"/>
            <w:vAlign w:val="bottom"/>
          </w:tcPr>
          <w:p>
            <w:pPr>
              <w:spacing w:after="0"/>
              <w:rPr>
                <w:sz w:val="1"/>
                <w:szCs w:val="1"/>
                <w:color w:val="auto"/>
              </w:rPr>
            </w:pPr>
          </w:p>
        </w:tc>
      </w:tr>
      <w:tr>
        <w:trPr>
          <w:trHeight w:val="201"/>
        </w:trPr>
        <w:tc>
          <w:tcPr>
            <w:tcW w:w="5300" w:type="dxa"/>
            <w:vAlign w:val="bottom"/>
          </w:tcPr>
          <w:p>
            <w:pPr>
              <w:jc w:val="right"/>
              <w:ind w:right="110"/>
              <w:spacing w:after="0" w:line="201" w:lineRule="exact"/>
              <w:rPr>
                <w:sz w:val="20"/>
                <w:szCs w:val="20"/>
                <w:color w:val="auto"/>
              </w:rPr>
            </w:pPr>
            <w:r>
              <w:rPr>
                <w:rFonts w:ascii="Arial" w:cs="Arial" w:eastAsia="Arial" w:hAnsi="Arial"/>
                <w:sz w:val="18"/>
                <w:szCs w:val="18"/>
                <w:color w:val="231F20"/>
                <w:w w:val="98"/>
              </w:rPr>
              <w:t>Improved recovery  . . . . . . . . . . . . . . . . . . . . . . . . . . . . . . . . . . . .</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231F20"/>
              </w:rPr>
              <w:t>16</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231F20"/>
              </w:rPr>
              <w:t>3</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231F20"/>
              </w:rPr>
              <w:t>45</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231F20"/>
              </w:rPr>
              <w:t>27</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8"/>
              </w:rPr>
              <w:t>Extensions and discoveries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6</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9"/>
              </w:rPr>
              <w:t>Acquisitions and divestitures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87</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31</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93</w:t>
            </w: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8"/>
              </w:rPr>
              <w:t>Production . . . .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(42)</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(50)</w:t>
            </w:r>
          </w:p>
        </w:tc>
        <w:tc>
          <w:tcPr>
            <w:tcW w:w="0" w:type="dxa"/>
            <w:vAlign w:val="bottom"/>
          </w:tcPr>
          <w:p>
            <w:pPr>
              <w:spacing w:after="0"/>
              <w:rPr>
                <w:sz w:val="1"/>
                <w:szCs w:val="1"/>
                <w:color w:val="auto"/>
              </w:rPr>
            </w:pPr>
          </w:p>
        </w:tc>
      </w:tr>
      <w:tr>
        <w:trPr>
          <w:trHeight w:val="34"/>
        </w:trPr>
        <w:tc>
          <w:tcPr>
            <w:tcW w:w="5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231F20"/>
                <w:w w:val="98"/>
              </w:rPr>
              <w:t xml:space="preserve">Balance at December 31, 2025 </w:t>
            </w:r>
            <w:r>
              <w:rPr>
                <w:rFonts w:ascii="Arial" w:cs="Arial" w:eastAsia="Arial" w:hAnsi="Arial"/>
                <w:sz w:val="18"/>
                <w:szCs w:val="18"/>
                <w:color w:val="231F20"/>
                <w:w w:val="98"/>
              </w:rPr>
              <w:t>. . . . . . . . . . . . . . . . . . . . . . . . . .</w:t>
            </w: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541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37</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455</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654</w:t>
            </w:r>
          </w:p>
        </w:tc>
        <w:tc>
          <w:tcPr>
            <w:tcW w:w="0" w:type="dxa"/>
            <w:vAlign w:val="bottom"/>
          </w:tcPr>
          <w:p>
            <w:pPr>
              <w:spacing w:after="0"/>
              <w:rPr>
                <w:sz w:val="1"/>
                <w:szCs w:val="1"/>
                <w:color w:val="auto"/>
              </w:rPr>
            </w:pPr>
          </w:p>
        </w:tc>
      </w:tr>
      <w:tr>
        <w:trPr>
          <w:trHeight w:val="34"/>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231F20"/>
              </w:rPr>
              <w:t>PROVED DEVELOPED RESERVES</w:t>
            </w: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7"/>
              </w:rPr>
              <w:t>December 31, 2022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251</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36</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458</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363</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7"/>
              </w:rPr>
              <w:t>December 31, 2023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223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34</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445</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331</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7"/>
              </w:rPr>
              <w:t>December 31, 2024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412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32</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370</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506</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7"/>
              </w:rPr>
              <w:t>December 31, 2025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452</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30</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351</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541</w:t>
            </w:r>
          </w:p>
        </w:tc>
        <w:tc>
          <w:tcPr>
            <w:tcW w:w="0" w:type="dxa"/>
            <w:vAlign w:val="bottom"/>
          </w:tcPr>
          <w:p>
            <w:pPr>
              <w:spacing w:after="0"/>
              <w:rPr>
                <w:sz w:val="1"/>
                <w:szCs w:val="1"/>
                <w:color w:val="auto"/>
              </w:rPr>
            </w:pPr>
          </w:p>
        </w:tc>
      </w:tr>
      <w:tr>
        <w:trPr>
          <w:trHeight w:val="34"/>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231F20"/>
              </w:rPr>
              <w:t>PROVED UNDEVELOPED RESERVES</w:t>
            </w: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7"/>
              </w:rPr>
              <w:t>December 31, 2022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53</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54</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7"/>
              </w:rPr>
              <w:t>December 31, 2023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73</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46</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7"/>
              </w:rPr>
              <w:t>December 31, 2024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39</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39</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00" w:type="dxa"/>
            <w:vAlign w:val="bottom"/>
          </w:tcPr>
          <w:p>
            <w:pPr>
              <w:jc w:val="right"/>
              <w:ind w:right="110"/>
              <w:spacing w:after="0"/>
              <w:rPr>
                <w:sz w:val="20"/>
                <w:szCs w:val="20"/>
                <w:color w:val="auto"/>
              </w:rPr>
            </w:pPr>
            <w:r>
              <w:rPr>
                <w:rFonts w:ascii="Arial" w:cs="Arial" w:eastAsia="Arial" w:hAnsi="Arial"/>
                <w:sz w:val="18"/>
                <w:szCs w:val="18"/>
                <w:color w:val="231F20"/>
                <w:w w:val="97"/>
              </w:rPr>
              <w:t>December 31, 2025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231F20"/>
              </w:rPr>
              <w:t>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231F20"/>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104</w:t>
            </w:r>
          </w:p>
        </w:tc>
        <w:tc>
          <w:tcPr>
            <w:tcW w:w="980" w:type="dxa"/>
            <w:vAlign w:val="bottom"/>
            <w:gridSpan w:val="2"/>
          </w:tcPr>
          <w:p>
            <w:pPr>
              <w:jc w:val="right"/>
              <w:spacing w:after="0"/>
              <w:rPr>
                <w:sz w:val="20"/>
                <w:szCs w:val="20"/>
                <w:color w:val="auto"/>
              </w:rPr>
            </w:pPr>
            <w:r>
              <w:rPr>
                <w:rFonts w:ascii="Arial" w:cs="Arial" w:eastAsia="Arial" w:hAnsi="Arial"/>
                <w:sz w:val="18"/>
                <w:szCs w:val="18"/>
                <w:color w:val="231F20"/>
              </w:rPr>
              <w:t>113</w:t>
            </w:r>
          </w:p>
        </w:tc>
        <w:tc>
          <w:tcPr>
            <w:tcW w:w="0" w:type="dxa"/>
            <w:vAlign w:val="bottom"/>
          </w:tcPr>
          <w:p>
            <w:pPr>
              <w:spacing w:after="0"/>
              <w:rPr>
                <w:sz w:val="1"/>
                <w:szCs w:val="1"/>
                <w:color w:val="auto"/>
              </w:rPr>
            </w:pPr>
          </w:p>
        </w:tc>
      </w:tr>
      <w:tr>
        <w:trPr>
          <w:trHeight w:val="34"/>
        </w:trPr>
        <w:tc>
          <w:tcPr>
            <w:tcW w:w="5300" w:type="dxa"/>
            <w:vAlign w:val="bottom"/>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80" w:right="160" w:hanging="320"/>
        <w:spacing w:after="0" w:line="253" w:lineRule="auto"/>
        <w:tabs>
          <w:tab w:leader="none" w:pos="480" w:val="left"/>
        </w:tabs>
        <w:numPr>
          <w:ilvl w:val="0"/>
          <w:numId w:val="87"/>
        </w:numPr>
        <w:rPr>
          <w:rFonts w:ascii="Arial" w:cs="Arial" w:eastAsia="Arial" w:hAnsi="Arial"/>
          <w:sz w:val="16"/>
          <w:szCs w:val="16"/>
          <w:color w:val="231F20"/>
        </w:rPr>
      </w:pPr>
      <w:r>
        <w:rPr>
          <w:rFonts w:ascii="Arial" w:cs="Arial" w:eastAsia="Arial" w:hAnsi="Arial"/>
          <w:sz w:val="16"/>
          <w:szCs w:val="16"/>
          <w:color w:val="231F20"/>
        </w:rPr>
        <w:t>Includes proved reserves related to economic arrangements similar to PSCs of 51 MMBbl, 62 MMBbl, 76 MMBbl and 92 MMBbl at December 31, 2025, 2024, 2023 and 2022, respectively.</w:t>
      </w:r>
    </w:p>
    <w:p>
      <w:pPr>
        <w:sectPr>
          <w:pgSz w:w="11880" w:h="15480" w:orient="portrait"/>
          <w:cols w:equalWidth="0" w:num="1">
            <w:col w:w="9120"/>
          </w:cols>
          <w:pgMar w:left="1380" w:top="1312" w:right="1380" w:bottom="66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151</w:t>
      </w:r>
    </w:p>
    <w:p>
      <w:pPr>
        <w:sectPr>
          <w:pgSz w:w="11880" w:h="15480" w:orient="portrait"/>
          <w:cols w:equalWidth="0" w:num="1">
            <w:col w:w="9120"/>
          </w:cols>
          <w:pgMar w:left="1380" w:top="1312" w:right="1380" w:bottom="660" w:gutter="0" w:footer="0" w:header="0"/>
          <w:type w:val="continuous"/>
        </w:sectPr>
      </w:pPr>
    </w:p>
    <w:bookmarkStart w:id="155" w:name="page156"/>
    <w:bookmarkEnd w:id="155"/>
    <w:p>
      <w:pPr>
        <w:ind w:left="480" w:right="60" w:hanging="320"/>
        <w:spacing w:after="0" w:line="253" w:lineRule="auto"/>
        <w:tabs>
          <w:tab w:leader="none" w:pos="480" w:val="left"/>
        </w:tabs>
        <w:numPr>
          <w:ilvl w:val="0"/>
          <w:numId w:val="88"/>
        </w:numPr>
        <w:rPr>
          <w:rFonts w:ascii="Arial" w:cs="Arial" w:eastAsia="Arial" w:hAnsi="Arial"/>
          <w:sz w:val="16"/>
          <w:szCs w:val="16"/>
          <w:color w:val="231F20"/>
        </w:rPr>
      </w:pPr>
      <w:r>
        <w:rPr>
          <w:rFonts w:ascii="Arial" w:cs="Arial" w:eastAsia="Arial" w:hAnsi="Arial"/>
          <w:sz w:val="16"/>
          <w:szCs w:val="16"/>
          <w:color w:val="231F20"/>
        </w:rPr>
        <w:t>Natural gas volumes have been converted to Boe based on the equivalence of energy content of six Mcf of natural gas to one Bbl of oil. Barrels of oil equivalence does not necessarily result in price equivalence.</w:t>
      </w:r>
    </w:p>
    <w:p>
      <w:pPr>
        <w:spacing w:after="0" w:line="12" w:lineRule="exact"/>
        <w:rPr>
          <w:rFonts w:ascii="Arial" w:cs="Arial" w:eastAsia="Arial" w:hAnsi="Arial"/>
          <w:sz w:val="16"/>
          <w:szCs w:val="16"/>
          <w:color w:val="231F20"/>
        </w:rPr>
      </w:pPr>
    </w:p>
    <w:p>
      <w:pPr>
        <w:ind w:left="480" w:right="20" w:hanging="320"/>
        <w:spacing w:after="0" w:line="259" w:lineRule="auto"/>
        <w:tabs>
          <w:tab w:leader="none" w:pos="480" w:val="left"/>
        </w:tabs>
        <w:numPr>
          <w:ilvl w:val="0"/>
          <w:numId w:val="88"/>
        </w:numPr>
        <w:rPr>
          <w:rFonts w:ascii="Arial" w:cs="Arial" w:eastAsia="Arial" w:hAnsi="Arial"/>
          <w:sz w:val="16"/>
          <w:szCs w:val="16"/>
          <w:color w:val="231F20"/>
        </w:rPr>
      </w:pPr>
      <w:r>
        <w:rPr>
          <w:rFonts w:ascii="Arial" w:cs="Arial" w:eastAsia="Arial" w:hAnsi="Arial"/>
          <w:sz w:val="16"/>
          <w:szCs w:val="16"/>
          <w:color w:val="231F20"/>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Long Beach operations in the Wilmington field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spacing w:after="0" w:line="10" w:lineRule="exact"/>
        <w:rPr>
          <w:rFonts w:ascii="Arial" w:cs="Arial" w:eastAsia="Arial" w:hAnsi="Arial"/>
          <w:sz w:val="16"/>
          <w:szCs w:val="16"/>
          <w:color w:val="231F20"/>
        </w:rPr>
      </w:pPr>
    </w:p>
    <w:p>
      <w:pPr>
        <w:ind w:left="480" w:right="140" w:hanging="320"/>
        <w:spacing w:after="0" w:line="258" w:lineRule="auto"/>
        <w:tabs>
          <w:tab w:leader="none" w:pos="480" w:val="left"/>
        </w:tabs>
        <w:numPr>
          <w:ilvl w:val="0"/>
          <w:numId w:val="88"/>
        </w:numPr>
        <w:rPr>
          <w:rFonts w:ascii="Arial" w:cs="Arial" w:eastAsia="Arial" w:hAnsi="Arial"/>
          <w:sz w:val="16"/>
          <w:szCs w:val="16"/>
          <w:color w:val="231F20"/>
        </w:rPr>
      </w:pPr>
      <w:r>
        <w:rPr>
          <w:rFonts w:ascii="Arial" w:cs="Arial" w:eastAsia="Arial" w:hAnsi="Arial"/>
          <w:sz w:val="16"/>
          <w:szCs w:val="16"/>
          <w:color w:val="231F20"/>
        </w:rPr>
        <w:t>Approximately 10% of proved developed oil reserves, 6% of proved developed NGLs reserves, 7% of proved developed natural gas reserves and, overall, 10% of total proved developed reserves at December 31, 2025 are non-producing. A majority of our non-producing reserves relate to steamfloods and waterfloods where full production response has not yet occurred due to the nature of such projects.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2025</w:t>
      </w:r>
    </w:p>
    <w:p>
      <w:pPr>
        <w:spacing w:after="0" w:line="209" w:lineRule="exact"/>
        <w:rPr>
          <w:sz w:val="20"/>
          <w:szCs w:val="20"/>
          <w:color w:val="auto"/>
        </w:rPr>
      </w:pPr>
    </w:p>
    <w:p>
      <w:pPr>
        <w:ind w:right="140" w:firstLine="300"/>
        <w:spacing w:after="0" w:line="250" w:lineRule="auto"/>
        <w:rPr>
          <w:sz w:val="20"/>
          <w:szCs w:val="20"/>
          <w:color w:val="auto"/>
        </w:rPr>
      </w:pPr>
      <w:r>
        <w:rPr>
          <w:rFonts w:ascii="Arial" w:cs="Arial" w:eastAsia="Arial" w:hAnsi="Arial"/>
          <w:sz w:val="20"/>
          <w:szCs w:val="20"/>
          <w:i w:val="1"/>
          <w:iCs w:val="1"/>
          <w:color w:val="231F20"/>
        </w:rPr>
        <w:t xml:space="preserve">Revisions of previous estimates </w:t>
      </w:r>
      <w:r>
        <w:rPr>
          <w:rFonts w:ascii="Arial" w:cs="Arial" w:eastAsia="Arial" w:hAnsi="Arial"/>
          <w:sz w:val="20"/>
          <w:szCs w:val="20"/>
          <w:color w:val="231F20"/>
        </w:rPr>
        <w:t>– We had net negative price-related revisions of 25 MMBoe.</w:t>
      </w:r>
      <w:r>
        <w:rPr>
          <w:rFonts w:ascii="Arial" w:cs="Arial" w:eastAsia="Arial" w:hAnsi="Arial"/>
          <w:sz w:val="20"/>
          <w:szCs w:val="20"/>
          <w:i w:val="1"/>
          <w:iCs w:val="1"/>
          <w:color w:val="231F20"/>
        </w:rPr>
        <w:t xml:space="preserve"> </w:t>
      </w:r>
      <w:r>
        <w:rPr>
          <w:rFonts w:ascii="Arial" w:cs="Arial" w:eastAsia="Arial" w:hAnsi="Arial"/>
          <w:sz w:val="20"/>
          <w:szCs w:val="20"/>
          <w:color w:val="231F20"/>
        </w:rPr>
        <w:t>Included in these revisions are negative price-related revisions of 37 MMboe, which were partially offset by 23 MMBoe of positive revisions. These negative revisions are primarily a result of lower average realized SEC Prices in 2025 as compared to 2024, including lower natural gas realizations in certain areas. These negative revisions were partially offset by positive revisions primarily from lower operating costs related to steamflood management.</w:t>
      </w:r>
    </w:p>
    <w:p>
      <w:pPr>
        <w:spacing w:after="0" w:line="203" w:lineRule="exact"/>
        <w:rPr>
          <w:sz w:val="20"/>
          <w:szCs w:val="20"/>
          <w:color w:val="auto"/>
        </w:rPr>
      </w:pPr>
    </w:p>
    <w:p>
      <w:pPr>
        <w:ind w:right="120" w:firstLine="300"/>
        <w:spacing w:after="0" w:line="249" w:lineRule="auto"/>
        <w:rPr>
          <w:sz w:val="20"/>
          <w:szCs w:val="20"/>
          <w:color w:val="auto"/>
        </w:rPr>
      </w:pPr>
      <w:r>
        <w:rPr>
          <w:rFonts w:ascii="Arial" w:cs="Arial" w:eastAsia="Arial" w:hAnsi="Arial"/>
          <w:sz w:val="20"/>
          <w:szCs w:val="20"/>
          <w:color w:val="231F20"/>
        </w:rPr>
        <w:t xml:space="preserve">Also included in the net negative price-related revisions are negative revisions of 12 MMBoe offset by 1 MMBoe of positive revisions, which were due the extension of the cap-and-invest program. The majority of these revisions were located in the San Joaquin basin. See </w:t>
      </w:r>
      <w:r>
        <w:rPr>
          <w:rFonts w:ascii="Arial" w:cs="Arial" w:eastAsia="Arial" w:hAnsi="Arial"/>
          <w:sz w:val="20"/>
          <w:szCs w:val="20"/>
          <w:i w:val="1"/>
          <w:iCs w:val="1"/>
          <w:color w:val="231F20"/>
        </w:rPr>
        <w:t>Part I, Item 1 and 2 Business</w:t>
      </w:r>
      <w:r>
        <w:rPr>
          <w:rFonts w:ascii="Arial" w:cs="Arial" w:eastAsia="Arial" w:hAnsi="Arial"/>
          <w:sz w:val="20"/>
          <w:szCs w:val="20"/>
          <w:color w:val="231F20"/>
        </w:rPr>
        <w:t xml:space="preserve"> </w:t>
      </w:r>
      <w:r>
        <w:rPr>
          <w:rFonts w:ascii="Arial" w:cs="Arial" w:eastAsia="Arial" w:hAnsi="Arial"/>
          <w:sz w:val="20"/>
          <w:szCs w:val="20"/>
          <w:i w:val="1"/>
          <w:iCs w:val="1"/>
          <w:color w:val="231F20"/>
        </w:rPr>
        <w:t>and Properties, Regulation of the Industries in Which We Operate, Regulation of Exploration and Production Activities</w:t>
      </w:r>
      <w:r>
        <w:rPr>
          <w:rFonts w:ascii="Arial" w:cs="Arial" w:eastAsia="Arial" w:hAnsi="Arial"/>
          <w:sz w:val="20"/>
          <w:szCs w:val="20"/>
          <w:color w:val="231F20"/>
        </w:rPr>
        <w:t>.</w:t>
      </w:r>
    </w:p>
    <w:p>
      <w:pPr>
        <w:spacing w:after="0" w:line="203"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We had 61 MMBoe of net positive performance-related revisions which included positive performance-related revisions of 80 MMBoe and negative performance-related revisions of 19 MMBoe. Our positive performance-related revisions primarily related to additional drilling activity in the San Joaquin basin, maintaining higher than forecasted base production, and extension of field life through steam management. Our negative performance-related revisions primarily were due to lower overall expected recovery from certain projects in the San Joaquin basin.</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231F20"/>
        </w:rPr>
        <w:t xml:space="preserve">Extensions and discoveries </w:t>
      </w:r>
      <w:r>
        <w:rPr>
          <w:rFonts w:ascii="Arial" w:cs="Arial" w:eastAsia="Arial" w:hAnsi="Arial"/>
          <w:sz w:val="20"/>
          <w:szCs w:val="20"/>
          <w:color w:val="231F20"/>
        </w:rPr>
        <w:t>– We added 3 MMBoe related to drilling in the San Joaquin basin.</w:t>
      </w:r>
    </w:p>
    <w:p>
      <w:pPr>
        <w:spacing w:after="0" w:line="207" w:lineRule="exact"/>
        <w:rPr>
          <w:sz w:val="20"/>
          <w:szCs w:val="20"/>
          <w:color w:val="auto"/>
        </w:rPr>
      </w:pPr>
    </w:p>
    <w:p>
      <w:pPr>
        <w:ind w:right="460" w:firstLine="300"/>
        <w:spacing w:after="0" w:line="247" w:lineRule="auto"/>
        <w:rPr>
          <w:sz w:val="20"/>
          <w:szCs w:val="20"/>
          <w:color w:val="auto"/>
        </w:rPr>
      </w:pPr>
      <w:r>
        <w:rPr>
          <w:rFonts w:ascii="Arial" w:cs="Arial" w:eastAsia="Arial" w:hAnsi="Arial"/>
          <w:sz w:val="20"/>
          <w:szCs w:val="20"/>
          <w:i w:val="1"/>
          <w:iCs w:val="1"/>
          <w:color w:val="231F20"/>
        </w:rPr>
        <w:t xml:space="preserve">Improved recovery </w:t>
      </w:r>
      <w:r>
        <w:rPr>
          <w:rFonts w:ascii="Arial" w:cs="Arial" w:eastAsia="Arial" w:hAnsi="Arial"/>
          <w:sz w:val="20"/>
          <w:szCs w:val="20"/>
          <w:color w:val="231F20"/>
        </w:rPr>
        <w:t>– We added 27 MMBoe related to increased drilling activity associated with</w:t>
      </w:r>
      <w:r>
        <w:rPr>
          <w:rFonts w:ascii="Arial" w:cs="Arial" w:eastAsia="Arial" w:hAnsi="Arial"/>
          <w:sz w:val="20"/>
          <w:szCs w:val="20"/>
          <w:i w:val="1"/>
          <w:iCs w:val="1"/>
          <w:color w:val="231F20"/>
        </w:rPr>
        <w:t xml:space="preserve"> </w:t>
      </w:r>
      <w:r>
        <w:rPr>
          <w:rFonts w:ascii="Arial" w:cs="Arial" w:eastAsia="Arial" w:hAnsi="Arial"/>
          <w:sz w:val="20"/>
          <w:szCs w:val="20"/>
          <w:color w:val="231F20"/>
        </w:rPr>
        <w:t>steamfloods in the San Joaquin basin.</w:t>
      </w:r>
    </w:p>
    <w:p>
      <w:pPr>
        <w:spacing w:after="0" w:line="203" w:lineRule="exact"/>
        <w:rPr>
          <w:sz w:val="20"/>
          <w:szCs w:val="20"/>
          <w:color w:val="auto"/>
        </w:rPr>
      </w:pPr>
    </w:p>
    <w:p>
      <w:pPr>
        <w:ind w:right="20" w:firstLine="300"/>
        <w:spacing w:after="0" w:line="273" w:lineRule="auto"/>
        <w:rPr>
          <w:sz w:val="20"/>
          <w:szCs w:val="20"/>
          <w:color w:val="auto"/>
        </w:rPr>
      </w:pPr>
      <w:r>
        <w:rPr>
          <w:rFonts w:ascii="Arial" w:cs="Arial" w:eastAsia="Arial" w:hAnsi="Arial"/>
          <w:sz w:val="19"/>
          <w:szCs w:val="19"/>
          <w:i w:val="1"/>
          <w:iCs w:val="1"/>
          <w:color w:val="231F20"/>
        </w:rPr>
        <w:t xml:space="preserve">Acquisitions and divestitures </w:t>
      </w:r>
      <w:r>
        <w:rPr>
          <w:rFonts w:ascii="Arial" w:cs="Arial" w:eastAsia="Arial" w:hAnsi="Arial"/>
          <w:sz w:val="19"/>
          <w:szCs w:val="19"/>
          <w:color w:val="231F20"/>
        </w:rPr>
        <w:t>– We added 93 MMBoe related to the Berry Merger in the San</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Joaquin and Uinta basins. See </w:t>
      </w:r>
      <w:r>
        <w:rPr>
          <w:rFonts w:ascii="Arial" w:cs="Arial" w:eastAsia="Arial" w:hAnsi="Arial"/>
          <w:sz w:val="19"/>
          <w:szCs w:val="19"/>
          <w:i w:val="1"/>
          <w:iCs w:val="1"/>
          <w:color w:val="231F20"/>
        </w:rPr>
        <w:t>Note 2 Business Combinations</w:t>
      </w:r>
      <w:r>
        <w:rPr>
          <w:rFonts w:ascii="Arial" w:cs="Arial" w:eastAsia="Arial" w:hAnsi="Arial"/>
          <w:sz w:val="19"/>
          <w:szCs w:val="19"/>
          <w:color w:val="231F20"/>
        </w:rPr>
        <w:t xml:space="preserve"> for more information on this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2024</w:t>
      </w:r>
    </w:p>
    <w:p>
      <w:pPr>
        <w:spacing w:after="0" w:line="207" w:lineRule="exact"/>
        <w:rPr>
          <w:sz w:val="20"/>
          <w:szCs w:val="20"/>
          <w:color w:val="auto"/>
        </w:rPr>
      </w:pPr>
    </w:p>
    <w:p>
      <w:pPr>
        <w:ind w:right="160" w:firstLine="300"/>
        <w:spacing w:after="0" w:line="250" w:lineRule="auto"/>
        <w:rPr>
          <w:sz w:val="20"/>
          <w:szCs w:val="20"/>
          <w:color w:val="auto"/>
        </w:rPr>
      </w:pPr>
      <w:r>
        <w:rPr>
          <w:rFonts w:ascii="Arial" w:cs="Arial" w:eastAsia="Arial" w:hAnsi="Arial"/>
          <w:sz w:val="20"/>
          <w:szCs w:val="20"/>
          <w:i w:val="1"/>
          <w:iCs w:val="1"/>
          <w:color w:val="231F20"/>
        </w:rPr>
        <w:t xml:space="preserve">Revisions of previous estimates </w:t>
      </w:r>
      <w:r>
        <w:rPr>
          <w:rFonts w:ascii="Arial" w:cs="Arial" w:eastAsia="Arial" w:hAnsi="Arial"/>
          <w:sz w:val="20"/>
          <w:szCs w:val="20"/>
          <w:color w:val="231F20"/>
        </w:rPr>
        <w:t>– We had net negative price-related revisions of 15 MMBoe</w:t>
      </w:r>
      <w:r>
        <w:rPr>
          <w:rFonts w:ascii="Arial" w:cs="Arial" w:eastAsia="Arial" w:hAnsi="Arial"/>
          <w:sz w:val="20"/>
          <w:szCs w:val="20"/>
          <w:i w:val="1"/>
          <w:iCs w:val="1"/>
          <w:color w:val="231F20"/>
        </w:rPr>
        <w:t xml:space="preserve"> </w:t>
      </w:r>
      <w:r>
        <w:rPr>
          <w:rFonts w:ascii="Arial" w:cs="Arial" w:eastAsia="Arial" w:hAnsi="Arial"/>
          <w:sz w:val="20"/>
          <w:szCs w:val="20"/>
          <w:color w:val="231F20"/>
        </w:rPr>
        <w:t>primarily resulting from lower average realized prices in 2024 as compared to 2023, including lower natural gas realizations in 2024. These revisions included negative price-related revisions of 18 MMBoe, which were partially offset by 3 MMBoe of positive revisions from operating cost efficiencies.</w:t>
      </w:r>
    </w:p>
    <w:p>
      <w:pPr>
        <w:spacing w:after="0" w:line="202" w:lineRule="exact"/>
        <w:rPr>
          <w:sz w:val="20"/>
          <w:szCs w:val="20"/>
          <w:color w:val="auto"/>
        </w:rPr>
      </w:pPr>
    </w:p>
    <w:p>
      <w:pPr>
        <w:ind w:firstLine="300"/>
        <w:spacing w:after="0" w:line="248" w:lineRule="auto"/>
        <w:rPr>
          <w:sz w:val="20"/>
          <w:szCs w:val="20"/>
          <w:color w:val="auto"/>
        </w:rPr>
      </w:pPr>
      <w:r>
        <w:rPr>
          <w:rFonts w:ascii="Arial" w:cs="Arial" w:eastAsia="Arial" w:hAnsi="Arial"/>
          <w:sz w:val="20"/>
          <w:szCs w:val="20"/>
          <w:color w:val="231F20"/>
        </w:rPr>
        <w:t>We had 2 MMBoe of net positive performance-related revisions which included positive performance-related revisions of 12 MMBoe and negative performance-related revisions of 10 MMBoe. Our positive performance-related revisions primarily related to better-than-expected well performance. Our negative performance-related revisions primarily were due to lower overall expected recovery in the San Joaquin basin.</w:t>
      </w:r>
    </w:p>
    <w:p>
      <w:pPr>
        <w:sectPr>
          <w:pgSz w:w="11880" w:h="15480" w:orient="portrait"/>
          <w:cols w:equalWidth="0" w:num="1">
            <w:col w:w="9100"/>
          </w:cols>
          <w:pgMar w:left="1380" w:top="1313" w:right="1400" w:bottom="66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231F20"/>
        </w:rPr>
        <w:t>152</w:t>
      </w:r>
    </w:p>
    <w:p>
      <w:pPr>
        <w:sectPr>
          <w:pgSz w:w="11880" w:h="15480" w:orient="portrait"/>
          <w:cols w:equalWidth="0" w:num="1">
            <w:col w:w="9100"/>
          </w:cols>
          <w:pgMar w:left="1380" w:top="1313" w:right="1400" w:bottom="660" w:gutter="0" w:footer="0" w:header="0"/>
          <w:type w:val="continuous"/>
        </w:sectPr>
      </w:pPr>
    </w:p>
    <w:bookmarkStart w:id="156" w:name="page157"/>
    <w:bookmarkEnd w:id="156"/>
    <w:p>
      <w:pPr>
        <w:ind w:right="40" w:firstLine="300"/>
        <w:spacing w:after="0" w:line="249" w:lineRule="auto"/>
        <w:rPr>
          <w:sz w:val="20"/>
          <w:szCs w:val="20"/>
          <w:color w:val="auto"/>
        </w:rPr>
      </w:pPr>
      <w:r>
        <w:rPr>
          <w:rFonts w:ascii="Arial" w:cs="Arial" w:eastAsia="Arial" w:hAnsi="Arial"/>
          <w:sz w:val="20"/>
          <w:szCs w:val="20"/>
          <w:color w:val="231F20"/>
        </w:rPr>
        <w:t xml:space="preserve">We had 7 MMBoe of negative revisions due to lower maximum allowable surface injection pressure at the Wilmington field in the Los Angeles basin. We had 1 MMBoe of negative revisions due to the impact of AB 2716 at the Inglewood field in the Los Angeles basin. We had 2 MMBoe of negative revisions due to the retraction of the SB 1137 referendum and our analysis of sensitive receptor designations. The majority of these revisions were located in the Los Angeles basin. We had 6 MMBoe of negative revisions associated with delays in obtaining new well drilling permits. The majority of the revisions related to permits was in the San Joaquin basin. See </w:t>
      </w:r>
      <w:r>
        <w:rPr>
          <w:rFonts w:ascii="Arial" w:cs="Arial" w:eastAsia="Arial" w:hAnsi="Arial"/>
          <w:sz w:val="20"/>
          <w:szCs w:val="20"/>
          <w:i w:val="1"/>
          <w:iCs w:val="1"/>
          <w:color w:val="231F20"/>
        </w:rPr>
        <w:t>Part I, Item 1 and 2 Business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Properties, Regulation of the Industries in Which We Operate, Regulation of Exploration and Production Activities</w:t>
      </w:r>
      <w:r>
        <w:rPr>
          <w:rFonts w:ascii="Arial" w:cs="Arial" w:eastAsia="Arial" w:hAnsi="Arial"/>
          <w:sz w:val="20"/>
          <w:szCs w:val="20"/>
          <w:color w:val="231F20"/>
        </w:rPr>
        <w:t>.</w:t>
      </w:r>
    </w:p>
    <w:p>
      <w:pPr>
        <w:spacing w:after="0" w:line="167" w:lineRule="exact"/>
        <w:rPr>
          <w:sz w:val="20"/>
          <w:szCs w:val="20"/>
          <w:color w:val="auto"/>
        </w:rPr>
      </w:pPr>
    </w:p>
    <w:p>
      <w:pPr>
        <w:ind w:right="100" w:firstLine="300"/>
        <w:spacing w:after="0" w:line="245" w:lineRule="auto"/>
        <w:rPr>
          <w:sz w:val="20"/>
          <w:szCs w:val="20"/>
          <w:color w:val="auto"/>
        </w:rPr>
      </w:pPr>
      <w:r>
        <w:rPr>
          <w:rFonts w:ascii="Arial" w:cs="Arial" w:eastAsia="Arial" w:hAnsi="Arial"/>
          <w:sz w:val="20"/>
          <w:szCs w:val="20"/>
          <w:i w:val="1"/>
          <w:iCs w:val="1"/>
          <w:color w:val="231F20"/>
        </w:rPr>
        <w:t xml:space="preserve">Improved recovery </w:t>
      </w:r>
      <w:r>
        <w:rPr>
          <w:rFonts w:ascii="Arial" w:cs="Arial" w:eastAsia="Arial" w:hAnsi="Arial"/>
          <w:sz w:val="20"/>
          <w:szCs w:val="20"/>
          <w:color w:val="231F20"/>
        </w:rPr>
        <w:t>– We added 1 MMBoe related to increased well performance in certain areas in</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San Joaquin basin.</w:t>
      </w:r>
    </w:p>
    <w:p>
      <w:pPr>
        <w:spacing w:after="0" w:line="164" w:lineRule="exact"/>
        <w:rPr>
          <w:sz w:val="20"/>
          <w:szCs w:val="20"/>
          <w:color w:val="auto"/>
        </w:rPr>
      </w:pPr>
    </w:p>
    <w:p>
      <w:pPr>
        <w:ind w:right="120" w:firstLine="300"/>
        <w:spacing w:after="0" w:line="247" w:lineRule="auto"/>
        <w:rPr>
          <w:sz w:val="20"/>
          <w:szCs w:val="20"/>
          <w:color w:val="auto"/>
        </w:rPr>
      </w:pPr>
      <w:r>
        <w:rPr>
          <w:rFonts w:ascii="Arial" w:cs="Arial" w:eastAsia="Arial" w:hAnsi="Arial"/>
          <w:sz w:val="20"/>
          <w:szCs w:val="20"/>
          <w:i w:val="1"/>
          <w:iCs w:val="1"/>
          <w:color w:val="231F20"/>
        </w:rPr>
        <w:t xml:space="preserve">Acquisitions and divestitures </w:t>
      </w:r>
      <w:r>
        <w:rPr>
          <w:rFonts w:ascii="Arial" w:cs="Arial" w:eastAsia="Arial" w:hAnsi="Arial"/>
          <w:sz w:val="20"/>
          <w:szCs w:val="20"/>
          <w:color w:val="231F20"/>
        </w:rPr>
        <w:t>– We acquired 236 MMBoe in the Aera Merger. See</w:t>
      </w:r>
      <w:r>
        <w:rPr>
          <w:rFonts w:ascii="Arial" w:cs="Arial" w:eastAsia="Arial" w:hAnsi="Arial"/>
          <w:sz w:val="20"/>
          <w:szCs w:val="20"/>
          <w:i w:val="1"/>
          <w:iCs w:val="1"/>
          <w:color w:val="231F20"/>
        </w:rPr>
        <w:t xml:space="preserve"> Note 2 Business Combinations </w:t>
      </w:r>
      <w:r>
        <w:rPr>
          <w:rFonts w:ascii="Arial" w:cs="Arial" w:eastAsia="Arial" w:hAnsi="Arial"/>
          <w:sz w:val="20"/>
          <w:szCs w:val="20"/>
          <w:color w:val="231F20"/>
        </w:rPr>
        <w:t>for more information on this transaction.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31F20"/>
        </w:rPr>
        <w:t>2023</w:t>
      </w:r>
    </w:p>
    <w:p>
      <w:pPr>
        <w:spacing w:after="0" w:line="171" w:lineRule="exact"/>
        <w:rPr>
          <w:sz w:val="20"/>
          <w:szCs w:val="20"/>
          <w:color w:val="auto"/>
        </w:rPr>
      </w:pPr>
    </w:p>
    <w:p>
      <w:pPr>
        <w:ind w:right="440" w:firstLine="300"/>
        <w:spacing w:after="0" w:line="249" w:lineRule="auto"/>
        <w:rPr>
          <w:sz w:val="20"/>
          <w:szCs w:val="20"/>
          <w:color w:val="auto"/>
        </w:rPr>
      </w:pPr>
      <w:r>
        <w:rPr>
          <w:rFonts w:ascii="Arial" w:cs="Arial" w:eastAsia="Arial" w:hAnsi="Arial"/>
          <w:sz w:val="20"/>
          <w:szCs w:val="20"/>
          <w:i w:val="1"/>
          <w:iCs w:val="1"/>
          <w:color w:val="231F20"/>
        </w:rPr>
        <w:t xml:space="preserve">Revisions of previous estimates </w:t>
      </w:r>
      <w:r>
        <w:rPr>
          <w:rFonts w:ascii="Arial" w:cs="Arial" w:eastAsia="Arial" w:hAnsi="Arial"/>
          <w:sz w:val="20"/>
          <w:szCs w:val="20"/>
          <w:color w:val="231F20"/>
        </w:rPr>
        <w:t>– We had net negative price-related revisions of 13 MMBoe</w:t>
      </w:r>
      <w:r>
        <w:rPr>
          <w:rFonts w:ascii="Arial" w:cs="Arial" w:eastAsia="Arial" w:hAnsi="Arial"/>
          <w:sz w:val="20"/>
          <w:szCs w:val="20"/>
          <w:i w:val="1"/>
          <w:iCs w:val="1"/>
          <w:color w:val="231F20"/>
        </w:rPr>
        <w:t xml:space="preserve"> </w:t>
      </w:r>
      <w:r>
        <w:rPr>
          <w:rFonts w:ascii="Arial" w:cs="Arial" w:eastAsia="Arial" w:hAnsi="Arial"/>
          <w:sz w:val="20"/>
          <w:szCs w:val="20"/>
          <w:color w:val="231F20"/>
        </w:rPr>
        <w:t>primarily resulting from a lower commodity price environment in 2023 compared to 2022. Negative price-related revisions of 22 MMBoe were partially offset by 9 MMBoe of positive revisions from operating cost efficiencies.</w:t>
      </w:r>
    </w:p>
    <w:p>
      <w:pPr>
        <w:spacing w:after="0" w:line="164" w:lineRule="exact"/>
        <w:rPr>
          <w:sz w:val="20"/>
          <w:szCs w:val="20"/>
          <w:color w:val="auto"/>
        </w:rPr>
      </w:pPr>
    </w:p>
    <w:p>
      <w:pPr>
        <w:ind w:right="20" w:firstLine="300"/>
        <w:spacing w:after="0" w:line="249" w:lineRule="auto"/>
        <w:rPr>
          <w:sz w:val="20"/>
          <w:szCs w:val="20"/>
          <w:color w:val="auto"/>
        </w:rPr>
      </w:pPr>
      <w:r>
        <w:rPr>
          <w:rFonts w:ascii="Arial" w:cs="Arial" w:eastAsia="Arial" w:hAnsi="Arial"/>
          <w:sz w:val="20"/>
          <w:szCs w:val="20"/>
          <w:color w:val="231F20"/>
        </w:rPr>
        <w:t>We had 23 MMBoe of net positive performance-related revisions which included positive performance-related revisions of 38 MMBoe and negative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The majority of these revisions were located in the San Joaquin basin.</w:t>
      </w:r>
    </w:p>
    <w:p>
      <w:pPr>
        <w:spacing w:after="0" w:line="166" w:lineRule="exact"/>
        <w:rPr>
          <w:sz w:val="20"/>
          <w:szCs w:val="20"/>
          <w:color w:val="auto"/>
        </w:rPr>
      </w:pPr>
    </w:p>
    <w:p>
      <w:pPr>
        <w:ind w:right="60" w:firstLine="300"/>
        <w:spacing w:after="0" w:line="248" w:lineRule="auto"/>
        <w:rPr>
          <w:sz w:val="20"/>
          <w:szCs w:val="20"/>
          <w:color w:val="auto"/>
        </w:rPr>
      </w:pPr>
      <w:r>
        <w:rPr>
          <w:rFonts w:ascii="Arial" w:cs="Arial" w:eastAsia="Arial" w:hAnsi="Arial"/>
          <w:sz w:val="20"/>
          <w:szCs w:val="20"/>
          <w:color w:val="231F20"/>
        </w:rPr>
        <w:t xml:space="preserve">We had 12 MMBoe of negative revisions to our proved reserves due to the uncertainty of the outcome of the referendum and potential impact of Senate Bill No. 1137. The majority of these volumes are in the Los Angeles basin. See </w:t>
      </w:r>
      <w:r>
        <w:rPr>
          <w:rFonts w:ascii="Arial" w:cs="Arial" w:eastAsia="Arial" w:hAnsi="Arial"/>
          <w:sz w:val="20"/>
          <w:szCs w:val="20"/>
          <w:i w:val="1"/>
          <w:iCs w:val="1"/>
          <w:color w:val="231F20"/>
        </w:rPr>
        <w:t>Part I, Item 1 and 2 Business and Properties, Regulation of</w:t>
      </w:r>
      <w:r>
        <w:rPr>
          <w:rFonts w:ascii="Arial" w:cs="Arial" w:eastAsia="Arial" w:hAnsi="Arial"/>
          <w:sz w:val="20"/>
          <w:szCs w:val="20"/>
          <w:color w:val="231F20"/>
        </w:rPr>
        <w:t xml:space="preserve"> </w:t>
      </w:r>
      <w:r>
        <w:rPr>
          <w:rFonts w:ascii="Arial" w:cs="Arial" w:eastAsia="Arial" w:hAnsi="Arial"/>
          <w:sz w:val="20"/>
          <w:szCs w:val="20"/>
          <w:i w:val="1"/>
          <w:iCs w:val="1"/>
          <w:color w:val="231F20"/>
        </w:rPr>
        <w:t>the Industries in Which We Operate, Regulation of Exploration and Production Activities</w:t>
      </w:r>
      <w:r>
        <w:rPr>
          <w:rFonts w:ascii="Arial" w:cs="Arial" w:eastAsia="Arial" w:hAnsi="Arial"/>
          <w:sz w:val="20"/>
          <w:szCs w:val="20"/>
          <w:color w:val="231F20"/>
        </w:rPr>
        <w:t>.</w:t>
      </w:r>
    </w:p>
    <w:p>
      <w:pPr>
        <w:spacing w:after="0" w:line="163" w:lineRule="exact"/>
        <w:rPr>
          <w:sz w:val="20"/>
          <w:szCs w:val="20"/>
          <w:color w:val="auto"/>
        </w:rPr>
      </w:pPr>
    </w:p>
    <w:p>
      <w:pPr>
        <w:ind w:right="620" w:firstLine="300"/>
        <w:spacing w:after="0" w:line="247" w:lineRule="auto"/>
        <w:rPr>
          <w:sz w:val="20"/>
          <w:szCs w:val="20"/>
          <w:color w:val="auto"/>
        </w:rPr>
      </w:pPr>
      <w:r>
        <w:rPr>
          <w:rFonts w:ascii="Arial" w:cs="Arial" w:eastAsia="Arial" w:hAnsi="Arial"/>
          <w:sz w:val="20"/>
          <w:szCs w:val="20"/>
          <w:i w:val="1"/>
          <w:iCs w:val="1"/>
          <w:color w:val="231F20"/>
        </w:rPr>
        <w:t xml:space="preserve">Extensions and discoveries </w:t>
      </w:r>
      <w:r>
        <w:rPr>
          <w:rFonts w:ascii="Arial" w:cs="Arial" w:eastAsia="Arial" w:hAnsi="Arial"/>
          <w:sz w:val="20"/>
          <w:szCs w:val="20"/>
          <w:color w:val="231F20"/>
        </w:rPr>
        <w:t>– We added 5 MMBoe from extensions resulting from successful</w:t>
      </w:r>
      <w:r>
        <w:rPr>
          <w:rFonts w:ascii="Arial" w:cs="Arial" w:eastAsia="Arial" w:hAnsi="Arial"/>
          <w:sz w:val="20"/>
          <w:szCs w:val="20"/>
          <w:i w:val="1"/>
          <w:iCs w:val="1"/>
          <w:color w:val="231F20"/>
        </w:rPr>
        <w:t xml:space="preserve"> </w:t>
      </w:r>
      <w:r>
        <w:rPr>
          <w:rFonts w:ascii="Arial" w:cs="Arial" w:eastAsia="Arial" w:hAnsi="Arial"/>
          <w:sz w:val="20"/>
          <w:szCs w:val="20"/>
          <w:color w:val="231F20"/>
        </w:rPr>
        <w:t>drilling and workovers in the San Joaquin, Los Angeles and Sacramento basins.</w:t>
      </w:r>
    </w:p>
    <w:p>
      <w:pPr>
        <w:spacing w:after="0" w:line="161" w:lineRule="exact"/>
        <w:rPr>
          <w:sz w:val="20"/>
          <w:szCs w:val="20"/>
          <w:color w:val="auto"/>
        </w:rPr>
      </w:pPr>
    </w:p>
    <w:p>
      <w:pPr>
        <w:ind w:right="160" w:firstLine="300"/>
        <w:spacing w:after="0" w:line="275" w:lineRule="auto"/>
        <w:rPr>
          <w:sz w:val="20"/>
          <w:szCs w:val="20"/>
          <w:color w:val="auto"/>
        </w:rPr>
      </w:pPr>
      <w:r>
        <w:rPr>
          <w:rFonts w:ascii="Arial" w:cs="Arial" w:eastAsia="Arial" w:hAnsi="Arial"/>
          <w:sz w:val="19"/>
          <w:szCs w:val="19"/>
          <w:i w:val="1"/>
          <w:iCs w:val="1"/>
          <w:color w:val="231F20"/>
        </w:rPr>
        <w:t xml:space="preserve">Acquisitions and divestitures </w:t>
      </w:r>
      <w:r>
        <w:rPr>
          <w:rFonts w:ascii="Arial" w:cs="Arial" w:eastAsia="Arial" w:hAnsi="Arial"/>
          <w:sz w:val="19"/>
          <w:szCs w:val="19"/>
          <w:color w:val="231F20"/>
        </w:rPr>
        <w:t>– We had a reduction of 12 MMBoe which related to our Round Mountain</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Unit divestiture. See </w:t>
      </w:r>
      <w:r>
        <w:rPr>
          <w:rFonts w:ascii="Arial" w:cs="Arial" w:eastAsia="Arial" w:hAnsi="Arial"/>
          <w:sz w:val="19"/>
          <w:szCs w:val="19"/>
          <w:i w:val="1"/>
          <w:iCs w:val="1"/>
          <w:color w:val="231F20"/>
        </w:rPr>
        <w:t>Note 9 Divestitures and Acquisitions</w:t>
      </w:r>
      <w:r>
        <w:rPr>
          <w:rFonts w:ascii="Arial" w:cs="Arial" w:eastAsia="Arial" w:hAnsi="Arial"/>
          <w:sz w:val="19"/>
          <w:szCs w:val="19"/>
          <w:color w:val="231F20"/>
        </w:rPr>
        <w:t xml:space="preserve"> for more information on this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CAPITALIZED COSTS</w:t>
      </w:r>
    </w:p>
    <w:p>
      <w:pPr>
        <w:spacing w:after="0" w:line="171" w:lineRule="exact"/>
        <w:rPr>
          <w:sz w:val="20"/>
          <w:szCs w:val="20"/>
          <w:color w:val="auto"/>
        </w:rPr>
      </w:pPr>
    </w:p>
    <w:p>
      <w:pPr>
        <w:ind w:right="680" w:firstLine="300"/>
        <w:spacing w:after="0" w:line="243" w:lineRule="auto"/>
        <w:rPr>
          <w:sz w:val="20"/>
          <w:szCs w:val="20"/>
          <w:color w:val="auto"/>
        </w:rPr>
      </w:pPr>
      <w:r>
        <w:rPr>
          <w:rFonts w:ascii="Arial" w:cs="Arial" w:eastAsia="Arial" w:hAnsi="Arial"/>
          <w:sz w:val="20"/>
          <w:szCs w:val="20"/>
          <w:color w:val="231F20"/>
        </w:rPr>
        <w:t>Capitalized costs relating to oil and natural gas producing activities and related accumulated depreciation, depletion and amortization (DD&amp;A)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20"/>
                <w:szCs w:val="20"/>
                <w:b w:val="1"/>
                <w:bCs w:val="1"/>
                <w:color w:val="231F20"/>
                <w:w w:val="99"/>
              </w:rPr>
              <w:t>December 31,</w:t>
            </w:r>
          </w:p>
        </w:tc>
        <w:tc>
          <w:tcPr>
            <w:tcW w:w="2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20"/>
                <w:szCs w:val="20"/>
                <w:b w:val="1"/>
                <w:bCs w:val="1"/>
                <w:color w:val="231F20"/>
                <w:w w:val="99"/>
              </w:rPr>
              <w:t>December 31,</w:t>
            </w:r>
          </w:p>
        </w:tc>
        <w:tc>
          <w:tcPr>
            <w:tcW w:w="0" w:type="dxa"/>
            <w:vAlign w:val="bottom"/>
          </w:tcPr>
          <w:p>
            <w:pPr>
              <w:spacing w:after="0"/>
              <w:rPr>
                <w:sz w:val="1"/>
                <w:szCs w:val="1"/>
                <w:color w:val="auto"/>
              </w:rPr>
            </w:pPr>
          </w:p>
        </w:tc>
      </w:tr>
      <w:tr>
        <w:trPr>
          <w:trHeight w:val="248"/>
        </w:trPr>
        <w:tc>
          <w:tcPr>
            <w:tcW w:w="6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343"/>
              <w:spacing w:after="0" w:line="228" w:lineRule="exact"/>
              <w:rPr>
                <w:sz w:val="20"/>
                <w:szCs w:val="20"/>
                <w:color w:val="auto"/>
              </w:rPr>
            </w:pPr>
            <w:r>
              <w:rPr>
                <w:rFonts w:ascii="Arial" w:cs="Arial" w:eastAsia="Arial" w:hAnsi="Arial"/>
                <w:sz w:val="20"/>
                <w:szCs w:val="20"/>
                <w:b w:val="1"/>
                <w:bCs w:val="1"/>
                <w:color w:val="231F20"/>
              </w:rPr>
              <w:t>2025</w:t>
            </w:r>
          </w:p>
        </w:tc>
        <w:tc>
          <w:tcPr>
            <w:tcW w:w="20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340"/>
              <w:spacing w:after="0"/>
              <w:rPr>
                <w:sz w:val="20"/>
                <w:szCs w:val="20"/>
                <w:color w:val="auto"/>
              </w:rPr>
            </w:pPr>
            <w:r>
              <w:rPr>
                <w:rFonts w:ascii="Arial" w:cs="Arial" w:eastAsia="Arial" w:hAnsi="Arial"/>
                <w:sz w:val="20"/>
                <w:szCs w:val="20"/>
                <w:b w:val="1"/>
                <w:bCs w:val="1"/>
                <w:color w:val="231F20"/>
              </w:rPr>
              <w:t>2024</w:t>
            </w: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231F20"/>
              </w:rPr>
              <w:t>(in millions)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60" w:type="dxa"/>
            <w:vAlign w:val="bottom"/>
          </w:tcPr>
          <w:p>
            <w:pPr>
              <w:jc w:val="right"/>
              <w:spacing w:after="0"/>
              <w:rPr>
                <w:sz w:val="20"/>
                <w:szCs w:val="20"/>
                <w:color w:val="auto"/>
              </w:rPr>
            </w:pPr>
            <w:r>
              <w:rPr>
                <w:rFonts w:ascii="Arial" w:cs="Arial" w:eastAsia="Arial" w:hAnsi="Arial"/>
                <w:sz w:val="20"/>
                <w:szCs w:val="20"/>
                <w:color w:val="231F20"/>
                <w:w w:val="96"/>
              </w:rPr>
              <w:t>Proved properties . . . . . . . . . . . . . . . . . . . . . . . . . . . . . . . . . . . . . . . . . .</w:t>
            </w:r>
          </w:p>
        </w:tc>
        <w:tc>
          <w:tcPr>
            <w:tcW w:w="400" w:type="dxa"/>
            <w:vAlign w:val="bottom"/>
            <w:gridSpan w:val="2"/>
          </w:tcPr>
          <w:p>
            <w:pPr>
              <w:ind w:left="100"/>
              <w:spacing w:after="0"/>
              <w:rPr>
                <w:sz w:val="20"/>
                <w:szCs w:val="20"/>
                <w:color w:val="auto"/>
              </w:rPr>
            </w:pPr>
            <w:r>
              <w:rPr>
                <w:rFonts w:ascii="Arial" w:cs="Arial" w:eastAsia="Arial" w:hAnsi="Arial"/>
                <w:sz w:val="20"/>
                <w:szCs w:val="20"/>
                <w:color w:val="231F20"/>
              </w:rPr>
              <w:t>$</w:t>
            </w:r>
          </w:p>
        </w:tc>
        <w:tc>
          <w:tcPr>
            <w:tcW w:w="1040" w:type="dxa"/>
            <w:vAlign w:val="bottom"/>
          </w:tcPr>
          <w:p>
            <w:pPr>
              <w:jc w:val="right"/>
              <w:spacing w:after="0"/>
              <w:rPr>
                <w:sz w:val="20"/>
                <w:szCs w:val="20"/>
                <w:color w:val="auto"/>
              </w:rPr>
            </w:pPr>
            <w:r>
              <w:rPr>
                <w:rFonts w:ascii="Arial" w:cs="Arial" w:eastAsia="Arial" w:hAnsi="Arial"/>
                <w:sz w:val="20"/>
                <w:szCs w:val="20"/>
                <w:color w:val="231F20"/>
              </w:rPr>
              <w:t>7,097</w:t>
            </w:r>
          </w:p>
        </w:tc>
        <w:tc>
          <w:tcPr>
            <w:tcW w:w="560" w:type="dxa"/>
            <w:vAlign w:val="bottom"/>
            <w:gridSpan w:val="2"/>
          </w:tcPr>
          <w:p>
            <w:pPr>
              <w:ind w:left="20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6,343</w:t>
            </w:r>
          </w:p>
        </w:tc>
        <w:tc>
          <w:tcPr>
            <w:tcW w:w="0" w:type="dxa"/>
            <w:vAlign w:val="bottom"/>
          </w:tcPr>
          <w:p>
            <w:pPr>
              <w:spacing w:after="0"/>
              <w:rPr>
                <w:sz w:val="1"/>
                <w:szCs w:val="1"/>
                <w:color w:val="auto"/>
              </w:rPr>
            </w:pPr>
          </w:p>
        </w:tc>
      </w:tr>
      <w:tr>
        <w:trPr>
          <w:trHeight w:val="240"/>
        </w:trPr>
        <w:tc>
          <w:tcPr>
            <w:tcW w:w="6160" w:type="dxa"/>
            <w:vAlign w:val="bottom"/>
          </w:tcPr>
          <w:p>
            <w:pPr>
              <w:jc w:val="right"/>
              <w:spacing w:after="0"/>
              <w:rPr>
                <w:sz w:val="20"/>
                <w:szCs w:val="20"/>
                <w:color w:val="auto"/>
              </w:rPr>
            </w:pPr>
            <w:r>
              <w:rPr>
                <w:rFonts w:ascii="Arial" w:cs="Arial" w:eastAsia="Arial" w:hAnsi="Arial"/>
                <w:sz w:val="20"/>
                <w:szCs w:val="20"/>
                <w:color w:val="231F20"/>
                <w:w w:val="96"/>
              </w:rPr>
              <w:t>Unproved properties . . . . . . . . . . . . . . . . . . . . . . . . . . . . .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8"/>
        </w:trPr>
        <w:tc>
          <w:tcPr>
            <w:tcW w:w="6160" w:type="dxa"/>
            <w:vAlign w:val="bottom"/>
            <w:vMerge w:val="restart"/>
          </w:tcPr>
          <w:p>
            <w:pPr>
              <w:jc w:val="right"/>
              <w:ind w:right="1160"/>
              <w:spacing w:after="0"/>
              <w:rPr>
                <w:sz w:val="20"/>
                <w:szCs w:val="20"/>
                <w:color w:val="auto"/>
              </w:rPr>
            </w:pPr>
            <w:r>
              <w:rPr>
                <w:rFonts w:ascii="Arial" w:cs="Arial" w:eastAsia="Arial" w:hAnsi="Arial"/>
                <w:sz w:val="20"/>
                <w:szCs w:val="20"/>
                <w:b w:val="1"/>
                <w:bCs w:val="1"/>
                <w:color w:val="231F20"/>
                <w:w w:val="97"/>
              </w:rPr>
              <w:t xml:space="preserve">Total capitalized costs </w:t>
            </w:r>
            <w:r>
              <w:rPr>
                <w:rFonts w:ascii="Arial" w:cs="Arial" w:eastAsia="Arial" w:hAnsi="Arial"/>
                <w:sz w:val="20"/>
                <w:szCs w:val="20"/>
                <w:color w:val="231F20"/>
                <w:w w:val="97"/>
              </w:rPr>
              <w:t>. . . . . . . . . . . . . . . . . . . . . . . . . .</w:t>
            </w:r>
          </w:p>
        </w:tc>
        <w:tc>
          <w:tcPr>
            <w:tcW w:w="1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160" w:type="dxa"/>
            <w:vAlign w:val="bottom"/>
            <w:vMerge w:val="continue"/>
          </w:tcPr>
          <w:p>
            <w:pPr>
              <w:jc w:val="right"/>
              <w:spacing w:after="0"/>
              <w:rPr>
                <w:sz w:val="20"/>
                <w:szCs w:val="20"/>
                <w:color w:val="auto"/>
              </w:rPr>
            </w:pPr>
            <w:r>
              <w:rPr>
                <w:rFonts w:ascii="Arial" w:cs="Arial" w:eastAsia="Arial" w:hAnsi="Arial"/>
                <w:sz w:val="20"/>
                <w:szCs w:val="20"/>
                <w:color w:val="231F20"/>
              </w:rPr>
              <w:t>. . . . . . . . . .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7,108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6,344</w:t>
            </w:r>
          </w:p>
        </w:tc>
        <w:tc>
          <w:tcPr>
            <w:tcW w:w="0" w:type="dxa"/>
            <w:vAlign w:val="bottom"/>
          </w:tcPr>
          <w:p>
            <w:pPr>
              <w:spacing w:after="0"/>
              <w:rPr>
                <w:sz w:val="1"/>
                <w:szCs w:val="1"/>
                <w:color w:val="auto"/>
              </w:rPr>
            </w:pPr>
          </w:p>
        </w:tc>
      </w:tr>
      <w:tr>
        <w:trPr>
          <w:trHeight w:val="240"/>
        </w:trPr>
        <w:tc>
          <w:tcPr>
            <w:tcW w:w="6160" w:type="dxa"/>
            <w:vAlign w:val="bottom"/>
          </w:tcPr>
          <w:p>
            <w:pPr>
              <w:jc w:val="right"/>
              <w:spacing w:after="0"/>
              <w:rPr>
                <w:sz w:val="20"/>
                <w:szCs w:val="20"/>
                <w:color w:val="auto"/>
              </w:rPr>
            </w:pPr>
            <w:r>
              <w:rPr>
                <w:rFonts w:ascii="Arial" w:cs="Arial" w:eastAsia="Arial" w:hAnsi="Arial"/>
                <w:sz w:val="20"/>
                <w:szCs w:val="20"/>
                <w:color w:val="231F20"/>
              </w:rPr>
              <w:t>Accumulated depreciation, depletion and amortization . . . . . . . . . .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(1,511)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(953)</w:t>
            </w:r>
          </w:p>
        </w:tc>
        <w:tc>
          <w:tcPr>
            <w:tcW w:w="0" w:type="dxa"/>
            <w:vAlign w:val="bottom"/>
          </w:tcPr>
          <w:p>
            <w:pPr>
              <w:spacing w:after="0"/>
              <w:rPr>
                <w:sz w:val="1"/>
                <w:szCs w:val="1"/>
                <w:color w:val="auto"/>
              </w:rPr>
            </w:pPr>
          </w:p>
        </w:tc>
      </w:tr>
      <w:tr>
        <w:trPr>
          <w:trHeight w:val="30"/>
        </w:trPr>
        <w:tc>
          <w:tcPr>
            <w:tcW w:w="6160" w:type="dxa"/>
            <w:vAlign w:val="bottom"/>
            <w:vMerge w:val="restart"/>
          </w:tcPr>
          <w:p>
            <w:pPr>
              <w:jc w:val="right"/>
              <w:ind w:right="1160"/>
              <w:spacing w:after="0"/>
              <w:rPr>
                <w:sz w:val="20"/>
                <w:szCs w:val="20"/>
                <w:color w:val="auto"/>
              </w:rPr>
            </w:pPr>
            <w:r>
              <w:rPr>
                <w:rFonts w:ascii="Arial" w:cs="Arial" w:eastAsia="Arial" w:hAnsi="Arial"/>
                <w:sz w:val="20"/>
                <w:szCs w:val="20"/>
                <w:b w:val="1"/>
                <w:bCs w:val="1"/>
                <w:color w:val="231F20"/>
                <w:w w:val="97"/>
              </w:rPr>
              <w:t xml:space="preserve">Net capitalized costs </w:t>
            </w:r>
            <w:r>
              <w:rPr>
                <w:rFonts w:ascii="Arial" w:cs="Arial" w:eastAsia="Arial" w:hAnsi="Arial"/>
                <w:sz w:val="20"/>
                <w:szCs w:val="20"/>
                <w:color w:val="231F20"/>
                <w:w w:val="97"/>
              </w:rPr>
              <w:t>. . . . . . . . . . . . . . . . . . . . . . . . . . .</w:t>
            </w:r>
          </w:p>
        </w:tc>
        <w:tc>
          <w:tcPr>
            <w:tcW w:w="1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160" w:type="dxa"/>
            <w:vAlign w:val="bottom"/>
            <w:vMerge w:val="continue"/>
          </w:tcPr>
          <w:p>
            <w:pPr>
              <w:jc w:val="right"/>
              <w:spacing w:after="0"/>
              <w:rPr>
                <w:sz w:val="20"/>
                <w:szCs w:val="20"/>
                <w:color w:val="auto"/>
              </w:rPr>
            </w:pPr>
            <w:r>
              <w:rPr>
                <w:rFonts w:ascii="Arial" w:cs="Arial" w:eastAsia="Arial" w:hAnsi="Arial"/>
                <w:sz w:val="20"/>
                <w:szCs w:val="20"/>
                <w:color w:val="231F20"/>
              </w:rPr>
              <w:t>. . . . . . . . . . .</w:t>
            </w:r>
          </w:p>
        </w:tc>
        <w:tc>
          <w:tcPr>
            <w:tcW w:w="40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040" w:type="dxa"/>
            <w:vAlign w:val="bottom"/>
          </w:tcPr>
          <w:p>
            <w:pPr>
              <w:jc w:val="right"/>
              <w:spacing w:after="0"/>
              <w:rPr>
                <w:sz w:val="20"/>
                <w:szCs w:val="20"/>
                <w:color w:val="auto"/>
              </w:rPr>
            </w:pPr>
            <w:r>
              <w:rPr>
                <w:rFonts w:ascii="Arial" w:cs="Arial" w:eastAsia="Arial" w:hAnsi="Arial"/>
                <w:sz w:val="20"/>
                <w:szCs w:val="20"/>
                <w:color w:val="231F20"/>
              </w:rPr>
              <w:t>5,597</w:t>
            </w:r>
          </w:p>
        </w:tc>
        <w:tc>
          <w:tcPr>
            <w:tcW w:w="56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5,391</w:t>
            </w:r>
          </w:p>
        </w:tc>
        <w:tc>
          <w:tcPr>
            <w:tcW w:w="0" w:type="dxa"/>
            <w:vAlign w:val="bottom"/>
          </w:tcPr>
          <w:p>
            <w:pPr>
              <w:spacing w:after="0"/>
              <w:rPr>
                <w:sz w:val="1"/>
                <w:szCs w:val="1"/>
                <w:color w:val="auto"/>
              </w:rPr>
            </w:pPr>
          </w:p>
        </w:tc>
      </w:tr>
      <w:tr>
        <w:trPr>
          <w:trHeight w:val="30"/>
        </w:trPr>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9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20"/>
          </w:cols>
          <w:pgMar w:left="1380" w:top="1316" w:right="1380" w:bottom="660" w:gutter="0" w:footer="0" w:header="0"/>
        </w:sectPr>
      </w:pP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153</w:t>
      </w:r>
    </w:p>
    <w:p>
      <w:pPr>
        <w:sectPr>
          <w:pgSz w:w="11880" w:h="15480" w:orient="portrait"/>
          <w:cols w:equalWidth="0" w:num="1">
            <w:col w:w="9120"/>
          </w:cols>
          <w:pgMar w:left="1380" w:top="1316" w:right="1380" w:bottom="660" w:gutter="0" w:footer="0" w:header="0"/>
          <w:type w:val="continuous"/>
        </w:sectPr>
      </w:pPr>
    </w:p>
    <w:bookmarkStart w:id="157" w:name="page158"/>
    <w:bookmarkEnd w:id="157"/>
    <w:p>
      <w:pPr>
        <w:spacing w:after="0"/>
        <w:rPr>
          <w:sz w:val="20"/>
          <w:szCs w:val="20"/>
          <w:color w:val="auto"/>
        </w:rPr>
      </w:pPr>
      <w:r>
        <w:rPr>
          <w:rFonts w:ascii="Arial" w:cs="Arial" w:eastAsia="Arial" w:hAnsi="Arial"/>
          <w:sz w:val="20"/>
          <w:szCs w:val="20"/>
          <w:b w:val="1"/>
          <w:bCs w:val="1"/>
          <w:color w:val="231F20"/>
        </w:rPr>
        <w:t>COSTS INCURRED</w:t>
      </w:r>
    </w:p>
    <w:p>
      <w:pPr>
        <w:spacing w:after="0" w:line="217" w:lineRule="exact"/>
        <w:rPr>
          <w:sz w:val="20"/>
          <w:szCs w:val="20"/>
          <w:color w:val="auto"/>
        </w:rPr>
      </w:pPr>
    </w:p>
    <w:p>
      <w:pPr>
        <w:ind w:right="160" w:firstLine="300"/>
        <w:spacing w:after="0" w:line="246" w:lineRule="auto"/>
        <w:rPr>
          <w:sz w:val="20"/>
          <w:szCs w:val="20"/>
          <w:color w:val="auto"/>
        </w:rPr>
      </w:pPr>
      <w:r>
        <w:rPr>
          <w:rFonts w:ascii="Arial" w:cs="Arial" w:eastAsia="Arial" w:hAnsi="Arial"/>
          <w:sz w:val="20"/>
          <w:szCs w:val="20"/>
          <w:color w:val="231F20"/>
        </w:rPr>
        <w:t>Costs incurred relating to oil and natural gas activities include capital investments, exploration (whether expensed or capitalized), acquisitions and asset retirement obligations but exclude corporate items. The following table summarizes our costs incurred:</w:t>
      </w:r>
    </w:p>
    <w:p>
      <w:pPr>
        <w:sectPr>
          <w:pgSz w:w="11880" w:h="15480" w:orient="portrait"/>
          <w:cols w:equalWidth="0" w:num="1">
            <w:col w:w="9180"/>
          </w:cols>
          <w:pgMar w:left="1380" w:top="1310" w:right="132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080"/>
        <w:spacing w:after="0"/>
        <w:rPr>
          <w:sz w:val="20"/>
          <w:szCs w:val="20"/>
          <w:color w:val="auto"/>
        </w:rPr>
      </w:pPr>
      <w:r>
        <w:rPr>
          <w:rFonts w:ascii="Arial" w:cs="Arial" w:eastAsia="Arial" w:hAnsi="Arial"/>
          <w:sz w:val="20"/>
          <w:szCs w:val="20"/>
          <w:color w:val="231F20"/>
        </w:rPr>
        <w:t>Acquisition of properties</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231F20"/>
        </w:rPr>
        <w:t>Proved properties . . . . . . . . . . . . . . . . . . . . . . . . . . . . . . . .</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231F20"/>
        </w:rPr>
        <w:t>Unproved properties . . . . . . . . . . . . . . . . . . . . . . . . . . . . . .</w:t>
      </w:r>
    </w:p>
    <w:p>
      <w:pPr>
        <w:spacing w:after="0" w:line="10" w:lineRule="exact"/>
        <w:rPr>
          <w:sz w:val="20"/>
          <w:szCs w:val="20"/>
          <w:color w:val="auto"/>
        </w:rPr>
      </w:pPr>
    </w:p>
    <w:p>
      <w:pPr>
        <w:jc w:val="right"/>
        <w:spacing w:after="0"/>
        <w:tabs>
          <w:tab w:leader="none" w:pos="3540" w:val="left"/>
        </w:tabs>
        <w:rPr>
          <w:sz w:val="20"/>
          <w:szCs w:val="20"/>
          <w:color w:val="auto"/>
        </w:rPr>
      </w:pPr>
      <w:r>
        <w:rPr>
          <w:rFonts w:ascii="Arial" w:cs="Arial" w:eastAsia="Arial" w:hAnsi="Arial"/>
          <w:sz w:val="20"/>
          <w:szCs w:val="20"/>
          <w:color w:val="231F20"/>
        </w:rPr>
        <w:t>Exploration costs</w:t>
      </w:r>
      <w:r>
        <w:rPr>
          <w:sz w:val="20"/>
          <w:szCs w:val="20"/>
          <w:color w:val="auto"/>
        </w:rPr>
        <w:tab/>
      </w:r>
      <w:r>
        <w:rPr>
          <w:rFonts w:ascii="Arial" w:cs="Arial" w:eastAsia="Arial" w:hAnsi="Arial"/>
          <w:sz w:val="19"/>
          <w:szCs w:val="19"/>
          <w:color w:val="231F20"/>
        </w:rPr>
        <w:t>. . . . . . . . . . . . . . . . . . . . . . . . . . . . . . . . . .</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9"/>
          <w:szCs w:val="19"/>
          <w:color w:val="231F20"/>
        </w:rPr>
        <w:t>Development costs</w:t>
      </w:r>
      <w:r>
        <w:rPr>
          <w:rFonts w:ascii="Arial" w:cs="Arial" w:eastAsia="Arial" w:hAnsi="Arial"/>
          <w:sz w:val="25"/>
          <w:szCs w:val="25"/>
          <w:color w:val="231F20"/>
          <w:vertAlign w:val="superscript"/>
        </w:rPr>
        <w:t>(a)</w:t>
      </w:r>
      <w:r>
        <w:rPr>
          <w:rFonts w:ascii="Arial" w:cs="Arial" w:eastAsia="Arial" w:hAnsi="Arial"/>
          <w:sz w:val="19"/>
          <w:szCs w:val="19"/>
          <w:color w:val="231F20"/>
        </w:rPr>
        <w:t xml:space="preserve">  . . . . . . . . . . . . . . . . . . . . . . . . . . . . . . .</w:t>
      </w:r>
    </w:p>
    <w:p>
      <w:pPr>
        <w:spacing w:after="0" w:line="28" w:lineRule="exact"/>
        <w:rPr>
          <w:sz w:val="20"/>
          <w:szCs w:val="20"/>
          <w:color w:val="auto"/>
        </w:rPr>
      </w:pPr>
    </w:p>
    <w:p>
      <w:pPr>
        <w:spacing w:after="0"/>
        <w:tabs>
          <w:tab w:leader="none" w:pos="1540" w:val="left"/>
        </w:tabs>
        <w:rPr>
          <w:sz w:val="20"/>
          <w:szCs w:val="20"/>
          <w:color w:val="auto"/>
        </w:rPr>
      </w:pPr>
      <w:r>
        <w:rPr>
          <w:rFonts w:ascii="Arial" w:cs="Arial" w:eastAsia="Arial" w:hAnsi="Arial"/>
          <w:sz w:val="20"/>
          <w:szCs w:val="20"/>
          <w:b w:val="1"/>
          <w:bCs w:val="1"/>
          <w:color w:val="231F20"/>
        </w:rPr>
        <w:t>Costs incurred</w:t>
      </w:r>
      <w:r>
        <w:rPr>
          <w:sz w:val="20"/>
          <w:szCs w:val="20"/>
          <w:color w:val="auto"/>
        </w:rPr>
        <w:tab/>
      </w:r>
      <w:r>
        <w:rPr>
          <w:rFonts w:ascii="Arial" w:cs="Arial" w:eastAsia="Arial" w:hAnsi="Arial"/>
          <w:sz w:val="19"/>
          <w:szCs w:val="19"/>
          <w:color w:val="231F20"/>
        </w:rPr>
        <w:t>. . . . . . . . . . . . . . . . . . . . . . . . . . . . . . . . . . .</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18415</wp:posOffset>
                </wp:positionV>
                <wp:extent cx="234886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886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45pt" to="185pt,1.45pt" o:allowincell="f" strokecolor="#231F20" strokeweight="1pt"/>
            </w:pict>
          </mc:Fallback>
        </mc:AlternateConten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200"/>
              <w:spacing w:after="0"/>
              <w:rPr>
                <w:sz w:val="20"/>
                <w:szCs w:val="20"/>
                <w:color w:val="auto"/>
              </w:rPr>
            </w:pPr>
            <w:r>
              <w:rPr>
                <w:rFonts w:ascii="Arial" w:cs="Arial" w:eastAsia="Arial" w:hAnsi="Arial"/>
                <w:sz w:val="20"/>
                <w:szCs w:val="20"/>
                <w:b w:val="1"/>
                <w:bCs w:val="1"/>
                <w:color w:val="231F20"/>
              </w:rPr>
              <w:t>2025</w:t>
            </w:r>
          </w:p>
        </w:tc>
        <w:tc>
          <w:tcPr>
            <w:tcW w:w="20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283"/>
              <w:spacing w:after="0"/>
              <w:rPr>
                <w:sz w:val="20"/>
                <w:szCs w:val="20"/>
                <w:color w:val="auto"/>
              </w:rPr>
            </w:pPr>
            <w:r>
              <w:rPr>
                <w:rFonts w:ascii="Arial" w:cs="Arial" w:eastAsia="Arial" w:hAnsi="Arial"/>
                <w:sz w:val="20"/>
                <w:szCs w:val="20"/>
                <w:b w:val="1"/>
                <w:bCs w:val="1"/>
                <w:color w:val="231F20"/>
              </w:rPr>
              <w:t>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200"/>
              <w:spacing w:after="0"/>
              <w:rPr>
                <w:sz w:val="20"/>
                <w:szCs w:val="20"/>
                <w:color w:val="auto"/>
              </w:rPr>
            </w:pPr>
            <w:r>
              <w:rPr>
                <w:rFonts w:ascii="Arial" w:cs="Arial" w:eastAsia="Arial" w:hAnsi="Arial"/>
                <w:sz w:val="20"/>
                <w:szCs w:val="20"/>
                <w:b w:val="1"/>
                <w:bCs w:val="1"/>
                <w:color w:val="231F20"/>
              </w:rPr>
              <w:t>2023</w:t>
            </w:r>
          </w:p>
        </w:tc>
      </w:tr>
      <w:tr>
        <w:trPr>
          <w:trHeight w:val="232"/>
        </w:trPr>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color w:val="231F20"/>
              </w:rPr>
              <w:t>(in millions)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88"/>
        </w:trPr>
        <w:tc>
          <w:tcPr>
            <w:tcW w:w="200" w:type="dxa"/>
            <w:vAlign w:val="bottom"/>
          </w:tcPr>
          <w:p>
            <w:pPr>
              <w:jc w:val="right"/>
              <w:spacing w:after="0"/>
              <w:rPr>
                <w:sz w:val="20"/>
                <w:szCs w:val="20"/>
                <w:color w:val="auto"/>
              </w:rPr>
            </w:pPr>
            <w:r>
              <w:rPr>
                <w:rFonts w:ascii="Arial" w:cs="Arial" w:eastAsia="Arial" w:hAnsi="Arial"/>
                <w:sz w:val="20"/>
                <w:szCs w:val="20"/>
                <w:color w:val="231F20"/>
                <w:w w:val="89"/>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637</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231F20"/>
              </w:rPr>
              <w:t>2,975</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40"/>
        </w:trPr>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12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231F20"/>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3</w:t>
            </w:r>
          </w:p>
        </w:tc>
      </w:tr>
      <w:tr>
        <w:trPr>
          <w:trHeight w:val="242"/>
        </w:trPr>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296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231F20"/>
              </w:rPr>
              <w:t>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198</w:t>
            </w:r>
          </w:p>
        </w:tc>
      </w:tr>
      <w:tr>
        <w:trPr>
          <w:trHeight w:val="28"/>
        </w:trPr>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72"/>
        </w:trPr>
        <w:tc>
          <w:tcPr>
            <w:tcW w:w="200" w:type="dxa"/>
            <w:vAlign w:val="bottom"/>
          </w:tcPr>
          <w:p>
            <w:pPr>
              <w:jc w:val="right"/>
              <w:spacing w:after="0"/>
              <w:rPr>
                <w:sz w:val="20"/>
                <w:szCs w:val="20"/>
                <w:color w:val="auto"/>
              </w:rPr>
            </w:pPr>
            <w:r>
              <w:rPr>
                <w:rFonts w:ascii="Arial" w:cs="Arial" w:eastAsia="Arial" w:hAnsi="Arial"/>
                <w:sz w:val="20"/>
                <w:szCs w:val="20"/>
                <w:color w:val="231F20"/>
                <w:w w:val="89"/>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945</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color w:val="231F20"/>
              </w:rPr>
              <w:t>$</w:t>
            </w: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231F20"/>
              </w:rPr>
              <w:t>3,184</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201</w:t>
            </w:r>
          </w:p>
        </w:tc>
      </w:tr>
      <w:tr>
        <w:trPr>
          <w:trHeight w:val="28"/>
        </w:trPr>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r>
      <w:tr>
        <w:trPr>
          <w:trHeight w:val="20"/>
        </w:trPr>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r>
    </w:tbl>
    <w:p>
      <w:pPr>
        <w:spacing w:after="0" w:line="53" w:lineRule="exact"/>
        <w:rPr>
          <w:sz w:val="20"/>
          <w:szCs w:val="20"/>
          <w:color w:val="auto"/>
        </w:rPr>
      </w:pPr>
    </w:p>
    <w:p>
      <w:pPr>
        <w:sectPr>
          <w:pgSz w:w="11880" w:h="15480" w:orient="portrait"/>
          <w:cols w:equalWidth="0" w:num="2">
            <w:col w:w="5220" w:space="200"/>
            <w:col w:w="3760"/>
          </w:cols>
          <w:pgMar w:left="1380" w:top="1310" w:right="1320" w:bottom="660" w:gutter="0" w:footer="0" w:header="0"/>
          <w:type w:val="continuous"/>
        </w:sectPr>
      </w:pPr>
    </w:p>
    <w:p>
      <w:pPr>
        <w:ind w:left="480" w:right="200" w:hanging="320"/>
        <w:spacing w:after="0" w:line="258" w:lineRule="auto"/>
        <w:tabs>
          <w:tab w:leader="none" w:pos="480" w:val="left"/>
        </w:tabs>
        <w:numPr>
          <w:ilvl w:val="0"/>
          <w:numId w:val="89"/>
        </w:numPr>
        <w:rPr>
          <w:rFonts w:ascii="Arial" w:cs="Arial" w:eastAsia="Arial" w:hAnsi="Arial"/>
          <w:sz w:val="16"/>
          <w:szCs w:val="16"/>
          <w:color w:val="231F20"/>
        </w:rPr>
      </w:pPr>
      <w:r>
        <w:rPr>
          <w:rFonts w:ascii="Arial" w:cs="Arial" w:eastAsia="Arial" w:hAnsi="Arial"/>
          <w:sz w:val="16"/>
          <w:szCs w:val="16"/>
          <w:color w:val="231F20"/>
        </w:rPr>
        <w:t>Development costs include a $238 million decrease, $28 million decrease and $44 million increase in ARO (including assets held for sale) in 2025, 2024 and 2023, respectively. Development costs in 2025 include $6 million related to installing carbon capture infrastructure at our Elk Hills gas processing facility. The remaining $45 million related to facility construction in 2024 and 2025 is included in our carbon management business.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217" w:lineRule="exact"/>
        <w:rPr>
          <w:sz w:val="20"/>
          <w:szCs w:val="20"/>
          <w:color w:val="auto"/>
        </w:rPr>
      </w:pPr>
    </w:p>
    <w:p>
      <w:pPr>
        <w:ind w:right="760" w:firstLine="300"/>
        <w:spacing w:after="0" w:line="243" w:lineRule="auto"/>
        <w:rPr>
          <w:sz w:val="20"/>
          <w:szCs w:val="20"/>
          <w:color w:val="auto"/>
        </w:rPr>
      </w:pPr>
      <w:r>
        <w:rPr>
          <w:rFonts w:ascii="Arial" w:cs="Arial" w:eastAsia="Arial" w:hAnsi="Arial"/>
          <w:sz w:val="20"/>
          <w:szCs w:val="20"/>
          <w:color w:val="231F20"/>
        </w:rPr>
        <w:t>Our oil and natural gas producing activities, which exclude items such as asset dispositions, corporate overhead and interest,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10"/>
          </w:tcPr>
          <w:p>
            <w:pPr>
              <w:jc w:val="right"/>
              <w:ind w:right="880"/>
              <w:spacing w:after="0"/>
              <w:rPr>
                <w:sz w:val="20"/>
                <w:szCs w:val="20"/>
                <w:color w:val="auto"/>
              </w:rPr>
            </w:pPr>
            <w:r>
              <w:rPr>
                <w:rFonts w:ascii="Arial" w:cs="Arial" w:eastAsia="Arial" w:hAnsi="Arial"/>
                <w:sz w:val="18"/>
                <w:szCs w:val="18"/>
                <w:b w:val="1"/>
                <w:bCs w:val="1"/>
                <w:color w:val="231F20"/>
              </w:rPr>
              <w:t>Year ended December 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gridSpan w:val="2"/>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231F20"/>
              </w:rPr>
              <w:t>2025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231F20"/>
              </w:rPr>
              <w:t>2024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231F20"/>
              </w:rPr>
              <w:t>2023</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231F20"/>
              </w:rPr>
              <w:t>(millions)</w:t>
            </w:r>
          </w:p>
        </w:tc>
        <w:tc>
          <w:tcPr>
            <w:tcW w:w="10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231F20"/>
                <w:w w:val="95"/>
              </w:rPr>
              <w:t>($/Boe)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231F20"/>
              </w:rPr>
              <w:t>(millions)</w:t>
            </w:r>
          </w:p>
        </w:tc>
        <w:tc>
          <w:tcPr>
            <w:tcW w:w="100" w:type="dxa"/>
            <w:vAlign w:val="bottom"/>
          </w:tcPr>
          <w:p>
            <w:pPr>
              <w:spacing w:after="0"/>
              <w:rPr>
                <w:sz w:val="16"/>
                <w:szCs w:val="16"/>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6"/>
                <w:szCs w:val="16"/>
                <w:color w:val="231F20"/>
                <w:w w:val="95"/>
              </w:rPr>
              <w:t>($/Boe)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231F20"/>
              </w:rPr>
              <w:t>(millions)</w:t>
            </w:r>
          </w:p>
        </w:tc>
        <w:tc>
          <w:tcPr>
            <w:tcW w:w="100" w:type="dxa"/>
            <w:vAlign w:val="bottom"/>
          </w:tcPr>
          <w:p>
            <w:pPr>
              <w:spacing w:after="0"/>
              <w:rPr>
                <w:sz w:val="16"/>
                <w:szCs w:val="16"/>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6"/>
                <w:szCs w:val="16"/>
                <w:color w:val="231F20"/>
                <w:w w:val="95"/>
              </w:rPr>
              <w:t>($/Boe)</w:t>
            </w:r>
          </w:p>
        </w:tc>
        <w:tc>
          <w:tcPr>
            <w:tcW w:w="0" w:type="dxa"/>
            <w:vAlign w:val="bottom"/>
          </w:tcPr>
          <w:p>
            <w:pPr>
              <w:spacing w:after="0"/>
              <w:rPr>
                <w:sz w:val="1"/>
                <w:szCs w:val="1"/>
                <w:color w:val="auto"/>
              </w:rPr>
            </w:pPr>
          </w:p>
        </w:tc>
      </w:tr>
      <w:tr>
        <w:trPr>
          <w:trHeight w:val="224"/>
        </w:trPr>
        <w:tc>
          <w:tcPr>
            <w:tcW w:w="3740" w:type="dxa"/>
            <w:vAlign w:val="bottom"/>
          </w:tcPr>
          <w:p>
            <w:pPr>
              <w:jc w:val="right"/>
              <w:ind w:right="589"/>
              <w:spacing w:after="0"/>
              <w:rPr>
                <w:sz w:val="20"/>
                <w:szCs w:val="20"/>
                <w:color w:val="auto"/>
              </w:rPr>
            </w:pPr>
            <w:r>
              <w:rPr>
                <w:rFonts w:ascii="Arial" w:cs="Arial" w:eastAsia="Arial" w:hAnsi="Arial"/>
                <w:sz w:val="18"/>
                <w:szCs w:val="18"/>
                <w:color w:val="231F20"/>
                <w:w w:val="99"/>
              </w:rPr>
              <w:t>Oil, natural gas and natural gas liquids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tcPr>
          <w:p>
            <w:pPr>
              <w:jc w:val="right"/>
              <w:ind w:right="109"/>
              <w:spacing w:after="0"/>
              <w:rPr>
                <w:sz w:val="20"/>
                <w:szCs w:val="20"/>
                <w:color w:val="auto"/>
              </w:rPr>
            </w:pPr>
            <w:r>
              <w:rPr>
                <w:rFonts w:ascii="Arial" w:cs="Arial" w:eastAsia="Arial" w:hAnsi="Arial"/>
                <w:sz w:val="18"/>
                <w:szCs w:val="18"/>
                <w:color w:val="231F20"/>
              </w:rPr>
              <w:t>sales  . . . . . . . . . . . . . . . . . . . . . . . . . . . . . .</w:t>
            </w:r>
          </w:p>
        </w:tc>
        <w:tc>
          <w:tcPr>
            <w:tcW w:w="740" w:type="dxa"/>
            <w:vAlign w:val="bottom"/>
          </w:tcPr>
          <w:p>
            <w:pPr>
              <w:jc w:val="right"/>
              <w:spacing w:after="0"/>
              <w:rPr>
                <w:sz w:val="20"/>
                <w:szCs w:val="20"/>
                <w:color w:val="auto"/>
              </w:rPr>
            </w:pPr>
            <w:r>
              <w:rPr>
                <w:rFonts w:ascii="Arial" w:cs="Arial" w:eastAsia="Arial" w:hAnsi="Arial"/>
                <w:sz w:val="18"/>
                <w:szCs w:val="18"/>
                <w:color w:val="231F20"/>
              </w:rPr>
              <w:t>$  2,910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231F20"/>
              </w:rPr>
              <w:t>57.79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  2,537</w:t>
            </w:r>
          </w:p>
        </w:tc>
        <w:tc>
          <w:tcPr>
            <w:tcW w:w="10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231F20"/>
              </w:rPr>
              <w:t>63.27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  2,041</w:t>
            </w:r>
          </w:p>
        </w:tc>
        <w:tc>
          <w:tcPr>
            <w:tcW w:w="10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231F20"/>
              </w:rPr>
              <w:t>65.15</w:t>
            </w:r>
          </w:p>
        </w:tc>
        <w:tc>
          <w:tcPr>
            <w:tcW w:w="0" w:type="dxa"/>
            <w:vAlign w:val="bottom"/>
          </w:tcPr>
          <w:p>
            <w:pPr>
              <w:spacing w:after="0"/>
              <w:rPr>
                <w:sz w:val="1"/>
                <w:szCs w:val="1"/>
                <w:color w:val="auto"/>
              </w:rPr>
            </w:pPr>
          </w:p>
        </w:tc>
      </w:tr>
      <w:tr>
        <w:trPr>
          <w:trHeight w:val="220"/>
        </w:trPr>
        <w:tc>
          <w:tcPr>
            <w:tcW w:w="3740" w:type="dxa"/>
            <w:vAlign w:val="bottom"/>
          </w:tcPr>
          <w:p>
            <w:pPr>
              <w:jc w:val="right"/>
              <w:ind w:right="109"/>
              <w:spacing w:after="0"/>
              <w:rPr>
                <w:sz w:val="20"/>
                <w:szCs w:val="20"/>
                <w:color w:val="auto"/>
              </w:rPr>
            </w:pPr>
            <w:r>
              <w:rPr>
                <w:rFonts w:ascii="Arial" w:cs="Arial" w:eastAsia="Arial" w:hAnsi="Arial"/>
                <w:sz w:val="18"/>
                <w:szCs w:val="18"/>
                <w:color w:val="231F20"/>
                <w:w w:val="96"/>
              </w:rPr>
              <w:t>Other revenue . . . . . . . . . . . . . . . . . . . . . . . . .</w:t>
            </w:r>
          </w:p>
        </w:tc>
        <w:tc>
          <w:tcPr>
            <w:tcW w:w="740" w:type="dxa"/>
            <w:vAlign w:val="bottom"/>
          </w:tcPr>
          <w:p>
            <w:pPr>
              <w:jc w:val="right"/>
              <w:spacing w:after="0"/>
              <w:rPr>
                <w:sz w:val="20"/>
                <w:szCs w:val="20"/>
                <w:color w:val="auto"/>
              </w:rPr>
            </w:pPr>
            <w:r>
              <w:rPr>
                <w:rFonts w:ascii="Arial" w:cs="Arial" w:eastAsia="Arial" w:hAnsi="Arial"/>
                <w:sz w:val="18"/>
                <w:szCs w:val="18"/>
                <w:color w:val="231F20"/>
              </w:rPr>
              <w:t>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231F20"/>
              </w:rPr>
              <w:t>0.20</w:t>
            </w:r>
          </w:p>
        </w:tc>
        <w:tc>
          <w:tcPr>
            <w:tcW w:w="740" w:type="dxa"/>
            <w:vAlign w:val="bottom"/>
          </w:tcPr>
          <w:p>
            <w:pPr>
              <w:jc w:val="right"/>
              <w:spacing w:after="0"/>
              <w:rPr>
                <w:sz w:val="20"/>
                <w:szCs w:val="20"/>
                <w:color w:val="auto"/>
              </w:rPr>
            </w:pPr>
            <w:r>
              <w:rPr>
                <w:rFonts w:ascii="Arial" w:cs="Arial" w:eastAsia="Arial" w:hAnsi="Arial"/>
                <w:sz w:val="18"/>
                <w:szCs w:val="18"/>
                <w:color w:val="231F20"/>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231F20"/>
              </w:rPr>
              <w:t>0.17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17</w:t>
            </w: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231F20"/>
              </w:rPr>
              <w:t>0.54</w:t>
            </w:r>
          </w:p>
        </w:tc>
        <w:tc>
          <w:tcPr>
            <w:tcW w:w="0" w:type="dxa"/>
            <w:vAlign w:val="bottom"/>
          </w:tcPr>
          <w:p>
            <w:pPr>
              <w:spacing w:after="0"/>
              <w:rPr>
                <w:sz w:val="1"/>
                <w:szCs w:val="1"/>
                <w:color w:val="auto"/>
              </w:rPr>
            </w:pPr>
          </w:p>
        </w:tc>
      </w:tr>
      <w:tr>
        <w:trPr>
          <w:trHeight w:val="220"/>
        </w:trPr>
        <w:tc>
          <w:tcPr>
            <w:tcW w:w="3740" w:type="dxa"/>
            <w:vAlign w:val="bottom"/>
          </w:tcPr>
          <w:p>
            <w:pPr>
              <w:jc w:val="right"/>
              <w:ind w:right="109"/>
              <w:spacing w:after="0"/>
              <w:rPr>
                <w:sz w:val="20"/>
                <w:szCs w:val="20"/>
                <w:color w:val="auto"/>
              </w:rPr>
            </w:pPr>
            <w:r>
              <w:rPr>
                <w:rFonts w:ascii="Arial" w:cs="Arial" w:eastAsia="Arial" w:hAnsi="Arial"/>
                <w:sz w:val="18"/>
                <w:szCs w:val="18"/>
                <w:color w:val="231F20"/>
                <w:w w:val="97"/>
              </w:rPr>
              <w:t>Intersegment revenues  . . . . . . . . . . . . . . . . .</w:t>
            </w:r>
          </w:p>
        </w:tc>
        <w:tc>
          <w:tcPr>
            <w:tcW w:w="740" w:type="dxa"/>
            <w:vAlign w:val="bottom"/>
          </w:tcPr>
          <w:p>
            <w:pPr>
              <w:jc w:val="right"/>
              <w:spacing w:after="0"/>
              <w:rPr>
                <w:sz w:val="20"/>
                <w:szCs w:val="20"/>
                <w:color w:val="auto"/>
              </w:rPr>
            </w:pPr>
            <w:r>
              <w:rPr>
                <w:rFonts w:ascii="Arial" w:cs="Arial" w:eastAsia="Arial" w:hAnsi="Arial"/>
                <w:sz w:val="18"/>
                <w:szCs w:val="18"/>
                <w:color w:val="231F20"/>
              </w:rPr>
              <w:t>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231F20"/>
              </w:rPr>
              <w:t>0.93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28</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231F20"/>
              </w:rPr>
              <w:t>0.70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114</w:t>
            </w: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231F20"/>
              </w:rPr>
              <w:t>3.64</w:t>
            </w:r>
          </w:p>
        </w:tc>
        <w:tc>
          <w:tcPr>
            <w:tcW w:w="0" w:type="dxa"/>
            <w:vAlign w:val="bottom"/>
          </w:tcPr>
          <w:p>
            <w:pPr>
              <w:spacing w:after="0"/>
              <w:rPr>
                <w:sz w:val="1"/>
                <w:szCs w:val="1"/>
                <w:color w:val="auto"/>
              </w:rPr>
            </w:pPr>
          </w:p>
        </w:tc>
      </w:tr>
      <w:tr>
        <w:trPr>
          <w:trHeight w:val="220"/>
        </w:trPr>
        <w:tc>
          <w:tcPr>
            <w:tcW w:w="3740" w:type="dxa"/>
            <w:vAlign w:val="bottom"/>
          </w:tcPr>
          <w:p>
            <w:pPr>
              <w:jc w:val="right"/>
              <w:ind w:right="109"/>
              <w:spacing w:after="0"/>
              <w:rPr>
                <w:sz w:val="20"/>
                <w:szCs w:val="20"/>
                <w:color w:val="auto"/>
              </w:rPr>
            </w:pPr>
            <w:r>
              <w:rPr>
                <w:rFonts w:ascii="Arial" w:cs="Arial" w:eastAsia="Arial" w:hAnsi="Arial"/>
                <w:sz w:val="18"/>
                <w:szCs w:val="18"/>
                <w:color w:val="231F20"/>
                <w:w w:val="96"/>
              </w:rPr>
              <w:t>Operating costs . . . . . . . . . . . . . . . . . . . . . . . .</w:t>
            </w:r>
          </w:p>
        </w:tc>
        <w:tc>
          <w:tcPr>
            <w:tcW w:w="740" w:type="dxa"/>
            <w:vAlign w:val="bottom"/>
          </w:tcPr>
          <w:p>
            <w:pPr>
              <w:jc w:val="right"/>
              <w:spacing w:after="0"/>
              <w:rPr>
                <w:sz w:val="20"/>
                <w:szCs w:val="20"/>
                <w:color w:val="auto"/>
              </w:rPr>
            </w:pPr>
            <w:r>
              <w:rPr>
                <w:rFonts w:ascii="Arial" w:cs="Arial" w:eastAsia="Arial" w:hAnsi="Arial"/>
                <w:sz w:val="18"/>
                <w:szCs w:val="18"/>
                <w:color w:val="231F20"/>
              </w:rPr>
              <w:t>1,280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231F20"/>
              </w:rPr>
              <w:t>25.42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983</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231F20"/>
              </w:rPr>
              <w:t>24.51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822</w:t>
            </w: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231F20"/>
              </w:rPr>
              <w:t>26.24</w:t>
            </w:r>
          </w:p>
        </w:tc>
        <w:tc>
          <w:tcPr>
            <w:tcW w:w="0" w:type="dxa"/>
            <w:vAlign w:val="bottom"/>
          </w:tcPr>
          <w:p>
            <w:pPr>
              <w:spacing w:after="0"/>
              <w:rPr>
                <w:sz w:val="1"/>
                <w:szCs w:val="1"/>
                <w:color w:val="auto"/>
              </w:rPr>
            </w:pPr>
          </w:p>
        </w:tc>
      </w:tr>
      <w:tr>
        <w:trPr>
          <w:trHeight w:val="220"/>
        </w:trPr>
        <w:tc>
          <w:tcPr>
            <w:tcW w:w="3740" w:type="dxa"/>
            <w:vAlign w:val="bottom"/>
          </w:tcPr>
          <w:p>
            <w:pPr>
              <w:jc w:val="right"/>
              <w:ind w:right="109"/>
              <w:spacing w:after="0"/>
              <w:rPr>
                <w:sz w:val="20"/>
                <w:szCs w:val="20"/>
                <w:color w:val="auto"/>
              </w:rPr>
            </w:pPr>
            <w:r>
              <w:rPr>
                <w:rFonts w:ascii="Arial" w:cs="Arial" w:eastAsia="Arial" w:hAnsi="Arial"/>
                <w:sz w:val="18"/>
                <w:szCs w:val="18"/>
                <w:color w:val="231F20"/>
                <w:w w:val="99"/>
              </w:rPr>
              <w:t>Depreciation, depletion and amortization . . .</w:t>
            </w:r>
          </w:p>
        </w:tc>
        <w:tc>
          <w:tcPr>
            <w:tcW w:w="740" w:type="dxa"/>
            <w:vAlign w:val="bottom"/>
          </w:tcPr>
          <w:p>
            <w:pPr>
              <w:jc w:val="right"/>
              <w:spacing w:after="0"/>
              <w:rPr>
                <w:sz w:val="20"/>
                <w:szCs w:val="20"/>
                <w:color w:val="auto"/>
              </w:rPr>
            </w:pPr>
            <w:r>
              <w:rPr>
                <w:rFonts w:ascii="Arial" w:cs="Arial" w:eastAsia="Arial" w:hAnsi="Arial"/>
                <w:sz w:val="18"/>
                <w:szCs w:val="18"/>
                <w:color w:val="231F20"/>
              </w:rPr>
              <w:t>492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231F20"/>
              </w:rPr>
              <w:t>9.77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354</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231F20"/>
              </w:rPr>
              <w:t>8.83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207</w:t>
            </w: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231F20"/>
              </w:rPr>
              <w:t>6.61</w:t>
            </w:r>
          </w:p>
        </w:tc>
        <w:tc>
          <w:tcPr>
            <w:tcW w:w="0" w:type="dxa"/>
            <w:vAlign w:val="bottom"/>
          </w:tcPr>
          <w:p>
            <w:pPr>
              <w:spacing w:after="0"/>
              <w:rPr>
                <w:sz w:val="1"/>
                <w:szCs w:val="1"/>
                <w:color w:val="auto"/>
              </w:rPr>
            </w:pPr>
          </w:p>
        </w:tc>
      </w:tr>
      <w:tr>
        <w:trPr>
          <w:trHeight w:val="220"/>
        </w:trPr>
        <w:tc>
          <w:tcPr>
            <w:tcW w:w="3740" w:type="dxa"/>
            <w:vAlign w:val="bottom"/>
          </w:tcPr>
          <w:p>
            <w:pPr>
              <w:jc w:val="right"/>
              <w:ind w:right="109"/>
              <w:spacing w:after="0"/>
              <w:rPr>
                <w:sz w:val="20"/>
                <w:szCs w:val="20"/>
                <w:color w:val="auto"/>
              </w:rPr>
            </w:pPr>
            <w:r>
              <w:rPr>
                <w:rFonts w:ascii="Arial" w:cs="Arial" w:eastAsia="Arial" w:hAnsi="Arial"/>
                <w:sz w:val="18"/>
                <w:szCs w:val="18"/>
                <w:color w:val="231F20"/>
                <w:w w:val="98"/>
              </w:rPr>
              <w:t>Taxes other than on income  . . . . . . . . . . . . .</w:t>
            </w:r>
          </w:p>
        </w:tc>
        <w:tc>
          <w:tcPr>
            <w:tcW w:w="740" w:type="dxa"/>
            <w:vAlign w:val="bottom"/>
          </w:tcPr>
          <w:p>
            <w:pPr>
              <w:jc w:val="right"/>
              <w:spacing w:after="0"/>
              <w:rPr>
                <w:sz w:val="20"/>
                <w:szCs w:val="20"/>
                <w:color w:val="auto"/>
              </w:rPr>
            </w:pPr>
            <w:r>
              <w:rPr>
                <w:rFonts w:ascii="Arial" w:cs="Arial" w:eastAsia="Arial" w:hAnsi="Arial"/>
                <w:sz w:val="18"/>
                <w:szCs w:val="18"/>
                <w:color w:val="231F20"/>
              </w:rPr>
              <w:t>203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231F20"/>
              </w:rPr>
              <w:t>4.03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207</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231F20"/>
              </w:rPr>
              <w:t>5.16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113</w:t>
            </w: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231F20"/>
              </w:rPr>
              <w:t>3.61</w:t>
            </w:r>
          </w:p>
        </w:tc>
        <w:tc>
          <w:tcPr>
            <w:tcW w:w="0" w:type="dxa"/>
            <w:vAlign w:val="bottom"/>
          </w:tcPr>
          <w:p>
            <w:pPr>
              <w:spacing w:after="0"/>
              <w:rPr>
                <w:sz w:val="1"/>
                <w:szCs w:val="1"/>
                <w:color w:val="auto"/>
              </w:rPr>
            </w:pPr>
          </w:p>
        </w:tc>
      </w:tr>
      <w:tr>
        <w:trPr>
          <w:trHeight w:val="220"/>
        </w:trPr>
        <w:tc>
          <w:tcPr>
            <w:tcW w:w="3740" w:type="dxa"/>
            <w:vAlign w:val="bottom"/>
          </w:tcPr>
          <w:p>
            <w:pPr>
              <w:jc w:val="right"/>
              <w:ind w:right="109"/>
              <w:spacing w:after="0"/>
              <w:rPr>
                <w:sz w:val="20"/>
                <w:szCs w:val="20"/>
                <w:color w:val="auto"/>
              </w:rPr>
            </w:pPr>
            <w:r>
              <w:rPr>
                <w:rFonts w:ascii="Arial" w:cs="Arial" w:eastAsia="Arial" w:hAnsi="Arial"/>
                <w:sz w:val="18"/>
                <w:szCs w:val="18"/>
                <w:color w:val="231F20"/>
                <w:w w:val="96"/>
              </w:rPr>
              <w:t>Asset impairment  . . . . . . . . . . . . . . . . . . . . . .</w:t>
            </w:r>
          </w:p>
        </w:tc>
        <w:tc>
          <w:tcPr>
            <w:tcW w:w="740" w:type="dxa"/>
            <w:vAlign w:val="bottom"/>
          </w:tcPr>
          <w:p>
            <w:pPr>
              <w:jc w:val="right"/>
              <w:spacing w:after="0"/>
              <w:rPr>
                <w:sz w:val="20"/>
                <w:szCs w:val="20"/>
                <w:color w:val="auto"/>
              </w:rPr>
            </w:pPr>
            <w:r>
              <w:rPr>
                <w:rFonts w:ascii="Arial" w:cs="Arial" w:eastAsia="Arial" w:hAnsi="Arial"/>
                <w:sz w:val="18"/>
                <w:szCs w:val="18"/>
                <w:color w:val="231F20"/>
              </w:rPr>
              <w:t>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231F20"/>
              </w:rPr>
              <w:t>1.13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13</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231F20"/>
              </w:rPr>
              <w:t>0.32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0"/>
        </w:trPr>
        <w:tc>
          <w:tcPr>
            <w:tcW w:w="3740" w:type="dxa"/>
            <w:vAlign w:val="bottom"/>
          </w:tcPr>
          <w:p>
            <w:pPr>
              <w:jc w:val="right"/>
              <w:ind w:right="109"/>
              <w:spacing w:after="0"/>
              <w:rPr>
                <w:sz w:val="20"/>
                <w:szCs w:val="20"/>
                <w:color w:val="auto"/>
              </w:rPr>
            </w:pPr>
            <w:r>
              <w:rPr>
                <w:rFonts w:ascii="Arial" w:cs="Arial" w:eastAsia="Arial" w:hAnsi="Arial"/>
                <w:sz w:val="18"/>
                <w:szCs w:val="18"/>
                <w:color w:val="231F20"/>
                <w:w w:val="97"/>
              </w:rPr>
              <w:t>Exploration expenses . . . . . . . . . . . . . . . . . . .</w:t>
            </w:r>
          </w:p>
        </w:tc>
        <w:tc>
          <w:tcPr>
            <w:tcW w:w="740" w:type="dxa"/>
            <w:vAlign w:val="bottom"/>
          </w:tcPr>
          <w:p>
            <w:pPr>
              <w:jc w:val="right"/>
              <w:spacing w:after="0"/>
              <w:rPr>
                <w:sz w:val="20"/>
                <w:szCs w:val="20"/>
                <w:color w:val="auto"/>
              </w:rPr>
            </w:pPr>
            <w:r>
              <w:rPr>
                <w:rFonts w:ascii="Arial" w:cs="Arial" w:eastAsia="Arial" w:hAnsi="Arial"/>
                <w:sz w:val="18"/>
                <w:szCs w:val="18"/>
                <w:color w:val="231F20"/>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231F20"/>
              </w:rPr>
              <w:t>0.04</w:t>
            </w:r>
          </w:p>
        </w:tc>
        <w:tc>
          <w:tcPr>
            <w:tcW w:w="740" w:type="dxa"/>
            <w:vAlign w:val="bottom"/>
          </w:tcPr>
          <w:p>
            <w:pPr>
              <w:jc w:val="right"/>
              <w:spacing w:after="0"/>
              <w:rPr>
                <w:sz w:val="20"/>
                <w:szCs w:val="20"/>
                <w:color w:val="auto"/>
              </w:rPr>
            </w:pPr>
            <w:r>
              <w:rPr>
                <w:rFonts w:ascii="Arial" w:cs="Arial" w:eastAsia="Arial" w:hAnsi="Arial"/>
                <w:sz w:val="18"/>
                <w:szCs w:val="18"/>
                <w:color w:val="231F20"/>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231F20"/>
              </w:rPr>
              <w:t>0.05</w:t>
            </w:r>
          </w:p>
        </w:tc>
        <w:tc>
          <w:tcPr>
            <w:tcW w:w="740" w:type="dxa"/>
            <w:vAlign w:val="bottom"/>
          </w:tcPr>
          <w:p>
            <w:pPr>
              <w:jc w:val="right"/>
              <w:spacing w:after="0"/>
              <w:rPr>
                <w:sz w:val="20"/>
                <w:szCs w:val="20"/>
                <w:color w:val="auto"/>
              </w:rPr>
            </w:pPr>
            <w:r>
              <w:rPr>
                <w:rFonts w:ascii="Arial" w:cs="Arial" w:eastAsia="Arial" w:hAnsi="Arial"/>
                <w:sz w:val="18"/>
                <w:szCs w:val="18"/>
                <w:color w:val="231F20"/>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231F20"/>
              </w:rPr>
              <w:t>0.10</w:t>
            </w:r>
          </w:p>
        </w:tc>
        <w:tc>
          <w:tcPr>
            <w:tcW w:w="0" w:type="dxa"/>
            <w:vAlign w:val="bottom"/>
          </w:tcPr>
          <w:p>
            <w:pPr>
              <w:spacing w:after="0"/>
              <w:rPr>
                <w:sz w:val="1"/>
                <w:szCs w:val="1"/>
                <w:color w:val="auto"/>
              </w:rPr>
            </w:pPr>
          </w:p>
        </w:tc>
      </w:tr>
      <w:tr>
        <w:trPr>
          <w:trHeight w:val="34"/>
        </w:trPr>
        <w:tc>
          <w:tcPr>
            <w:tcW w:w="3740" w:type="dxa"/>
            <w:vAlign w:val="bottom"/>
            <w:vMerge w:val="restart"/>
          </w:tcPr>
          <w:p>
            <w:pPr>
              <w:jc w:val="right"/>
              <w:ind w:right="109"/>
              <w:spacing w:after="0"/>
              <w:rPr>
                <w:sz w:val="20"/>
                <w:szCs w:val="20"/>
                <w:color w:val="auto"/>
              </w:rPr>
            </w:pPr>
            <w:r>
              <w:rPr>
                <w:rFonts w:ascii="Arial" w:cs="Arial" w:eastAsia="Arial" w:hAnsi="Arial"/>
                <w:sz w:val="18"/>
                <w:szCs w:val="18"/>
                <w:b w:val="1"/>
                <w:bCs w:val="1"/>
                <w:color w:val="231F20"/>
                <w:w w:val="96"/>
              </w:rPr>
              <w:t xml:space="preserve">Pretax income </w:t>
            </w:r>
            <w:r>
              <w:rPr>
                <w:rFonts w:ascii="Arial" w:cs="Arial" w:eastAsia="Arial" w:hAnsi="Arial"/>
                <w:sz w:val="18"/>
                <w:szCs w:val="18"/>
                <w:color w:val="231F20"/>
                <w:w w:val="96"/>
              </w:rPr>
              <w:t>. . . . . . . . . . . . . . . . . . . . . . . .</w:t>
            </w: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0" w:type="dxa"/>
            <w:vAlign w:val="bottom"/>
            <w:gridSpan w:val="2"/>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3740" w:type="dxa"/>
            <w:vAlign w:val="bottom"/>
            <w:vMerge w:val="continue"/>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933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231F20"/>
              </w:rPr>
              <w:t>18.53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1,013</w:t>
            </w:r>
          </w:p>
        </w:tc>
        <w:tc>
          <w:tcPr>
            <w:tcW w:w="10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231F20"/>
              </w:rPr>
              <w:t>25.27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231F20"/>
              </w:rPr>
              <w:t>1,027</w:t>
            </w:r>
          </w:p>
        </w:tc>
        <w:tc>
          <w:tcPr>
            <w:tcW w:w="10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231F20"/>
              </w:rPr>
              <w:t>32.77</w:t>
            </w:r>
          </w:p>
        </w:tc>
        <w:tc>
          <w:tcPr>
            <w:tcW w:w="0" w:type="dxa"/>
            <w:vAlign w:val="bottom"/>
          </w:tcPr>
          <w:p>
            <w:pPr>
              <w:spacing w:after="0"/>
              <w:rPr>
                <w:sz w:val="1"/>
                <w:szCs w:val="1"/>
                <w:color w:val="auto"/>
              </w:rPr>
            </w:pPr>
          </w:p>
        </w:tc>
      </w:tr>
      <w:tr>
        <w:trPr>
          <w:trHeight w:val="254"/>
        </w:trPr>
        <w:tc>
          <w:tcPr>
            <w:tcW w:w="3740" w:type="dxa"/>
            <w:vAlign w:val="bottom"/>
          </w:tcPr>
          <w:p>
            <w:pPr>
              <w:jc w:val="right"/>
              <w:ind w:right="109"/>
              <w:spacing w:after="0" w:line="254" w:lineRule="exact"/>
              <w:rPr>
                <w:sz w:val="20"/>
                <w:szCs w:val="20"/>
                <w:color w:val="auto"/>
              </w:rPr>
            </w:pPr>
            <w:r>
              <w:rPr>
                <w:rFonts w:ascii="Arial" w:cs="Arial" w:eastAsia="Arial" w:hAnsi="Arial"/>
                <w:sz w:val="18"/>
                <w:szCs w:val="18"/>
                <w:color w:val="231F20"/>
                <w:w w:val="95"/>
              </w:rPr>
              <w:t>Income tax provision</w:t>
            </w:r>
            <w:r>
              <w:rPr>
                <w:rFonts w:ascii="Arial" w:cs="Arial" w:eastAsia="Arial" w:hAnsi="Arial"/>
                <w:sz w:val="23"/>
                <w:szCs w:val="23"/>
                <w:color w:val="231F20"/>
                <w:w w:val="95"/>
                <w:vertAlign w:val="superscript"/>
              </w:rPr>
              <w:t>(a)</w:t>
            </w:r>
            <w:r>
              <w:rPr>
                <w:rFonts w:ascii="Arial" w:cs="Arial" w:eastAsia="Arial" w:hAnsi="Arial"/>
                <w:sz w:val="18"/>
                <w:szCs w:val="18"/>
                <w:color w:val="231F20"/>
                <w:w w:val="95"/>
              </w:rPr>
              <w:t xml:space="preserve">  . . . . . . . . . . . . . . . . . .</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231F20"/>
              </w:rPr>
              <w:t>(249)</w:t>
            </w: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231F20"/>
              </w:rPr>
              <w:t>(4.94)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231F20"/>
              </w:rPr>
              <w:t>(268)</w:t>
            </w:r>
          </w:p>
        </w:tc>
        <w:tc>
          <w:tcPr>
            <w:tcW w:w="100" w:type="dxa"/>
            <w:vAlign w:val="bottom"/>
          </w:tcPr>
          <w:p>
            <w:pPr>
              <w:spacing w:after="0"/>
              <w:rPr>
                <w:sz w:val="22"/>
                <w:szCs w:val="2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231F20"/>
              </w:rPr>
              <w:t>(6.69)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231F20"/>
              </w:rPr>
              <w:t>(286)</w:t>
            </w:r>
          </w:p>
        </w:tc>
        <w:tc>
          <w:tcPr>
            <w:tcW w:w="10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231F20"/>
              </w:rPr>
              <w:t>(9.12)</w:t>
            </w:r>
          </w:p>
        </w:tc>
        <w:tc>
          <w:tcPr>
            <w:tcW w:w="0" w:type="dxa"/>
            <w:vAlign w:val="bottom"/>
          </w:tcPr>
          <w:p>
            <w:pPr>
              <w:spacing w:after="0"/>
              <w:rPr>
                <w:sz w:val="1"/>
                <w:szCs w:val="1"/>
                <w:color w:val="auto"/>
              </w:rPr>
            </w:pPr>
          </w:p>
        </w:tc>
      </w:tr>
      <w:tr>
        <w:trPr>
          <w:trHeight w:val="20"/>
        </w:trPr>
        <w:tc>
          <w:tcPr>
            <w:tcW w:w="3740" w:type="dxa"/>
            <w:vAlign w:val="bottom"/>
            <w:vMerge w:val="restart"/>
          </w:tcPr>
          <w:p>
            <w:pPr>
              <w:jc w:val="right"/>
              <w:ind w:right="109"/>
              <w:spacing w:after="0"/>
              <w:rPr>
                <w:sz w:val="20"/>
                <w:szCs w:val="20"/>
                <w:color w:val="auto"/>
              </w:rPr>
            </w:pPr>
            <w:r>
              <w:rPr>
                <w:rFonts w:ascii="Arial" w:cs="Arial" w:eastAsia="Arial" w:hAnsi="Arial"/>
                <w:sz w:val="20"/>
                <w:szCs w:val="20"/>
                <w:b w:val="1"/>
                <w:bCs w:val="1"/>
                <w:color w:val="231F20"/>
                <w:w w:val="97"/>
              </w:rPr>
              <w:t xml:space="preserve">Results of operations </w:t>
            </w:r>
            <w:r>
              <w:rPr>
                <w:rFonts w:ascii="Arial" w:cs="Arial" w:eastAsia="Arial" w:hAnsi="Arial"/>
                <w:sz w:val="20"/>
                <w:szCs w:val="20"/>
                <w:color w:val="231F20"/>
                <w:w w:val="97"/>
              </w:rPr>
              <w:t>. . . . . . . . . . . . . .</w:t>
            </w:r>
          </w:p>
        </w:tc>
        <w:tc>
          <w:tcPr>
            <w:tcW w:w="7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vMerge w:val="continue"/>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231F20"/>
              </w:rPr>
              <w:t>$684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20"/>
                <w:szCs w:val="20"/>
                <w:color w:val="231F20"/>
                <w:w w:val="98"/>
              </w:rPr>
              <w:t>$13.59</w:t>
            </w: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231F20"/>
              </w:rPr>
              <w:t>$745</w:t>
            </w:r>
          </w:p>
        </w:tc>
        <w:tc>
          <w:tcPr>
            <w:tcW w:w="100" w:type="dxa"/>
            <w:vAlign w:val="bottom"/>
          </w:tcPr>
          <w:p>
            <w:pPr>
              <w:spacing w:after="0"/>
              <w:rPr>
                <w:sz w:val="23"/>
                <w:szCs w:val="23"/>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20"/>
                <w:szCs w:val="20"/>
                <w:color w:val="231F20"/>
                <w:w w:val="98"/>
              </w:rPr>
              <w:t>$18.58</w:t>
            </w:r>
          </w:p>
        </w:tc>
        <w:tc>
          <w:tcPr>
            <w:tcW w:w="940" w:type="dxa"/>
            <w:vAlign w:val="bottom"/>
            <w:gridSpan w:val="2"/>
          </w:tcPr>
          <w:p>
            <w:pPr>
              <w:jc w:val="right"/>
              <w:ind w:right="200"/>
              <w:spacing w:after="0"/>
              <w:rPr>
                <w:sz w:val="20"/>
                <w:szCs w:val="20"/>
                <w:color w:val="auto"/>
              </w:rPr>
            </w:pPr>
            <w:r>
              <w:rPr>
                <w:rFonts w:ascii="Arial" w:cs="Arial" w:eastAsia="Arial" w:hAnsi="Arial"/>
                <w:sz w:val="20"/>
                <w:szCs w:val="20"/>
                <w:color w:val="231F20"/>
              </w:rPr>
              <w:t>$741</w:t>
            </w:r>
          </w:p>
        </w:tc>
        <w:tc>
          <w:tcPr>
            <w:tcW w:w="10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20"/>
                <w:szCs w:val="20"/>
                <w:color w:val="231F20"/>
                <w:w w:val="98"/>
              </w:rPr>
              <w:t>$23.65</w:t>
            </w:r>
          </w:p>
        </w:tc>
        <w:tc>
          <w:tcPr>
            <w:tcW w:w="0" w:type="dxa"/>
            <w:vAlign w:val="bottom"/>
          </w:tcPr>
          <w:p>
            <w:pPr>
              <w:spacing w:after="0"/>
              <w:rPr>
                <w:sz w:val="1"/>
                <w:szCs w:val="1"/>
                <w:color w:val="auto"/>
              </w:rPr>
            </w:pPr>
          </w:p>
        </w:tc>
      </w:tr>
      <w:tr>
        <w:trPr>
          <w:trHeight w:val="30"/>
        </w:trPr>
        <w:tc>
          <w:tcPr>
            <w:tcW w:w="374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231F20"/>
        </w:rPr>
        <w:t>Note: Beginning in 2025, we updated our Results of Operations to include revenues, including sales to affiliates, less operating costs, exploration expenses, DD&amp;A impairment an income taxes. Results of Operations do not include the effects of derivatives. The results presented in 2024 and 2023 have been updated to conform to the current presentation.</w:t>
      </w:r>
    </w:p>
    <w:p>
      <w:pPr>
        <w:spacing w:after="0" w:line="9" w:lineRule="exact"/>
        <w:rPr>
          <w:sz w:val="20"/>
          <w:szCs w:val="20"/>
          <w:color w:val="auto"/>
        </w:rPr>
      </w:pPr>
    </w:p>
    <w:p>
      <w:pPr>
        <w:ind w:left="480" w:right="480" w:hanging="320"/>
        <w:spacing w:after="0" w:line="257" w:lineRule="auto"/>
        <w:tabs>
          <w:tab w:leader="none" w:pos="480" w:val="left"/>
        </w:tabs>
        <w:numPr>
          <w:ilvl w:val="0"/>
          <w:numId w:val="90"/>
        </w:numPr>
        <w:rPr>
          <w:rFonts w:ascii="Arial" w:cs="Arial" w:eastAsia="Arial" w:hAnsi="Arial"/>
          <w:sz w:val="16"/>
          <w:szCs w:val="16"/>
          <w:color w:val="231F20"/>
        </w:rPr>
      </w:pPr>
      <w:r>
        <w:rPr>
          <w:rFonts w:ascii="Arial" w:cs="Arial" w:eastAsia="Arial" w:hAnsi="Arial"/>
          <w:sz w:val="16"/>
          <w:szCs w:val="16"/>
          <w:color w:val="231F20"/>
        </w:rPr>
        <w:t>Income taxes are calculated on the basis of a stand-alone tax filing entity. The combined U.S. federal and California statutory tax rate was 27% in 2025 and 2024 and 28% in 2023. The effective tax rates for 2025 and 2024 include the benefit of marginal well tax credits.</w:t>
      </w:r>
    </w:p>
    <w:p>
      <w:pPr>
        <w:sectPr>
          <w:pgSz w:w="11880" w:h="15480" w:orient="portrait"/>
          <w:cols w:equalWidth="0" w:num="1">
            <w:col w:w="9180"/>
          </w:cols>
          <w:pgMar w:left="1380" w:top="1310" w:right="1320" w:bottom="6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231F20"/>
        </w:rPr>
        <w:t>154</w:t>
      </w:r>
    </w:p>
    <w:p>
      <w:pPr>
        <w:sectPr>
          <w:pgSz w:w="11880" w:h="15480" w:orient="portrait"/>
          <w:cols w:equalWidth="0" w:num="1">
            <w:col w:w="9180"/>
          </w:cols>
          <w:pgMar w:left="1380" w:top="1310" w:right="1320" w:bottom="660" w:gutter="0" w:footer="0" w:header="0"/>
          <w:type w:val="continuous"/>
        </w:sectPr>
      </w:pPr>
    </w:p>
    <w:bookmarkStart w:id="158" w:name="page159"/>
    <w:bookmarkEnd w:id="158"/>
    <w:p>
      <w:pPr>
        <w:ind w:right="120"/>
        <w:spacing w:after="0" w:line="250" w:lineRule="auto"/>
        <w:rPr>
          <w:sz w:val="20"/>
          <w:szCs w:val="20"/>
          <w:color w:val="auto"/>
        </w:rPr>
      </w:pPr>
      <w:r>
        <w:rPr>
          <w:rFonts w:ascii="Arial" w:cs="Arial" w:eastAsia="Arial" w:hAnsi="Arial"/>
          <w:sz w:val="18"/>
          <w:szCs w:val="18"/>
          <w:b w:val="1"/>
          <w:bCs w:val="1"/>
          <w:color w:val="231F20"/>
        </w:rPr>
        <w:t>STANDARDIZED MEASURE, INCLUDING YEAR-TO-YEAR CHANGES THEREIN, OF DISCOUNTED FUTURE NET CASH FLOWS</w:t>
      </w:r>
    </w:p>
    <w:p>
      <w:pPr>
        <w:spacing w:after="0" w:line="213" w:lineRule="exact"/>
        <w:rPr>
          <w:sz w:val="20"/>
          <w:szCs w:val="20"/>
          <w:color w:val="auto"/>
        </w:rPr>
      </w:pPr>
    </w:p>
    <w:p>
      <w:pPr>
        <w:ind w:right="60" w:firstLine="300"/>
        <w:spacing w:after="0" w:line="250" w:lineRule="auto"/>
        <w:rPr>
          <w:sz w:val="20"/>
          <w:szCs w:val="20"/>
          <w:color w:val="auto"/>
        </w:rPr>
      </w:pPr>
      <w:r>
        <w:rPr>
          <w:rFonts w:ascii="Arial" w:cs="Arial" w:eastAsia="Arial" w:hAnsi="Arial"/>
          <w:sz w:val="20"/>
          <w:szCs w:val="20"/>
          <w:color w:val="231F20"/>
        </w:rPr>
        <w:t>For purposes of the following disclosures, discounted future net cash flows were computed by applying to our proved oil and natural gas reserves the unweighted arithmetic average of the first-day-of-the-month price for each month within the years ended December 31, 2025, 2024 and 2023,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2025, 2024 and 2023. Such assumptions, which are prescribed by regulation, have not always proven accurate in the past. Other valid assumptions would give rise to substantially different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Standardized Measure of Discounted Future Net Cash Flows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260" w:type="dxa"/>
            <w:vAlign w:val="bottom"/>
            <w:gridSpan w:val="6"/>
          </w:tcPr>
          <w:p>
            <w:pPr>
              <w:ind w:left="100"/>
              <w:spacing w:after="0"/>
              <w:rPr>
                <w:sz w:val="20"/>
                <w:szCs w:val="20"/>
                <w:color w:val="auto"/>
              </w:rPr>
            </w:pPr>
            <w:r>
              <w:rPr>
                <w:rFonts w:ascii="Arial" w:cs="Arial" w:eastAsia="Arial" w:hAnsi="Arial"/>
                <w:sz w:val="16"/>
                <w:szCs w:val="16"/>
                <w:b w:val="1"/>
                <w:bCs w:val="1"/>
                <w:color w:val="231F20"/>
              </w:rPr>
              <w:t>December 31,</w:t>
            </w:r>
          </w:p>
        </w:tc>
        <w:tc>
          <w:tcPr>
            <w:tcW w:w="1240" w:type="dxa"/>
            <w:vAlign w:val="bottom"/>
            <w:gridSpan w:val="6"/>
          </w:tcPr>
          <w:p>
            <w:pPr>
              <w:ind w:left="80"/>
              <w:spacing w:after="0"/>
              <w:rPr>
                <w:sz w:val="20"/>
                <w:szCs w:val="20"/>
                <w:color w:val="auto"/>
              </w:rPr>
            </w:pPr>
            <w:r>
              <w:rPr>
                <w:rFonts w:ascii="Arial" w:cs="Arial" w:eastAsia="Arial" w:hAnsi="Arial"/>
                <w:sz w:val="16"/>
                <w:szCs w:val="16"/>
                <w:b w:val="1"/>
                <w:bCs w:val="1"/>
                <w:color w:val="231F20"/>
              </w:rPr>
              <w:t>December 31,</w:t>
            </w:r>
          </w:p>
        </w:tc>
        <w:tc>
          <w:tcPr>
            <w:tcW w:w="1160" w:type="dxa"/>
            <w:vAlign w:val="bottom"/>
            <w:gridSpan w:val="6"/>
          </w:tcPr>
          <w:p>
            <w:pPr>
              <w:ind w:left="80"/>
              <w:spacing w:after="0"/>
              <w:rPr>
                <w:sz w:val="20"/>
                <w:szCs w:val="20"/>
                <w:color w:val="auto"/>
              </w:rPr>
            </w:pPr>
            <w:r>
              <w:rPr>
                <w:rFonts w:ascii="Arial" w:cs="Arial" w:eastAsia="Arial" w:hAnsi="Arial"/>
                <w:sz w:val="16"/>
                <w:szCs w:val="16"/>
                <w:b w:val="1"/>
                <w:bCs w:val="1"/>
                <w:color w:val="231F20"/>
              </w:rPr>
              <w:t>December 31,</w:t>
            </w: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1"/>
              <w:spacing w:after="0" w:line="181" w:lineRule="exact"/>
              <w:rPr>
                <w:sz w:val="20"/>
                <w:szCs w:val="20"/>
                <w:color w:val="auto"/>
              </w:rPr>
            </w:pPr>
            <w:r>
              <w:rPr>
                <w:rFonts w:ascii="Arial" w:cs="Arial" w:eastAsia="Arial" w:hAnsi="Arial"/>
                <w:sz w:val="16"/>
                <w:szCs w:val="16"/>
                <w:b w:val="1"/>
                <w:bCs w:val="1"/>
                <w:color w:val="231F20"/>
              </w:rPr>
              <w:t>2025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1"/>
              <w:spacing w:after="0" w:line="181" w:lineRule="exact"/>
              <w:rPr>
                <w:sz w:val="20"/>
                <w:szCs w:val="20"/>
                <w:color w:val="auto"/>
              </w:rPr>
            </w:pPr>
            <w:r>
              <w:rPr>
                <w:rFonts w:ascii="Arial" w:cs="Arial" w:eastAsia="Arial" w:hAnsi="Arial"/>
                <w:sz w:val="16"/>
                <w:szCs w:val="16"/>
                <w:b w:val="1"/>
                <w:bCs w:val="1"/>
                <w:color w:val="231F20"/>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1"/>
              <w:spacing w:after="0" w:line="181" w:lineRule="exact"/>
              <w:rPr>
                <w:sz w:val="20"/>
                <w:szCs w:val="20"/>
                <w:color w:val="auto"/>
              </w:rPr>
            </w:pPr>
            <w:r>
              <w:rPr>
                <w:rFonts w:ascii="Arial" w:cs="Arial" w:eastAsia="Arial" w:hAnsi="Arial"/>
                <w:sz w:val="16"/>
                <w:szCs w:val="16"/>
                <w:b w:val="1"/>
                <w:bCs w:val="1"/>
                <w:color w:val="231F20"/>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000" w:type="dxa"/>
            <w:vAlign w:val="bottom"/>
            <w:tcBorders>
              <w:bottom w:val="single" w:sz="8" w:color="231F20"/>
            </w:tcBorders>
            <w:gridSpan w:val="2"/>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231F20"/>
                <w:w w:val="97"/>
              </w:rPr>
              <w:t>(in millions)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00" w:type="dxa"/>
            <w:vAlign w:val="bottom"/>
          </w:tcPr>
          <w:p>
            <w:pPr>
              <w:jc w:val="right"/>
              <w:ind w:right="10"/>
              <w:spacing w:after="0"/>
              <w:rPr>
                <w:sz w:val="20"/>
                <w:szCs w:val="20"/>
                <w:color w:val="auto"/>
              </w:rPr>
            </w:pPr>
            <w:r>
              <w:rPr>
                <w:rFonts w:ascii="Arial" w:cs="Arial" w:eastAsia="Arial" w:hAnsi="Arial"/>
                <w:sz w:val="18"/>
                <w:szCs w:val="18"/>
                <w:color w:val="231F20"/>
                <w:w w:val="96"/>
              </w:rPr>
              <w:t>Future cash inflows . . . . . . . . . . . . . . . . . . . . . . . . . . . . . . . . . . . . . . . .</w:t>
            </w:r>
          </w:p>
        </w:tc>
        <w:tc>
          <w:tcPr>
            <w:tcW w:w="32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800" w:type="dxa"/>
            <w:vAlign w:val="bottom"/>
          </w:tcPr>
          <w:p>
            <w:pPr>
              <w:jc w:val="right"/>
              <w:spacing w:after="0"/>
              <w:rPr>
                <w:sz w:val="20"/>
                <w:szCs w:val="20"/>
                <w:color w:val="auto"/>
              </w:rPr>
            </w:pPr>
            <w:r>
              <w:rPr>
                <w:rFonts w:ascii="Arial" w:cs="Arial" w:eastAsia="Arial" w:hAnsi="Arial"/>
                <w:sz w:val="18"/>
                <w:szCs w:val="18"/>
                <w:color w:val="231F20"/>
              </w:rPr>
              <w:t>39,836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3"/>
          </w:tcPr>
          <w:p>
            <w:pPr>
              <w:ind w:left="100"/>
              <w:spacing w:after="0"/>
              <w:rPr>
                <w:sz w:val="20"/>
                <w:szCs w:val="20"/>
                <w:color w:val="auto"/>
              </w:rPr>
            </w:pPr>
            <w:r>
              <w:rPr>
                <w:rFonts w:ascii="Arial" w:cs="Arial" w:eastAsia="Arial" w:hAnsi="Arial"/>
                <w:sz w:val="18"/>
                <w:szCs w:val="18"/>
                <w:color w:val="231F20"/>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231F20"/>
              </w:rPr>
              <w:t>37,190</w:t>
            </w:r>
          </w:p>
        </w:tc>
        <w:tc>
          <w:tcPr>
            <w:tcW w:w="120" w:type="dxa"/>
            <w:vAlign w:val="bottom"/>
          </w:tcPr>
          <w:p>
            <w:pPr>
              <w:spacing w:after="0"/>
              <w:rPr>
                <w:sz w:val="19"/>
                <w:szCs w:val="19"/>
                <w:color w:val="auto"/>
              </w:rPr>
            </w:pPr>
          </w:p>
        </w:tc>
        <w:tc>
          <w:tcPr>
            <w:tcW w:w="300" w:type="dxa"/>
            <w:vAlign w:val="bottom"/>
            <w:gridSpan w:val="3"/>
          </w:tcPr>
          <w:p>
            <w:pPr>
              <w:ind w:left="100"/>
              <w:spacing w:after="0"/>
              <w:rPr>
                <w:sz w:val="20"/>
                <w:szCs w:val="20"/>
                <w:color w:val="auto"/>
              </w:rPr>
            </w:pPr>
            <w:r>
              <w:rPr>
                <w:rFonts w:ascii="Arial" w:cs="Arial" w:eastAsia="Arial" w:hAnsi="Arial"/>
                <w:sz w:val="18"/>
                <w:szCs w:val="18"/>
                <w:color w:val="231F20"/>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231F20"/>
              </w:rPr>
              <w:t>24,813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Pr>
          <w:p>
            <w:pPr>
              <w:spacing w:after="0"/>
              <w:rPr>
                <w:sz w:val="20"/>
                <w:szCs w:val="20"/>
                <w:color w:val="auto"/>
              </w:rPr>
            </w:pPr>
            <w:r>
              <w:rPr>
                <w:rFonts w:ascii="Arial" w:cs="Arial" w:eastAsia="Arial" w:hAnsi="Arial"/>
                <w:sz w:val="18"/>
                <w:szCs w:val="18"/>
                <w:color w:val="231F20"/>
              </w:rPr>
              <w:t>Future costs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00" w:type="dxa"/>
            <w:vAlign w:val="bottom"/>
          </w:tcPr>
          <w:p>
            <w:pPr>
              <w:jc w:val="right"/>
              <w:ind w:right="10"/>
              <w:spacing w:after="0" w:line="239" w:lineRule="exact"/>
              <w:rPr>
                <w:sz w:val="20"/>
                <w:szCs w:val="20"/>
                <w:color w:val="auto"/>
              </w:rPr>
            </w:pPr>
            <w:r>
              <w:rPr>
                <w:rFonts w:ascii="Arial" w:cs="Arial" w:eastAsia="Arial" w:hAnsi="Arial"/>
                <w:sz w:val="18"/>
                <w:szCs w:val="18"/>
                <w:color w:val="231F20"/>
                <w:w w:val="96"/>
              </w:rPr>
              <w:t>Operating costs</w:t>
            </w:r>
            <w:r>
              <w:rPr>
                <w:rFonts w:ascii="Arial" w:cs="Arial" w:eastAsia="Arial" w:hAnsi="Arial"/>
                <w:sz w:val="23"/>
                <w:szCs w:val="23"/>
                <w:color w:val="231F20"/>
                <w:w w:val="96"/>
                <w:vertAlign w:val="superscript"/>
              </w:rPr>
              <w:t>(a)</w:t>
            </w:r>
            <w:r>
              <w:rPr>
                <w:rFonts w:ascii="Arial" w:cs="Arial" w:eastAsia="Arial" w:hAnsi="Arial"/>
                <w:sz w:val="18"/>
                <w:szCs w:val="18"/>
                <w:color w:val="231F20"/>
                <w:w w:val="96"/>
              </w:rPr>
              <w:t xml:space="preserve">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231F20"/>
              </w:rPr>
              <w:t>(20,671)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231F20"/>
              </w:rPr>
              <w:t>(19,331)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231F20"/>
              </w:rPr>
              <w:t>(12,479)</w:t>
            </w:r>
          </w:p>
        </w:tc>
        <w:tc>
          <w:tcPr>
            <w:tcW w:w="0" w:type="dxa"/>
            <w:vAlign w:val="bottom"/>
          </w:tcPr>
          <w:p>
            <w:pPr>
              <w:spacing w:after="0"/>
              <w:rPr>
                <w:sz w:val="1"/>
                <w:szCs w:val="1"/>
                <w:color w:val="auto"/>
              </w:rPr>
            </w:pPr>
          </w:p>
        </w:tc>
      </w:tr>
      <w:tr>
        <w:trPr>
          <w:trHeight w:val="220"/>
        </w:trPr>
        <w:tc>
          <w:tcPr>
            <w:tcW w:w="5500" w:type="dxa"/>
            <w:vAlign w:val="bottom"/>
          </w:tcPr>
          <w:p>
            <w:pPr>
              <w:jc w:val="right"/>
              <w:ind w:right="10"/>
              <w:spacing w:after="0" w:line="220" w:lineRule="exact"/>
              <w:rPr>
                <w:sz w:val="20"/>
                <w:szCs w:val="20"/>
                <w:color w:val="auto"/>
              </w:rPr>
            </w:pPr>
            <w:r>
              <w:rPr>
                <w:rFonts w:ascii="Arial" w:cs="Arial" w:eastAsia="Arial" w:hAnsi="Arial"/>
                <w:sz w:val="18"/>
                <w:szCs w:val="18"/>
                <w:color w:val="231F20"/>
                <w:w w:val="96"/>
              </w:rPr>
              <w:t>Development costs</w:t>
            </w:r>
            <w:r>
              <w:rPr>
                <w:rFonts w:ascii="Arial" w:cs="Arial" w:eastAsia="Arial" w:hAnsi="Arial"/>
                <w:sz w:val="23"/>
                <w:szCs w:val="23"/>
                <w:color w:val="231F20"/>
                <w:w w:val="96"/>
                <w:vertAlign w:val="superscript"/>
              </w:rPr>
              <w:t>(b)</w:t>
            </w:r>
            <w:r>
              <w:rPr>
                <w:rFonts w:ascii="Arial" w:cs="Arial" w:eastAsia="Arial" w:hAnsi="Arial"/>
                <w:sz w:val="18"/>
                <w:szCs w:val="18"/>
                <w:color w:val="231F20"/>
                <w:w w:val="96"/>
              </w:rPr>
              <w:t xml:space="preserve">  . . . . . . . . . . . . . . . . . . . . . . . . . . . . . . . . . . . . .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231F20"/>
              </w:rPr>
              <w:t>(3,583)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231F20"/>
              </w:rPr>
              <w:t>(2,675)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spacing w:after="0" w:line="201" w:lineRule="exact"/>
              <w:rPr>
                <w:sz w:val="20"/>
                <w:szCs w:val="20"/>
                <w:color w:val="auto"/>
              </w:rPr>
            </w:pPr>
            <w:r>
              <w:rPr>
                <w:rFonts w:ascii="Arial" w:cs="Arial" w:eastAsia="Arial" w:hAnsi="Arial"/>
                <w:sz w:val="18"/>
                <w:szCs w:val="18"/>
                <w:color w:val="231F20"/>
              </w:rPr>
              <w:t>(1,805)</w:t>
            </w:r>
          </w:p>
        </w:tc>
        <w:tc>
          <w:tcPr>
            <w:tcW w:w="0" w:type="dxa"/>
            <w:vAlign w:val="bottom"/>
          </w:tcPr>
          <w:p>
            <w:pPr>
              <w:spacing w:after="0"/>
              <w:rPr>
                <w:sz w:val="1"/>
                <w:szCs w:val="1"/>
                <w:color w:val="auto"/>
              </w:rPr>
            </w:pPr>
          </w:p>
        </w:tc>
      </w:tr>
      <w:tr>
        <w:trPr>
          <w:trHeight w:val="201"/>
        </w:trPr>
        <w:tc>
          <w:tcPr>
            <w:tcW w:w="5500" w:type="dxa"/>
            <w:vAlign w:val="bottom"/>
          </w:tcPr>
          <w:p>
            <w:pPr>
              <w:jc w:val="right"/>
              <w:ind w:right="10"/>
              <w:spacing w:after="0" w:line="201" w:lineRule="exact"/>
              <w:rPr>
                <w:sz w:val="20"/>
                <w:szCs w:val="20"/>
                <w:color w:val="auto"/>
              </w:rPr>
            </w:pPr>
            <w:r>
              <w:rPr>
                <w:rFonts w:ascii="Arial" w:cs="Arial" w:eastAsia="Arial" w:hAnsi="Arial"/>
                <w:sz w:val="18"/>
                <w:szCs w:val="18"/>
                <w:color w:val="231F20"/>
                <w:w w:val="96"/>
              </w:rPr>
              <w:t>Future income tax expense . . . . . . . . . . . . . . . . . . . . . . . . . . . . . . . . .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231F20"/>
              </w:rPr>
              <w:t>(3,733)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231F20"/>
              </w:rPr>
              <w:t>(3,707)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right"/>
              <w:spacing w:after="0" w:line="201" w:lineRule="exact"/>
              <w:rPr>
                <w:sz w:val="20"/>
                <w:szCs w:val="20"/>
                <w:color w:val="auto"/>
              </w:rPr>
            </w:pPr>
            <w:r>
              <w:rPr>
                <w:rFonts w:ascii="Arial" w:cs="Arial" w:eastAsia="Arial" w:hAnsi="Arial"/>
                <w:sz w:val="18"/>
                <w:szCs w:val="18"/>
                <w:color w:val="231F20"/>
              </w:rPr>
              <w:t>(2,784)</w:t>
            </w:r>
          </w:p>
        </w:tc>
        <w:tc>
          <w:tcPr>
            <w:tcW w:w="0" w:type="dxa"/>
            <w:vAlign w:val="bottom"/>
          </w:tcPr>
          <w:p>
            <w:pPr>
              <w:spacing w:after="0"/>
              <w:rPr>
                <w:sz w:val="1"/>
                <w:szCs w:val="1"/>
                <w:color w:val="auto"/>
              </w:rPr>
            </w:pPr>
          </w:p>
        </w:tc>
      </w:tr>
      <w:tr>
        <w:trPr>
          <w:trHeight w:val="34"/>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500" w:type="dxa"/>
            <w:vAlign w:val="bottom"/>
          </w:tcPr>
          <w:p>
            <w:pPr>
              <w:jc w:val="right"/>
              <w:ind w:right="10"/>
              <w:spacing w:after="0"/>
              <w:rPr>
                <w:sz w:val="20"/>
                <w:szCs w:val="20"/>
                <w:color w:val="auto"/>
              </w:rPr>
            </w:pPr>
            <w:r>
              <w:rPr>
                <w:rFonts w:ascii="Arial" w:cs="Arial" w:eastAsia="Arial" w:hAnsi="Arial"/>
                <w:sz w:val="18"/>
                <w:szCs w:val="18"/>
                <w:color w:val="231F20"/>
                <w:w w:val="96"/>
              </w:rPr>
              <w:t>Future net cash flows  . . . . . . . . . . . . . . . . . . . . . . . . . . . . . . . . . . . . .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31F20"/>
              </w:rPr>
              <w:t>11,849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231F20"/>
              </w:rPr>
              <w:t>11,477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231F20"/>
              </w:rPr>
              <w:t>7,745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00" w:type="dxa"/>
            <w:vAlign w:val="bottom"/>
          </w:tcPr>
          <w:p>
            <w:pPr>
              <w:jc w:val="right"/>
              <w:ind w:right="10"/>
              <w:spacing w:after="0"/>
              <w:rPr>
                <w:sz w:val="20"/>
                <w:szCs w:val="20"/>
                <w:color w:val="auto"/>
              </w:rPr>
            </w:pPr>
            <w:r>
              <w:rPr>
                <w:rFonts w:ascii="Arial" w:cs="Arial" w:eastAsia="Arial" w:hAnsi="Arial"/>
                <w:sz w:val="18"/>
                <w:szCs w:val="18"/>
                <w:color w:val="231F20"/>
                <w:w w:val="97"/>
              </w:rPr>
              <w:t>Ten percent discount factor  . . . . . . . . . . . . . . . . . . . . . . . . . . . . . . . .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231F20"/>
              </w:rPr>
              <w:t>(5,183)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231F20"/>
              </w:rPr>
              <w:t>(4,775)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231F20"/>
              </w:rPr>
              <w:t>(3,676)</w:t>
            </w:r>
          </w:p>
        </w:tc>
        <w:tc>
          <w:tcPr>
            <w:tcW w:w="0" w:type="dxa"/>
            <w:vAlign w:val="bottom"/>
          </w:tcPr>
          <w:p>
            <w:pPr>
              <w:spacing w:after="0"/>
              <w:rPr>
                <w:sz w:val="1"/>
                <w:szCs w:val="1"/>
                <w:color w:val="auto"/>
              </w:rPr>
            </w:pPr>
          </w:p>
        </w:tc>
      </w:tr>
      <w:tr>
        <w:trPr>
          <w:trHeight w:val="34"/>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231F20"/>
              </w:rPr>
              <w:t>Standardized measure of discounted future net cash flows</w:t>
            </w:r>
          </w:p>
        </w:tc>
        <w:tc>
          <w:tcPr>
            <w:tcW w:w="120" w:type="dxa"/>
            <w:vAlign w:val="bottom"/>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500" w:type="dxa"/>
            <w:vAlign w:val="bottom"/>
            <w:vMerge w:val="continue"/>
          </w:tcPr>
          <w:p>
            <w:pPr>
              <w:jc w:val="right"/>
              <w:ind w:right="10"/>
              <w:spacing w:after="0"/>
              <w:rPr>
                <w:sz w:val="20"/>
                <w:szCs w:val="20"/>
                <w:color w:val="auto"/>
              </w:rPr>
            </w:pPr>
            <w:r>
              <w:rPr>
                <w:rFonts w:ascii="Arial" w:cs="Arial" w:eastAsia="Arial" w:hAnsi="Arial"/>
                <w:sz w:val="18"/>
                <w:szCs w:val="18"/>
                <w:color w:val="231F20"/>
              </w:rPr>
              <w:t>. . . .</w:t>
            </w:r>
          </w:p>
        </w:tc>
        <w:tc>
          <w:tcPr>
            <w:tcW w:w="320" w:type="dxa"/>
            <w:vAlign w:val="bottom"/>
            <w:gridSpan w:val="3"/>
          </w:tcPr>
          <w:p>
            <w:pPr>
              <w:ind w:left="120"/>
              <w:spacing w:after="0"/>
              <w:rPr>
                <w:sz w:val="20"/>
                <w:szCs w:val="20"/>
                <w:color w:val="auto"/>
              </w:rPr>
            </w:pPr>
            <w:r>
              <w:rPr>
                <w:rFonts w:ascii="Arial" w:cs="Arial" w:eastAsia="Arial" w:hAnsi="Arial"/>
                <w:sz w:val="18"/>
                <w:szCs w:val="18"/>
                <w:color w:val="231F20"/>
              </w:rPr>
              <w:t>$</w:t>
            </w:r>
          </w:p>
        </w:tc>
        <w:tc>
          <w:tcPr>
            <w:tcW w:w="800" w:type="dxa"/>
            <w:vAlign w:val="bottom"/>
          </w:tcPr>
          <w:p>
            <w:pPr>
              <w:jc w:val="right"/>
              <w:spacing w:after="0"/>
              <w:rPr>
                <w:sz w:val="20"/>
                <w:szCs w:val="20"/>
                <w:color w:val="auto"/>
              </w:rPr>
            </w:pPr>
            <w:r>
              <w:rPr>
                <w:rFonts w:ascii="Arial" w:cs="Arial" w:eastAsia="Arial" w:hAnsi="Arial"/>
                <w:sz w:val="18"/>
                <w:szCs w:val="18"/>
                <w:color w:val="231F20"/>
              </w:rPr>
              <w:t>6,666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3"/>
          </w:tcPr>
          <w:p>
            <w:pPr>
              <w:ind w:left="100"/>
              <w:spacing w:after="0"/>
              <w:rPr>
                <w:sz w:val="20"/>
                <w:szCs w:val="20"/>
                <w:color w:val="auto"/>
              </w:rPr>
            </w:pPr>
            <w:r>
              <w:rPr>
                <w:rFonts w:ascii="Arial" w:cs="Arial" w:eastAsia="Arial" w:hAnsi="Arial"/>
                <w:sz w:val="18"/>
                <w:szCs w:val="18"/>
                <w:color w:val="231F20"/>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231F20"/>
              </w:rPr>
              <w:t>6,702</w:t>
            </w:r>
          </w:p>
        </w:tc>
        <w:tc>
          <w:tcPr>
            <w:tcW w:w="120" w:type="dxa"/>
            <w:vAlign w:val="bottom"/>
          </w:tcPr>
          <w:p>
            <w:pPr>
              <w:spacing w:after="0"/>
              <w:rPr>
                <w:sz w:val="21"/>
                <w:szCs w:val="21"/>
                <w:color w:val="auto"/>
              </w:rPr>
            </w:pPr>
          </w:p>
        </w:tc>
        <w:tc>
          <w:tcPr>
            <w:tcW w:w="300" w:type="dxa"/>
            <w:vAlign w:val="bottom"/>
            <w:gridSpan w:val="3"/>
          </w:tcPr>
          <w:p>
            <w:pPr>
              <w:ind w:left="100"/>
              <w:spacing w:after="0"/>
              <w:rPr>
                <w:sz w:val="20"/>
                <w:szCs w:val="20"/>
                <w:color w:val="auto"/>
              </w:rPr>
            </w:pPr>
            <w:r>
              <w:rPr>
                <w:rFonts w:ascii="Arial" w:cs="Arial" w:eastAsia="Arial" w:hAnsi="Arial"/>
                <w:sz w:val="18"/>
                <w:szCs w:val="18"/>
                <w:color w:val="231F20"/>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231F20"/>
              </w:rPr>
              <w:t>4,069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400" w:hanging="320"/>
        <w:spacing w:after="0"/>
        <w:tabs>
          <w:tab w:leader="none" w:pos="400" w:val="left"/>
        </w:tabs>
        <w:numPr>
          <w:ilvl w:val="0"/>
          <w:numId w:val="91"/>
        </w:numPr>
        <w:rPr>
          <w:rFonts w:ascii="Arial" w:cs="Arial" w:eastAsia="Arial" w:hAnsi="Arial"/>
          <w:sz w:val="16"/>
          <w:szCs w:val="16"/>
          <w:color w:val="231F20"/>
        </w:rPr>
      </w:pPr>
      <w:r>
        <w:rPr>
          <w:rFonts w:ascii="Arial" w:cs="Arial" w:eastAsia="Arial" w:hAnsi="Arial"/>
          <w:sz w:val="16"/>
          <w:szCs w:val="16"/>
          <w:color w:val="231F20"/>
        </w:rPr>
        <w:t>Includes general and administrative expenses related to our field operations and taxes other than on income.</w:t>
      </w:r>
    </w:p>
    <w:p>
      <w:pPr>
        <w:spacing w:after="0" w:line="16" w:lineRule="exact"/>
        <w:rPr>
          <w:rFonts w:ascii="Arial" w:cs="Arial" w:eastAsia="Arial" w:hAnsi="Arial"/>
          <w:sz w:val="16"/>
          <w:szCs w:val="16"/>
          <w:color w:val="231F20"/>
        </w:rPr>
      </w:pPr>
    </w:p>
    <w:p>
      <w:pPr>
        <w:ind w:left="400" w:hanging="320"/>
        <w:spacing w:after="0"/>
        <w:tabs>
          <w:tab w:leader="none" w:pos="400" w:val="left"/>
        </w:tabs>
        <w:numPr>
          <w:ilvl w:val="0"/>
          <w:numId w:val="91"/>
        </w:numPr>
        <w:rPr>
          <w:rFonts w:ascii="Arial" w:cs="Arial" w:eastAsia="Arial" w:hAnsi="Arial"/>
          <w:sz w:val="16"/>
          <w:szCs w:val="16"/>
          <w:color w:val="231F20"/>
        </w:rPr>
      </w:pPr>
      <w:r>
        <w:rPr>
          <w:rFonts w:ascii="Arial" w:cs="Arial" w:eastAsia="Arial" w:hAnsi="Arial"/>
          <w:sz w:val="16"/>
          <w:szCs w:val="16"/>
          <w:color w:val="231F20"/>
        </w:rPr>
        <w:t>Includes asset retirement costs.</w:t>
      </w:r>
    </w:p>
    <w:p>
      <w:pPr>
        <w:spacing w:after="0" w:line="210" w:lineRule="exact"/>
        <w:rPr>
          <w:sz w:val="20"/>
          <w:szCs w:val="20"/>
          <w:color w:val="auto"/>
        </w:rPr>
      </w:pPr>
    </w:p>
    <w:p>
      <w:pPr>
        <w:ind w:right="720"/>
        <w:spacing w:after="0" w:line="239" w:lineRule="auto"/>
        <w:rPr>
          <w:sz w:val="20"/>
          <w:szCs w:val="20"/>
          <w:color w:val="auto"/>
        </w:rPr>
      </w:pPr>
      <w:r>
        <w:rPr>
          <w:rFonts w:ascii="Arial" w:cs="Arial" w:eastAsia="Arial" w:hAnsi="Arial"/>
          <w:sz w:val="20"/>
          <w:szCs w:val="20"/>
          <w:b w:val="1"/>
          <w:bCs w:val="1"/>
          <w:color w:val="231F20"/>
        </w:rPr>
        <w:t>Changes in the Standardized Measure of Discounted Future Net Cash Flows from Proved Reserve Quantities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720" w:type="dxa"/>
            <w:vAlign w:val="bottom"/>
          </w:tcPr>
          <w:p>
            <w:pPr>
              <w:jc w:val="right"/>
              <w:ind w:right="90"/>
              <w:spacing w:after="0"/>
              <w:rPr>
                <w:sz w:val="20"/>
                <w:szCs w:val="20"/>
                <w:color w:val="auto"/>
              </w:rPr>
            </w:pPr>
            <w:r>
              <w:rPr>
                <w:rFonts w:ascii="Arial" w:cs="Arial" w:eastAsia="Arial" w:hAnsi="Arial"/>
                <w:sz w:val="16"/>
                <w:szCs w:val="16"/>
                <w:b w:val="1"/>
                <w:bCs w:val="1"/>
                <w:color w:val="231F20"/>
              </w:rPr>
              <w:t>2025</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231F20"/>
              </w:rPr>
              <w:t>2024</w:t>
            </w: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231F20"/>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6"/>
                <w:szCs w:val="16"/>
                <w:color w:val="231F20"/>
              </w:rPr>
              <w:t>(in millions)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580" w:type="dxa"/>
            <w:vAlign w:val="bottom"/>
          </w:tcPr>
          <w:p>
            <w:pPr>
              <w:jc w:val="right"/>
              <w:ind w:right="109"/>
              <w:spacing w:after="0"/>
              <w:rPr>
                <w:sz w:val="20"/>
                <w:szCs w:val="20"/>
                <w:color w:val="auto"/>
              </w:rPr>
            </w:pPr>
            <w:r>
              <w:rPr>
                <w:rFonts w:ascii="Arial" w:cs="Arial" w:eastAsia="Arial" w:hAnsi="Arial"/>
                <w:sz w:val="18"/>
                <w:szCs w:val="18"/>
                <w:b w:val="1"/>
                <w:bCs w:val="1"/>
                <w:color w:val="231F20"/>
                <w:w w:val="96"/>
              </w:rPr>
              <w:t xml:space="preserve">Beginning of year </w:t>
            </w:r>
            <w:r>
              <w:rPr>
                <w:rFonts w:ascii="Arial" w:cs="Arial" w:eastAsia="Arial" w:hAnsi="Arial"/>
                <w:sz w:val="18"/>
                <w:szCs w:val="18"/>
                <w:color w:val="231F20"/>
                <w:w w:val="96"/>
              </w:rPr>
              <w:t>. . . . . . . . . . . . . . . . . . . . . . . . . . . . . . . . . . . . . . . . . . . . . . . . . . .</w:t>
            </w:r>
          </w:p>
        </w:tc>
        <w:tc>
          <w:tcPr>
            <w:tcW w:w="720" w:type="dxa"/>
            <w:vAlign w:val="bottom"/>
          </w:tcPr>
          <w:p>
            <w:pPr>
              <w:jc w:val="right"/>
              <w:spacing w:after="0"/>
              <w:rPr>
                <w:sz w:val="20"/>
                <w:szCs w:val="20"/>
                <w:color w:val="auto"/>
              </w:rPr>
            </w:pPr>
            <w:r>
              <w:rPr>
                <w:rFonts w:ascii="Arial" w:cs="Arial" w:eastAsia="Arial" w:hAnsi="Arial"/>
                <w:sz w:val="18"/>
                <w:szCs w:val="18"/>
                <w:color w:val="231F20"/>
              </w:rPr>
              <w:t>$  6,702</w:t>
            </w: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231F20"/>
              </w:rPr>
              <w:t>$  4,069</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231F20"/>
              </w:rPr>
              <w:t>$  6,726</w:t>
            </w:r>
          </w:p>
        </w:tc>
        <w:tc>
          <w:tcPr>
            <w:tcW w:w="0" w:type="dxa"/>
            <w:vAlign w:val="bottom"/>
          </w:tcPr>
          <w:p>
            <w:pPr>
              <w:spacing w:after="0"/>
              <w:rPr>
                <w:sz w:val="1"/>
                <w:szCs w:val="1"/>
                <w:color w:val="auto"/>
              </w:rPr>
            </w:pPr>
          </w:p>
        </w:tc>
      </w:tr>
      <w:tr>
        <w:trPr>
          <w:trHeight w:val="220"/>
        </w:trPr>
        <w:tc>
          <w:tcPr>
            <w:tcW w:w="6580" w:type="dxa"/>
            <w:vAlign w:val="bottom"/>
          </w:tcPr>
          <w:p>
            <w:pPr>
              <w:jc w:val="right"/>
              <w:ind w:right="109"/>
              <w:spacing w:after="0"/>
              <w:rPr>
                <w:sz w:val="20"/>
                <w:szCs w:val="20"/>
                <w:color w:val="auto"/>
              </w:rPr>
            </w:pPr>
            <w:r>
              <w:rPr>
                <w:rFonts w:ascii="Arial" w:cs="Arial" w:eastAsia="Arial" w:hAnsi="Arial"/>
                <w:sz w:val="18"/>
                <w:szCs w:val="18"/>
                <w:color w:val="231F20"/>
              </w:rPr>
              <w:t>Sales of oil and natural gas, net of production and other operating costs . . . . .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231F20"/>
              </w:rPr>
              <w:t>(1,851)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231F20"/>
              </w:rPr>
              <w:t>(1,036)</w:t>
            </w:r>
          </w:p>
        </w:tc>
        <w:tc>
          <w:tcPr>
            <w:tcW w:w="840" w:type="dxa"/>
            <w:vAlign w:val="bottom"/>
            <w:gridSpan w:val="3"/>
          </w:tcPr>
          <w:p>
            <w:pPr>
              <w:jc w:val="right"/>
              <w:spacing w:after="0"/>
              <w:rPr>
                <w:sz w:val="20"/>
                <w:szCs w:val="20"/>
                <w:color w:val="auto"/>
              </w:rPr>
            </w:pPr>
            <w:r>
              <w:rPr>
                <w:rFonts w:ascii="Arial" w:cs="Arial" w:eastAsia="Arial" w:hAnsi="Arial"/>
                <w:sz w:val="18"/>
                <w:szCs w:val="18"/>
                <w:color w:val="231F20"/>
              </w:rPr>
              <w:t>(1,604)</w:t>
            </w:r>
          </w:p>
        </w:tc>
        <w:tc>
          <w:tcPr>
            <w:tcW w:w="0" w:type="dxa"/>
            <w:vAlign w:val="bottom"/>
          </w:tcPr>
          <w:p>
            <w:pPr>
              <w:spacing w:after="0"/>
              <w:rPr>
                <w:sz w:val="1"/>
                <w:szCs w:val="1"/>
                <w:color w:val="auto"/>
              </w:rPr>
            </w:pPr>
          </w:p>
        </w:tc>
      </w:tr>
      <w:tr>
        <w:trPr>
          <w:trHeight w:val="220"/>
        </w:trPr>
        <w:tc>
          <w:tcPr>
            <w:tcW w:w="6580" w:type="dxa"/>
            <w:vAlign w:val="bottom"/>
          </w:tcPr>
          <w:p>
            <w:pPr>
              <w:jc w:val="right"/>
              <w:ind w:right="109"/>
              <w:spacing w:after="0"/>
              <w:rPr>
                <w:sz w:val="20"/>
                <w:szCs w:val="20"/>
                <w:color w:val="auto"/>
              </w:rPr>
            </w:pPr>
            <w:r>
              <w:rPr>
                <w:rFonts w:ascii="Arial" w:cs="Arial" w:eastAsia="Arial" w:hAnsi="Arial"/>
                <w:sz w:val="18"/>
                <w:szCs w:val="18"/>
                <w:color w:val="231F20"/>
                <w:w w:val="99"/>
              </w:rPr>
              <w:t>Changes in price, net of production and other operating costs . . . . . . . . . . . . . .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231F20"/>
              </w:rPr>
              <w:t>(1,045)</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231F20"/>
              </w:rPr>
              <w:t>(706)</w:t>
            </w:r>
          </w:p>
        </w:tc>
        <w:tc>
          <w:tcPr>
            <w:tcW w:w="840" w:type="dxa"/>
            <w:vAlign w:val="bottom"/>
            <w:gridSpan w:val="3"/>
          </w:tcPr>
          <w:p>
            <w:pPr>
              <w:jc w:val="right"/>
              <w:spacing w:after="0"/>
              <w:rPr>
                <w:sz w:val="20"/>
                <w:szCs w:val="20"/>
                <w:color w:val="auto"/>
              </w:rPr>
            </w:pPr>
            <w:r>
              <w:rPr>
                <w:rFonts w:ascii="Arial" w:cs="Arial" w:eastAsia="Arial" w:hAnsi="Arial"/>
                <w:sz w:val="18"/>
                <w:szCs w:val="18"/>
                <w:color w:val="231F20"/>
              </w:rPr>
              <w:t>(2,829)</w:t>
            </w:r>
          </w:p>
        </w:tc>
        <w:tc>
          <w:tcPr>
            <w:tcW w:w="0" w:type="dxa"/>
            <w:vAlign w:val="bottom"/>
          </w:tcPr>
          <w:p>
            <w:pPr>
              <w:spacing w:after="0"/>
              <w:rPr>
                <w:sz w:val="1"/>
                <w:szCs w:val="1"/>
                <w:color w:val="auto"/>
              </w:rPr>
            </w:pPr>
          </w:p>
        </w:tc>
      </w:tr>
      <w:tr>
        <w:trPr>
          <w:trHeight w:val="220"/>
        </w:trPr>
        <w:tc>
          <w:tcPr>
            <w:tcW w:w="6580" w:type="dxa"/>
            <w:vAlign w:val="bottom"/>
          </w:tcPr>
          <w:p>
            <w:pPr>
              <w:jc w:val="right"/>
              <w:ind w:right="109"/>
              <w:spacing w:after="0"/>
              <w:rPr>
                <w:sz w:val="20"/>
                <w:szCs w:val="20"/>
                <w:color w:val="auto"/>
              </w:rPr>
            </w:pPr>
            <w:r>
              <w:rPr>
                <w:rFonts w:ascii="Arial" w:cs="Arial" w:eastAsia="Arial" w:hAnsi="Arial"/>
                <w:sz w:val="18"/>
                <w:szCs w:val="18"/>
                <w:color w:val="231F20"/>
                <w:w w:val="99"/>
              </w:rPr>
              <w:t>Previously estimated development costs incurred . . . . . . . . . . . . . . . . . . . . . . . . .</w:t>
            </w:r>
          </w:p>
        </w:tc>
        <w:tc>
          <w:tcPr>
            <w:tcW w:w="720" w:type="dxa"/>
            <w:vAlign w:val="bottom"/>
          </w:tcPr>
          <w:p>
            <w:pPr>
              <w:jc w:val="right"/>
              <w:spacing w:after="0"/>
              <w:rPr>
                <w:sz w:val="20"/>
                <w:szCs w:val="20"/>
                <w:color w:val="auto"/>
              </w:rPr>
            </w:pPr>
            <w:r>
              <w:rPr>
                <w:rFonts w:ascii="Arial" w:cs="Arial" w:eastAsia="Arial" w:hAnsi="Arial"/>
                <w:sz w:val="18"/>
                <w:szCs w:val="18"/>
                <w:color w:val="231F20"/>
              </w:rPr>
              <w:t>164</w:t>
            </w: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231F20"/>
              </w:rPr>
              <w:t>234</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231F20"/>
              </w:rPr>
              <w:t>164</w:t>
            </w:r>
          </w:p>
        </w:tc>
        <w:tc>
          <w:tcPr>
            <w:tcW w:w="0" w:type="dxa"/>
            <w:vAlign w:val="bottom"/>
          </w:tcPr>
          <w:p>
            <w:pPr>
              <w:spacing w:after="0"/>
              <w:rPr>
                <w:sz w:val="1"/>
                <w:szCs w:val="1"/>
                <w:color w:val="auto"/>
              </w:rPr>
            </w:pPr>
          </w:p>
        </w:tc>
      </w:tr>
      <w:tr>
        <w:trPr>
          <w:trHeight w:val="220"/>
        </w:trPr>
        <w:tc>
          <w:tcPr>
            <w:tcW w:w="6580" w:type="dxa"/>
            <w:vAlign w:val="bottom"/>
          </w:tcPr>
          <w:p>
            <w:pPr>
              <w:jc w:val="right"/>
              <w:ind w:right="109"/>
              <w:spacing w:after="0"/>
              <w:rPr>
                <w:sz w:val="20"/>
                <w:szCs w:val="20"/>
                <w:color w:val="auto"/>
              </w:rPr>
            </w:pPr>
            <w:r>
              <w:rPr>
                <w:rFonts w:ascii="Arial" w:cs="Arial" w:eastAsia="Arial" w:hAnsi="Arial"/>
                <w:sz w:val="18"/>
                <w:szCs w:val="18"/>
                <w:color w:val="231F20"/>
                <w:w w:val="99"/>
              </w:rPr>
              <w:t>Change in estimated future development costs . . . . . . . . . . . . . . . . . . . . . . . . . .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231F20"/>
              </w:rPr>
              <w:t>(99)</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231F20"/>
              </w:rPr>
              <w:t>132</w:t>
            </w:r>
          </w:p>
        </w:tc>
        <w:tc>
          <w:tcPr>
            <w:tcW w:w="840" w:type="dxa"/>
            <w:vAlign w:val="bottom"/>
            <w:gridSpan w:val="3"/>
          </w:tcPr>
          <w:p>
            <w:pPr>
              <w:jc w:val="right"/>
              <w:spacing w:after="0"/>
              <w:rPr>
                <w:sz w:val="20"/>
                <w:szCs w:val="20"/>
                <w:color w:val="auto"/>
              </w:rPr>
            </w:pPr>
            <w:r>
              <w:rPr>
                <w:rFonts w:ascii="Arial" w:cs="Arial" w:eastAsia="Arial" w:hAnsi="Arial"/>
                <w:sz w:val="18"/>
                <w:szCs w:val="18"/>
                <w:color w:val="231F20"/>
              </w:rPr>
              <w:t>(47)</w:t>
            </w:r>
          </w:p>
        </w:tc>
        <w:tc>
          <w:tcPr>
            <w:tcW w:w="0" w:type="dxa"/>
            <w:vAlign w:val="bottom"/>
          </w:tcPr>
          <w:p>
            <w:pPr>
              <w:spacing w:after="0"/>
              <w:rPr>
                <w:sz w:val="1"/>
                <w:szCs w:val="1"/>
                <w:color w:val="auto"/>
              </w:rPr>
            </w:pPr>
          </w:p>
        </w:tc>
      </w:tr>
      <w:tr>
        <w:trPr>
          <w:trHeight w:val="220"/>
        </w:trPr>
        <w:tc>
          <w:tcPr>
            <w:tcW w:w="6580" w:type="dxa"/>
            <w:vAlign w:val="bottom"/>
          </w:tcPr>
          <w:p>
            <w:pPr>
              <w:jc w:val="right"/>
              <w:ind w:right="109"/>
              <w:spacing w:after="0"/>
              <w:rPr>
                <w:sz w:val="20"/>
                <w:szCs w:val="20"/>
                <w:color w:val="auto"/>
              </w:rPr>
            </w:pPr>
            <w:r>
              <w:rPr>
                <w:rFonts w:ascii="Arial" w:cs="Arial" w:eastAsia="Arial" w:hAnsi="Arial"/>
                <w:sz w:val="18"/>
                <w:szCs w:val="18"/>
                <w:color w:val="231F20"/>
              </w:rPr>
              <w:t>Extensions, discoveries and improved recovery, net of costs  . . . . . . . . . . . . . . .</w:t>
            </w:r>
          </w:p>
        </w:tc>
        <w:tc>
          <w:tcPr>
            <w:tcW w:w="720" w:type="dxa"/>
            <w:vAlign w:val="bottom"/>
          </w:tcPr>
          <w:p>
            <w:pPr>
              <w:jc w:val="right"/>
              <w:spacing w:after="0"/>
              <w:rPr>
                <w:sz w:val="20"/>
                <w:szCs w:val="20"/>
                <w:color w:val="auto"/>
              </w:rPr>
            </w:pPr>
            <w:r>
              <w:rPr>
                <w:rFonts w:ascii="Arial" w:cs="Arial" w:eastAsia="Arial" w:hAnsi="Arial"/>
                <w:sz w:val="18"/>
                <w:szCs w:val="18"/>
                <w:color w:val="231F20"/>
              </w:rPr>
              <w:t>271</w:t>
            </w: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231F20"/>
              </w:rPr>
              <w:t>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231F20"/>
              </w:rPr>
              <w:t>99</w:t>
            </w:r>
          </w:p>
        </w:tc>
        <w:tc>
          <w:tcPr>
            <w:tcW w:w="0" w:type="dxa"/>
            <w:vAlign w:val="bottom"/>
          </w:tcPr>
          <w:p>
            <w:pPr>
              <w:spacing w:after="0"/>
              <w:rPr>
                <w:sz w:val="1"/>
                <w:szCs w:val="1"/>
                <w:color w:val="auto"/>
              </w:rPr>
            </w:pPr>
          </w:p>
        </w:tc>
      </w:tr>
      <w:tr>
        <w:trPr>
          <w:trHeight w:val="239"/>
        </w:trPr>
        <w:tc>
          <w:tcPr>
            <w:tcW w:w="6580" w:type="dxa"/>
            <w:vAlign w:val="bottom"/>
          </w:tcPr>
          <w:p>
            <w:pPr>
              <w:jc w:val="right"/>
              <w:ind w:right="109"/>
              <w:spacing w:after="0" w:line="240" w:lineRule="exact"/>
              <w:rPr>
                <w:sz w:val="20"/>
                <w:szCs w:val="20"/>
                <w:color w:val="auto"/>
              </w:rPr>
            </w:pPr>
            <w:r>
              <w:rPr>
                <w:rFonts w:ascii="Arial" w:cs="Arial" w:eastAsia="Arial" w:hAnsi="Arial"/>
                <w:sz w:val="18"/>
                <w:szCs w:val="18"/>
                <w:color w:val="231F20"/>
                <w:w w:val="97"/>
              </w:rPr>
              <w:t>Revisions of previous quantity estimates</w:t>
            </w:r>
            <w:r>
              <w:rPr>
                <w:rFonts w:ascii="Arial" w:cs="Arial" w:eastAsia="Arial" w:hAnsi="Arial"/>
                <w:sz w:val="23"/>
                <w:szCs w:val="23"/>
                <w:color w:val="231F20"/>
                <w:w w:val="97"/>
                <w:vertAlign w:val="superscript"/>
              </w:rPr>
              <w:t>(a)</w:t>
            </w:r>
            <w:r>
              <w:rPr>
                <w:rFonts w:ascii="Arial" w:cs="Arial" w:eastAsia="Arial" w:hAnsi="Arial"/>
                <w:sz w:val="18"/>
                <w:szCs w:val="18"/>
                <w:color w:val="231F20"/>
                <w:w w:val="97"/>
              </w:rPr>
              <w:t xml:space="preserve">   . . . . . . . . . . . . . . . . . . . . . . . . . . . . . .</w:t>
            </w:r>
          </w:p>
        </w:tc>
        <w:tc>
          <w:tcPr>
            <w:tcW w:w="720" w:type="dxa"/>
            <w:vAlign w:val="bottom"/>
          </w:tcPr>
          <w:p>
            <w:pPr>
              <w:jc w:val="right"/>
              <w:spacing w:after="0"/>
              <w:rPr>
                <w:sz w:val="20"/>
                <w:szCs w:val="20"/>
                <w:color w:val="auto"/>
              </w:rPr>
            </w:pPr>
            <w:r>
              <w:rPr>
                <w:rFonts w:ascii="Arial" w:cs="Arial" w:eastAsia="Arial" w:hAnsi="Arial"/>
                <w:sz w:val="18"/>
                <w:szCs w:val="18"/>
                <w:color w:val="231F20"/>
              </w:rPr>
              <w:t>593</w:t>
            </w:r>
          </w:p>
        </w:tc>
        <w:tc>
          <w:tcPr>
            <w:tcW w:w="10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231F20"/>
              </w:rPr>
              <w:t>(687)</w:t>
            </w:r>
          </w:p>
        </w:tc>
        <w:tc>
          <w:tcPr>
            <w:tcW w:w="840" w:type="dxa"/>
            <w:vAlign w:val="bottom"/>
            <w:gridSpan w:val="3"/>
          </w:tcPr>
          <w:p>
            <w:pPr>
              <w:jc w:val="right"/>
              <w:spacing w:after="0"/>
              <w:rPr>
                <w:sz w:val="20"/>
                <w:szCs w:val="20"/>
                <w:color w:val="auto"/>
              </w:rPr>
            </w:pPr>
            <w:r>
              <w:rPr>
                <w:rFonts w:ascii="Arial" w:cs="Arial" w:eastAsia="Arial" w:hAnsi="Arial"/>
                <w:sz w:val="18"/>
                <w:szCs w:val="18"/>
                <w:color w:val="231F20"/>
              </w:rPr>
              <w:t>(103)</w:t>
            </w:r>
          </w:p>
        </w:tc>
        <w:tc>
          <w:tcPr>
            <w:tcW w:w="0" w:type="dxa"/>
            <w:vAlign w:val="bottom"/>
          </w:tcPr>
          <w:p>
            <w:pPr>
              <w:spacing w:after="0"/>
              <w:rPr>
                <w:sz w:val="1"/>
                <w:szCs w:val="1"/>
                <w:color w:val="auto"/>
              </w:rPr>
            </w:pPr>
          </w:p>
        </w:tc>
      </w:tr>
      <w:tr>
        <w:trPr>
          <w:trHeight w:val="201"/>
        </w:trPr>
        <w:tc>
          <w:tcPr>
            <w:tcW w:w="6580" w:type="dxa"/>
            <w:vAlign w:val="bottom"/>
          </w:tcPr>
          <w:p>
            <w:pPr>
              <w:jc w:val="right"/>
              <w:ind w:right="109"/>
              <w:spacing w:after="0" w:line="201" w:lineRule="exact"/>
              <w:rPr>
                <w:sz w:val="20"/>
                <w:szCs w:val="20"/>
                <w:color w:val="auto"/>
              </w:rPr>
            </w:pPr>
            <w:r>
              <w:rPr>
                <w:rFonts w:ascii="Arial" w:cs="Arial" w:eastAsia="Arial" w:hAnsi="Arial"/>
                <w:sz w:val="18"/>
                <w:szCs w:val="18"/>
                <w:color w:val="231F20"/>
                <w:w w:val="97"/>
              </w:rPr>
              <w:t>Accretion of discount  . . . . . . . . . . . . . . . . . . . . . . . . . . . . . . . . . . . . . . . . . . . . . . . .</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231F20"/>
              </w:rPr>
              <w:t>807</w:t>
            </w:r>
          </w:p>
        </w:tc>
        <w:tc>
          <w:tcPr>
            <w:tcW w:w="100" w:type="dxa"/>
            <w:vAlign w:val="bottom"/>
          </w:tcPr>
          <w:p>
            <w:pPr>
              <w:spacing w:after="0"/>
              <w:rPr>
                <w:sz w:val="17"/>
                <w:szCs w:val="17"/>
                <w:color w:val="auto"/>
              </w:rPr>
            </w:pPr>
          </w:p>
        </w:tc>
        <w:tc>
          <w:tcPr>
            <w:tcW w:w="94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231F20"/>
              </w:rPr>
              <w:t>515</w:t>
            </w:r>
          </w:p>
        </w:tc>
        <w:tc>
          <w:tcPr>
            <w:tcW w:w="8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231F20"/>
              </w:rPr>
              <w:t>853</w:t>
            </w:r>
          </w:p>
        </w:tc>
        <w:tc>
          <w:tcPr>
            <w:tcW w:w="0" w:type="dxa"/>
            <w:vAlign w:val="bottom"/>
          </w:tcPr>
          <w:p>
            <w:pPr>
              <w:spacing w:after="0"/>
              <w:rPr>
                <w:sz w:val="1"/>
                <w:szCs w:val="1"/>
                <w:color w:val="auto"/>
              </w:rPr>
            </w:pPr>
          </w:p>
        </w:tc>
      </w:tr>
      <w:tr>
        <w:trPr>
          <w:trHeight w:val="220"/>
        </w:trPr>
        <w:tc>
          <w:tcPr>
            <w:tcW w:w="6580" w:type="dxa"/>
            <w:vAlign w:val="bottom"/>
          </w:tcPr>
          <w:p>
            <w:pPr>
              <w:jc w:val="right"/>
              <w:ind w:right="109"/>
              <w:spacing w:after="0"/>
              <w:rPr>
                <w:sz w:val="20"/>
                <w:szCs w:val="20"/>
                <w:color w:val="auto"/>
              </w:rPr>
            </w:pPr>
            <w:r>
              <w:rPr>
                <w:rFonts w:ascii="Arial" w:cs="Arial" w:eastAsia="Arial" w:hAnsi="Arial"/>
                <w:sz w:val="18"/>
                <w:szCs w:val="18"/>
                <w:color w:val="231F20"/>
                <w:w w:val="98"/>
              </w:rPr>
              <w:t>Net change in income taxes  . . . . . . . . . . . . . . . . . . . . . . . . . . . . . . . . . . . . . . . . . .</w:t>
            </w:r>
          </w:p>
        </w:tc>
        <w:tc>
          <w:tcPr>
            <w:tcW w:w="720" w:type="dxa"/>
            <w:vAlign w:val="bottom"/>
          </w:tcPr>
          <w:p>
            <w:pPr>
              <w:jc w:val="right"/>
              <w:spacing w:after="0"/>
              <w:rPr>
                <w:sz w:val="20"/>
                <w:szCs w:val="20"/>
                <w:color w:val="auto"/>
              </w:rPr>
            </w:pPr>
            <w:r>
              <w:rPr>
                <w:rFonts w:ascii="Arial" w:cs="Arial" w:eastAsia="Arial" w:hAnsi="Arial"/>
                <w:sz w:val="18"/>
                <w:szCs w:val="18"/>
                <w:color w:val="231F20"/>
              </w:rPr>
              <w:t>124</w:t>
            </w:r>
          </w:p>
        </w:tc>
        <w:tc>
          <w:tcPr>
            <w:tcW w:w="1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231F20"/>
              </w:rPr>
              <w:t>(710)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231F20"/>
              </w:rPr>
              <w:t>1,029</w:t>
            </w:r>
          </w:p>
        </w:tc>
        <w:tc>
          <w:tcPr>
            <w:tcW w:w="0" w:type="dxa"/>
            <w:vAlign w:val="bottom"/>
          </w:tcPr>
          <w:p>
            <w:pPr>
              <w:spacing w:after="0"/>
              <w:rPr>
                <w:sz w:val="1"/>
                <w:szCs w:val="1"/>
                <w:color w:val="auto"/>
              </w:rPr>
            </w:pPr>
          </w:p>
        </w:tc>
      </w:tr>
      <w:tr>
        <w:trPr>
          <w:trHeight w:val="220"/>
        </w:trPr>
        <w:tc>
          <w:tcPr>
            <w:tcW w:w="6580" w:type="dxa"/>
            <w:vAlign w:val="bottom"/>
          </w:tcPr>
          <w:p>
            <w:pPr>
              <w:jc w:val="right"/>
              <w:ind w:right="109"/>
              <w:spacing w:after="0"/>
              <w:rPr>
                <w:sz w:val="20"/>
                <w:szCs w:val="20"/>
                <w:color w:val="auto"/>
              </w:rPr>
            </w:pPr>
            <w:r>
              <w:rPr>
                <w:rFonts w:ascii="Arial" w:cs="Arial" w:eastAsia="Arial" w:hAnsi="Arial"/>
                <w:sz w:val="18"/>
                <w:szCs w:val="18"/>
                <w:color w:val="231F20"/>
                <w:w w:val="98"/>
              </w:rPr>
              <w:t>Purchases and sales of reserves in place  . . . . . . . . . . . . . . . . . . . . . . . . . . . . . . .</w:t>
            </w:r>
          </w:p>
        </w:tc>
        <w:tc>
          <w:tcPr>
            <w:tcW w:w="720" w:type="dxa"/>
            <w:vAlign w:val="bottom"/>
          </w:tcPr>
          <w:p>
            <w:pPr>
              <w:jc w:val="right"/>
              <w:spacing w:after="0"/>
              <w:rPr>
                <w:sz w:val="20"/>
                <w:szCs w:val="20"/>
                <w:color w:val="auto"/>
              </w:rPr>
            </w:pPr>
            <w:r>
              <w:rPr>
                <w:rFonts w:ascii="Arial" w:cs="Arial" w:eastAsia="Arial" w:hAnsi="Arial"/>
                <w:sz w:val="18"/>
                <w:szCs w:val="18"/>
                <w:color w:val="231F20"/>
              </w:rPr>
              <w:t>1,285</w:t>
            </w: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231F20"/>
              </w:rPr>
              <w:t>4,569</w:t>
            </w:r>
          </w:p>
        </w:tc>
        <w:tc>
          <w:tcPr>
            <w:tcW w:w="840" w:type="dxa"/>
            <w:vAlign w:val="bottom"/>
            <w:gridSpan w:val="3"/>
          </w:tcPr>
          <w:p>
            <w:pPr>
              <w:jc w:val="right"/>
              <w:spacing w:after="0"/>
              <w:rPr>
                <w:sz w:val="20"/>
                <w:szCs w:val="20"/>
                <w:color w:val="auto"/>
              </w:rPr>
            </w:pPr>
            <w:r>
              <w:rPr>
                <w:rFonts w:ascii="Arial" w:cs="Arial" w:eastAsia="Arial" w:hAnsi="Arial"/>
                <w:sz w:val="18"/>
                <w:szCs w:val="18"/>
                <w:color w:val="231F20"/>
              </w:rPr>
              <w:t>(270)</w:t>
            </w:r>
          </w:p>
        </w:tc>
        <w:tc>
          <w:tcPr>
            <w:tcW w:w="0" w:type="dxa"/>
            <w:vAlign w:val="bottom"/>
          </w:tcPr>
          <w:p>
            <w:pPr>
              <w:spacing w:after="0"/>
              <w:rPr>
                <w:sz w:val="1"/>
                <w:szCs w:val="1"/>
                <w:color w:val="auto"/>
              </w:rPr>
            </w:pPr>
          </w:p>
        </w:tc>
      </w:tr>
      <w:tr>
        <w:trPr>
          <w:trHeight w:val="220"/>
        </w:trPr>
        <w:tc>
          <w:tcPr>
            <w:tcW w:w="6580" w:type="dxa"/>
            <w:vAlign w:val="bottom"/>
          </w:tcPr>
          <w:p>
            <w:pPr>
              <w:jc w:val="right"/>
              <w:ind w:right="109"/>
              <w:spacing w:after="0"/>
              <w:rPr>
                <w:sz w:val="20"/>
                <w:szCs w:val="20"/>
                <w:color w:val="auto"/>
              </w:rPr>
            </w:pPr>
            <w:r>
              <w:rPr>
                <w:rFonts w:ascii="Arial" w:cs="Arial" w:eastAsia="Arial" w:hAnsi="Arial"/>
                <w:sz w:val="18"/>
                <w:szCs w:val="18"/>
                <w:color w:val="231F20"/>
              </w:rPr>
              <w:t>Change in timing of estimated future production and other  . . . . . . . . . . . . . . . .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231F20"/>
              </w:rPr>
              <w:t>(285)</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231F20"/>
              </w:rPr>
              <w:t>315</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231F20"/>
              </w:rPr>
              <w:t>51</w:t>
            </w:r>
          </w:p>
        </w:tc>
        <w:tc>
          <w:tcPr>
            <w:tcW w:w="0" w:type="dxa"/>
            <w:vAlign w:val="bottom"/>
          </w:tcPr>
          <w:p>
            <w:pPr>
              <w:spacing w:after="0"/>
              <w:rPr>
                <w:sz w:val="1"/>
                <w:szCs w:val="1"/>
                <w:color w:val="auto"/>
              </w:rPr>
            </w:pPr>
          </w:p>
        </w:tc>
      </w:tr>
      <w:tr>
        <w:trPr>
          <w:trHeight w:val="34"/>
        </w:trPr>
        <w:tc>
          <w:tcPr>
            <w:tcW w:w="6580" w:type="dxa"/>
            <w:vAlign w:val="bottom"/>
            <w:vMerge w:val="restart"/>
          </w:tcPr>
          <w:p>
            <w:pPr>
              <w:jc w:val="right"/>
              <w:ind w:right="109"/>
              <w:spacing w:after="0"/>
              <w:rPr>
                <w:sz w:val="20"/>
                <w:szCs w:val="20"/>
                <w:color w:val="auto"/>
              </w:rPr>
            </w:pPr>
            <w:r>
              <w:rPr>
                <w:rFonts w:ascii="Arial" w:cs="Arial" w:eastAsia="Arial" w:hAnsi="Arial"/>
                <w:sz w:val="18"/>
                <w:szCs w:val="18"/>
                <w:b w:val="1"/>
                <w:bCs w:val="1"/>
                <w:color w:val="231F20"/>
                <w:w w:val="95"/>
              </w:rPr>
              <w:t xml:space="preserve">Net change </w:t>
            </w:r>
            <w:r>
              <w:rPr>
                <w:rFonts w:ascii="Arial" w:cs="Arial" w:eastAsia="Arial" w:hAnsi="Arial"/>
                <w:sz w:val="18"/>
                <w:szCs w:val="18"/>
                <w:color w:val="231F20"/>
                <w:w w:val="95"/>
              </w:rPr>
              <w:t>. . . . . . . . . . . . . . . . . . . . . . . . . . . . . . . . . . . . . . . . . . . . . . . . . . . . . . . . .</w:t>
            </w: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6580" w:type="dxa"/>
            <w:vAlign w:val="bottom"/>
            <w:vMerge w:val="continue"/>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231F20"/>
              </w:rPr>
              <w:t>(36)</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231F20"/>
              </w:rPr>
              <w:t>2,633</w:t>
            </w:r>
          </w:p>
        </w:tc>
        <w:tc>
          <w:tcPr>
            <w:tcW w:w="840" w:type="dxa"/>
            <w:vAlign w:val="bottom"/>
            <w:gridSpan w:val="3"/>
          </w:tcPr>
          <w:p>
            <w:pPr>
              <w:jc w:val="right"/>
              <w:spacing w:after="0"/>
              <w:rPr>
                <w:sz w:val="20"/>
                <w:szCs w:val="20"/>
                <w:color w:val="auto"/>
              </w:rPr>
            </w:pPr>
            <w:r>
              <w:rPr>
                <w:rFonts w:ascii="Arial" w:cs="Arial" w:eastAsia="Arial" w:hAnsi="Arial"/>
                <w:sz w:val="18"/>
                <w:szCs w:val="18"/>
                <w:color w:val="231F20"/>
              </w:rPr>
              <w:t>(2,657)</w:t>
            </w:r>
          </w:p>
        </w:tc>
        <w:tc>
          <w:tcPr>
            <w:tcW w:w="0" w:type="dxa"/>
            <w:vAlign w:val="bottom"/>
          </w:tcPr>
          <w:p>
            <w:pPr>
              <w:spacing w:after="0"/>
              <w:rPr>
                <w:sz w:val="1"/>
                <w:szCs w:val="1"/>
                <w:color w:val="auto"/>
              </w:rPr>
            </w:pPr>
          </w:p>
        </w:tc>
      </w:tr>
      <w:tr>
        <w:trPr>
          <w:trHeight w:val="34"/>
        </w:trPr>
        <w:tc>
          <w:tcPr>
            <w:tcW w:w="6580" w:type="dxa"/>
            <w:vAlign w:val="bottom"/>
            <w:vMerge w:val="restart"/>
          </w:tcPr>
          <w:p>
            <w:pPr>
              <w:jc w:val="right"/>
              <w:ind w:right="109"/>
              <w:spacing w:after="0"/>
              <w:rPr>
                <w:sz w:val="20"/>
                <w:szCs w:val="20"/>
                <w:color w:val="auto"/>
              </w:rPr>
            </w:pPr>
            <w:r>
              <w:rPr>
                <w:rFonts w:ascii="Arial" w:cs="Arial" w:eastAsia="Arial" w:hAnsi="Arial"/>
                <w:sz w:val="20"/>
                <w:szCs w:val="20"/>
                <w:b w:val="1"/>
                <w:bCs w:val="1"/>
                <w:color w:val="231F20"/>
                <w:w w:val="96"/>
              </w:rPr>
              <w:t xml:space="preserve">End of year  </w:t>
            </w:r>
            <w:r>
              <w:rPr>
                <w:rFonts w:ascii="Arial" w:cs="Arial" w:eastAsia="Arial" w:hAnsi="Arial"/>
                <w:sz w:val="20"/>
                <w:szCs w:val="20"/>
                <w:color w:val="231F20"/>
                <w:w w:val="96"/>
              </w:rPr>
              <w:t>. . . . . . . . . . . . . . . . . . . . . . . . . . . . . . . . . . . . . . . . . . . . . . . . .</w:t>
            </w: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80" w:type="dxa"/>
            <w:vAlign w:val="bottom"/>
            <w:vMerge w:val="continue"/>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$6,666</w:t>
            </w:r>
          </w:p>
        </w:tc>
        <w:tc>
          <w:tcPr>
            <w:tcW w:w="10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20"/>
                <w:szCs w:val="20"/>
                <w:color w:val="231F20"/>
              </w:rPr>
              <w:t>$6,702</w:t>
            </w:r>
          </w:p>
        </w:tc>
        <w:tc>
          <w:tcPr>
            <w:tcW w:w="840" w:type="dxa"/>
            <w:vAlign w:val="bottom"/>
            <w:gridSpan w:val="3"/>
          </w:tcPr>
          <w:p>
            <w:pPr>
              <w:jc w:val="right"/>
              <w:ind w:right="60"/>
              <w:spacing w:after="0"/>
              <w:rPr>
                <w:sz w:val="20"/>
                <w:szCs w:val="20"/>
                <w:color w:val="auto"/>
              </w:rPr>
            </w:pPr>
            <w:r>
              <w:rPr>
                <w:rFonts w:ascii="Arial" w:cs="Arial" w:eastAsia="Arial" w:hAnsi="Arial"/>
                <w:sz w:val="20"/>
                <w:szCs w:val="20"/>
                <w:color w:val="231F20"/>
              </w:rPr>
              <w:t>$4,069</w:t>
            </w: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6"/>
          <w:szCs w:val="16"/>
          <w:color w:val="231F20"/>
        </w:rPr>
        <w:t>(a)</w:t>
      </w:r>
      <w:r>
        <w:rPr>
          <w:sz w:val="20"/>
          <w:szCs w:val="20"/>
          <w:color w:val="auto"/>
        </w:rPr>
        <w:tab/>
      </w:r>
      <w:r>
        <w:rPr>
          <w:rFonts w:ascii="Arial" w:cs="Arial" w:eastAsia="Arial" w:hAnsi="Arial"/>
          <w:sz w:val="15"/>
          <w:szCs w:val="15"/>
          <w:color w:val="231F20"/>
        </w:rPr>
        <w:t>Includes revisions related to performance and price changes.</w:t>
      </w:r>
    </w:p>
    <w:p>
      <w:pPr>
        <w:sectPr>
          <w:pgSz w:w="11880" w:h="15480" w:orient="portrait"/>
          <w:cols w:equalWidth="0" w:num="1">
            <w:col w:w="9180"/>
          </w:cols>
          <w:pgMar w:left="1380" w:top="1312" w:right="132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231F20"/>
        </w:rPr>
        <w:t>155</w:t>
      </w:r>
    </w:p>
    <w:p>
      <w:pPr>
        <w:sectPr>
          <w:pgSz w:w="11880" w:h="15480" w:orient="portrait"/>
          <w:cols w:equalWidth="0" w:num="1">
            <w:col w:w="9180"/>
          </w:cols>
          <w:pgMar w:left="1380" w:top="1312" w:right="1320" w:bottom="660" w:gutter="0" w:footer="0" w:header="0"/>
          <w:type w:val="continuous"/>
        </w:sectPr>
      </w:pPr>
    </w:p>
    <w:bookmarkStart w:id="159" w:name="page160"/>
    <w:bookmarkEnd w:id="159"/>
    <w:p>
      <w:pPr>
        <w:ind w:left="900" w:right="260" w:hanging="899"/>
        <w:spacing w:after="0" w:line="248" w:lineRule="auto"/>
        <w:tabs>
          <w:tab w:leader="none" w:pos="880" w:val="left"/>
        </w:tabs>
        <w:rPr>
          <w:sz w:val="20"/>
          <w:szCs w:val="20"/>
          <w:color w:val="auto"/>
        </w:rPr>
      </w:pPr>
      <w:r>
        <w:rPr>
          <w:rFonts w:ascii="Arial" w:cs="Arial" w:eastAsia="Arial" w:hAnsi="Arial"/>
          <w:sz w:val="20"/>
          <w:szCs w:val="20"/>
          <w:b w:val="1"/>
          <w:bCs w:val="1"/>
          <w:color w:val="231F20"/>
        </w:rPr>
        <w:t>ITEM 9</w:t>
        <w:tab/>
        <w:t>CHANGES IN AND DISAGREEMENTS WITH ACCOUNTANTS ON ACCOUNTING AND FINANCIAL DISCLOSURE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9A CONTROLS AND PROCEDURES</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231F20"/>
        </w:rPr>
        <w:t>Management’s Annual Assessment of and Report on Internal Control Over Financial Reporting</w:t>
      </w:r>
    </w:p>
    <w:p>
      <w:pPr>
        <w:spacing w:after="0" w:line="201" w:lineRule="exact"/>
        <w:rPr>
          <w:sz w:val="20"/>
          <w:szCs w:val="20"/>
          <w:color w:val="auto"/>
        </w:rPr>
      </w:pPr>
    </w:p>
    <w:p>
      <w:pPr>
        <w:ind w:right="40" w:firstLine="300"/>
        <w:spacing w:after="0" w:line="263" w:lineRule="auto"/>
        <w:rPr>
          <w:sz w:val="20"/>
          <w:szCs w:val="20"/>
          <w:color w:val="auto"/>
        </w:rPr>
      </w:pPr>
      <w:r>
        <w:rPr>
          <w:rFonts w:ascii="Arial" w:cs="Arial" w:eastAsia="Arial" w:hAnsi="Arial"/>
          <w:sz w:val="19"/>
          <w:szCs w:val="19"/>
          <w:color w:val="231F20"/>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w:t>
      </w:r>
    </w:p>
    <w:p>
      <w:pPr>
        <w:spacing w:after="0" w:line="3" w:lineRule="exact"/>
        <w:rPr>
          <w:sz w:val="20"/>
          <w:szCs w:val="20"/>
          <w:color w:val="auto"/>
        </w:rPr>
      </w:pPr>
    </w:p>
    <w:p>
      <w:pPr>
        <w:ind w:right="300"/>
        <w:spacing w:after="0" w:line="249" w:lineRule="auto"/>
        <w:tabs>
          <w:tab w:leader="none" w:pos="234" w:val="left"/>
        </w:tabs>
        <w:numPr>
          <w:ilvl w:val="0"/>
          <w:numId w:val="92"/>
        </w:numPr>
        <w:rPr>
          <w:rFonts w:ascii="Arial" w:cs="Arial" w:eastAsia="Arial" w:hAnsi="Arial"/>
          <w:sz w:val="20"/>
          <w:szCs w:val="20"/>
          <w:color w:val="231F20"/>
        </w:rPr>
      </w:pPr>
      <w:r>
        <w:rPr>
          <w:rFonts w:ascii="Arial" w:cs="Arial" w:eastAsia="Arial" w:hAnsi="Arial"/>
          <w:sz w:val="20"/>
          <w:szCs w:val="20"/>
          <w:color w:val="231F20"/>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6" w:lineRule="exact"/>
        <w:rPr>
          <w:sz w:val="20"/>
          <w:szCs w:val="20"/>
          <w:color w:val="auto"/>
        </w:rPr>
      </w:pPr>
    </w:p>
    <w:p>
      <w:pPr>
        <w:ind w:right="20" w:firstLine="300"/>
        <w:spacing w:after="0" w:line="248" w:lineRule="auto"/>
        <w:rPr>
          <w:sz w:val="20"/>
          <w:szCs w:val="20"/>
          <w:color w:val="auto"/>
        </w:rPr>
      </w:pPr>
      <w:r>
        <w:rPr>
          <w:rFonts w:ascii="Arial" w:cs="Arial" w:eastAsia="Arial" w:hAnsi="Arial"/>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ind w:firstLine="300"/>
        <w:spacing w:after="0" w:line="249" w:lineRule="auto"/>
        <w:rPr>
          <w:sz w:val="20"/>
          <w:szCs w:val="20"/>
          <w:color w:val="auto"/>
        </w:rPr>
      </w:pPr>
      <w:r>
        <w:rPr>
          <w:rFonts w:ascii="Arial" w:cs="Arial" w:eastAsia="Arial" w:hAnsi="Arial"/>
          <w:sz w:val="20"/>
          <w:szCs w:val="20"/>
          <w:color w:val="231F20"/>
        </w:rPr>
        <w:t xml:space="preserve">Our management has assessed the effectiveness of our internal control system as of December 31, 2025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2025, our system of internal control over financial reporting is effective. As described in </w:t>
      </w:r>
      <w:r>
        <w:rPr>
          <w:rFonts w:ascii="Arial" w:cs="Arial" w:eastAsia="Arial" w:hAnsi="Arial"/>
          <w:sz w:val="20"/>
          <w:szCs w:val="20"/>
          <w:i w:val="1"/>
          <w:iCs w:val="1"/>
          <w:color w:val="231F20"/>
        </w:rPr>
        <w:t xml:space="preserve">Part II, Item 8 – Financial Statements and Supplementary Data, Note 2 Business Combinations, </w:t>
      </w:r>
      <w:r>
        <w:rPr>
          <w:rFonts w:ascii="Arial" w:cs="Arial" w:eastAsia="Arial" w:hAnsi="Arial"/>
          <w:sz w:val="20"/>
          <w:szCs w:val="20"/>
          <w:color w:val="231F20"/>
        </w:rPr>
        <w:t>we</w:t>
      </w:r>
      <w:r>
        <w:rPr>
          <w:rFonts w:ascii="Arial" w:cs="Arial" w:eastAsia="Arial" w:hAnsi="Arial"/>
          <w:sz w:val="20"/>
          <w:szCs w:val="20"/>
          <w:i w:val="1"/>
          <w:iCs w:val="1"/>
          <w:color w:val="231F20"/>
        </w:rPr>
        <w:t xml:space="preserve"> </w:t>
      </w:r>
      <w:r>
        <w:rPr>
          <w:rFonts w:ascii="Arial" w:cs="Arial" w:eastAsia="Arial" w:hAnsi="Arial"/>
          <w:sz w:val="20"/>
          <w:szCs w:val="20"/>
          <w:color w:val="231F20"/>
        </w:rPr>
        <w:t>completed a merger with Berry on December 18, 2025. Berry was excluded from the scope of our assessment of internal controls over financial reporting as of December 31, 2025, because it was acquired in a business combination during 2025. The total assets of Berry represented approximately 12% of the related consolidated financial statement amounts as of December 31, 2025. The total revenue of Berry represented less than 1% of the related consolidated financial statement amount for the year ended December 31, 2025.</w:t>
      </w:r>
    </w:p>
    <w:p>
      <w:pPr>
        <w:spacing w:after="0" w:line="203" w:lineRule="exact"/>
        <w:rPr>
          <w:sz w:val="20"/>
          <w:szCs w:val="20"/>
          <w:color w:val="auto"/>
        </w:rPr>
      </w:pPr>
    </w:p>
    <w:p>
      <w:pPr>
        <w:ind w:right="300" w:firstLine="300"/>
        <w:spacing w:after="0" w:line="245" w:lineRule="auto"/>
        <w:rPr>
          <w:sz w:val="20"/>
          <w:szCs w:val="20"/>
          <w:color w:val="auto"/>
        </w:rPr>
      </w:pPr>
      <w:r>
        <w:rPr>
          <w:rFonts w:ascii="Arial" w:cs="Arial" w:eastAsia="Arial" w:hAnsi="Arial"/>
          <w:sz w:val="20"/>
          <w:szCs w:val="20"/>
          <w:color w:val="231F20"/>
        </w:rPr>
        <w:t xml:space="preserve">Our independent auditors, KPMG LLP, have issued a report on our internal control over financial reporting, which is set forth in </w:t>
      </w:r>
      <w:r>
        <w:rPr>
          <w:rFonts w:ascii="Arial" w:cs="Arial" w:eastAsia="Arial" w:hAnsi="Arial"/>
          <w:sz w:val="20"/>
          <w:szCs w:val="20"/>
          <w:i w:val="1"/>
          <w:iCs w:val="1"/>
          <w:color w:val="231F20"/>
        </w:rPr>
        <w:t>Item 8 – Financial Statements and Supplementary Data.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Evaluation of Disclosure Controls and Procedures</w:t>
      </w:r>
    </w:p>
    <w:p>
      <w:pPr>
        <w:spacing w:after="0" w:line="201" w:lineRule="exact"/>
        <w:rPr>
          <w:sz w:val="20"/>
          <w:szCs w:val="20"/>
          <w:color w:val="auto"/>
        </w:rPr>
      </w:pPr>
    </w:p>
    <w:p>
      <w:pPr>
        <w:ind w:right="80" w:firstLine="300"/>
        <w:spacing w:after="0" w:line="249" w:lineRule="auto"/>
        <w:rPr>
          <w:sz w:val="20"/>
          <w:szCs w:val="20"/>
          <w:color w:val="auto"/>
        </w:rPr>
      </w:pPr>
      <w:r>
        <w:rPr>
          <w:rFonts w:ascii="Arial" w:cs="Arial" w:eastAsia="Arial" w:hAnsi="Arial"/>
          <w:sz w:val="20"/>
          <w:szCs w:val="20"/>
          <w:color w:val="231F20"/>
        </w:rPr>
        <w:t>Our Chief Executive Officer and Chief Financial Officer supervised and participated in management’s evaluation of our disclosure controls and procedures (as defined in Rules 13a-15(e) and 15d-15(e) under the Securities Exchange Act of 1934) as of the end of the period covered by this Annual Report on Form 10-K. Based upon that evaluation, our Chief Executive Officer and our Chief Financial Officer concluded that as of December 31, 2025, our disclosure controls and procedures were effective and were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w:t>
      </w:r>
    </w:p>
    <w:p>
      <w:pPr>
        <w:sectPr>
          <w:pgSz w:w="11880" w:h="15480" w:orient="portrait"/>
          <w:cols w:equalWidth="0" w:num="1">
            <w:col w:w="9120"/>
          </w:cols>
          <w:pgMar w:left="1380" w:top="1312" w:right="1380" w:bottom="66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156</w:t>
      </w:r>
    </w:p>
    <w:p>
      <w:pPr>
        <w:sectPr>
          <w:pgSz w:w="11880" w:h="15480" w:orient="portrait"/>
          <w:cols w:equalWidth="0" w:num="1">
            <w:col w:w="9120"/>
          </w:cols>
          <w:pgMar w:left="1380" w:top="1312" w:right="1380" w:bottom="660" w:gutter="0" w:footer="0" w:header="0"/>
          <w:type w:val="continuous"/>
        </w:sectPr>
      </w:pPr>
    </w:p>
    <w:bookmarkStart w:id="160" w:name="page161"/>
    <w:bookmarkEnd w:id="160"/>
    <w:p>
      <w:pPr>
        <w:spacing w:after="0"/>
        <w:rPr>
          <w:sz w:val="20"/>
          <w:szCs w:val="20"/>
          <w:color w:val="auto"/>
        </w:rPr>
      </w:pPr>
      <w:r>
        <w:rPr>
          <w:rFonts w:ascii="Arial" w:cs="Arial" w:eastAsia="Arial" w:hAnsi="Arial"/>
          <w:sz w:val="20"/>
          <w:szCs w:val="20"/>
          <w:color w:val="231F20"/>
        </w:rPr>
        <w:t>including our Chief Executive Officer and our Chief Financial Officer, as appropriate, to allow timely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 xml:space="preserve">decisions regarding required disclosure. As disclosed in </w:t>
      </w:r>
      <w:r>
        <w:rPr>
          <w:rFonts w:ascii="Arial" w:cs="Arial" w:eastAsia="Arial" w:hAnsi="Arial"/>
          <w:sz w:val="20"/>
          <w:szCs w:val="20"/>
          <w:i w:val="1"/>
          <w:iCs w:val="1"/>
          <w:color w:val="231F20"/>
        </w:rPr>
        <w:t>Part II, Item 8 – Financial Statements 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Supplementary Data, Note 2 Business Combinations</w:t>
      </w:r>
      <w:r>
        <w:rPr>
          <w:rFonts w:ascii="Arial" w:cs="Arial" w:eastAsia="Arial" w:hAnsi="Arial"/>
          <w:sz w:val="20"/>
          <w:szCs w:val="20"/>
          <w:color w:val="231F20"/>
        </w:rPr>
        <w:t>, we completed the Berry Merger 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December 18, 2025. As part of the ongoing integration of Berry, we are in process of incorporating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controls and related procedures of Berry. Management’s evaluation of our disclosure controls 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procedures as of December 31, 2025 excludes an evaluation of the disclosure controls and procedures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of Berry. The total assets of Berry represented approximately 12% of the related consolidated financial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statement amounts as of December 31, 2025. The total revenue of Berry represented less than 1% of</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the related consolidated financial statement amount for the year ended December 31, 2025.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Changes in Internal Control</w:t>
      </w:r>
    </w:p>
    <w:p>
      <w:pPr>
        <w:spacing w:after="0" w:line="217" w:lineRule="exact"/>
        <w:rPr>
          <w:sz w:val="20"/>
          <w:szCs w:val="20"/>
          <w:color w:val="auto"/>
        </w:rPr>
      </w:pPr>
    </w:p>
    <w:p>
      <w:pPr>
        <w:ind w:right="320" w:firstLine="300"/>
        <w:spacing w:after="0" w:line="248" w:lineRule="auto"/>
        <w:rPr>
          <w:sz w:val="20"/>
          <w:szCs w:val="20"/>
          <w:color w:val="auto"/>
        </w:rPr>
      </w:pPr>
      <w:r>
        <w:rPr>
          <w:rFonts w:ascii="Arial" w:cs="Arial" w:eastAsia="Arial" w:hAnsi="Arial"/>
          <w:sz w:val="20"/>
          <w:szCs w:val="20"/>
          <w:color w:val="231F20"/>
        </w:rPr>
        <w:t>Other than the on-going incorporation of Berry’s controls, there were no changes in our internal controls over financial reporting (as defined in Rules 13a-15(f) and 15d-15(f) of the Exchange Act of 1934) during the three months ended December 31, 2025 that have materially affected, or are reasonably likely to materially affect, our internal controls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Limitations on Effectiveness of Controls and Procedures</w:t>
      </w:r>
    </w:p>
    <w:p>
      <w:pPr>
        <w:spacing w:after="0" w:line="215" w:lineRule="exact"/>
        <w:rPr>
          <w:sz w:val="20"/>
          <w:szCs w:val="20"/>
          <w:color w:val="auto"/>
        </w:rPr>
      </w:pPr>
    </w:p>
    <w:p>
      <w:pPr>
        <w:ind w:right="100" w:firstLine="300"/>
        <w:spacing w:after="0" w:line="247" w:lineRule="auto"/>
        <w:rPr>
          <w:sz w:val="20"/>
          <w:szCs w:val="20"/>
          <w:color w:val="auto"/>
        </w:rPr>
      </w:pPr>
      <w:r>
        <w:rPr>
          <w:rFonts w:ascii="Arial" w:cs="Arial" w:eastAsia="Arial" w:hAnsi="Arial"/>
          <w:sz w:val="20"/>
          <w:szCs w:val="20"/>
          <w:color w:val="231F20"/>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9B OTHER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Rule 10b5-1 Trading Arrangements</w:t>
      </w:r>
    </w:p>
    <w:p>
      <w:pPr>
        <w:spacing w:after="0" w:line="215" w:lineRule="exact"/>
        <w:rPr>
          <w:sz w:val="20"/>
          <w:szCs w:val="20"/>
          <w:color w:val="auto"/>
        </w:rPr>
      </w:pPr>
    </w:p>
    <w:p>
      <w:pPr>
        <w:ind w:right="140" w:firstLine="300"/>
        <w:spacing w:after="0" w:line="247" w:lineRule="auto"/>
        <w:rPr>
          <w:sz w:val="20"/>
          <w:szCs w:val="20"/>
          <w:color w:val="auto"/>
        </w:rPr>
      </w:pPr>
      <w:r>
        <w:rPr>
          <w:rFonts w:ascii="Arial" w:cs="Arial" w:eastAsia="Arial" w:hAnsi="Arial"/>
          <w:sz w:val="20"/>
          <w:szCs w:val="20"/>
          <w:color w:val="231F20"/>
        </w:rPr>
        <w:t>During the three months ended December 31, 2025, no directors or officers adopted or terminated a “Rule 10b5-1 trading arrangement” or “non-Rule 10b5-1 trading arrangement,” as each term is defined in Item 408 of Regulation S-K.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Second Amended and Restated Bylaws</w:t>
      </w:r>
    </w:p>
    <w:p>
      <w:pPr>
        <w:spacing w:after="0" w:line="215" w:lineRule="exact"/>
        <w:rPr>
          <w:sz w:val="20"/>
          <w:szCs w:val="20"/>
          <w:color w:val="auto"/>
        </w:rPr>
      </w:pPr>
    </w:p>
    <w:p>
      <w:pPr>
        <w:ind w:right="280" w:firstLine="300"/>
        <w:spacing w:after="0" w:line="245" w:lineRule="auto"/>
        <w:rPr>
          <w:sz w:val="20"/>
          <w:szCs w:val="20"/>
          <w:color w:val="auto"/>
        </w:rPr>
      </w:pPr>
      <w:r>
        <w:rPr>
          <w:rFonts w:ascii="Arial" w:cs="Arial" w:eastAsia="Arial" w:hAnsi="Arial"/>
          <w:sz w:val="20"/>
          <w:szCs w:val="20"/>
          <w:color w:val="231F20"/>
        </w:rPr>
        <w:t>On February 24, 2026, the Board amended and restated the Company’s Amended and Restated Bylaws to clarify, among other things, (i) notice requirements for adjournment of remote meetings,</w:t>
      </w:r>
    </w:p>
    <w:p>
      <w:pPr>
        <w:spacing w:after="0" w:line="6" w:lineRule="exact"/>
        <w:rPr>
          <w:sz w:val="20"/>
          <w:szCs w:val="20"/>
          <w:color w:val="auto"/>
        </w:rPr>
      </w:pPr>
    </w:p>
    <w:p>
      <w:pPr>
        <w:ind w:left="280" w:hanging="280"/>
        <w:spacing w:after="0"/>
        <w:tabs>
          <w:tab w:leader="none" w:pos="280" w:val="left"/>
        </w:tabs>
        <w:numPr>
          <w:ilvl w:val="0"/>
          <w:numId w:val="93"/>
        </w:numPr>
        <w:rPr>
          <w:rFonts w:ascii="Arial" w:cs="Arial" w:eastAsia="Arial" w:hAnsi="Arial"/>
          <w:sz w:val="20"/>
          <w:szCs w:val="20"/>
          <w:color w:val="231F20"/>
        </w:rPr>
      </w:pPr>
      <w:r>
        <w:rPr>
          <w:rFonts w:ascii="Arial" w:cs="Arial" w:eastAsia="Arial" w:hAnsi="Arial"/>
          <w:sz w:val="20"/>
          <w:szCs w:val="20"/>
          <w:color w:val="231F20"/>
        </w:rPr>
        <w:t>requirements for notices of shareholder meetings, (iii) information to be provided by shareholders</w:t>
      </w:r>
    </w:p>
    <w:p>
      <w:pPr>
        <w:spacing w:after="0" w:line="14" w:lineRule="exact"/>
        <w:rPr>
          <w:rFonts w:ascii="Arial" w:cs="Arial" w:eastAsia="Arial" w:hAnsi="Arial"/>
          <w:sz w:val="20"/>
          <w:szCs w:val="20"/>
          <w:color w:val="231F20"/>
        </w:rPr>
      </w:pPr>
    </w:p>
    <w:p>
      <w:pPr>
        <w:spacing w:after="0" w:line="248" w:lineRule="auto"/>
        <w:rPr>
          <w:rFonts w:ascii="Arial" w:cs="Arial" w:eastAsia="Arial" w:hAnsi="Arial"/>
          <w:sz w:val="20"/>
          <w:szCs w:val="20"/>
          <w:color w:val="231F20"/>
        </w:rPr>
      </w:pPr>
      <w:r>
        <w:rPr>
          <w:rFonts w:ascii="Arial" w:cs="Arial" w:eastAsia="Arial" w:hAnsi="Arial"/>
          <w:sz w:val="20"/>
          <w:szCs w:val="20"/>
          <w:color w:val="231F20"/>
        </w:rPr>
        <w:t>who submit proposals at the Company’s annual meeting and (iv) make various other updates, including clarifying, ministerial and conforming changes. The above description of the Company’s Second Amended and Restated Bylaws is a summary and does not purport to be complete. It is subject to and qualified in its entirety by reference to such Second Amended and Restated Bylaws filed herewith as Exhibit 3.4 to this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9C DISCLOSURE REGARDING FOREIGN JURISDICTIONS THAT PREVENT INSPECTIONS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Not applicable.</w:t>
      </w:r>
    </w:p>
    <w:p>
      <w:pPr>
        <w:sectPr>
          <w:pgSz w:w="11880" w:h="15480" w:orient="portrait"/>
          <w:cols w:equalWidth="0" w:num="1">
            <w:col w:w="9120"/>
          </w:cols>
          <w:pgMar w:left="1380" w:top="1310" w:right="138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157</w:t>
      </w:r>
    </w:p>
    <w:p>
      <w:pPr>
        <w:sectPr>
          <w:pgSz w:w="11880" w:h="15480" w:orient="portrait"/>
          <w:cols w:equalWidth="0" w:num="1">
            <w:col w:w="9120"/>
          </w:cols>
          <w:pgMar w:left="1380" w:top="1310" w:right="1380" w:bottom="660" w:gutter="0" w:footer="0" w:header="0"/>
          <w:type w:val="continuous"/>
        </w:sectPr>
      </w:pPr>
    </w:p>
    <w:bookmarkStart w:id="161" w:name="page162"/>
    <w:bookmarkEnd w:id="161"/>
    <w:p>
      <w:pPr>
        <w:spacing w:after="0"/>
        <w:rPr>
          <w:sz w:val="20"/>
          <w:szCs w:val="20"/>
          <w:color w:val="auto"/>
        </w:rPr>
      </w:pPr>
      <w:r>
        <w:rPr>
          <w:rFonts w:ascii="Arial" w:cs="Arial" w:eastAsia="Arial" w:hAnsi="Arial"/>
          <w:sz w:val="20"/>
          <w:szCs w:val="20"/>
          <w:b w:val="1"/>
          <w:bCs w:val="1"/>
          <w:color w:val="231F20"/>
        </w:rPr>
        <w:t>PART III</w:t>
      </w:r>
    </w:p>
    <w:p>
      <w:pPr>
        <w:spacing w:after="0" w:line="18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231F20"/>
        </w:rPr>
        <w:t>ITEM 10</w:t>
      </w:r>
      <w:r>
        <w:rPr>
          <w:sz w:val="20"/>
          <w:szCs w:val="20"/>
          <w:color w:val="auto"/>
        </w:rPr>
        <w:tab/>
      </w:r>
      <w:r>
        <w:rPr>
          <w:rFonts w:ascii="Arial" w:cs="Arial" w:eastAsia="Arial" w:hAnsi="Arial"/>
          <w:sz w:val="19"/>
          <w:szCs w:val="19"/>
          <w:b w:val="1"/>
          <w:bCs w:val="1"/>
          <w:color w:val="231F20"/>
        </w:rPr>
        <w:t>DIRECTORS, EXECUTIVE OFFICERS AND CORPORATE GOVERNANCE</w:t>
      </w:r>
    </w:p>
    <w:p>
      <w:pPr>
        <w:spacing w:after="0" w:line="193" w:lineRule="exact"/>
        <w:rPr>
          <w:sz w:val="20"/>
          <w:szCs w:val="20"/>
          <w:color w:val="auto"/>
        </w:rPr>
      </w:pPr>
    </w:p>
    <w:p>
      <w:pPr>
        <w:ind w:right="80" w:firstLine="300"/>
        <w:spacing w:after="0" w:line="248" w:lineRule="auto"/>
        <w:rPr>
          <w:sz w:val="20"/>
          <w:szCs w:val="20"/>
          <w:color w:val="auto"/>
        </w:rPr>
      </w:pPr>
      <w:r>
        <w:rPr>
          <w:rFonts w:ascii="Arial" w:cs="Arial" w:eastAsia="Arial" w:hAnsi="Arial"/>
          <w:sz w:val="20"/>
          <w:szCs w:val="20"/>
          <w:color w:val="231F20"/>
        </w:rPr>
        <w:t>The information required by this item is incorporated by reference from our Proxy Statement for the 2026 Annual Meeting of Stockholders, which will be filed with the SEC within 120 days of the fiscal year ended December 31, 2025 (2026 Proxy Statement). See the list of our executive officers and related information below.</w:t>
      </w:r>
    </w:p>
    <w:p>
      <w:pPr>
        <w:spacing w:after="0" w:line="185" w:lineRule="exact"/>
        <w:rPr>
          <w:sz w:val="20"/>
          <w:szCs w:val="20"/>
          <w:color w:val="auto"/>
        </w:rPr>
      </w:pPr>
    </w:p>
    <w:p>
      <w:pPr>
        <w:jc w:val="both"/>
        <w:ind w:right="200" w:firstLine="300"/>
        <w:spacing w:after="0" w:line="266" w:lineRule="auto"/>
        <w:rPr>
          <w:sz w:val="20"/>
          <w:szCs w:val="20"/>
          <w:color w:val="auto"/>
        </w:rPr>
      </w:pPr>
      <w:r>
        <w:rPr>
          <w:rFonts w:ascii="Arial" w:cs="Arial" w:eastAsia="Arial" w:hAnsi="Arial"/>
          <w:sz w:val="19"/>
          <w:szCs w:val="19"/>
          <w:color w:val="231F20"/>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EXECUTIVE OFFICERS</w:t>
      </w:r>
    </w:p>
    <w:p>
      <w:pPr>
        <w:spacing w:after="0" w:line="191" w:lineRule="exact"/>
        <w:rPr>
          <w:sz w:val="20"/>
          <w:szCs w:val="20"/>
          <w:color w:val="auto"/>
        </w:rPr>
      </w:pPr>
    </w:p>
    <w:p>
      <w:pPr>
        <w:ind w:right="260" w:firstLine="300"/>
        <w:spacing w:after="0" w:line="245" w:lineRule="auto"/>
        <w:rPr>
          <w:sz w:val="20"/>
          <w:szCs w:val="20"/>
          <w:color w:val="auto"/>
        </w:rPr>
      </w:pPr>
      <w:r>
        <w:rPr>
          <w:rFonts w:ascii="Arial" w:cs="Arial" w:eastAsia="Arial" w:hAnsi="Arial"/>
          <w:sz w:val="20"/>
          <w:szCs w:val="20"/>
          <w:color w:val="231F20"/>
        </w:rPr>
        <w:t>Executive officers are appointed annually by the Board of Directors. The following table sets forth our current executive officers: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231F20"/>
              </w:rPr>
              <w:t>Age at</w:t>
            </w:r>
          </w:p>
        </w:tc>
      </w:tr>
      <w:tr>
        <w:trPr>
          <w:trHeight w:val="220"/>
        </w:trPr>
        <w:tc>
          <w:tcPr>
            <w:tcW w:w="1600" w:type="dxa"/>
            <w:vAlign w:val="bottom"/>
          </w:tcPr>
          <w:p>
            <w:pPr>
              <w:spacing w:after="0"/>
              <w:rPr>
                <w:sz w:val="20"/>
                <w:szCs w:val="20"/>
                <w:color w:val="auto"/>
              </w:rPr>
            </w:pPr>
            <w:r>
              <w:rPr>
                <w:rFonts w:ascii="Arial" w:cs="Arial" w:eastAsia="Arial" w:hAnsi="Arial"/>
                <w:sz w:val="18"/>
                <w:szCs w:val="18"/>
                <w:b w:val="1"/>
                <w:bCs w:val="1"/>
                <w:color w:val="231F20"/>
              </w:rPr>
              <w:t>Name</w:t>
            </w: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231F20"/>
              </w:rPr>
              <w:t>Employment History</w:t>
            </w: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231F20"/>
              </w:rPr>
              <w:t>March 2, 2026</w:t>
            </w:r>
          </w:p>
        </w:tc>
      </w:tr>
      <w:tr>
        <w:trPr>
          <w:trHeight w:val="24"/>
        </w:trPr>
        <w:tc>
          <w:tcPr>
            <w:tcW w:w="160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568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231F20"/>
            </w:tcBorders>
          </w:tcPr>
          <w:p>
            <w:pPr>
              <w:spacing w:after="0"/>
              <w:rPr>
                <w:sz w:val="2"/>
                <w:szCs w:val="2"/>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231F20"/>
              </w:rPr>
              <w:t>Francisco J. Leon</w:t>
            </w:r>
          </w:p>
        </w:tc>
        <w:tc>
          <w:tcPr>
            <w:tcW w:w="240" w:type="dxa"/>
            <w:vAlign w:val="bottom"/>
          </w:tcPr>
          <w:p>
            <w:pPr>
              <w:spacing w:after="0"/>
              <w:rPr>
                <w:sz w:val="22"/>
                <w:szCs w:val="22"/>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President, Chief Executive Officer and Director since 2023; Executive</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231F20"/>
              </w:rPr>
              <w:t>49</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Vice President and Chief Financial Officer 2020 to 2023; Executive</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Vice President - Corporate Development and Strategic Planning 2018</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to 2020; Vice President - Portfolio Management and Strategic Planning</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2014 to 2018; Occidental Director - Portfolio Management 2012 to</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2014; Occidental Director of Corporate Development and M&amp;A 2010 to</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2012; Occidental Manager of Business Development 2008 to 2010.</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231F20"/>
              </w:rPr>
              <w:t>Clio Crespy</w:t>
            </w:r>
          </w:p>
        </w:tc>
        <w:tc>
          <w:tcPr>
            <w:tcW w:w="2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Executive Vice President and Chief Financial Officer since 2025;</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231F20"/>
              </w:rPr>
              <w:t>40</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Guggenheim Securities Senior Managing Director, Investment</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Banking, Global Energy &amp; Power 2020 to 2024; Evercore Managing</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Director 2017 to 2020; BNP Paribas VP, Investment Banking 2008 to</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color w:val="231F20"/>
              </w:rPr>
              <w:t>2017.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231F20"/>
              </w:rPr>
              <w:t>Omar Hayat</w:t>
            </w:r>
          </w:p>
        </w:tc>
        <w:tc>
          <w:tcPr>
            <w:tcW w:w="2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Executive Vice President and Chief Operating Officer since 2025;</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231F20"/>
              </w:rPr>
              <w:t>50</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Executive Vice President Operations 2023 to 2025; Senior Vice</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President Operations 2023; Vice President of Operations for Elk Hills</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production complex from 2021 to 2023; Operations Manager 2019 to</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2021; various technical and operational positions with the Company,</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Occidental Petroleum, Aera Energy and Engro Chemical (formerly</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Exxon Chemical) 1997 to 2019.</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231F20"/>
              </w:rPr>
              <w:t>Michael L. Preston</w:t>
            </w:r>
          </w:p>
        </w:tc>
        <w:tc>
          <w:tcPr>
            <w:tcW w:w="2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Executive Vice President, Chief Strategy Officer and General Counsel</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231F20"/>
              </w:rPr>
              <w:t>61</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since 2023; Executive Vice President, Chief Administrative Officer and</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General Counsel 2019 to 2023; Executive Vice President, General</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Counsel and Corporate Secretary 2014 to 2019; Occidental Oil and</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Gas Vice President and General Counsel 2001 to 2014.</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231F20"/>
              </w:rPr>
              <w:t>Jay A. Bys</w:t>
            </w:r>
          </w:p>
        </w:tc>
        <w:tc>
          <w:tcPr>
            <w:tcW w:w="2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Executive Vice President and Chief Commercial Officer since 2021;</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231F20"/>
              </w:rPr>
              <w:t>61</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w w:val="99"/>
              </w:rPr>
              <w:t>Private Energy Advisor 2019 to 2020 and 2015 to 2016; GenOn Energy</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and affiliate companies Chief Commercial Officer 2017 to 2018;</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Luminant Energy Vice President Origination and Capital Management</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2007 to 2014; TXU, Enserch Energy various positions 1997 to 2007.</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0"/>
        </w:trPr>
        <w:tc>
          <w:tcPr>
            <w:tcW w:w="1600" w:type="dxa"/>
            <w:vAlign w:val="bottom"/>
          </w:tcPr>
          <w:p>
            <w:pPr>
              <w:spacing w:after="0"/>
              <w:rPr>
                <w:sz w:val="20"/>
                <w:szCs w:val="20"/>
                <w:color w:val="auto"/>
              </w:rPr>
            </w:pPr>
            <w:r>
              <w:rPr>
                <w:rFonts w:ascii="Arial" w:cs="Arial" w:eastAsia="Arial" w:hAnsi="Arial"/>
                <w:sz w:val="18"/>
                <w:szCs w:val="18"/>
                <w:color w:val="231F20"/>
              </w:rPr>
              <w:t>Chris D. Gould</w:t>
            </w:r>
          </w:p>
        </w:tc>
        <w:tc>
          <w:tcPr>
            <w:tcW w:w="2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Executive Vice President and Chief Sustainability Officer since 2021;</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231F20"/>
              </w:rPr>
              <w:t>55</w:t>
            </w: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Exelon Corporation Senior Vice President Corporate Strategy and</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Chief Innovation and Sustainability Officer 2010 to 2021; Exelon</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Corporation Vice President, Corporate Financial Planning and Analysis</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231F20"/>
              </w:rPr>
              <w:t>2008 to 2010.</w:t>
            </w:r>
          </w:p>
        </w:tc>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9120"/>
          </w:cols>
          <w:pgMar w:left="1380" w:top="1310" w:right="1380" w:bottom="660"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158</w:t>
      </w:r>
    </w:p>
    <w:p>
      <w:pPr>
        <w:sectPr>
          <w:pgSz w:w="11880" w:h="15480" w:orient="portrait"/>
          <w:cols w:equalWidth="0" w:num="1">
            <w:col w:w="9120"/>
          </w:cols>
          <w:pgMar w:left="1380" w:top="1310" w:right="1380" w:bottom="660" w:gutter="0" w:footer="0" w:header="0"/>
          <w:type w:val="continuous"/>
        </w:sectPr>
      </w:pPr>
    </w:p>
    <w:bookmarkStart w:id="162" w:name="page163"/>
    <w:bookmarkEnd w:id="162"/>
    <w:p>
      <w:pPr>
        <w:spacing w:after="0"/>
        <w:tabs>
          <w:tab w:leader="none" w:pos="880" w:val="left"/>
        </w:tabs>
        <w:rPr>
          <w:sz w:val="20"/>
          <w:szCs w:val="20"/>
          <w:color w:val="auto"/>
        </w:rPr>
      </w:pPr>
      <w:r>
        <w:rPr>
          <w:rFonts w:ascii="Arial" w:cs="Arial" w:eastAsia="Arial" w:hAnsi="Arial"/>
          <w:sz w:val="20"/>
          <w:szCs w:val="20"/>
          <w:b w:val="1"/>
          <w:bCs w:val="1"/>
          <w:color w:val="231F20"/>
        </w:rPr>
        <w:t>ITEM 11</w:t>
      </w:r>
      <w:r>
        <w:rPr>
          <w:sz w:val="20"/>
          <w:szCs w:val="20"/>
          <w:color w:val="auto"/>
        </w:rPr>
        <w:tab/>
      </w:r>
      <w:r>
        <w:rPr>
          <w:rFonts w:ascii="Arial" w:cs="Arial" w:eastAsia="Arial" w:hAnsi="Arial"/>
          <w:sz w:val="19"/>
          <w:szCs w:val="19"/>
          <w:b w:val="1"/>
          <w:bCs w:val="1"/>
          <w:color w:val="231F20"/>
        </w:rPr>
        <w:t>EXECUTIVE COMPENSATION</w:t>
      </w:r>
    </w:p>
    <w:p>
      <w:pPr>
        <w:spacing w:after="0" w:line="217" w:lineRule="exact"/>
        <w:rPr>
          <w:sz w:val="20"/>
          <w:szCs w:val="20"/>
          <w:color w:val="auto"/>
        </w:rPr>
      </w:pPr>
    </w:p>
    <w:p>
      <w:pPr>
        <w:ind w:right="100" w:firstLine="300"/>
        <w:spacing w:after="0" w:line="249" w:lineRule="auto"/>
        <w:rPr>
          <w:sz w:val="20"/>
          <w:szCs w:val="20"/>
          <w:color w:val="auto"/>
        </w:rPr>
      </w:pPr>
      <w:r>
        <w:rPr>
          <w:rFonts w:ascii="Arial" w:cs="Arial" w:eastAsia="Arial" w:hAnsi="Arial"/>
          <w:sz w:val="20"/>
          <w:szCs w:val="20"/>
          <w:color w:val="231F20"/>
        </w:rPr>
        <w:t xml:space="preserve">The information required by this item is incorporated by reference from our 2026 Proxy Statement. Pursuant to the rules and regulations under the Exchange Act, the information in the </w:t>
      </w:r>
      <w:r>
        <w:rPr>
          <w:rFonts w:ascii="Arial" w:cs="Arial" w:eastAsia="Arial" w:hAnsi="Arial"/>
          <w:sz w:val="20"/>
          <w:szCs w:val="20"/>
          <w:i w:val="1"/>
          <w:iCs w:val="1"/>
          <w:color w:val="231F20"/>
        </w:rPr>
        <w:t>Compensation</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Discussion and Analysis – Compensation Committee Report </w:t>
      </w:r>
      <w:r>
        <w:rPr>
          <w:rFonts w:ascii="Arial" w:cs="Arial" w:eastAsia="Arial" w:hAnsi="Arial"/>
          <w:sz w:val="20"/>
          <w:szCs w:val="20"/>
          <w:color w:val="231F20"/>
        </w:rPr>
        <w:t>section shall not be deemed to be</w:t>
      </w:r>
      <w:r>
        <w:rPr>
          <w:rFonts w:ascii="Arial" w:cs="Arial" w:eastAsia="Arial" w:hAnsi="Arial"/>
          <w:sz w:val="20"/>
          <w:szCs w:val="20"/>
          <w:i w:val="1"/>
          <w:iCs w:val="1"/>
          <w:color w:val="231F20"/>
        </w:rPr>
        <w:t xml:space="preserve"> </w:t>
      </w:r>
      <w:r>
        <w:rPr>
          <w:rFonts w:ascii="Arial" w:cs="Arial" w:eastAsia="Arial" w:hAnsi="Arial"/>
          <w:sz w:val="20"/>
          <w:szCs w:val="20"/>
          <w:color w:val="231F20"/>
        </w:rPr>
        <w:t>“soliciting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204" w:lineRule="exact"/>
        <w:rPr>
          <w:sz w:val="20"/>
          <w:szCs w:val="20"/>
          <w:color w:val="auto"/>
        </w:rPr>
      </w:pPr>
    </w:p>
    <w:p>
      <w:pPr>
        <w:ind w:left="900" w:right="400" w:hanging="899"/>
        <w:spacing w:after="0" w:line="248" w:lineRule="auto"/>
        <w:tabs>
          <w:tab w:leader="none" w:pos="880" w:val="left"/>
        </w:tabs>
        <w:rPr>
          <w:sz w:val="20"/>
          <w:szCs w:val="20"/>
          <w:color w:val="auto"/>
        </w:rPr>
      </w:pPr>
      <w:r>
        <w:rPr>
          <w:rFonts w:ascii="Arial" w:cs="Arial" w:eastAsia="Arial" w:hAnsi="Arial"/>
          <w:sz w:val="20"/>
          <w:szCs w:val="20"/>
          <w:b w:val="1"/>
          <w:bCs w:val="1"/>
          <w:color w:val="231F20"/>
        </w:rPr>
        <w:t>ITEM 12</w:t>
        <w:tab/>
        <w:t>SECURITY OWNERSHIP OF CERTAIN BENEFICIAL OWNERS AND MANAGEMENT AND RELATED STOCKHOLDER MATTERS</w:t>
      </w:r>
    </w:p>
    <w:p>
      <w:pPr>
        <w:spacing w:after="0" w:line="209" w:lineRule="exact"/>
        <w:rPr>
          <w:sz w:val="20"/>
          <w:szCs w:val="20"/>
          <w:color w:val="auto"/>
        </w:rPr>
      </w:pPr>
    </w:p>
    <w:p>
      <w:pPr>
        <w:ind w:right="100" w:firstLine="300"/>
        <w:spacing w:after="0" w:line="248" w:lineRule="auto"/>
        <w:rPr>
          <w:sz w:val="20"/>
          <w:szCs w:val="20"/>
          <w:color w:val="auto"/>
        </w:rPr>
      </w:pPr>
      <w:r>
        <w:rPr>
          <w:rFonts w:ascii="Arial" w:cs="Arial" w:eastAsia="Arial" w:hAnsi="Arial"/>
          <w:sz w:val="20"/>
          <w:szCs w:val="20"/>
          <w:color w:val="231F20"/>
        </w:rPr>
        <w:t xml:space="preserve">The information required by this item is incorporated by reference from our 2026 Proxy Statement. See also </w:t>
      </w:r>
      <w:r>
        <w:rPr>
          <w:rFonts w:ascii="Arial" w:cs="Arial" w:eastAsia="Arial" w:hAnsi="Arial"/>
          <w:sz w:val="20"/>
          <w:szCs w:val="20"/>
          <w:i w:val="1"/>
          <w:iCs w:val="1"/>
          <w:color w:val="231F20"/>
        </w:rPr>
        <w:t>Part II, Item 5 – Market for Registrant’s Common Equity, Related Stockholder Matters and</w:t>
      </w:r>
      <w:r>
        <w:rPr>
          <w:rFonts w:ascii="Arial" w:cs="Arial" w:eastAsia="Arial" w:hAnsi="Arial"/>
          <w:sz w:val="20"/>
          <w:szCs w:val="20"/>
          <w:color w:val="231F20"/>
        </w:rPr>
        <w:t xml:space="preserve"> </w:t>
      </w:r>
      <w:r>
        <w:rPr>
          <w:rFonts w:ascii="Arial" w:cs="Arial" w:eastAsia="Arial" w:hAnsi="Arial"/>
          <w:sz w:val="20"/>
          <w:szCs w:val="20"/>
          <w:i w:val="1"/>
          <w:iCs w:val="1"/>
          <w:color w:val="231F20"/>
        </w:rPr>
        <w:t>Issuer Purchases of Equity Securities – Securities Authorized for Issuance Under Equity Compensation Plans</w:t>
      </w:r>
      <w:r>
        <w:rPr>
          <w:rFonts w:ascii="Arial" w:cs="Arial" w:eastAsia="Arial" w:hAnsi="Arial"/>
          <w:sz w:val="20"/>
          <w:szCs w:val="20"/>
          <w:color w:val="231F20"/>
        </w:rPr>
        <w:t>.</w:t>
      </w:r>
    </w:p>
    <w:p>
      <w:pPr>
        <w:spacing w:after="0" w:line="207" w:lineRule="exact"/>
        <w:rPr>
          <w:sz w:val="20"/>
          <w:szCs w:val="20"/>
          <w:color w:val="auto"/>
        </w:rPr>
      </w:pPr>
    </w:p>
    <w:p>
      <w:pPr>
        <w:ind w:left="900" w:right="900" w:hanging="899"/>
        <w:spacing w:after="0" w:line="248" w:lineRule="auto"/>
        <w:tabs>
          <w:tab w:leader="none" w:pos="880" w:val="left"/>
        </w:tabs>
        <w:rPr>
          <w:sz w:val="20"/>
          <w:szCs w:val="20"/>
          <w:color w:val="auto"/>
        </w:rPr>
      </w:pPr>
      <w:r>
        <w:rPr>
          <w:rFonts w:ascii="Arial" w:cs="Arial" w:eastAsia="Arial" w:hAnsi="Arial"/>
          <w:sz w:val="20"/>
          <w:szCs w:val="20"/>
          <w:b w:val="1"/>
          <w:bCs w:val="1"/>
          <w:color w:val="231F20"/>
        </w:rPr>
        <w:t>ITEM 13</w:t>
        <w:tab/>
        <w:t>CERTAIN RELATIONSHIPS AND RELATED TRANSACTIONS AND DIRECTOR INDEPENDENCE</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information required by this item is incorporated by reference from our 2026 Proxy Statement</w:t>
      </w:r>
      <w:r>
        <w:rPr>
          <w:rFonts w:ascii="Arial" w:cs="Arial" w:eastAsia="Arial" w:hAnsi="Arial"/>
          <w:sz w:val="20"/>
          <w:szCs w:val="20"/>
          <w:i w:val="1"/>
          <w:iCs w:val="1"/>
          <w:color w:val="231F20"/>
        </w:rPr>
        <w:t>.</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231F20"/>
        </w:rPr>
        <w:t>ITEM 14</w:t>
        <w:tab/>
        <w:t>PRINCIPAL ACCOUNTANT FEES AND SERVICES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9"/>
          <w:szCs w:val="19"/>
          <w:color w:val="231F20"/>
        </w:rPr>
        <w:t>Our independent registered public accounting firm is KPMG LLP, Los Angeles, CA, Auditor ID: 185.</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The information required by this item is incorporated by reference from our 2026 Proxy Statement.</w:t>
      </w:r>
    </w:p>
    <w:p>
      <w:pPr>
        <w:sectPr>
          <w:pgSz w:w="11880" w:h="15480" w:orient="portrait"/>
          <w:cols w:equalWidth="0" w:num="1">
            <w:col w:w="9080"/>
          </w:cols>
          <w:pgMar w:left="1380" w:top="1310" w:right="1420"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231F20"/>
        </w:rPr>
        <w:t>159</w:t>
      </w:r>
    </w:p>
    <w:p>
      <w:pPr>
        <w:sectPr>
          <w:pgSz w:w="11880" w:h="15480" w:orient="portrait"/>
          <w:cols w:equalWidth="0" w:num="1">
            <w:col w:w="9080"/>
          </w:cols>
          <w:pgMar w:left="1380" w:top="1310" w:right="1420" w:bottom="660" w:gutter="0" w:footer="0" w:header="0"/>
          <w:type w:val="continuous"/>
        </w:sectPr>
      </w:pPr>
    </w:p>
    <w:bookmarkStart w:id="163" w:name="page164"/>
    <w:bookmarkEnd w:id="163"/>
    <w:p>
      <w:pPr>
        <w:spacing w:after="0"/>
        <w:rPr>
          <w:sz w:val="20"/>
          <w:szCs w:val="20"/>
          <w:color w:val="auto"/>
        </w:rPr>
      </w:pPr>
      <w:r>
        <w:rPr>
          <w:rFonts w:ascii="Arial" w:cs="Arial" w:eastAsia="Arial" w:hAnsi="Arial"/>
          <w:sz w:val="20"/>
          <w:szCs w:val="20"/>
          <w:b w:val="1"/>
          <w:bCs w:val="1"/>
          <w:color w:val="231F20"/>
        </w:rPr>
        <w:t>PART IV</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15</w:t>
      </w:r>
      <w:r>
        <w:rPr>
          <w:sz w:val="20"/>
          <w:szCs w:val="20"/>
          <w:color w:val="auto"/>
        </w:rPr>
        <w:tab/>
      </w:r>
      <w:r>
        <w:rPr>
          <w:rFonts w:ascii="Arial" w:cs="Arial" w:eastAsia="Arial" w:hAnsi="Arial"/>
          <w:sz w:val="17"/>
          <w:szCs w:val="17"/>
          <w:b w:val="1"/>
          <w:bCs w:val="1"/>
          <w:color w:val="231F20"/>
        </w:rPr>
        <w:t>EXHIBITS</w:t>
      </w:r>
    </w:p>
    <w:p>
      <w:pPr>
        <w:spacing w:after="0" w:line="219"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231F20"/>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211" w:lineRule="exact"/>
        <w:rPr>
          <w:sz w:val="20"/>
          <w:szCs w:val="20"/>
          <w:color w:val="auto"/>
        </w:rPr>
      </w:pPr>
    </w:p>
    <w:p>
      <w:pPr>
        <w:ind w:left="540" w:right="80" w:hanging="270"/>
        <w:spacing w:after="0" w:line="248" w:lineRule="auto"/>
        <w:tabs>
          <w:tab w:leader="none" w:pos="540" w:val="left"/>
        </w:tabs>
        <w:numPr>
          <w:ilvl w:val="1"/>
          <w:numId w:val="94"/>
        </w:numPr>
        <w:rPr>
          <w:rFonts w:ascii="Arial" w:cs="Arial" w:eastAsia="Arial" w:hAnsi="Arial"/>
          <w:sz w:val="18"/>
          <w:szCs w:val="18"/>
          <w:color w:val="231F20"/>
        </w:rPr>
      </w:pPr>
      <w:r>
        <w:rPr>
          <w:rFonts w:ascii="Arial" w:cs="Arial" w:eastAsia="Arial" w:hAnsi="Arial"/>
          <w:sz w:val="18"/>
          <w:szCs w:val="18"/>
          <w:color w:val="231F20"/>
        </w:rPr>
        <w:t>should not be treated as categorical statements of fact, but rather as a way of allocating the risk among the parties if those statements prove to be inaccurate;</w:t>
      </w:r>
    </w:p>
    <w:p>
      <w:pPr>
        <w:spacing w:after="0" w:line="212" w:lineRule="exact"/>
        <w:rPr>
          <w:rFonts w:ascii="Arial" w:cs="Arial" w:eastAsia="Arial" w:hAnsi="Arial"/>
          <w:sz w:val="18"/>
          <w:szCs w:val="18"/>
          <w:color w:val="231F20"/>
        </w:rPr>
      </w:pPr>
    </w:p>
    <w:p>
      <w:pPr>
        <w:ind w:left="540" w:right="220" w:hanging="270"/>
        <w:spacing w:after="0" w:line="248" w:lineRule="auto"/>
        <w:tabs>
          <w:tab w:leader="none" w:pos="540" w:val="left"/>
        </w:tabs>
        <w:numPr>
          <w:ilvl w:val="1"/>
          <w:numId w:val="94"/>
        </w:numPr>
        <w:rPr>
          <w:rFonts w:ascii="Arial" w:cs="Arial" w:eastAsia="Arial" w:hAnsi="Arial"/>
          <w:sz w:val="18"/>
          <w:szCs w:val="18"/>
          <w:color w:val="231F20"/>
        </w:rPr>
      </w:pPr>
      <w:r>
        <w:rPr>
          <w:rFonts w:ascii="Arial" w:cs="Arial" w:eastAsia="Arial" w:hAnsi="Arial"/>
          <w:sz w:val="18"/>
          <w:szCs w:val="18"/>
          <w:color w:val="231F20"/>
        </w:rPr>
        <w:t>have been qualified by disclosures that were made to the other party in connection with the negotiation of the applicable agreement, which disclosures are not necessarily reflected in the agreement;</w:t>
      </w:r>
    </w:p>
    <w:p>
      <w:pPr>
        <w:spacing w:after="0" w:line="212" w:lineRule="exact"/>
        <w:rPr>
          <w:rFonts w:ascii="Arial" w:cs="Arial" w:eastAsia="Arial" w:hAnsi="Arial"/>
          <w:sz w:val="18"/>
          <w:szCs w:val="18"/>
          <w:color w:val="231F20"/>
        </w:rPr>
      </w:pPr>
    </w:p>
    <w:p>
      <w:pPr>
        <w:ind w:left="540" w:right="200" w:hanging="270"/>
        <w:spacing w:after="0" w:line="248" w:lineRule="auto"/>
        <w:tabs>
          <w:tab w:leader="none" w:pos="540" w:val="left"/>
        </w:tabs>
        <w:numPr>
          <w:ilvl w:val="1"/>
          <w:numId w:val="94"/>
        </w:numPr>
        <w:rPr>
          <w:rFonts w:ascii="Arial" w:cs="Arial" w:eastAsia="Arial" w:hAnsi="Arial"/>
          <w:sz w:val="18"/>
          <w:szCs w:val="18"/>
          <w:color w:val="231F20"/>
        </w:rPr>
      </w:pPr>
      <w:r>
        <w:rPr>
          <w:rFonts w:ascii="Arial" w:cs="Arial" w:eastAsia="Arial" w:hAnsi="Arial"/>
          <w:sz w:val="18"/>
          <w:szCs w:val="18"/>
          <w:color w:val="231F20"/>
        </w:rPr>
        <w:t>may apply standards of materiality in a way that is different from the way the Company and investors may view materiality; and</w:t>
      </w:r>
    </w:p>
    <w:p>
      <w:pPr>
        <w:spacing w:after="0" w:line="212" w:lineRule="exact"/>
        <w:rPr>
          <w:rFonts w:ascii="Arial" w:cs="Arial" w:eastAsia="Arial" w:hAnsi="Arial"/>
          <w:sz w:val="18"/>
          <w:szCs w:val="18"/>
          <w:color w:val="231F20"/>
        </w:rPr>
      </w:pPr>
    </w:p>
    <w:p>
      <w:pPr>
        <w:ind w:left="540" w:right="60" w:hanging="270"/>
        <w:spacing w:after="0" w:line="248" w:lineRule="auto"/>
        <w:tabs>
          <w:tab w:leader="none" w:pos="540" w:val="left"/>
        </w:tabs>
        <w:numPr>
          <w:ilvl w:val="1"/>
          <w:numId w:val="94"/>
        </w:numPr>
        <w:rPr>
          <w:rFonts w:ascii="Arial" w:cs="Arial" w:eastAsia="Arial" w:hAnsi="Arial"/>
          <w:sz w:val="18"/>
          <w:szCs w:val="18"/>
          <w:color w:val="231F20"/>
        </w:rPr>
      </w:pPr>
      <w:r>
        <w:rPr>
          <w:rFonts w:ascii="Arial" w:cs="Arial" w:eastAsia="Arial" w:hAnsi="Arial"/>
          <w:sz w:val="18"/>
          <w:szCs w:val="18"/>
          <w:color w:val="231F20"/>
        </w:rPr>
        <w:t>were made only as of the date of the applicable agreement or such other date or dates as may be specified in the agreement and are subject to more recent developments.</w:t>
      </w:r>
    </w:p>
    <w:p>
      <w:pPr>
        <w:spacing w:after="0" w:line="206" w:lineRule="exact"/>
        <w:rPr>
          <w:rFonts w:ascii="Arial" w:cs="Arial" w:eastAsia="Arial" w:hAnsi="Arial"/>
          <w:sz w:val="18"/>
          <w:szCs w:val="18"/>
          <w:color w:val="231F20"/>
        </w:rPr>
      </w:pPr>
    </w:p>
    <w:p>
      <w:pPr>
        <w:ind w:left="280" w:hanging="280"/>
        <w:spacing w:after="0"/>
        <w:tabs>
          <w:tab w:leader="none" w:pos="280" w:val="left"/>
        </w:tabs>
        <w:numPr>
          <w:ilvl w:val="0"/>
          <w:numId w:val="94"/>
        </w:numPr>
        <w:rPr>
          <w:rFonts w:ascii="Arial" w:cs="Arial" w:eastAsia="Arial" w:hAnsi="Arial"/>
          <w:sz w:val="18"/>
          <w:szCs w:val="18"/>
          <w:b w:val="1"/>
          <w:bCs w:val="1"/>
          <w:color w:val="231F20"/>
        </w:rPr>
      </w:pPr>
      <w:r>
        <w:rPr>
          <w:rFonts w:ascii="Arial" w:cs="Arial" w:eastAsia="Arial" w:hAnsi="Arial"/>
          <w:sz w:val="18"/>
          <w:szCs w:val="18"/>
          <w:b w:val="1"/>
          <w:bCs w:val="1"/>
          <w:color w:val="231F20"/>
        </w:rPr>
        <w:t>(1) and (2). Financial Statements</w:t>
      </w:r>
    </w:p>
    <w:p>
      <w:pPr>
        <w:spacing w:after="0" w:line="213" w:lineRule="exact"/>
        <w:rPr>
          <w:rFonts w:ascii="Arial" w:cs="Arial" w:eastAsia="Arial" w:hAnsi="Arial"/>
          <w:sz w:val="18"/>
          <w:szCs w:val="18"/>
          <w:b w:val="1"/>
          <w:bCs w:val="1"/>
          <w:color w:val="231F20"/>
        </w:rPr>
      </w:pPr>
    </w:p>
    <w:p>
      <w:pPr>
        <w:ind w:left="280"/>
        <w:spacing w:after="0"/>
        <w:rPr>
          <w:rFonts w:ascii="Arial" w:cs="Arial" w:eastAsia="Arial" w:hAnsi="Arial"/>
          <w:sz w:val="18"/>
          <w:szCs w:val="18"/>
          <w:b w:val="1"/>
          <w:bCs w:val="1"/>
          <w:color w:val="231F20"/>
        </w:rPr>
      </w:pPr>
      <w:r>
        <w:rPr>
          <w:rFonts w:ascii="Arial" w:cs="Arial" w:eastAsia="Arial" w:hAnsi="Arial"/>
          <w:sz w:val="18"/>
          <w:szCs w:val="18"/>
          <w:color w:val="231F20"/>
        </w:rPr>
        <w:t>Reference is made to Item 8 of the Table of Contents of this report where these documents are listed.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 (3). Exhibits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231F20"/>
              </w:rPr>
              <w:t>Exhibit</w:t>
            </w:r>
          </w:p>
        </w:tc>
        <w:tc>
          <w:tcPr>
            <w:tcW w:w="8280" w:type="dxa"/>
            <w:vAlign w:val="bottom"/>
          </w:tcPr>
          <w:p>
            <w:pPr>
              <w:spacing w:after="0"/>
              <w:rPr>
                <w:sz w:val="18"/>
                <w:szCs w:val="18"/>
                <w:color w:val="auto"/>
              </w:rPr>
            </w:pPr>
          </w:p>
        </w:tc>
      </w:tr>
      <w:tr>
        <w:trPr>
          <w:trHeight w:val="208"/>
        </w:trPr>
        <w:tc>
          <w:tcPr>
            <w:tcW w:w="840" w:type="dxa"/>
            <w:vAlign w:val="bottom"/>
            <w:tcBorders>
              <w:bottom w:val="single" w:sz="8" w:color="231F20"/>
            </w:tcBorders>
          </w:tcPr>
          <w:p>
            <w:pPr>
              <w:spacing w:after="0" w:line="201" w:lineRule="exact"/>
              <w:rPr>
                <w:sz w:val="20"/>
                <w:szCs w:val="20"/>
                <w:color w:val="auto"/>
              </w:rPr>
            </w:pPr>
            <w:r>
              <w:rPr>
                <w:rFonts w:ascii="Arial" w:cs="Arial" w:eastAsia="Arial" w:hAnsi="Arial"/>
                <w:sz w:val="18"/>
                <w:szCs w:val="18"/>
                <w:color w:val="231F20"/>
              </w:rPr>
              <w:t>Number</w:t>
            </w:r>
          </w:p>
        </w:tc>
        <w:tc>
          <w:tcPr>
            <w:tcW w:w="8280" w:type="dxa"/>
            <w:vAlign w:val="bottom"/>
            <w:tcBorders>
              <w:bottom w:val="single" w:sz="8" w:color="231F20"/>
            </w:tcBorders>
          </w:tcPr>
          <w:p>
            <w:pPr>
              <w:ind w:left="200"/>
              <w:spacing w:after="0" w:line="201" w:lineRule="exact"/>
              <w:rPr>
                <w:sz w:val="20"/>
                <w:szCs w:val="20"/>
                <w:color w:val="auto"/>
              </w:rPr>
            </w:pPr>
            <w:r>
              <w:rPr>
                <w:rFonts w:ascii="Arial" w:cs="Arial" w:eastAsia="Arial" w:hAnsi="Arial"/>
                <w:sz w:val="18"/>
                <w:szCs w:val="18"/>
                <w:color w:val="231F20"/>
              </w:rPr>
              <w:t>Exhibit Description</w:t>
            </w:r>
          </w:p>
        </w:tc>
      </w:tr>
      <w:tr>
        <w:trPr>
          <w:trHeight w:val="232"/>
        </w:trPr>
        <w:tc>
          <w:tcPr>
            <w:tcW w:w="840" w:type="dxa"/>
            <w:vAlign w:val="bottom"/>
          </w:tcPr>
          <w:p>
            <w:pPr>
              <w:ind w:left="200"/>
              <w:spacing w:after="0"/>
              <w:rPr>
                <w:sz w:val="20"/>
                <w:szCs w:val="20"/>
                <w:color w:val="auto"/>
              </w:rPr>
            </w:pPr>
            <w:r>
              <w:rPr>
                <w:rFonts w:ascii="Arial" w:cs="Arial" w:eastAsia="Arial" w:hAnsi="Arial"/>
                <w:sz w:val="18"/>
                <w:szCs w:val="18"/>
                <w:color w:val="231F20"/>
              </w:rPr>
              <w:t>2.1</w:t>
            </w:r>
          </w:p>
        </w:tc>
        <w:tc>
          <w:tcPr>
            <w:tcW w:w="8280" w:type="dxa"/>
            <w:vAlign w:val="bottom"/>
          </w:tcPr>
          <w:p>
            <w:pPr>
              <w:ind w:left="200"/>
              <w:spacing w:after="0"/>
              <w:rPr>
                <w:sz w:val="20"/>
                <w:szCs w:val="20"/>
                <w:color w:val="auto"/>
              </w:rPr>
            </w:pPr>
            <w:r>
              <w:rPr>
                <w:rFonts w:ascii="Arial" w:cs="Arial" w:eastAsia="Arial" w:hAnsi="Arial"/>
                <w:sz w:val="18"/>
                <w:szCs w:val="18"/>
                <w:color w:val="231F20"/>
              </w:rPr>
              <w:t>Separation and Distribution Agreement, dated as of November 25, 2014, between Occidental</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Petroleum Corporation and California Resources Corporation (filed as Exhibit 2.1 to the Registrant’s</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Current Report on Form 8-K filed December 1, 2014 and incorporated herein by reference).</w:t>
            </w:r>
          </w:p>
        </w:tc>
      </w:tr>
      <w:tr>
        <w:trPr>
          <w:trHeight w:val="259"/>
        </w:trPr>
        <w:tc>
          <w:tcPr>
            <w:tcW w:w="840" w:type="dxa"/>
            <w:vAlign w:val="bottom"/>
          </w:tcPr>
          <w:p>
            <w:pPr>
              <w:ind w:left="200"/>
              <w:spacing w:after="0"/>
              <w:rPr>
                <w:sz w:val="20"/>
                <w:szCs w:val="20"/>
                <w:color w:val="auto"/>
              </w:rPr>
            </w:pPr>
            <w:r>
              <w:rPr>
                <w:rFonts w:ascii="Arial" w:cs="Arial" w:eastAsia="Arial" w:hAnsi="Arial"/>
                <w:sz w:val="18"/>
                <w:szCs w:val="18"/>
                <w:color w:val="231F20"/>
              </w:rPr>
              <w:t>2.2</w:t>
            </w:r>
          </w:p>
        </w:tc>
        <w:tc>
          <w:tcPr>
            <w:tcW w:w="8280" w:type="dxa"/>
            <w:vAlign w:val="bottom"/>
          </w:tcPr>
          <w:p>
            <w:pPr>
              <w:ind w:left="200"/>
              <w:spacing w:after="0"/>
              <w:rPr>
                <w:sz w:val="20"/>
                <w:szCs w:val="20"/>
                <w:color w:val="auto"/>
              </w:rPr>
            </w:pPr>
            <w:r>
              <w:rPr>
                <w:rFonts w:ascii="Arial" w:cs="Arial" w:eastAsia="Arial" w:hAnsi="Arial"/>
                <w:sz w:val="18"/>
                <w:szCs w:val="18"/>
                <w:color w:val="231F20"/>
              </w:rPr>
              <w:t>Amended Debtors’ Joint Plan of Reorganization Under Chapter 11 of the Bankruptcy Code (filed as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Exhibit 2.1 to the Registrant’s Current Report on Form 8-K filed October 19, 2020 and incorporated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herein by reference).</w:t>
            </w:r>
          </w:p>
        </w:tc>
      </w:tr>
      <w:tr>
        <w:trPr>
          <w:trHeight w:val="259"/>
        </w:trPr>
        <w:tc>
          <w:tcPr>
            <w:tcW w:w="840" w:type="dxa"/>
            <w:vAlign w:val="bottom"/>
          </w:tcPr>
          <w:p>
            <w:pPr>
              <w:ind w:left="200"/>
              <w:spacing w:after="0"/>
              <w:rPr>
                <w:sz w:val="20"/>
                <w:szCs w:val="20"/>
                <w:color w:val="auto"/>
              </w:rPr>
            </w:pPr>
            <w:r>
              <w:rPr>
                <w:rFonts w:ascii="Arial" w:cs="Arial" w:eastAsia="Arial" w:hAnsi="Arial"/>
                <w:sz w:val="18"/>
                <w:szCs w:val="18"/>
                <w:color w:val="231F20"/>
              </w:rPr>
              <w:t>2.3***</w:t>
            </w:r>
          </w:p>
        </w:tc>
        <w:tc>
          <w:tcPr>
            <w:tcW w:w="8280" w:type="dxa"/>
            <w:vAlign w:val="bottom"/>
          </w:tcPr>
          <w:p>
            <w:pPr>
              <w:ind w:left="200"/>
              <w:spacing w:after="0"/>
              <w:rPr>
                <w:sz w:val="20"/>
                <w:szCs w:val="20"/>
                <w:color w:val="auto"/>
              </w:rPr>
            </w:pPr>
            <w:r>
              <w:rPr>
                <w:rFonts w:ascii="Arial" w:cs="Arial" w:eastAsia="Arial" w:hAnsi="Arial"/>
                <w:sz w:val="18"/>
                <w:szCs w:val="18"/>
                <w:color w:val="231F20"/>
              </w:rPr>
              <w:t>Agreement and Plan of Merger, dated February 7, 2024, between California Resources Corporation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and Petra Merger Sub I, LLC, Petra Merger Sub C, LLC, Petra Merger Sub O, LLC, Petra Merger</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Sub O2, LLC, Petra Merger Sub O3, LLC, each a Delaware limited liability company and a wholly-</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owned direct subsidiary of the Company, Petra Merger Sub S, LLC, a Delaware limited liability</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company and a wholly-owned direct subsidiary of the Company, IKAV Impact USA Inc., a Delaware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corporation, CPPIB Vedder US Holdings LLC, a Delaware limited liability company, Opps Xb Aera 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CTB, LLC, a Delaware limited liability company, Opps XI Aera E CTB, LLC, a Delaware limited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liability company, Green Gate COI, LLC, a Delaware limited liability company and solely for purposes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of the Member Provisions (as defined in the Merger Agreement), IKAV Impact S.a.r.l., a Luxembourg</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corporation, Simlog Inc., a Delaware corporation, and IKAV Energy Inc., a Delaware corporation,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CPP Investment Board Private Holdings (6), Inc., a Canadian corporation, OCM Opps Xb AIF</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Holdings (Delaware), L.P., a Delaware limited partnership, Oaktree Huntington Investment Fund II</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AIF (Delaware), L.P. – Class C, a Delaware limited partnership, OCM Opps XI AIV Holdings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(Delaware), L.P., a Delaware limited partnership and OCM Aera E Holdings, LLC, a Delaware limited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liability company. (filed as Exhibit 10.1 to the Registrant’s Current Report on Form 8-K filed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February 9, 2024 and incorporated herein by reference).</w:t>
            </w:r>
          </w:p>
        </w:tc>
      </w:tr>
      <w:tr>
        <w:trPr>
          <w:trHeight w:val="259"/>
        </w:trPr>
        <w:tc>
          <w:tcPr>
            <w:tcW w:w="840" w:type="dxa"/>
            <w:vAlign w:val="bottom"/>
          </w:tcPr>
          <w:p>
            <w:pPr>
              <w:ind w:left="200"/>
              <w:spacing w:after="0"/>
              <w:rPr>
                <w:sz w:val="20"/>
                <w:szCs w:val="20"/>
                <w:color w:val="auto"/>
              </w:rPr>
            </w:pPr>
            <w:r>
              <w:rPr>
                <w:rFonts w:ascii="Arial" w:cs="Arial" w:eastAsia="Arial" w:hAnsi="Arial"/>
                <w:sz w:val="18"/>
                <w:szCs w:val="18"/>
                <w:color w:val="231F20"/>
              </w:rPr>
              <w:t>2.4***</w:t>
            </w:r>
          </w:p>
        </w:tc>
        <w:tc>
          <w:tcPr>
            <w:tcW w:w="8280" w:type="dxa"/>
            <w:vAlign w:val="bottom"/>
          </w:tcPr>
          <w:p>
            <w:pPr>
              <w:ind w:left="200"/>
              <w:spacing w:after="0"/>
              <w:rPr>
                <w:sz w:val="20"/>
                <w:szCs w:val="20"/>
                <w:color w:val="auto"/>
              </w:rPr>
            </w:pPr>
            <w:r>
              <w:rPr>
                <w:rFonts w:ascii="Arial" w:cs="Arial" w:eastAsia="Arial" w:hAnsi="Arial"/>
                <w:sz w:val="18"/>
                <w:szCs w:val="18"/>
                <w:color w:val="231F20"/>
              </w:rPr>
              <w:t>Agreement and Plan of Merger, dated September 14, 2025, by and among California Resources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Corporation, Berry Corporation (bry) and Dornoch Merger Sub, LLC (filed as Exhibit 2.1 to the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Registrant’s Current Report on Form 8-K filed on September 17, 2025 and incorporated herein by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reference).</w:t>
            </w:r>
          </w:p>
        </w:tc>
      </w:tr>
      <w:tr>
        <w:trPr>
          <w:trHeight w:val="259"/>
        </w:trPr>
        <w:tc>
          <w:tcPr>
            <w:tcW w:w="840" w:type="dxa"/>
            <w:vAlign w:val="bottom"/>
          </w:tcPr>
          <w:p>
            <w:pPr>
              <w:ind w:left="200"/>
              <w:spacing w:after="0"/>
              <w:rPr>
                <w:sz w:val="20"/>
                <w:szCs w:val="20"/>
                <w:color w:val="auto"/>
              </w:rPr>
            </w:pPr>
            <w:r>
              <w:rPr>
                <w:rFonts w:ascii="Arial" w:cs="Arial" w:eastAsia="Arial" w:hAnsi="Arial"/>
                <w:sz w:val="18"/>
                <w:szCs w:val="18"/>
                <w:color w:val="231F20"/>
              </w:rPr>
              <w:t>3.1</w:t>
            </w:r>
          </w:p>
        </w:tc>
        <w:tc>
          <w:tcPr>
            <w:tcW w:w="8280" w:type="dxa"/>
            <w:vAlign w:val="bottom"/>
          </w:tcPr>
          <w:p>
            <w:pPr>
              <w:ind w:left="200"/>
              <w:spacing w:after="0"/>
              <w:rPr>
                <w:sz w:val="20"/>
                <w:szCs w:val="20"/>
                <w:color w:val="auto"/>
              </w:rPr>
            </w:pPr>
            <w:r>
              <w:rPr>
                <w:rFonts w:ascii="Arial" w:cs="Arial" w:eastAsia="Arial" w:hAnsi="Arial"/>
                <w:sz w:val="18"/>
                <w:szCs w:val="18"/>
                <w:color w:val="231F20"/>
              </w:rPr>
              <w:t>Amended and Restated Certificate of Incorporation of California Resources Corporation (filed as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Exhibit 3.1 to the Registrant’s Registration Statement on Form 8-A filed October 27, 2020 and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incorporated herein by reference).</w:t>
            </w:r>
          </w:p>
        </w:tc>
      </w:tr>
    </w:tbl>
    <w:p>
      <w:pPr>
        <w:spacing w:after="0" w:line="200" w:lineRule="exact"/>
        <w:rPr>
          <w:sz w:val="20"/>
          <w:szCs w:val="20"/>
          <w:color w:val="auto"/>
        </w:rPr>
      </w:pPr>
    </w:p>
    <w:p>
      <w:pPr>
        <w:sectPr>
          <w:pgSz w:w="11880" w:h="15480" w:orient="portrait"/>
          <w:cols w:equalWidth="0" w:num="1">
            <w:col w:w="9120"/>
          </w:cols>
          <w:pgMar w:left="1380" w:top="1310" w:right="1380" w:bottom="66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160</w:t>
      </w:r>
    </w:p>
    <w:p>
      <w:pPr>
        <w:sectPr>
          <w:pgSz w:w="11880" w:h="15480" w:orient="portrait"/>
          <w:cols w:equalWidth="0" w:num="1">
            <w:col w:w="9120"/>
          </w:cols>
          <w:pgMar w:left="1380" w:top="1310" w:right="1380" w:bottom="660" w:gutter="0" w:footer="0" w:header="0"/>
          <w:type w:val="continuous"/>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231F20"/>
              </w:rPr>
              <w:t>Exhibit</w:t>
            </w:r>
          </w:p>
        </w:tc>
        <w:tc>
          <w:tcPr>
            <w:tcW w:w="8280" w:type="dxa"/>
            <w:vAlign w:val="bottom"/>
          </w:tcPr>
          <w:p>
            <w:pPr>
              <w:spacing w:after="0"/>
              <w:rPr>
                <w:sz w:val="17"/>
                <w:szCs w:val="17"/>
                <w:color w:val="auto"/>
              </w:rPr>
            </w:pPr>
          </w:p>
        </w:tc>
      </w:tr>
      <w:tr>
        <w:trPr>
          <w:trHeight w:val="208"/>
        </w:trPr>
        <w:tc>
          <w:tcPr>
            <w:tcW w:w="840" w:type="dxa"/>
            <w:vAlign w:val="bottom"/>
            <w:tcBorders>
              <w:bottom w:val="single" w:sz="8" w:color="231F20"/>
            </w:tcBorders>
          </w:tcPr>
          <w:p>
            <w:pPr>
              <w:spacing w:after="0" w:line="201" w:lineRule="exact"/>
              <w:rPr>
                <w:sz w:val="20"/>
                <w:szCs w:val="20"/>
                <w:color w:val="auto"/>
              </w:rPr>
            </w:pPr>
            <w:r>
              <w:rPr>
                <w:rFonts w:ascii="Arial" w:cs="Arial" w:eastAsia="Arial" w:hAnsi="Arial"/>
                <w:sz w:val="18"/>
                <w:szCs w:val="18"/>
                <w:color w:val="231F20"/>
              </w:rPr>
              <w:t>Number</w:t>
            </w:r>
          </w:p>
        </w:tc>
        <w:tc>
          <w:tcPr>
            <w:tcW w:w="8280" w:type="dxa"/>
            <w:vAlign w:val="bottom"/>
            <w:tcBorders>
              <w:bottom w:val="single" w:sz="8" w:color="231F20"/>
            </w:tcBorders>
          </w:tcPr>
          <w:p>
            <w:pPr>
              <w:ind w:left="200"/>
              <w:spacing w:after="0" w:line="201" w:lineRule="exact"/>
              <w:rPr>
                <w:sz w:val="20"/>
                <w:szCs w:val="20"/>
                <w:color w:val="auto"/>
              </w:rPr>
            </w:pPr>
            <w:r>
              <w:rPr>
                <w:rFonts w:ascii="Arial" w:cs="Arial" w:eastAsia="Arial" w:hAnsi="Arial"/>
                <w:sz w:val="18"/>
                <w:szCs w:val="18"/>
                <w:color w:val="231F20"/>
              </w:rPr>
              <w:t>Exhibit Description</w:t>
            </w:r>
          </w:p>
        </w:tc>
      </w:tr>
      <w:tr>
        <w:trPr>
          <w:trHeight w:val="292"/>
        </w:trPr>
        <w:tc>
          <w:tcPr>
            <w:tcW w:w="840" w:type="dxa"/>
            <w:vAlign w:val="bottom"/>
          </w:tcPr>
          <w:p>
            <w:pPr>
              <w:ind w:left="140"/>
              <w:spacing w:after="0"/>
              <w:rPr>
                <w:sz w:val="20"/>
                <w:szCs w:val="20"/>
                <w:color w:val="auto"/>
              </w:rPr>
            </w:pPr>
            <w:r>
              <w:rPr>
                <w:rFonts w:ascii="Arial" w:cs="Arial" w:eastAsia="Arial" w:hAnsi="Arial"/>
                <w:sz w:val="18"/>
                <w:szCs w:val="18"/>
                <w:color w:val="231F20"/>
              </w:rPr>
              <w:t>3.2</w:t>
            </w:r>
          </w:p>
        </w:tc>
        <w:tc>
          <w:tcPr>
            <w:tcW w:w="8280" w:type="dxa"/>
            <w:vAlign w:val="bottom"/>
          </w:tcPr>
          <w:p>
            <w:pPr>
              <w:ind w:left="200"/>
              <w:spacing w:after="0"/>
              <w:rPr>
                <w:sz w:val="20"/>
                <w:szCs w:val="20"/>
                <w:color w:val="auto"/>
              </w:rPr>
            </w:pPr>
            <w:r>
              <w:rPr>
                <w:rFonts w:ascii="Arial" w:cs="Arial" w:eastAsia="Arial" w:hAnsi="Arial"/>
                <w:sz w:val="18"/>
                <w:szCs w:val="18"/>
                <w:color w:val="231F20"/>
              </w:rPr>
              <w:t>Certificate of Amendment of Amended and Restated Certificate of Incorporation of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Resources Corporation (filed as Exhibit 3.1 to Registrant’s Current Report on Form 8-K filed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May 6, 2022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3.3</w:t>
            </w:r>
          </w:p>
        </w:tc>
        <w:tc>
          <w:tcPr>
            <w:tcW w:w="8280" w:type="dxa"/>
            <w:vAlign w:val="bottom"/>
          </w:tcPr>
          <w:p>
            <w:pPr>
              <w:ind w:left="200"/>
              <w:spacing w:after="0"/>
              <w:rPr>
                <w:sz w:val="20"/>
                <w:szCs w:val="20"/>
                <w:color w:val="auto"/>
              </w:rPr>
            </w:pPr>
            <w:r>
              <w:rPr>
                <w:rFonts w:ascii="Arial" w:cs="Arial" w:eastAsia="Arial" w:hAnsi="Arial"/>
                <w:sz w:val="18"/>
                <w:szCs w:val="18"/>
                <w:color w:val="231F20"/>
              </w:rPr>
              <w:t>Certificate of Amendment of Amended and Restated Certificate of Incorporation of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Resources Corporation (filed as Exhibit 3.1 to Registrant’s Current Report on Form 8-K filed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May 1, 2023 and incorporated herein by reference).</w:t>
            </w:r>
          </w:p>
        </w:tc>
      </w:tr>
      <w:tr>
        <w:trPr>
          <w:trHeight w:val="260"/>
        </w:trPr>
        <w:tc>
          <w:tcPr>
            <w:tcW w:w="840" w:type="dxa"/>
            <w:vAlign w:val="bottom"/>
          </w:tcPr>
          <w:p>
            <w:pPr>
              <w:ind w:left="140"/>
              <w:spacing w:after="0"/>
              <w:rPr>
                <w:sz w:val="20"/>
                <w:szCs w:val="20"/>
                <w:color w:val="auto"/>
              </w:rPr>
            </w:pPr>
            <w:r>
              <w:rPr>
                <w:rFonts w:ascii="Arial" w:cs="Arial" w:eastAsia="Arial" w:hAnsi="Arial"/>
                <w:sz w:val="18"/>
                <w:szCs w:val="18"/>
                <w:color w:val="231F20"/>
              </w:rPr>
              <w:t>3.4*</w:t>
            </w:r>
          </w:p>
        </w:tc>
        <w:tc>
          <w:tcPr>
            <w:tcW w:w="8280" w:type="dxa"/>
            <w:vAlign w:val="bottom"/>
          </w:tcPr>
          <w:p>
            <w:pPr>
              <w:ind w:left="200"/>
              <w:spacing w:after="0"/>
              <w:rPr>
                <w:sz w:val="20"/>
                <w:szCs w:val="20"/>
                <w:color w:val="auto"/>
              </w:rPr>
            </w:pPr>
            <w:r>
              <w:rPr>
                <w:rFonts w:ascii="Arial" w:cs="Arial" w:eastAsia="Arial" w:hAnsi="Arial"/>
                <w:sz w:val="18"/>
                <w:szCs w:val="18"/>
                <w:color w:val="231F20"/>
              </w:rPr>
              <w:t>Second Amended and Restated Bylaws of California Resources Corporation.</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4.1</w:t>
            </w:r>
          </w:p>
        </w:tc>
        <w:tc>
          <w:tcPr>
            <w:tcW w:w="8280" w:type="dxa"/>
            <w:vAlign w:val="bottom"/>
          </w:tcPr>
          <w:p>
            <w:pPr>
              <w:ind w:left="200"/>
              <w:spacing w:after="0"/>
              <w:rPr>
                <w:sz w:val="20"/>
                <w:szCs w:val="20"/>
                <w:color w:val="auto"/>
              </w:rPr>
            </w:pPr>
            <w:r>
              <w:rPr>
                <w:rFonts w:ascii="Arial" w:cs="Arial" w:eastAsia="Arial" w:hAnsi="Arial"/>
                <w:sz w:val="18"/>
                <w:szCs w:val="18"/>
                <w:color w:val="231F20"/>
              </w:rPr>
              <w:t>Description of Registrant’s Securities (filed as Exhibit 4.1 to the Registrant’s Annual Report on Form</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10-K filed March 11, 2021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4.2</w:t>
            </w:r>
          </w:p>
        </w:tc>
        <w:tc>
          <w:tcPr>
            <w:tcW w:w="8280" w:type="dxa"/>
            <w:vAlign w:val="bottom"/>
          </w:tcPr>
          <w:p>
            <w:pPr>
              <w:ind w:left="200"/>
              <w:spacing w:after="0"/>
              <w:rPr>
                <w:sz w:val="20"/>
                <w:szCs w:val="20"/>
                <w:color w:val="auto"/>
              </w:rPr>
            </w:pPr>
            <w:r>
              <w:rPr>
                <w:rFonts w:ascii="Arial" w:cs="Arial" w:eastAsia="Arial" w:hAnsi="Arial"/>
                <w:sz w:val="18"/>
                <w:szCs w:val="18"/>
                <w:color w:val="231F20"/>
              </w:rPr>
              <w:t>Indenture, dated January 20, 2021, by and among California Resources Corporation, the Guarantors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and Wilmington Trust, National Association (filed as Exhibit 4.1 to the Registrant’s Current Report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Form 8-K filed January 21, 2021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4.3</w:t>
            </w:r>
          </w:p>
        </w:tc>
        <w:tc>
          <w:tcPr>
            <w:tcW w:w="8280" w:type="dxa"/>
            <w:vAlign w:val="bottom"/>
          </w:tcPr>
          <w:p>
            <w:pPr>
              <w:ind w:left="200"/>
              <w:spacing w:after="0"/>
              <w:rPr>
                <w:sz w:val="20"/>
                <w:szCs w:val="20"/>
                <w:color w:val="auto"/>
              </w:rPr>
            </w:pPr>
            <w:r>
              <w:rPr>
                <w:rFonts w:ascii="Arial" w:cs="Arial" w:eastAsia="Arial" w:hAnsi="Arial"/>
                <w:sz w:val="18"/>
                <w:szCs w:val="18"/>
                <w:color w:val="231F20"/>
              </w:rPr>
              <w:t>First Supplemental Indenture to the 2026 Indenture, dated January 20, 2021, by and among</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California Resources Corporation, the Guarantors, Elk Hills Power, LLC, EHP Midco Holding</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Company, LLC, EHP Topco Holding Company, LLC and Wilmington Trust, National Association (filed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as Exhibit 4.2 to the Registrant’s Current Report on Form 8-K filed January 21, 2021 and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4.4</w:t>
            </w:r>
          </w:p>
        </w:tc>
        <w:tc>
          <w:tcPr>
            <w:tcW w:w="8280" w:type="dxa"/>
            <w:vAlign w:val="bottom"/>
          </w:tcPr>
          <w:p>
            <w:pPr>
              <w:ind w:left="200"/>
              <w:spacing w:after="0"/>
              <w:rPr>
                <w:sz w:val="20"/>
                <w:szCs w:val="20"/>
                <w:color w:val="auto"/>
              </w:rPr>
            </w:pPr>
            <w:r>
              <w:rPr>
                <w:rFonts w:ascii="Arial" w:cs="Arial" w:eastAsia="Arial" w:hAnsi="Arial"/>
                <w:sz w:val="18"/>
                <w:szCs w:val="18"/>
                <w:color w:val="231F20"/>
              </w:rPr>
              <w:t>Second Supplemental Indenture to the 2026 Indenture, dated July 1, 2024, by and among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Resources Corporation, the Guarantors, Aera Energy LLC, Aera Energy Services Company, Aera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Federal LLC, Belridge Farms &amp; Packing LLC, Green Gate San Ardo LLC, Terrain Technology Inc.,</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Green Gate Intermediate LLC, Green Gate Resources E LLC, Green Gate Resources S LLC, Green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Gate Resources Holdings LLC, Green Gate Resources Parent LLC, Petra Merger Sub S, LLC, the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other guarantors party thereto and Wilmington Trust, National Association (filed as Exhibit 10.6 to the</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Registrant’s Current Report on Form 8-K filed July 1, 2024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4.5</w:t>
            </w:r>
          </w:p>
        </w:tc>
        <w:tc>
          <w:tcPr>
            <w:tcW w:w="8280" w:type="dxa"/>
            <w:vAlign w:val="bottom"/>
          </w:tcPr>
          <w:p>
            <w:pPr>
              <w:ind w:left="200"/>
              <w:spacing w:after="0"/>
              <w:rPr>
                <w:sz w:val="20"/>
                <w:szCs w:val="20"/>
                <w:color w:val="auto"/>
              </w:rPr>
            </w:pPr>
            <w:r>
              <w:rPr>
                <w:rFonts w:ascii="Arial" w:cs="Arial" w:eastAsia="Arial" w:hAnsi="Arial"/>
                <w:sz w:val="18"/>
                <w:szCs w:val="18"/>
                <w:color w:val="231F20"/>
              </w:rPr>
              <w:t>Indenture, dated June 5, 2024, by and among California Resources Corporation, the Guarantors and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Wilmington Trust, National Association (filed as Exhibit 4.1 to the Registrant’s Current Report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Form 8-K filed June 5, 2024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4.6</w:t>
            </w:r>
          </w:p>
        </w:tc>
        <w:tc>
          <w:tcPr>
            <w:tcW w:w="8280" w:type="dxa"/>
            <w:vAlign w:val="bottom"/>
          </w:tcPr>
          <w:p>
            <w:pPr>
              <w:ind w:left="200"/>
              <w:spacing w:after="0"/>
              <w:rPr>
                <w:sz w:val="20"/>
                <w:szCs w:val="20"/>
                <w:color w:val="auto"/>
              </w:rPr>
            </w:pPr>
            <w:r>
              <w:rPr>
                <w:rFonts w:ascii="Arial" w:cs="Arial" w:eastAsia="Arial" w:hAnsi="Arial"/>
                <w:sz w:val="18"/>
                <w:szCs w:val="18"/>
                <w:color w:val="231F20"/>
              </w:rPr>
              <w:t>First Supplemental Indenture to the 2029 Indenture, dated July 1, 2024, by and among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Resources Corporation, the Guarantors, Aera Energy LLC, Aera Energy Services Company, Aera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Federal LLC, Belridge Farms &amp; Packing LLC, Green Gate San Ardo LLC, Terrain Technology Inc.,</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Green Gate Intermediate LLC, Green Gate Resources E LLC, Green Gate Resources S LLC, Green</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Gate Resources Holdings LLC, Green Gate Resources Parent LLC, Petra Merger Sub S, LLC, the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other guarantors party thereto and Wilmington Trust, National Association (filed as Exhibit 10.7 to the</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Registrant’s Current Report on Form 8-K filed July 1, 2024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4.7</w:t>
            </w:r>
          </w:p>
        </w:tc>
        <w:tc>
          <w:tcPr>
            <w:tcW w:w="8280" w:type="dxa"/>
            <w:vAlign w:val="bottom"/>
          </w:tcPr>
          <w:p>
            <w:pPr>
              <w:ind w:left="200"/>
              <w:spacing w:after="0"/>
              <w:rPr>
                <w:sz w:val="20"/>
                <w:szCs w:val="20"/>
                <w:color w:val="auto"/>
              </w:rPr>
            </w:pPr>
            <w:r>
              <w:rPr>
                <w:rFonts w:ascii="Arial" w:cs="Arial" w:eastAsia="Arial" w:hAnsi="Arial"/>
                <w:sz w:val="18"/>
                <w:szCs w:val="18"/>
                <w:color w:val="231F20"/>
              </w:rPr>
              <w:t>Second Supplemental Indenture to the 2029 Indenture, dated July 1, 2024, by and among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Resources Corporation, the Guarantors, and Wilmington Trust, National Association (filed as Exhibit</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4.1 to the Registrant’s Current Report on Form 8-K filed August 22, 2024 and incorporated herein by</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4.8</w:t>
            </w:r>
          </w:p>
        </w:tc>
        <w:tc>
          <w:tcPr>
            <w:tcW w:w="8280" w:type="dxa"/>
            <w:vAlign w:val="bottom"/>
          </w:tcPr>
          <w:p>
            <w:pPr>
              <w:ind w:left="200"/>
              <w:spacing w:after="0"/>
              <w:rPr>
                <w:sz w:val="20"/>
                <w:szCs w:val="20"/>
                <w:color w:val="auto"/>
              </w:rPr>
            </w:pPr>
            <w:r>
              <w:rPr>
                <w:rFonts w:ascii="Arial" w:cs="Arial" w:eastAsia="Arial" w:hAnsi="Arial"/>
                <w:sz w:val="18"/>
                <w:szCs w:val="18"/>
                <w:color w:val="231F20"/>
              </w:rPr>
              <w:t>Indenture, dated October 8, 2025, by and among California Resources Corporation, the Guarantors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and Wilmington Trust, National Association (filed as Exhibit 4.1 to the Registrant’s Current Report 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Form 8-K filed October 8, 2025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10.1</w:t>
            </w:r>
          </w:p>
        </w:tc>
        <w:tc>
          <w:tcPr>
            <w:tcW w:w="8280" w:type="dxa"/>
            <w:vAlign w:val="bottom"/>
          </w:tcPr>
          <w:p>
            <w:pPr>
              <w:ind w:left="200"/>
              <w:spacing w:after="0"/>
              <w:rPr>
                <w:sz w:val="20"/>
                <w:szCs w:val="20"/>
                <w:color w:val="auto"/>
              </w:rPr>
            </w:pPr>
            <w:r>
              <w:rPr>
                <w:rFonts w:ascii="Arial" w:cs="Arial" w:eastAsia="Arial" w:hAnsi="Arial"/>
                <w:sz w:val="18"/>
                <w:szCs w:val="18"/>
                <w:color w:val="231F20"/>
              </w:rPr>
              <w:t>Contractors’ Agreement, by and between the City of Long Beach, Humble Oil &amp; Refining Company,</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Shell Oil Company, Socony Mobil Oil Company, Inc., Texaco, Inc., Union Oil Company of California,</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Pauley Petroleum, Inc., Allied Chemical Corporation, Richfield Oil Corporation and Standard Oil</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Company of California (filed as Exhibit 10.12 to Amendment No. 2 to the Registrant’s Registration</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Statement on Form 10 filed August 20, 2014,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10.2</w:t>
            </w:r>
          </w:p>
        </w:tc>
        <w:tc>
          <w:tcPr>
            <w:tcW w:w="8280" w:type="dxa"/>
            <w:vAlign w:val="bottom"/>
          </w:tcPr>
          <w:p>
            <w:pPr>
              <w:ind w:left="200"/>
              <w:spacing w:after="0"/>
              <w:rPr>
                <w:sz w:val="20"/>
                <w:szCs w:val="20"/>
                <w:color w:val="auto"/>
              </w:rPr>
            </w:pPr>
            <w:r>
              <w:rPr>
                <w:rFonts w:ascii="Arial" w:cs="Arial" w:eastAsia="Arial" w:hAnsi="Arial"/>
                <w:sz w:val="18"/>
                <w:szCs w:val="18"/>
                <w:color w:val="231F20"/>
              </w:rPr>
              <w:t>Agreement for Implementation of an Optimized Waterflood Program for the Long Beach Unit, dated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November 5, 1991, by and among the State of California, by and through the State Lands</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Commission, the City of Long Beach, Atlantic Richfield Company and ARCO Long Beach, Inc. (filed</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as Exhibit 10.10 to Amendment No. 2 to the Registrant’s Registration Statement on Form 10 filed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August 20, 2014 and incorporated herein by reference.</w:t>
            </w:r>
          </w:p>
        </w:tc>
      </w:tr>
      <w:tr>
        <w:trPr>
          <w:trHeight w:val="259"/>
        </w:trPr>
        <w:tc>
          <w:tcPr>
            <w:tcW w:w="840" w:type="dxa"/>
            <w:vAlign w:val="bottom"/>
          </w:tcPr>
          <w:p>
            <w:pPr>
              <w:ind w:left="140"/>
              <w:spacing w:after="0"/>
              <w:rPr>
                <w:sz w:val="20"/>
                <w:szCs w:val="20"/>
                <w:color w:val="auto"/>
              </w:rPr>
            </w:pPr>
            <w:r>
              <w:rPr>
                <w:rFonts w:ascii="Arial" w:cs="Arial" w:eastAsia="Arial" w:hAnsi="Arial"/>
                <w:sz w:val="18"/>
                <w:szCs w:val="18"/>
                <w:color w:val="231F20"/>
              </w:rPr>
              <w:t>10.3</w:t>
            </w:r>
          </w:p>
        </w:tc>
        <w:tc>
          <w:tcPr>
            <w:tcW w:w="8280" w:type="dxa"/>
            <w:vAlign w:val="bottom"/>
          </w:tcPr>
          <w:p>
            <w:pPr>
              <w:ind w:left="200"/>
              <w:spacing w:after="0"/>
              <w:rPr>
                <w:sz w:val="20"/>
                <w:szCs w:val="20"/>
                <w:color w:val="auto"/>
              </w:rPr>
            </w:pPr>
            <w:r>
              <w:rPr>
                <w:rFonts w:ascii="Arial" w:cs="Arial" w:eastAsia="Arial" w:hAnsi="Arial"/>
                <w:sz w:val="18"/>
                <w:szCs w:val="18"/>
                <w:color w:val="231F20"/>
              </w:rPr>
              <w:t>Amendment to the Agreement for Implementation of an Optimized Waterflood Program for the Long</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Beach Unit, dated January 16, 2009, by and among the State of California, by and through the State</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Lands Commission, the City of Long Beach, and Oxy Long Beach, Inc. (filed as Exhibit 10.11 to</w:t>
            </w:r>
          </w:p>
        </w:tc>
      </w:tr>
      <w:tr>
        <w:trPr>
          <w:trHeight w:val="200"/>
        </w:trPr>
        <w:tc>
          <w:tcPr>
            <w:tcW w:w="840" w:type="dxa"/>
            <w:vAlign w:val="bottom"/>
          </w:tcPr>
          <w:p>
            <w:pPr>
              <w:spacing w:after="0"/>
              <w:rPr>
                <w:sz w:val="17"/>
                <w:szCs w:val="17"/>
                <w:color w:val="auto"/>
              </w:rPr>
            </w:pPr>
          </w:p>
        </w:tc>
        <w:tc>
          <w:tcPr>
            <w:tcW w:w="8280" w:type="dxa"/>
            <w:vAlign w:val="bottom"/>
          </w:tcPr>
          <w:p>
            <w:pPr>
              <w:ind w:left="200"/>
              <w:spacing w:after="0" w:line="200" w:lineRule="exact"/>
              <w:rPr>
                <w:sz w:val="20"/>
                <w:szCs w:val="20"/>
                <w:color w:val="auto"/>
              </w:rPr>
            </w:pPr>
            <w:r>
              <w:rPr>
                <w:rFonts w:ascii="Arial" w:cs="Arial" w:eastAsia="Arial" w:hAnsi="Arial"/>
                <w:sz w:val="18"/>
                <w:szCs w:val="18"/>
                <w:color w:val="231F20"/>
              </w:rPr>
              <w:t>Amendment No. 2 to the Registrant’s Registration Statement on Form 10 filed August 20, 2014, and</w:t>
            </w:r>
          </w:p>
        </w:tc>
      </w:tr>
      <w:tr>
        <w:trPr>
          <w:trHeight w:val="201"/>
        </w:trPr>
        <w:tc>
          <w:tcPr>
            <w:tcW w:w="840" w:type="dxa"/>
            <w:vAlign w:val="bottom"/>
          </w:tcPr>
          <w:p>
            <w:pPr>
              <w:spacing w:after="0"/>
              <w:rPr>
                <w:sz w:val="17"/>
                <w:szCs w:val="17"/>
                <w:color w:val="auto"/>
              </w:rPr>
            </w:pPr>
          </w:p>
        </w:tc>
        <w:tc>
          <w:tcPr>
            <w:tcW w:w="8280" w:type="dxa"/>
            <w:vAlign w:val="bottom"/>
          </w:tcPr>
          <w:p>
            <w:pPr>
              <w:ind w:left="200"/>
              <w:spacing w:after="0" w:line="201" w:lineRule="exact"/>
              <w:rPr>
                <w:sz w:val="20"/>
                <w:szCs w:val="20"/>
                <w:color w:val="auto"/>
              </w:rPr>
            </w:pPr>
            <w:r>
              <w:rPr>
                <w:rFonts w:ascii="Arial" w:cs="Arial" w:eastAsia="Arial" w:hAnsi="Arial"/>
                <w:sz w:val="18"/>
                <w:szCs w:val="18"/>
                <w:color w:val="231F20"/>
              </w:rPr>
              <w:t>incorporated herein by reference).</w:t>
            </w:r>
          </w:p>
        </w:tc>
      </w:tr>
    </w:tbl>
    <w:p>
      <w:pPr>
        <w:spacing w:after="0" w:line="200" w:lineRule="exact"/>
        <w:rPr>
          <w:sz w:val="20"/>
          <w:szCs w:val="20"/>
          <w:color w:val="auto"/>
        </w:rPr>
      </w:pPr>
    </w:p>
    <w:p>
      <w:pPr>
        <w:sectPr>
          <w:pgSz w:w="11880" w:h="15480" w:orient="portrait"/>
          <w:cols w:equalWidth="0" w:num="1">
            <w:col w:w="9120"/>
          </w:cols>
          <w:pgMar w:left="1380" w:top="1248" w:right="1380" w:bottom="660" w:gutter="0" w:footer="0" w:header="0"/>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161</w:t>
      </w:r>
    </w:p>
    <w:p>
      <w:pPr>
        <w:sectPr>
          <w:pgSz w:w="11880" w:h="15480" w:orient="portrait"/>
          <w:cols w:equalWidth="0" w:num="1">
            <w:col w:w="9120"/>
          </w:cols>
          <w:pgMar w:left="1380" w:top="1248" w:right="1380" w:bottom="66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231F20"/>
              </w:rPr>
              <w:t>Exhibit</w:t>
            </w:r>
          </w:p>
        </w:tc>
        <w:tc>
          <w:tcPr>
            <w:tcW w:w="8260" w:type="dxa"/>
            <w:vAlign w:val="bottom"/>
          </w:tcPr>
          <w:p>
            <w:pPr>
              <w:spacing w:after="0"/>
              <w:rPr>
                <w:sz w:val="17"/>
                <w:szCs w:val="17"/>
                <w:color w:val="auto"/>
              </w:rPr>
            </w:pPr>
          </w:p>
        </w:tc>
      </w:tr>
      <w:tr>
        <w:trPr>
          <w:trHeight w:val="208"/>
        </w:trPr>
        <w:tc>
          <w:tcPr>
            <w:tcW w:w="860" w:type="dxa"/>
            <w:vAlign w:val="bottom"/>
            <w:tcBorders>
              <w:bottom w:val="single" w:sz="8" w:color="231F20"/>
            </w:tcBorders>
          </w:tcPr>
          <w:p>
            <w:pPr>
              <w:spacing w:after="0" w:line="201" w:lineRule="exact"/>
              <w:rPr>
                <w:sz w:val="20"/>
                <w:szCs w:val="20"/>
                <w:color w:val="auto"/>
              </w:rPr>
            </w:pPr>
            <w:r>
              <w:rPr>
                <w:rFonts w:ascii="Arial" w:cs="Arial" w:eastAsia="Arial" w:hAnsi="Arial"/>
                <w:sz w:val="18"/>
                <w:szCs w:val="18"/>
                <w:color w:val="231F20"/>
              </w:rPr>
              <w:t>Number</w:t>
            </w:r>
          </w:p>
        </w:tc>
        <w:tc>
          <w:tcPr>
            <w:tcW w:w="8260" w:type="dxa"/>
            <w:vAlign w:val="bottom"/>
            <w:tcBorders>
              <w:bottom w:val="single" w:sz="8" w:color="231F20"/>
            </w:tcBorders>
          </w:tcPr>
          <w:p>
            <w:pPr>
              <w:ind w:left="180"/>
              <w:spacing w:after="0" w:line="201" w:lineRule="exact"/>
              <w:rPr>
                <w:sz w:val="20"/>
                <w:szCs w:val="20"/>
                <w:color w:val="auto"/>
              </w:rPr>
            </w:pPr>
            <w:r>
              <w:rPr>
                <w:rFonts w:ascii="Arial" w:cs="Arial" w:eastAsia="Arial" w:hAnsi="Arial"/>
                <w:sz w:val="18"/>
                <w:szCs w:val="18"/>
                <w:color w:val="231F20"/>
              </w:rPr>
              <w:t>Exhibit Description</w:t>
            </w:r>
          </w:p>
        </w:tc>
      </w:tr>
      <w:tr>
        <w:trPr>
          <w:trHeight w:val="284"/>
        </w:trPr>
        <w:tc>
          <w:tcPr>
            <w:tcW w:w="860" w:type="dxa"/>
            <w:vAlign w:val="bottom"/>
          </w:tcPr>
          <w:p>
            <w:pPr>
              <w:ind w:left="100"/>
              <w:spacing w:after="0"/>
              <w:rPr>
                <w:sz w:val="20"/>
                <w:szCs w:val="20"/>
                <w:color w:val="auto"/>
              </w:rPr>
            </w:pPr>
            <w:r>
              <w:rPr>
                <w:rFonts w:ascii="Arial" w:cs="Arial" w:eastAsia="Arial" w:hAnsi="Arial"/>
                <w:sz w:val="18"/>
                <w:szCs w:val="18"/>
                <w:color w:val="231F20"/>
              </w:rPr>
              <w:t>10.4</w:t>
            </w:r>
          </w:p>
        </w:tc>
        <w:tc>
          <w:tcPr>
            <w:tcW w:w="8260" w:type="dxa"/>
            <w:vAlign w:val="bottom"/>
          </w:tcPr>
          <w:p>
            <w:pPr>
              <w:ind w:left="180"/>
              <w:spacing w:after="0"/>
              <w:rPr>
                <w:sz w:val="20"/>
                <w:szCs w:val="20"/>
                <w:color w:val="auto"/>
              </w:rPr>
            </w:pPr>
            <w:r>
              <w:rPr>
                <w:rFonts w:ascii="Arial" w:cs="Arial" w:eastAsia="Arial" w:hAnsi="Arial"/>
                <w:sz w:val="18"/>
                <w:szCs w:val="18"/>
                <w:color w:val="231F20"/>
              </w:rPr>
              <w:t>Intellectual Property License Agreement, dated November 25, 2014, between Occidental Petroleum</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Corporation and California Resources Corporation (filed as Exhibit 10.7 to the Registrant’s Current</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Report on Form 8-K filed December 1, 2014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10.5</w:t>
            </w:r>
          </w:p>
        </w:tc>
        <w:tc>
          <w:tcPr>
            <w:tcW w:w="8260" w:type="dxa"/>
            <w:vAlign w:val="bottom"/>
          </w:tcPr>
          <w:p>
            <w:pPr>
              <w:ind w:left="180"/>
              <w:spacing w:after="0"/>
              <w:rPr>
                <w:sz w:val="20"/>
                <w:szCs w:val="20"/>
                <w:color w:val="auto"/>
              </w:rPr>
            </w:pPr>
            <w:r>
              <w:rPr>
                <w:rFonts w:ascii="Arial" w:cs="Arial" w:eastAsia="Arial" w:hAnsi="Arial"/>
                <w:sz w:val="18"/>
                <w:szCs w:val="18"/>
                <w:color w:val="231F20"/>
              </w:rPr>
              <w:t>Area of Mutual Interest Agreement, dated November 25, 2014, between Occidental Petroleum</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Corporation and California Resources Corporation (filed as Exhibit 10.5 to the Registrant’s Current</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Report on Form 8-K filed December 1, 2014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10.6</w:t>
            </w:r>
          </w:p>
        </w:tc>
        <w:tc>
          <w:tcPr>
            <w:tcW w:w="8260" w:type="dxa"/>
            <w:vAlign w:val="bottom"/>
          </w:tcPr>
          <w:p>
            <w:pPr>
              <w:ind w:left="180"/>
              <w:spacing w:after="0"/>
              <w:rPr>
                <w:sz w:val="20"/>
                <w:szCs w:val="20"/>
                <w:color w:val="auto"/>
              </w:rPr>
            </w:pPr>
            <w:r>
              <w:rPr>
                <w:rFonts w:ascii="Arial" w:cs="Arial" w:eastAsia="Arial" w:hAnsi="Arial"/>
                <w:sz w:val="18"/>
                <w:szCs w:val="18"/>
                <w:color w:val="231F20"/>
              </w:rPr>
              <w:t>Confidentiality and Trade Secret Protection Agreement, dated November 25, 2014, by and between</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Occidental Petroleum Corporation and California Resources Corporation, dated November 24, 2014</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(filed as Exhibit 10.6 to the Registrant’s Current Report on Form 8-K filed on December 1, 2014, and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10.7***</w:t>
            </w:r>
          </w:p>
        </w:tc>
        <w:tc>
          <w:tcPr>
            <w:tcW w:w="8260" w:type="dxa"/>
            <w:vAlign w:val="bottom"/>
          </w:tcPr>
          <w:p>
            <w:pPr>
              <w:ind w:left="180"/>
              <w:spacing w:after="0"/>
              <w:rPr>
                <w:sz w:val="20"/>
                <w:szCs w:val="20"/>
                <w:color w:val="auto"/>
              </w:rPr>
            </w:pPr>
            <w:r>
              <w:rPr>
                <w:rFonts w:ascii="Arial" w:cs="Arial" w:eastAsia="Arial" w:hAnsi="Arial"/>
                <w:sz w:val="18"/>
                <w:szCs w:val="18"/>
                <w:color w:val="231F20"/>
                <w:w w:val="99"/>
              </w:rPr>
              <w:t>Warrant Agreement, dated as of October 27, 2020, by and between California Resources Corporation</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and American Stock Transfer &amp; Trust Company, LLC, as Warrant Agent (filed as Exhibit 10.4 to the</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Registrant’s Current Report on Form 8-K filed November 2, 2020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10.8</w:t>
            </w:r>
          </w:p>
        </w:tc>
        <w:tc>
          <w:tcPr>
            <w:tcW w:w="8260" w:type="dxa"/>
            <w:vAlign w:val="bottom"/>
          </w:tcPr>
          <w:p>
            <w:pPr>
              <w:ind w:left="180"/>
              <w:spacing w:after="0"/>
              <w:rPr>
                <w:sz w:val="20"/>
                <w:szCs w:val="20"/>
                <w:color w:val="auto"/>
              </w:rPr>
            </w:pPr>
            <w:r>
              <w:rPr>
                <w:rFonts w:ascii="Arial" w:cs="Arial" w:eastAsia="Arial" w:hAnsi="Arial"/>
                <w:sz w:val="18"/>
                <w:szCs w:val="18"/>
                <w:color w:val="231F20"/>
              </w:rPr>
              <w:t>Registration Rights Agreement, dated as of July 1, 2024, by and among California Resources</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Corporation and the holders party thereto (filed as Exhibit 10.1 to the Registrant’s Registration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Statement on Form 8-K filed July 1, 2024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10.9</w:t>
            </w:r>
          </w:p>
        </w:tc>
        <w:tc>
          <w:tcPr>
            <w:tcW w:w="8260" w:type="dxa"/>
            <w:vAlign w:val="bottom"/>
          </w:tcPr>
          <w:p>
            <w:pPr>
              <w:ind w:left="180"/>
              <w:spacing w:after="0"/>
              <w:rPr>
                <w:sz w:val="20"/>
                <w:szCs w:val="20"/>
                <w:color w:val="auto"/>
              </w:rPr>
            </w:pPr>
            <w:r>
              <w:rPr>
                <w:rFonts w:ascii="Arial" w:cs="Arial" w:eastAsia="Arial" w:hAnsi="Arial"/>
                <w:sz w:val="18"/>
                <w:szCs w:val="18"/>
                <w:color w:val="231F20"/>
              </w:rPr>
              <w:t>Stockholder Agreement, dated as of July 1, 2024, by and among California Resources Corporation</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and the stockholders party thereto (filed as Exhibit 10.2 to the Registrant’s Current Report on Form</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8-K filed July 1, 2024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10.10</w:t>
            </w:r>
          </w:p>
        </w:tc>
        <w:tc>
          <w:tcPr>
            <w:tcW w:w="8260" w:type="dxa"/>
            <w:vAlign w:val="bottom"/>
          </w:tcPr>
          <w:p>
            <w:pPr>
              <w:ind w:left="180"/>
              <w:spacing w:after="0"/>
              <w:rPr>
                <w:sz w:val="20"/>
                <w:szCs w:val="20"/>
                <w:color w:val="auto"/>
              </w:rPr>
            </w:pPr>
            <w:r>
              <w:rPr>
                <w:rFonts w:ascii="Arial" w:cs="Arial" w:eastAsia="Arial" w:hAnsi="Arial"/>
                <w:sz w:val="18"/>
                <w:szCs w:val="18"/>
                <w:color w:val="231F20"/>
              </w:rPr>
              <w:t>Stockholder Agreement, dated as of July 1, 2024, by and among California Resources Corporation</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and the stockholders party thereto (filed as Exhibit 10.3 to the Registrant’s Current Report on Form</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8-K filed July 1, 2024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10.11</w:t>
            </w:r>
          </w:p>
        </w:tc>
        <w:tc>
          <w:tcPr>
            <w:tcW w:w="8260" w:type="dxa"/>
            <w:vAlign w:val="bottom"/>
          </w:tcPr>
          <w:p>
            <w:pPr>
              <w:ind w:left="180"/>
              <w:spacing w:after="0"/>
              <w:rPr>
                <w:sz w:val="20"/>
                <w:szCs w:val="20"/>
                <w:color w:val="auto"/>
              </w:rPr>
            </w:pPr>
            <w:r>
              <w:rPr>
                <w:rFonts w:ascii="Arial" w:cs="Arial" w:eastAsia="Arial" w:hAnsi="Arial"/>
                <w:sz w:val="18"/>
                <w:szCs w:val="18"/>
                <w:color w:val="231F20"/>
              </w:rPr>
              <w:t>Amended and Restated Credit Agreement, dated as of April 26, 2023, by and among California</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Resources Corporation, as the Borrower, the several lenders from time to time parties thereto and</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Citibank, N.A., as Administrative Agent, Collateral Agent and an Issuing Bank (filed as Exhibit 10.5 to</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the Registrant’s Quarterly Report on Form 10-Q filed May 4, 2023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10.12**</w:t>
            </w:r>
          </w:p>
        </w:tc>
        <w:tc>
          <w:tcPr>
            <w:tcW w:w="8260" w:type="dxa"/>
            <w:vAlign w:val="bottom"/>
          </w:tcPr>
          <w:p>
            <w:pPr>
              <w:ind w:left="180"/>
              <w:spacing w:after="0"/>
              <w:rPr>
                <w:sz w:val="20"/>
                <w:szCs w:val="20"/>
                <w:color w:val="auto"/>
              </w:rPr>
            </w:pPr>
            <w:r>
              <w:rPr>
                <w:rFonts w:ascii="Arial" w:cs="Arial" w:eastAsia="Arial" w:hAnsi="Arial"/>
                <w:sz w:val="18"/>
                <w:szCs w:val="18"/>
                <w:color w:val="231F20"/>
              </w:rPr>
              <w:t>First Amendment to the Amended and Restated Credit Agreement, dated as of October 30, 2023, by</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and among California Resources Corporation, as the Borrower, the several lenders from time to time</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parties thereto and Citibank, N.A., as Administrative Agent, Collateral Agent and an Issuing Bank</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(filed as Exhibit 10.1 to the Registrant’s Quarterly Report on Form 10-Q filed November 2, 2023 and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10.13</w:t>
            </w:r>
          </w:p>
        </w:tc>
        <w:tc>
          <w:tcPr>
            <w:tcW w:w="8260" w:type="dxa"/>
            <w:vAlign w:val="bottom"/>
          </w:tcPr>
          <w:p>
            <w:pPr>
              <w:ind w:left="180"/>
              <w:spacing w:after="0"/>
              <w:rPr>
                <w:sz w:val="20"/>
                <w:szCs w:val="20"/>
                <w:color w:val="auto"/>
              </w:rPr>
            </w:pPr>
            <w:r>
              <w:rPr>
                <w:rFonts w:ascii="Arial" w:cs="Arial" w:eastAsia="Arial" w:hAnsi="Arial"/>
                <w:sz w:val="18"/>
                <w:szCs w:val="18"/>
                <w:color w:val="231F20"/>
              </w:rPr>
              <w:t>Second Amendment to the Amended and Restated Credit Agreement, entered into effective as of</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February 2, 2024, by and among California Resources Corporation, as the Borrower, the several</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lenders from time to time parties thereto and Citibank, N.A., as Administrative Agent (filed as Exhibit</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10.1 to the Registrant’s Current Report on Form 8-K filed February 14, 2024 and incorporated herein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10.14</w:t>
            </w:r>
          </w:p>
        </w:tc>
        <w:tc>
          <w:tcPr>
            <w:tcW w:w="8260" w:type="dxa"/>
            <w:vAlign w:val="bottom"/>
          </w:tcPr>
          <w:p>
            <w:pPr>
              <w:ind w:left="180"/>
              <w:spacing w:after="0"/>
              <w:rPr>
                <w:sz w:val="20"/>
                <w:szCs w:val="20"/>
                <w:color w:val="auto"/>
              </w:rPr>
            </w:pPr>
            <w:r>
              <w:rPr>
                <w:rFonts w:ascii="Arial" w:cs="Arial" w:eastAsia="Arial" w:hAnsi="Arial"/>
                <w:sz w:val="18"/>
                <w:szCs w:val="18"/>
                <w:color w:val="231F20"/>
              </w:rPr>
              <w:t>Third Amendment to the Amended and Restated Credit Agreement, entered into effective as of</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March 8, 2024, by and among California Resources Corporation, as the Borrower, the several</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lenders from time to time parties thereto and Citibank, N.A., as Administrative Agent (filed as Exhibit</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10.1 to the Registrant’s Current Report on Form 8-K filed March 11, 2024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10.15</w:t>
            </w:r>
          </w:p>
        </w:tc>
        <w:tc>
          <w:tcPr>
            <w:tcW w:w="8260" w:type="dxa"/>
            <w:vAlign w:val="bottom"/>
          </w:tcPr>
          <w:p>
            <w:pPr>
              <w:ind w:left="180"/>
              <w:spacing w:after="0"/>
              <w:rPr>
                <w:sz w:val="20"/>
                <w:szCs w:val="20"/>
                <w:color w:val="auto"/>
              </w:rPr>
            </w:pPr>
            <w:r>
              <w:rPr>
                <w:rFonts w:ascii="Arial" w:cs="Arial" w:eastAsia="Arial" w:hAnsi="Arial"/>
                <w:sz w:val="18"/>
                <w:szCs w:val="18"/>
                <w:color w:val="231F20"/>
              </w:rPr>
              <w:t>Fourth Amendment to the Amended and Restated Credit Agreement, entered into effective as of</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July 1, 2024, by and among California Resources Corporation, as the Borrower, the several lenders</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from time to time parties thereto and Citibank, N.A., as Administrative Agent (filed as Exhibit 10.5 to</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the Registrant’s Current Report on Form 8-K filed July 1, 2024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10.16</w:t>
            </w:r>
          </w:p>
        </w:tc>
        <w:tc>
          <w:tcPr>
            <w:tcW w:w="8260" w:type="dxa"/>
            <w:vAlign w:val="bottom"/>
          </w:tcPr>
          <w:p>
            <w:pPr>
              <w:ind w:left="180"/>
              <w:spacing w:after="0"/>
              <w:rPr>
                <w:sz w:val="20"/>
                <w:szCs w:val="20"/>
                <w:color w:val="auto"/>
              </w:rPr>
            </w:pPr>
            <w:r>
              <w:rPr>
                <w:rFonts w:ascii="Arial" w:cs="Arial" w:eastAsia="Arial" w:hAnsi="Arial"/>
                <w:sz w:val="18"/>
                <w:szCs w:val="18"/>
                <w:color w:val="231F20"/>
              </w:rPr>
              <w:t>Fifth Amendment to the Amended and Restated Credit Agreement, entered into effective as of July 1,</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2024, by and among California Resources Corporation, as the Borrower, the several lenders from</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time to time parties thereto and Citibank, N.A., as Administrative Agent (filed as Exhibit 10.3 to the</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Registrant’s Quarterly Report on Form 10-Q filed November 6, 2024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10.17</w:t>
            </w:r>
          </w:p>
        </w:tc>
        <w:tc>
          <w:tcPr>
            <w:tcW w:w="8260" w:type="dxa"/>
            <w:vAlign w:val="bottom"/>
          </w:tcPr>
          <w:p>
            <w:pPr>
              <w:ind w:left="180"/>
              <w:spacing w:after="0"/>
              <w:rPr>
                <w:sz w:val="20"/>
                <w:szCs w:val="20"/>
                <w:color w:val="auto"/>
              </w:rPr>
            </w:pPr>
            <w:r>
              <w:rPr>
                <w:rFonts w:ascii="Arial" w:cs="Arial" w:eastAsia="Arial" w:hAnsi="Arial"/>
                <w:sz w:val="18"/>
                <w:szCs w:val="18"/>
                <w:color w:val="231F20"/>
              </w:rPr>
              <w:t>Sixth Amendment to the Amended and Restated Credit Agreement, entered into effective as of</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September 22, 2025, by and among California Resources Corporation, as the Borrower, the several</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lenders from time to time parties thereto and Citibank, N.A., as Administrative Agent (filed as Exhibit</w:t>
            </w:r>
          </w:p>
        </w:tc>
      </w:tr>
    </w:tbl>
    <w:p>
      <w:pPr>
        <w:ind w:left="1040" w:right="480"/>
        <w:spacing w:after="0" w:line="227" w:lineRule="auto"/>
        <w:rPr>
          <w:sz w:val="20"/>
          <w:szCs w:val="20"/>
          <w:color w:val="auto"/>
        </w:rPr>
      </w:pPr>
      <w:r>
        <w:rPr>
          <w:rFonts w:ascii="Arial" w:cs="Arial" w:eastAsia="Arial" w:hAnsi="Arial"/>
          <w:sz w:val="18"/>
          <w:szCs w:val="18"/>
          <w:color w:val="231F20"/>
        </w:rPr>
        <w:t>10.1 to the Registrant’s Current Report on Form 8-K filed September 24, 2025 and incorporated herein by reference).</w:t>
      </w:r>
    </w:p>
    <w:p>
      <w:pPr>
        <w:sectPr>
          <w:pgSz w:w="11880" w:h="15480" w:orient="portrait"/>
          <w:cols w:equalWidth="0" w:num="1">
            <w:col w:w="9120"/>
          </w:cols>
          <w:pgMar w:left="1380" w:top="1248" w:right="1380" w:bottom="66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162</w:t>
      </w:r>
    </w:p>
    <w:p>
      <w:pPr>
        <w:sectPr>
          <w:pgSz w:w="11880" w:h="15480" w:orient="portrait"/>
          <w:cols w:equalWidth="0" w:num="1">
            <w:col w:w="9120"/>
          </w:cols>
          <w:pgMar w:left="1380" w:top="1248" w:right="1380" w:bottom="66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231F20"/>
              </w:rPr>
              <w:t>Exhibit</w:t>
            </w:r>
          </w:p>
        </w:tc>
        <w:tc>
          <w:tcPr>
            <w:tcW w:w="8260" w:type="dxa"/>
            <w:vAlign w:val="bottom"/>
          </w:tcPr>
          <w:p>
            <w:pPr>
              <w:spacing w:after="0"/>
              <w:rPr>
                <w:sz w:val="17"/>
                <w:szCs w:val="17"/>
                <w:color w:val="auto"/>
              </w:rPr>
            </w:pPr>
          </w:p>
        </w:tc>
      </w:tr>
      <w:tr>
        <w:trPr>
          <w:trHeight w:val="208"/>
        </w:trPr>
        <w:tc>
          <w:tcPr>
            <w:tcW w:w="860" w:type="dxa"/>
            <w:vAlign w:val="bottom"/>
            <w:tcBorders>
              <w:bottom w:val="single" w:sz="8" w:color="231F20"/>
            </w:tcBorders>
          </w:tcPr>
          <w:p>
            <w:pPr>
              <w:spacing w:after="0" w:line="201" w:lineRule="exact"/>
              <w:rPr>
                <w:sz w:val="20"/>
                <w:szCs w:val="20"/>
                <w:color w:val="auto"/>
              </w:rPr>
            </w:pPr>
            <w:r>
              <w:rPr>
                <w:rFonts w:ascii="Arial" w:cs="Arial" w:eastAsia="Arial" w:hAnsi="Arial"/>
                <w:sz w:val="18"/>
                <w:szCs w:val="18"/>
                <w:color w:val="231F20"/>
              </w:rPr>
              <w:t>Number</w:t>
            </w:r>
          </w:p>
        </w:tc>
        <w:tc>
          <w:tcPr>
            <w:tcW w:w="8260" w:type="dxa"/>
            <w:vAlign w:val="bottom"/>
            <w:tcBorders>
              <w:bottom w:val="single" w:sz="8" w:color="231F20"/>
            </w:tcBorders>
          </w:tcPr>
          <w:p>
            <w:pPr>
              <w:ind w:left="180"/>
              <w:spacing w:after="0" w:line="201" w:lineRule="exact"/>
              <w:rPr>
                <w:sz w:val="20"/>
                <w:szCs w:val="20"/>
                <w:color w:val="auto"/>
              </w:rPr>
            </w:pPr>
            <w:r>
              <w:rPr>
                <w:rFonts w:ascii="Arial" w:cs="Arial" w:eastAsia="Arial" w:hAnsi="Arial"/>
                <w:sz w:val="18"/>
                <w:szCs w:val="18"/>
                <w:color w:val="231F20"/>
              </w:rPr>
              <w:t>Exhibit Description</w:t>
            </w:r>
          </w:p>
        </w:tc>
      </w:tr>
      <w:tr>
        <w:trPr>
          <w:trHeight w:val="284"/>
        </w:trPr>
        <w:tc>
          <w:tcPr>
            <w:tcW w:w="860" w:type="dxa"/>
            <w:vAlign w:val="bottom"/>
          </w:tcPr>
          <w:p>
            <w:pPr>
              <w:ind w:left="100"/>
              <w:spacing w:after="0"/>
              <w:rPr>
                <w:sz w:val="20"/>
                <w:szCs w:val="20"/>
                <w:color w:val="auto"/>
              </w:rPr>
            </w:pPr>
            <w:r>
              <w:rPr>
                <w:rFonts w:ascii="Arial" w:cs="Arial" w:eastAsia="Arial" w:hAnsi="Arial"/>
                <w:sz w:val="18"/>
                <w:szCs w:val="18"/>
                <w:color w:val="231F20"/>
              </w:rPr>
              <w:t>10.18**</w:t>
            </w:r>
          </w:p>
        </w:tc>
        <w:tc>
          <w:tcPr>
            <w:tcW w:w="8260" w:type="dxa"/>
            <w:vAlign w:val="bottom"/>
          </w:tcPr>
          <w:p>
            <w:pPr>
              <w:ind w:left="180"/>
              <w:spacing w:after="0"/>
              <w:rPr>
                <w:sz w:val="20"/>
                <w:szCs w:val="20"/>
                <w:color w:val="auto"/>
              </w:rPr>
            </w:pPr>
            <w:r>
              <w:rPr>
                <w:rFonts w:ascii="Arial" w:cs="Arial" w:eastAsia="Arial" w:hAnsi="Arial"/>
                <w:sz w:val="18"/>
                <w:szCs w:val="18"/>
                <w:color w:val="231F20"/>
              </w:rPr>
              <w:t>Seventh Amendment to the Amended and Restated Credit Agreement, entered into effective as of</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October 29, 2025, by and among California Resources Corporation, as the Borrower, the several</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lenders from time to time parties thereto and Citibank, N.A., as Administrative Agent (filed as Exhibit</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10.1 to the Registrant’s Current Report on Form 8-K filed October 31, 2025 and incorporated herein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10.19**</w:t>
            </w:r>
          </w:p>
        </w:tc>
        <w:tc>
          <w:tcPr>
            <w:tcW w:w="8260" w:type="dxa"/>
            <w:vAlign w:val="bottom"/>
          </w:tcPr>
          <w:p>
            <w:pPr>
              <w:ind w:left="180"/>
              <w:spacing w:after="0"/>
              <w:rPr>
                <w:sz w:val="20"/>
                <w:szCs w:val="20"/>
                <w:color w:val="auto"/>
              </w:rPr>
            </w:pPr>
            <w:r>
              <w:rPr>
                <w:rFonts w:ascii="Arial" w:cs="Arial" w:eastAsia="Arial" w:hAnsi="Arial"/>
                <w:sz w:val="18"/>
                <w:szCs w:val="18"/>
                <w:color w:val="231F20"/>
              </w:rPr>
              <w:t>Eighth Amendment to the Amended and Restated Credit Agreement, entered into effective as of</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December 15, 2025, by and among California Resources Corporation, as the Borrower, the several</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lenders from time to time parties thereto and Citibank, N.A., as Administrative Agent (filed as Exhibit</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10.1 to the Registrant’s Current Report on Form 8-K filed December 18, 2025 and incorporated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herein by reference).</w:t>
            </w:r>
          </w:p>
        </w:tc>
      </w:tr>
      <w:tr>
        <w:trPr>
          <w:trHeight w:val="251"/>
        </w:trPr>
        <w:tc>
          <w:tcPr>
            <w:tcW w:w="860" w:type="dxa"/>
            <w:vAlign w:val="bottom"/>
          </w:tcPr>
          <w:p>
            <w:pPr>
              <w:spacing w:after="0"/>
              <w:rPr>
                <w:sz w:val="21"/>
                <w:szCs w:val="21"/>
                <w:color w:val="auto"/>
              </w:rPr>
            </w:pPr>
          </w:p>
        </w:tc>
        <w:tc>
          <w:tcPr>
            <w:tcW w:w="8260" w:type="dxa"/>
            <w:vAlign w:val="bottom"/>
          </w:tcPr>
          <w:p>
            <w:pPr>
              <w:ind w:left="180"/>
              <w:spacing w:after="0"/>
              <w:rPr>
                <w:sz w:val="20"/>
                <w:szCs w:val="20"/>
                <w:color w:val="auto"/>
              </w:rPr>
            </w:pPr>
            <w:r>
              <w:rPr>
                <w:rFonts w:ascii="Arial" w:cs="Arial" w:eastAsia="Arial" w:hAnsi="Arial"/>
                <w:sz w:val="18"/>
                <w:szCs w:val="18"/>
                <w:color w:val="231F20"/>
              </w:rPr>
              <w:t>The following are management contracts and compensatory plans required to be identified</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specifically as responsive to Item 601(b)(10)(iii)(A) of Regulation S-K pursuant to Item 15(b) of Form</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10-K.</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10.20</w:t>
            </w:r>
          </w:p>
        </w:tc>
        <w:tc>
          <w:tcPr>
            <w:tcW w:w="8260" w:type="dxa"/>
            <w:vAlign w:val="bottom"/>
          </w:tcPr>
          <w:p>
            <w:pPr>
              <w:ind w:left="180"/>
              <w:spacing w:after="0"/>
              <w:rPr>
                <w:sz w:val="20"/>
                <w:szCs w:val="20"/>
                <w:color w:val="auto"/>
              </w:rPr>
            </w:pPr>
            <w:r>
              <w:rPr>
                <w:rFonts w:ascii="Arial" w:cs="Arial" w:eastAsia="Arial" w:hAnsi="Arial"/>
                <w:sz w:val="18"/>
                <w:szCs w:val="18"/>
                <w:color w:val="231F20"/>
              </w:rPr>
              <w:t>Form of Indemnification Agreement by and between California Resources Corporation and its</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directors and executive officers (filed as Exhibit 10.1 to the Registrant’s Current Report on Form 8-K</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filed October 27, 2020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10.21</w:t>
            </w:r>
          </w:p>
        </w:tc>
        <w:tc>
          <w:tcPr>
            <w:tcW w:w="8260" w:type="dxa"/>
            <w:vAlign w:val="bottom"/>
          </w:tcPr>
          <w:p>
            <w:pPr>
              <w:ind w:left="180"/>
              <w:spacing w:after="0"/>
              <w:rPr>
                <w:sz w:val="20"/>
                <w:szCs w:val="20"/>
                <w:color w:val="auto"/>
              </w:rPr>
            </w:pPr>
            <w:r>
              <w:rPr>
                <w:rFonts w:ascii="Arial" w:cs="Arial" w:eastAsia="Arial" w:hAnsi="Arial"/>
                <w:sz w:val="18"/>
                <w:szCs w:val="18"/>
                <w:color w:val="231F20"/>
              </w:rPr>
              <w:t>California Resources Corporation 2021 Long Term Incentive Plan (filed as Exhibit 10.1 to the</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Registrant’s Current Report on Form 8-K filed January 22, 2021 and incorporated herein by</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10.22</w:t>
            </w:r>
          </w:p>
        </w:tc>
        <w:tc>
          <w:tcPr>
            <w:tcW w:w="8260" w:type="dxa"/>
            <w:vAlign w:val="bottom"/>
          </w:tcPr>
          <w:p>
            <w:pPr>
              <w:ind w:left="180"/>
              <w:spacing w:after="0"/>
              <w:rPr>
                <w:sz w:val="20"/>
                <w:szCs w:val="20"/>
                <w:color w:val="auto"/>
              </w:rPr>
            </w:pPr>
            <w:r>
              <w:rPr>
                <w:rFonts w:ascii="Arial" w:cs="Arial" w:eastAsia="Arial" w:hAnsi="Arial"/>
                <w:sz w:val="18"/>
                <w:szCs w:val="18"/>
                <w:color w:val="231F20"/>
              </w:rPr>
              <w:t>Form of California Resources Corporation 2021 Long Term Incentive Plan Restricted Stock Unit</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Award for Non-Employee Directors Grant Agreement (filed as Exhibit 10.45 to the Registrant’s</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Annual Report on Form 10-K filed March 11, 2021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10.27**</w:t>
            </w:r>
          </w:p>
        </w:tc>
        <w:tc>
          <w:tcPr>
            <w:tcW w:w="8260" w:type="dxa"/>
            <w:vAlign w:val="bottom"/>
          </w:tcPr>
          <w:p>
            <w:pPr>
              <w:ind w:left="180"/>
              <w:spacing w:after="0"/>
              <w:rPr>
                <w:sz w:val="20"/>
                <w:szCs w:val="20"/>
                <w:color w:val="auto"/>
              </w:rPr>
            </w:pPr>
            <w:r>
              <w:rPr>
                <w:rFonts w:ascii="Arial" w:cs="Arial" w:eastAsia="Arial" w:hAnsi="Arial"/>
                <w:sz w:val="18"/>
                <w:szCs w:val="18"/>
                <w:color w:val="231F20"/>
              </w:rPr>
              <w:t>Employment Agreement by and between Michael L. Preston and California Resources Corporation,</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dated June 8, 2021 (filed as Exhibit 10.4 to the Registrant’s Quarterly Report on Form 10-Q filed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August 6, 2021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10.28**</w:t>
            </w:r>
          </w:p>
        </w:tc>
        <w:tc>
          <w:tcPr>
            <w:tcW w:w="8260" w:type="dxa"/>
            <w:vAlign w:val="bottom"/>
          </w:tcPr>
          <w:p>
            <w:pPr>
              <w:ind w:left="180"/>
              <w:spacing w:after="0"/>
              <w:rPr>
                <w:sz w:val="20"/>
                <w:szCs w:val="20"/>
                <w:color w:val="auto"/>
              </w:rPr>
            </w:pPr>
            <w:r>
              <w:rPr>
                <w:rFonts w:ascii="Arial" w:cs="Arial" w:eastAsia="Arial" w:hAnsi="Arial"/>
                <w:sz w:val="18"/>
                <w:szCs w:val="18"/>
                <w:color w:val="231F20"/>
              </w:rPr>
              <w:t>Amended and Restated Employment Agreement by and between Michael L. Preston and California</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Resources Corporation, dated August 4, 2025 (filed as Exhibit 10.2 to Registrant’s Quarterly Report</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on Form 10-Q filed August 6, 2025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10.29**</w:t>
            </w:r>
          </w:p>
        </w:tc>
        <w:tc>
          <w:tcPr>
            <w:tcW w:w="8260" w:type="dxa"/>
            <w:vAlign w:val="bottom"/>
          </w:tcPr>
          <w:p>
            <w:pPr>
              <w:ind w:left="180"/>
              <w:spacing w:after="0"/>
              <w:rPr>
                <w:sz w:val="20"/>
                <w:szCs w:val="20"/>
                <w:color w:val="auto"/>
              </w:rPr>
            </w:pPr>
            <w:r>
              <w:rPr>
                <w:rFonts w:ascii="Arial" w:cs="Arial" w:eastAsia="Arial" w:hAnsi="Arial"/>
                <w:sz w:val="18"/>
                <w:szCs w:val="18"/>
                <w:color w:val="231F20"/>
              </w:rPr>
              <w:t>Employment Agreement by and between Jay A. Bys and California Resources Corporation, dated</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June 8, 2021 (filed as Exhibit 10.5 to the Registrant’s Quarterly Report on Form 10-Q filed August 5,</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2021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10.30**</w:t>
            </w:r>
          </w:p>
        </w:tc>
        <w:tc>
          <w:tcPr>
            <w:tcW w:w="8260" w:type="dxa"/>
            <w:vAlign w:val="bottom"/>
          </w:tcPr>
          <w:p>
            <w:pPr>
              <w:ind w:left="180"/>
              <w:spacing w:after="0"/>
              <w:rPr>
                <w:sz w:val="20"/>
                <w:szCs w:val="20"/>
                <w:color w:val="auto"/>
              </w:rPr>
            </w:pPr>
            <w:r>
              <w:rPr>
                <w:rFonts w:ascii="Arial" w:cs="Arial" w:eastAsia="Arial" w:hAnsi="Arial"/>
                <w:sz w:val="18"/>
                <w:szCs w:val="18"/>
                <w:color w:val="231F20"/>
              </w:rPr>
              <w:t>Amended and Restated Employment Agreement by and between Jay A. Bys and California</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Resources Corporation, dated August 4, 2025 (filed as Exhibit 10.1 to Registrant’s Quarterly Report</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on Form 10-Q filed August 6, 2025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10.31**</w:t>
            </w:r>
          </w:p>
        </w:tc>
        <w:tc>
          <w:tcPr>
            <w:tcW w:w="8260" w:type="dxa"/>
            <w:vAlign w:val="bottom"/>
          </w:tcPr>
          <w:p>
            <w:pPr>
              <w:ind w:left="180"/>
              <w:spacing w:after="0"/>
              <w:rPr>
                <w:sz w:val="20"/>
                <w:szCs w:val="20"/>
                <w:color w:val="auto"/>
              </w:rPr>
            </w:pPr>
            <w:r>
              <w:rPr>
                <w:rFonts w:ascii="Arial" w:cs="Arial" w:eastAsia="Arial" w:hAnsi="Arial"/>
                <w:sz w:val="18"/>
                <w:szCs w:val="18"/>
                <w:color w:val="231F20"/>
              </w:rPr>
              <w:t>Employment Agreement by and between Francisco J. Leon and California Resources Corporation,</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dated February 23, 2023 (filed as Exhibit 10.25 to Registrant’s Annual Report on Form 10-K filed 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February 24, 2023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10.32**</w:t>
            </w:r>
          </w:p>
        </w:tc>
        <w:tc>
          <w:tcPr>
            <w:tcW w:w="8260" w:type="dxa"/>
            <w:vAlign w:val="bottom"/>
          </w:tcPr>
          <w:p>
            <w:pPr>
              <w:ind w:left="180"/>
              <w:spacing w:after="0"/>
              <w:rPr>
                <w:sz w:val="20"/>
                <w:szCs w:val="20"/>
                <w:color w:val="auto"/>
              </w:rPr>
            </w:pPr>
            <w:r>
              <w:rPr>
                <w:rFonts w:ascii="Arial" w:cs="Arial" w:eastAsia="Arial" w:hAnsi="Arial"/>
                <w:sz w:val="18"/>
                <w:szCs w:val="18"/>
                <w:color w:val="231F20"/>
              </w:rPr>
              <w:t>Employment Agreement by and between Omar Hayat and California Resources Corporation, dated</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July 27, 2023 (filed as Exhibit 10.3 to the Registrant’s Quarterly Report on Form 10-Q filed 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August 1, 2023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10.33**</w:t>
            </w:r>
          </w:p>
        </w:tc>
        <w:tc>
          <w:tcPr>
            <w:tcW w:w="8260" w:type="dxa"/>
            <w:vAlign w:val="bottom"/>
          </w:tcPr>
          <w:p>
            <w:pPr>
              <w:ind w:left="180"/>
              <w:spacing w:after="0"/>
              <w:rPr>
                <w:sz w:val="20"/>
                <w:szCs w:val="20"/>
                <w:color w:val="auto"/>
              </w:rPr>
            </w:pPr>
            <w:r>
              <w:rPr>
                <w:rFonts w:ascii="Arial" w:cs="Arial" w:eastAsia="Arial" w:hAnsi="Arial"/>
                <w:sz w:val="18"/>
                <w:szCs w:val="18"/>
                <w:color w:val="231F20"/>
              </w:rPr>
              <w:t>Amended and Restated Employment Agreement by and between Christopher D. Gould and</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California Resources Corporation, dated July 27, 2023 (filed as Exhibit 10.4 to the Registrant’s</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Quarterly Report on Form 10-Q filed on August 1, 2023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10.34**</w:t>
            </w:r>
          </w:p>
        </w:tc>
        <w:tc>
          <w:tcPr>
            <w:tcW w:w="8260" w:type="dxa"/>
            <w:vAlign w:val="bottom"/>
          </w:tcPr>
          <w:p>
            <w:pPr>
              <w:ind w:left="180"/>
              <w:spacing w:after="0"/>
              <w:rPr>
                <w:sz w:val="20"/>
                <w:szCs w:val="20"/>
                <w:color w:val="auto"/>
              </w:rPr>
            </w:pPr>
            <w:r>
              <w:rPr>
                <w:rFonts w:ascii="Arial" w:cs="Arial" w:eastAsia="Arial" w:hAnsi="Arial"/>
                <w:sz w:val="18"/>
                <w:szCs w:val="18"/>
                <w:color w:val="231F20"/>
              </w:rPr>
              <w:t>Employment Agreement by and between Clio Catherine Crespy and California Resources</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Corporation, dated January 1, 2025 (filed as Exhibit 10.1 to the Registrant’s Current Report on Form</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8-K filed on November 25, 2024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10.35</w:t>
            </w:r>
          </w:p>
        </w:tc>
        <w:tc>
          <w:tcPr>
            <w:tcW w:w="8260" w:type="dxa"/>
            <w:vAlign w:val="bottom"/>
          </w:tcPr>
          <w:p>
            <w:pPr>
              <w:ind w:left="180"/>
              <w:spacing w:after="0"/>
              <w:rPr>
                <w:sz w:val="20"/>
                <w:szCs w:val="20"/>
                <w:color w:val="auto"/>
              </w:rPr>
            </w:pPr>
            <w:r>
              <w:rPr>
                <w:rFonts w:ascii="Arial" w:cs="Arial" w:eastAsia="Arial" w:hAnsi="Arial"/>
                <w:sz w:val="18"/>
                <w:szCs w:val="18"/>
                <w:color w:val="231F20"/>
                <w:w w:val="99"/>
              </w:rPr>
              <w:t>2023 Form of California Resources Corporation 2021 Long Term Incentive Plan Restricted Stock Unit</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Award Terms and Conditions (filed as Exhibit 10.26 to Registrant’s Annual Report on Form 10-K filed</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on February 24, 2023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10.36</w:t>
            </w:r>
          </w:p>
        </w:tc>
        <w:tc>
          <w:tcPr>
            <w:tcW w:w="8260" w:type="dxa"/>
            <w:vAlign w:val="bottom"/>
          </w:tcPr>
          <w:p>
            <w:pPr>
              <w:ind w:left="180"/>
              <w:spacing w:after="0"/>
              <w:rPr>
                <w:sz w:val="20"/>
                <w:szCs w:val="20"/>
                <w:color w:val="auto"/>
              </w:rPr>
            </w:pPr>
            <w:r>
              <w:rPr>
                <w:rFonts w:ascii="Arial" w:cs="Arial" w:eastAsia="Arial" w:hAnsi="Arial"/>
                <w:sz w:val="18"/>
                <w:szCs w:val="18"/>
                <w:color w:val="231F20"/>
              </w:rPr>
              <w:t>2023 Form of California Resources Corporation 2021 Long Term Incentive Plan Performance Stock</w:t>
            </w:r>
          </w:p>
        </w:tc>
      </w:tr>
      <w:tr>
        <w:trPr>
          <w:trHeight w:val="196"/>
        </w:trPr>
        <w:tc>
          <w:tcPr>
            <w:tcW w:w="860" w:type="dxa"/>
            <w:vAlign w:val="bottom"/>
          </w:tcPr>
          <w:p>
            <w:pPr>
              <w:spacing w:after="0"/>
              <w:rPr>
                <w:sz w:val="17"/>
                <w:szCs w:val="17"/>
                <w:color w:val="auto"/>
              </w:rPr>
            </w:pPr>
          </w:p>
        </w:tc>
        <w:tc>
          <w:tcPr>
            <w:tcW w:w="8260" w:type="dxa"/>
            <w:vAlign w:val="bottom"/>
          </w:tcPr>
          <w:p>
            <w:pPr>
              <w:ind w:left="180"/>
              <w:spacing w:after="0" w:line="196" w:lineRule="exact"/>
              <w:rPr>
                <w:sz w:val="20"/>
                <w:szCs w:val="20"/>
                <w:color w:val="auto"/>
              </w:rPr>
            </w:pPr>
            <w:r>
              <w:rPr>
                <w:rFonts w:ascii="Arial" w:cs="Arial" w:eastAsia="Arial" w:hAnsi="Arial"/>
                <w:sz w:val="18"/>
                <w:szCs w:val="18"/>
                <w:color w:val="231F20"/>
              </w:rPr>
              <w:t>Unit Award Terms and Conditions (filed as Exhibit 10.27 to Registrant’s Annual Report on Form 10-K</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filed on February 24, 2023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10.37</w:t>
            </w:r>
          </w:p>
        </w:tc>
        <w:tc>
          <w:tcPr>
            <w:tcW w:w="8260" w:type="dxa"/>
            <w:vAlign w:val="bottom"/>
          </w:tcPr>
          <w:p>
            <w:pPr>
              <w:ind w:left="180"/>
              <w:spacing w:after="0"/>
              <w:rPr>
                <w:sz w:val="20"/>
                <w:szCs w:val="20"/>
                <w:color w:val="auto"/>
              </w:rPr>
            </w:pPr>
            <w:r>
              <w:rPr>
                <w:rFonts w:ascii="Arial" w:cs="Arial" w:eastAsia="Arial" w:hAnsi="Arial"/>
                <w:sz w:val="18"/>
                <w:szCs w:val="18"/>
                <w:color w:val="231F20"/>
              </w:rPr>
              <w:t>Form of Cash Retention Bonus Agreement (filed as Exhibit 10.28 to Registrant’s Annual Report on</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Form 10-K filed on February 24, 2023 and incorporated herein by reference).</w:t>
            </w:r>
          </w:p>
        </w:tc>
      </w:tr>
      <w:tr>
        <w:trPr>
          <w:trHeight w:val="251"/>
        </w:trPr>
        <w:tc>
          <w:tcPr>
            <w:tcW w:w="860" w:type="dxa"/>
            <w:vAlign w:val="bottom"/>
          </w:tcPr>
          <w:p>
            <w:pPr>
              <w:ind w:left="100"/>
              <w:spacing w:after="0"/>
              <w:rPr>
                <w:sz w:val="20"/>
                <w:szCs w:val="20"/>
                <w:color w:val="auto"/>
              </w:rPr>
            </w:pPr>
            <w:r>
              <w:rPr>
                <w:rFonts w:ascii="Arial" w:cs="Arial" w:eastAsia="Arial" w:hAnsi="Arial"/>
                <w:sz w:val="18"/>
                <w:szCs w:val="18"/>
                <w:color w:val="231F20"/>
              </w:rPr>
              <w:t>10.38</w:t>
            </w:r>
          </w:p>
        </w:tc>
        <w:tc>
          <w:tcPr>
            <w:tcW w:w="8260" w:type="dxa"/>
            <w:vAlign w:val="bottom"/>
          </w:tcPr>
          <w:p>
            <w:pPr>
              <w:ind w:left="180"/>
              <w:spacing w:after="0"/>
              <w:rPr>
                <w:sz w:val="20"/>
                <w:szCs w:val="20"/>
                <w:color w:val="auto"/>
              </w:rPr>
            </w:pPr>
            <w:r>
              <w:rPr>
                <w:rFonts w:ascii="Arial" w:cs="Arial" w:eastAsia="Arial" w:hAnsi="Arial"/>
                <w:sz w:val="18"/>
                <w:szCs w:val="18"/>
                <w:color w:val="231F20"/>
              </w:rPr>
              <w:t>California Resources Corporation Employee Stock Purchase Plan (filed as Exhibit 10.1 to the</w:t>
            </w:r>
          </w:p>
        </w:tc>
      </w:tr>
      <w:tr>
        <w:trPr>
          <w:trHeight w:val="201"/>
        </w:trPr>
        <w:tc>
          <w:tcPr>
            <w:tcW w:w="860" w:type="dxa"/>
            <w:vAlign w:val="bottom"/>
          </w:tcPr>
          <w:p>
            <w:pPr>
              <w:spacing w:after="0"/>
              <w:rPr>
                <w:sz w:val="17"/>
                <w:szCs w:val="17"/>
                <w:color w:val="auto"/>
              </w:rPr>
            </w:pP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231F20"/>
              </w:rPr>
              <w:t>Registrant’s Current Report on Form 8-K filed on May 6, 2022 and incorporated herein by reference).</w:t>
            </w:r>
          </w:p>
        </w:tc>
      </w:tr>
    </w:tbl>
    <w:p>
      <w:pPr>
        <w:spacing w:after="0" w:line="200" w:lineRule="exact"/>
        <w:rPr>
          <w:sz w:val="20"/>
          <w:szCs w:val="20"/>
          <w:color w:val="auto"/>
        </w:rPr>
      </w:pPr>
    </w:p>
    <w:p>
      <w:pPr>
        <w:sectPr>
          <w:pgSz w:w="11880" w:h="15480" w:orient="portrait"/>
          <w:cols w:equalWidth="0" w:num="1">
            <w:col w:w="9120"/>
          </w:cols>
          <w:pgMar w:left="1380" w:top="1248" w:right="1380" w:bottom="660"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163</w:t>
      </w:r>
    </w:p>
    <w:p>
      <w:pPr>
        <w:sectPr>
          <w:pgSz w:w="11880" w:h="15480" w:orient="portrait"/>
          <w:cols w:equalWidth="0" w:num="1">
            <w:col w:w="9120"/>
          </w:cols>
          <w:pgMar w:left="1380" w:top="1248" w:right="1380" w:bottom="66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231F20"/>
              </w:rPr>
              <w:t>Exhibit</w:t>
            </w:r>
          </w:p>
        </w:tc>
        <w:tc>
          <w:tcPr>
            <w:tcW w:w="8160" w:type="dxa"/>
            <w:vAlign w:val="bottom"/>
          </w:tcPr>
          <w:p>
            <w:pPr>
              <w:spacing w:after="0"/>
              <w:rPr>
                <w:sz w:val="17"/>
                <w:szCs w:val="17"/>
                <w:color w:val="auto"/>
              </w:rPr>
            </w:pPr>
          </w:p>
        </w:tc>
      </w:tr>
      <w:tr>
        <w:trPr>
          <w:trHeight w:val="208"/>
        </w:trPr>
        <w:tc>
          <w:tcPr>
            <w:tcW w:w="960" w:type="dxa"/>
            <w:vAlign w:val="bottom"/>
            <w:tcBorders>
              <w:bottom w:val="single" w:sz="8" w:color="231F20"/>
            </w:tcBorders>
          </w:tcPr>
          <w:p>
            <w:pPr>
              <w:spacing w:after="0" w:line="201" w:lineRule="exact"/>
              <w:rPr>
                <w:sz w:val="20"/>
                <w:szCs w:val="20"/>
                <w:color w:val="auto"/>
              </w:rPr>
            </w:pPr>
            <w:r>
              <w:rPr>
                <w:rFonts w:ascii="Arial" w:cs="Arial" w:eastAsia="Arial" w:hAnsi="Arial"/>
                <w:sz w:val="18"/>
                <w:szCs w:val="18"/>
                <w:color w:val="231F20"/>
              </w:rPr>
              <w:t>Number</w:t>
            </w:r>
          </w:p>
        </w:tc>
        <w:tc>
          <w:tcPr>
            <w:tcW w:w="8160" w:type="dxa"/>
            <w:vAlign w:val="bottom"/>
            <w:tcBorders>
              <w:bottom w:val="single" w:sz="8" w:color="231F20"/>
            </w:tcBorders>
          </w:tcPr>
          <w:p>
            <w:pPr>
              <w:ind w:left="180"/>
              <w:spacing w:after="0" w:line="201" w:lineRule="exact"/>
              <w:rPr>
                <w:sz w:val="20"/>
                <w:szCs w:val="20"/>
                <w:color w:val="auto"/>
              </w:rPr>
            </w:pPr>
            <w:r>
              <w:rPr>
                <w:rFonts w:ascii="Arial" w:cs="Arial" w:eastAsia="Arial" w:hAnsi="Arial"/>
                <w:sz w:val="18"/>
                <w:szCs w:val="18"/>
                <w:color w:val="231F20"/>
              </w:rPr>
              <w:t>Exhibit Description</w:t>
            </w:r>
          </w:p>
        </w:tc>
      </w:tr>
      <w:tr>
        <w:trPr>
          <w:trHeight w:val="264"/>
        </w:trPr>
        <w:tc>
          <w:tcPr>
            <w:tcW w:w="960" w:type="dxa"/>
            <w:vAlign w:val="bottom"/>
          </w:tcPr>
          <w:p>
            <w:pPr>
              <w:spacing w:after="0"/>
              <w:rPr>
                <w:sz w:val="20"/>
                <w:szCs w:val="20"/>
                <w:color w:val="auto"/>
              </w:rPr>
            </w:pPr>
            <w:r>
              <w:rPr>
                <w:rFonts w:ascii="Arial" w:cs="Arial" w:eastAsia="Arial" w:hAnsi="Arial"/>
                <w:sz w:val="18"/>
                <w:szCs w:val="18"/>
                <w:color w:val="231F20"/>
              </w:rPr>
              <w:t>10.39</w:t>
            </w:r>
          </w:p>
        </w:tc>
        <w:tc>
          <w:tcPr>
            <w:tcW w:w="8160" w:type="dxa"/>
            <w:vAlign w:val="bottom"/>
          </w:tcPr>
          <w:p>
            <w:pPr>
              <w:ind w:left="180"/>
              <w:spacing w:after="0"/>
              <w:rPr>
                <w:sz w:val="20"/>
                <w:szCs w:val="20"/>
                <w:color w:val="auto"/>
              </w:rPr>
            </w:pPr>
            <w:r>
              <w:rPr>
                <w:rFonts w:ascii="Arial" w:cs="Arial" w:eastAsia="Arial" w:hAnsi="Arial"/>
                <w:sz w:val="18"/>
                <w:szCs w:val="18"/>
                <w:color w:val="231F20"/>
              </w:rPr>
              <w:t>2024 Form of California Resources Corporation 2021 Long-Term Incentive Plan Restricted Stock</w:t>
            </w:r>
          </w:p>
        </w:tc>
      </w:tr>
      <w:tr>
        <w:trPr>
          <w:trHeight w:val="186"/>
        </w:trPr>
        <w:tc>
          <w:tcPr>
            <w:tcW w:w="960" w:type="dxa"/>
            <w:vAlign w:val="bottom"/>
          </w:tcPr>
          <w:p>
            <w:pPr>
              <w:spacing w:after="0"/>
              <w:rPr>
                <w:sz w:val="16"/>
                <w:szCs w:val="16"/>
                <w:color w:val="auto"/>
              </w:rPr>
            </w:pPr>
          </w:p>
        </w:tc>
        <w:tc>
          <w:tcPr>
            <w:tcW w:w="8160" w:type="dxa"/>
            <w:vAlign w:val="bottom"/>
          </w:tcPr>
          <w:p>
            <w:pPr>
              <w:ind w:left="180"/>
              <w:spacing w:after="0" w:line="186" w:lineRule="exact"/>
              <w:rPr>
                <w:sz w:val="20"/>
                <w:szCs w:val="20"/>
                <w:color w:val="auto"/>
              </w:rPr>
            </w:pPr>
            <w:r>
              <w:rPr>
                <w:rFonts w:ascii="Arial" w:cs="Arial" w:eastAsia="Arial" w:hAnsi="Arial"/>
                <w:sz w:val="18"/>
                <w:szCs w:val="18"/>
                <w:color w:val="231F20"/>
              </w:rPr>
              <w:t>Unit for Non-Employee Directors Grant Agreement (filed as Exhibit 10.6 to Registrant’s Form 10-Q</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filed on August 7, 2024 and incorporated herein by reference).</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10.40</w:t>
            </w:r>
          </w:p>
        </w:tc>
        <w:tc>
          <w:tcPr>
            <w:tcW w:w="8160" w:type="dxa"/>
            <w:vAlign w:val="bottom"/>
          </w:tcPr>
          <w:p>
            <w:pPr>
              <w:ind w:left="180"/>
              <w:spacing w:after="0"/>
              <w:rPr>
                <w:sz w:val="20"/>
                <w:szCs w:val="20"/>
                <w:color w:val="auto"/>
              </w:rPr>
            </w:pPr>
            <w:r>
              <w:rPr>
                <w:rFonts w:ascii="Arial" w:cs="Arial" w:eastAsia="Arial" w:hAnsi="Arial"/>
                <w:sz w:val="18"/>
                <w:szCs w:val="18"/>
                <w:color w:val="231F20"/>
              </w:rPr>
              <w:t>2024 Form of California Resources Corporation 2021 Long Term Incentive Plan Restricted Stock</w:t>
            </w:r>
          </w:p>
        </w:tc>
      </w:tr>
      <w:tr>
        <w:trPr>
          <w:trHeight w:val="186"/>
        </w:trPr>
        <w:tc>
          <w:tcPr>
            <w:tcW w:w="960" w:type="dxa"/>
            <w:vAlign w:val="bottom"/>
          </w:tcPr>
          <w:p>
            <w:pPr>
              <w:spacing w:after="0"/>
              <w:rPr>
                <w:sz w:val="16"/>
                <w:szCs w:val="16"/>
                <w:color w:val="auto"/>
              </w:rPr>
            </w:pPr>
          </w:p>
        </w:tc>
        <w:tc>
          <w:tcPr>
            <w:tcW w:w="8160" w:type="dxa"/>
            <w:vAlign w:val="bottom"/>
          </w:tcPr>
          <w:p>
            <w:pPr>
              <w:ind w:left="180"/>
              <w:spacing w:after="0" w:line="186" w:lineRule="exact"/>
              <w:rPr>
                <w:sz w:val="20"/>
                <w:szCs w:val="20"/>
                <w:color w:val="auto"/>
              </w:rPr>
            </w:pPr>
            <w:r>
              <w:rPr>
                <w:rFonts w:ascii="Arial" w:cs="Arial" w:eastAsia="Arial" w:hAnsi="Arial"/>
                <w:sz w:val="18"/>
                <w:szCs w:val="18"/>
                <w:color w:val="231F20"/>
              </w:rPr>
              <w:t>Unit Award Terms and Conditions (filed as Exhibit 10.29 to Registrant’s Annual Report on Form</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10-K filed on February 28, 2024 and incorporated herein by reference).</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10.41</w:t>
            </w:r>
          </w:p>
        </w:tc>
        <w:tc>
          <w:tcPr>
            <w:tcW w:w="8160" w:type="dxa"/>
            <w:vAlign w:val="bottom"/>
          </w:tcPr>
          <w:p>
            <w:pPr>
              <w:ind w:left="180"/>
              <w:spacing w:after="0"/>
              <w:rPr>
                <w:sz w:val="20"/>
                <w:szCs w:val="20"/>
                <w:color w:val="auto"/>
              </w:rPr>
            </w:pPr>
            <w:r>
              <w:rPr>
                <w:rFonts w:ascii="Arial" w:cs="Arial" w:eastAsia="Arial" w:hAnsi="Arial"/>
                <w:sz w:val="18"/>
                <w:szCs w:val="18"/>
                <w:color w:val="231F20"/>
              </w:rPr>
              <w:t>2024 Form of California Resources Corporation 2021 Long Term Incentive Plan Performance Stock</w:t>
            </w:r>
          </w:p>
        </w:tc>
      </w:tr>
      <w:tr>
        <w:trPr>
          <w:trHeight w:val="186"/>
        </w:trPr>
        <w:tc>
          <w:tcPr>
            <w:tcW w:w="960" w:type="dxa"/>
            <w:vAlign w:val="bottom"/>
          </w:tcPr>
          <w:p>
            <w:pPr>
              <w:spacing w:after="0"/>
              <w:rPr>
                <w:sz w:val="16"/>
                <w:szCs w:val="16"/>
                <w:color w:val="auto"/>
              </w:rPr>
            </w:pPr>
          </w:p>
        </w:tc>
        <w:tc>
          <w:tcPr>
            <w:tcW w:w="8160" w:type="dxa"/>
            <w:vAlign w:val="bottom"/>
          </w:tcPr>
          <w:p>
            <w:pPr>
              <w:ind w:left="180"/>
              <w:spacing w:after="0" w:line="186" w:lineRule="exact"/>
              <w:rPr>
                <w:sz w:val="20"/>
                <w:szCs w:val="20"/>
                <w:color w:val="auto"/>
              </w:rPr>
            </w:pPr>
            <w:r>
              <w:rPr>
                <w:rFonts w:ascii="Arial" w:cs="Arial" w:eastAsia="Arial" w:hAnsi="Arial"/>
                <w:sz w:val="18"/>
                <w:szCs w:val="18"/>
                <w:color w:val="231F20"/>
              </w:rPr>
              <w:t>Unit Award Terms and Conditions (filed as Exhibit 10.30 to Registrant’s Annual Report on Form</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10-K filed on February 28, 2024 and incorporated herein by reference).</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10.42</w:t>
            </w:r>
          </w:p>
        </w:tc>
        <w:tc>
          <w:tcPr>
            <w:tcW w:w="8160" w:type="dxa"/>
            <w:vAlign w:val="bottom"/>
          </w:tcPr>
          <w:p>
            <w:pPr>
              <w:ind w:left="180"/>
              <w:spacing w:after="0"/>
              <w:rPr>
                <w:sz w:val="20"/>
                <w:szCs w:val="20"/>
                <w:color w:val="auto"/>
              </w:rPr>
            </w:pPr>
            <w:r>
              <w:rPr>
                <w:rFonts w:ascii="Arial" w:cs="Arial" w:eastAsia="Arial" w:hAnsi="Arial"/>
                <w:sz w:val="18"/>
                <w:szCs w:val="18"/>
                <w:color w:val="231F20"/>
              </w:rPr>
              <w:t>2025 Form of California Resources Corporation 2021 Long Term Incentive Plan Restricted Stock</w:t>
            </w:r>
          </w:p>
        </w:tc>
      </w:tr>
      <w:tr>
        <w:trPr>
          <w:trHeight w:val="186"/>
        </w:trPr>
        <w:tc>
          <w:tcPr>
            <w:tcW w:w="960" w:type="dxa"/>
            <w:vAlign w:val="bottom"/>
          </w:tcPr>
          <w:p>
            <w:pPr>
              <w:spacing w:after="0"/>
              <w:rPr>
                <w:sz w:val="16"/>
                <w:szCs w:val="16"/>
                <w:color w:val="auto"/>
              </w:rPr>
            </w:pPr>
          </w:p>
        </w:tc>
        <w:tc>
          <w:tcPr>
            <w:tcW w:w="8160" w:type="dxa"/>
            <w:vAlign w:val="bottom"/>
          </w:tcPr>
          <w:p>
            <w:pPr>
              <w:ind w:left="180"/>
              <w:spacing w:after="0" w:line="186" w:lineRule="exact"/>
              <w:rPr>
                <w:sz w:val="20"/>
                <w:szCs w:val="20"/>
                <w:color w:val="auto"/>
              </w:rPr>
            </w:pPr>
            <w:r>
              <w:rPr>
                <w:rFonts w:ascii="Arial" w:cs="Arial" w:eastAsia="Arial" w:hAnsi="Arial"/>
                <w:sz w:val="18"/>
                <w:szCs w:val="18"/>
                <w:color w:val="231F20"/>
              </w:rPr>
              <w:t>Unit Award Terms and Conditions (filed as Exhibit 10.36 to Registrant’s Annual Report on Form</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10-K filed on March 3, 2025 and incorporated herein by reference).</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10.43</w:t>
            </w:r>
          </w:p>
        </w:tc>
        <w:tc>
          <w:tcPr>
            <w:tcW w:w="8160" w:type="dxa"/>
            <w:vAlign w:val="bottom"/>
          </w:tcPr>
          <w:p>
            <w:pPr>
              <w:ind w:left="180"/>
              <w:spacing w:after="0"/>
              <w:rPr>
                <w:sz w:val="20"/>
                <w:szCs w:val="20"/>
                <w:color w:val="auto"/>
              </w:rPr>
            </w:pPr>
            <w:r>
              <w:rPr>
                <w:rFonts w:ascii="Arial" w:cs="Arial" w:eastAsia="Arial" w:hAnsi="Arial"/>
                <w:sz w:val="18"/>
                <w:szCs w:val="18"/>
                <w:color w:val="231F20"/>
              </w:rPr>
              <w:t>2025 Form of California Resources Corporation 2021 Long Term Incentive Plan Performance Stock</w:t>
            </w:r>
          </w:p>
        </w:tc>
      </w:tr>
      <w:tr>
        <w:trPr>
          <w:trHeight w:val="186"/>
        </w:trPr>
        <w:tc>
          <w:tcPr>
            <w:tcW w:w="960" w:type="dxa"/>
            <w:vAlign w:val="bottom"/>
          </w:tcPr>
          <w:p>
            <w:pPr>
              <w:spacing w:after="0"/>
              <w:rPr>
                <w:sz w:val="16"/>
                <w:szCs w:val="16"/>
                <w:color w:val="auto"/>
              </w:rPr>
            </w:pPr>
          </w:p>
        </w:tc>
        <w:tc>
          <w:tcPr>
            <w:tcW w:w="8160" w:type="dxa"/>
            <w:vAlign w:val="bottom"/>
          </w:tcPr>
          <w:p>
            <w:pPr>
              <w:ind w:left="180"/>
              <w:spacing w:after="0" w:line="186" w:lineRule="exact"/>
              <w:rPr>
                <w:sz w:val="20"/>
                <w:szCs w:val="20"/>
                <w:color w:val="auto"/>
              </w:rPr>
            </w:pPr>
            <w:r>
              <w:rPr>
                <w:rFonts w:ascii="Arial" w:cs="Arial" w:eastAsia="Arial" w:hAnsi="Arial"/>
                <w:sz w:val="18"/>
                <w:szCs w:val="18"/>
                <w:color w:val="231F20"/>
              </w:rPr>
              <w:t>Unit Award Terms and Conditions (filed as Exhibit 10.37 to Registrant’s Annual Report on Form</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10-K filed on March 3, 2025 and incorporated herein by reference).</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10.44</w:t>
            </w:r>
          </w:p>
        </w:tc>
        <w:tc>
          <w:tcPr>
            <w:tcW w:w="8160" w:type="dxa"/>
            <w:vAlign w:val="bottom"/>
          </w:tcPr>
          <w:p>
            <w:pPr>
              <w:ind w:left="180"/>
              <w:spacing w:after="0"/>
              <w:rPr>
                <w:sz w:val="20"/>
                <w:szCs w:val="20"/>
                <w:color w:val="auto"/>
              </w:rPr>
            </w:pPr>
            <w:r>
              <w:rPr>
                <w:rFonts w:ascii="Arial" w:cs="Arial" w:eastAsia="Arial" w:hAnsi="Arial"/>
                <w:sz w:val="18"/>
                <w:szCs w:val="18"/>
                <w:color w:val="231F20"/>
              </w:rPr>
              <w:t>Form of California Resources Corporation 2021 Long Term Incentive Plan Restricted Stock Unit</w:t>
            </w:r>
          </w:p>
        </w:tc>
      </w:tr>
      <w:tr>
        <w:trPr>
          <w:trHeight w:val="186"/>
        </w:trPr>
        <w:tc>
          <w:tcPr>
            <w:tcW w:w="960" w:type="dxa"/>
            <w:vAlign w:val="bottom"/>
          </w:tcPr>
          <w:p>
            <w:pPr>
              <w:spacing w:after="0"/>
              <w:rPr>
                <w:sz w:val="16"/>
                <w:szCs w:val="16"/>
                <w:color w:val="auto"/>
              </w:rPr>
            </w:pPr>
          </w:p>
        </w:tc>
        <w:tc>
          <w:tcPr>
            <w:tcW w:w="8160" w:type="dxa"/>
            <w:vAlign w:val="bottom"/>
          </w:tcPr>
          <w:p>
            <w:pPr>
              <w:ind w:left="180"/>
              <w:spacing w:after="0" w:line="186" w:lineRule="exact"/>
              <w:rPr>
                <w:sz w:val="20"/>
                <w:szCs w:val="20"/>
                <w:color w:val="auto"/>
              </w:rPr>
            </w:pPr>
            <w:r>
              <w:rPr>
                <w:rFonts w:ascii="Arial" w:cs="Arial" w:eastAsia="Arial" w:hAnsi="Arial"/>
                <w:sz w:val="18"/>
                <w:szCs w:val="18"/>
                <w:color w:val="231F20"/>
              </w:rPr>
              <w:t>Award Terms and Conditions (Retention Award) (filed as Exhibit 10.5 to Registrant’s Quarterly</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Report on Form 10-Q filed on November 5, 2025 and incorporated herein by reference).</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19.1</w:t>
            </w:r>
          </w:p>
        </w:tc>
        <w:tc>
          <w:tcPr>
            <w:tcW w:w="8160" w:type="dxa"/>
            <w:vAlign w:val="bottom"/>
          </w:tcPr>
          <w:p>
            <w:pPr>
              <w:ind w:left="180"/>
              <w:spacing w:after="0"/>
              <w:rPr>
                <w:sz w:val="20"/>
                <w:szCs w:val="20"/>
                <w:color w:val="auto"/>
              </w:rPr>
            </w:pPr>
            <w:r>
              <w:rPr>
                <w:rFonts w:ascii="Arial" w:cs="Arial" w:eastAsia="Arial" w:hAnsi="Arial"/>
                <w:sz w:val="18"/>
                <w:szCs w:val="18"/>
                <w:color w:val="231F20"/>
              </w:rPr>
              <w:t>Insider Trading Policy (filed as Exhibit 99.2 to Registrant’s Annual Report on Form 10-K filed on</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March 3, 2025 and incorporated herein by reference.</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19.2</w:t>
            </w:r>
          </w:p>
        </w:tc>
        <w:tc>
          <w:tcPr>
            <w:tcW w:w="8160" w:type="dxa"/>
            <w:vAlign w:val="bottom"/>
          </w:tcPr>
          <w:p>
            <w:pPr>
              <w:ind w:left="180"/>
              <w:spacing w:after="0"/>
              <w:rPr>
                <w:sz w:val="20"/>
                <w:szCs w:val="20"/>
                <w:color w:val="auto"/>
              </w:rPr>
            </w:pPr>
            <w:r>
              <w:rPr>
                <w:rFonts w:ascii="Arial" w:cs="Arial" w:eastAsia="Arial" w:hAnsi="Arial"/>
                <w:sz w:val="18"/>
                <w:szCs w:val="18"/>
                <w:color w:val="231F20"/>
              </w:rPr>
              <w:t>Business Ethics and Conduct Policies (filed as Exhibit 99.3 to Registrant’s Annual Report on Form</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10-K filed on March 3, 2025 and incorporated herein by reference).</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21*</w:t>
            </w:r>
          </w:p>
        </w:tc>
        <w:tc>
          <w:tcPr>
            <w:tcW w:w="8160" w:type="dxa"/>
            <w:vAlign w:val="bottom"/>
          </w:tcPr>
          <w:p>
            <w:pPr>
              <w:ind w:left="180"/>
              <w:spacing w:after="0"/>
              <w:rPr>
                <w:sz w:val="20"/>
                <w:szCs w:val="20"/>
                <w:color w:val="auto"/>
              </w:rPr>
            </w:pPr>
            <w:r>
              <w:rPr>
                <w:rFonts w:ascii="Arial" w:cs="Arial" w:eastAsia="Arial" w:hAnsi="Arial"/>
                <w:sz w:val="18"/>
                <w:szCs w:val="18"/>
                <w:color w:val="231F20"/>
              </w:rPr>
              <w:t>List of Subsidiaries of California Resources Corporation.</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23.1*</w:t>
            </w:r>
          </w:p>
        </w:tc>
        <w:tc>
          <w:tcPr>
            <w:tcW w:w="8160" w:type="dxa"/>
            <w:vAlign w:val="bottom"/>
          </w:tcPr>
          <w:p>
            <w:pPr>
              <w:ind w:left="180"/>
              <w:spacing w:after="0"/>
              <w:rPr>
                <w:sz w:val="20"/>
                <w:szCs w:val="20"/>
                <w:color w:val="auto"/>
              </w:rPr>
            </w:pPr>
            <w:r>
              <w:rPr>
                <w:rFonts w:ascii="Arial" w:cs="Arial" w:eastAsia="Arial" w:hAnsi="Arial"/>
                <w:sz w:val="18"/>
                <w:szCs w:val="18"/>
                <w:color w:val="231F20"/>
              </w:rPr>
              <w:t>Consent of Independent Registered Public Accounting Firm.</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23.2*</w:t>
            </w:r>
          </w:p>
        </w:tc>
        <w:tc>
          <w:tcPr>
            <w:tcW w:w="8160" w:type="dxa"/>
            <w:vAlign w:val="bottom"/>
          </w:tcPr>
          <w:p>
            <w:pPr>
              <w:ind w:left="180"/>
              <w:spacing w:after="0"/>
              <w:rPr>
                <w:sz w:val="20"/>
                <w:szCs w:val="20"/>
                <w:color w:val="auto"/>
              </w:rPr>
            </w:pPr>
            <w:r>
              <w:rPr>
                <w:rFonts w:ascii="Arial" w:cs="Arial" w:eastAsia="Arial" w:hAnsi="Arial"/>
                <w:sz w:val="18"/>
                <w:szCs w:val="18"/>
                <w:color w:val="231F20"/>
              </w:rPr>
              <w:t>Consent of Independent Petroleum Engineers, Netherland, Sewell &amp; Associates, Inc.</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23.3*</w:t>
            </w:r>
          </w:p>
        </w:tc>
        <w:tc>
          <w:tcPr>
            <w:tcW w:w="8160" w:type="dxa"/>
            <w:vAlign w:val="bottom"/>
          </w:tcPr>
          <w:p>
            <w:pPr>
              <w:ind w:left="180"/>
              <w:spacing w:after="0"/>
              <w:rPr>
                <w:sz w:val="20"/>
                <w:szCs w:val="20"/>
                <w:color w:val="auto"/>
              </w:rPr>
            </w:pPr>
            <w:r>
              <w:rPr>
                <w:rFonts w:ascii="Arial" w:cs="Arial" w:eastAsia="Arial" w:hAnsi="Arial"/>
                <w:sz w:val="18"/>
                <w:szCs w:val="18"/>
                <w:color w:val="231F20"/>
              </w:rPr>
              <w:t>Consent of Independent Petroleum Engineers, DeGolyer and MacNaughton.</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31.1*</w:t>
            </w:r>
          </w:p>
        </w:tc>
        <w:tc>
          <w:tcPr>
            <w:tcW w:w="8160" w:type="dxa"/>
            <w:vAlign w:val="bottom"/>
          </w:tcPr>
          <w:p>
            <w:pPr>
              <w:ind w:left="180"/>
              <w:spacing w:after="0"/>
              <w:rPr>
                <w:sz w:val="20"/>
                <w:szCs w:val="20"/>
                <w:color w:val="auto"/>
              </w:rPr>
            </w:pPr>
            <w:r>
              <w:rPr>
                <w:rFonts w:ascii="Arial" w:cs="Arial" w:eastAsia="Arial" w:hAnsi="Arial"/>
                <w:sz w:val="18"/>
                <w:szCs w:val="18"/>
                <w:color w:val="231F20"/>
              </w:rPr>
              <w:t>Certification of Chief Executive Officer pursuant to Section 302 of the Sarbanes-Oxley Act of 2002.</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31.2*</w:t>
            </w:r>
          </w:p>
        </w:tc>
        <w:tc>
          <w:tcPr>
            <w:tcW w:w="8160" w:type="dxa"/>
            <w:vAlign w:val="bottom"/>
          </w:tcPr>
          <w:p>
            <w:pPr>
              <w:ind w:left="180"/>
              <w:spacing w:after="0"/>
              <w:rPr>
                <w:sz w:val="20"/>
                <w:szCs w:val="20"/>
                <w:color w:val="auto"/>
              </w:rPr>
            </w:pPr>
            <w:r>
              <w:rPr>
                <w:rFonts w:ascii="Arial" w:cs="Arial" w:eastAsia="Arial" w:hAnsi="Arial"/>
                <w:sz w:val="18"/>
                <w:szCs w:val="18"/>
                <w:color w:val="231F20"/>
              </w:rPr>
              <w:t>Certification of Chief Financial Officer pursuant to Section 302 of the Sarbanes-Oxley Act of 2002.</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32.1*</w:t>
            </w:r>
          </w:p>
        </w:tc>
        <w:tc>
          <w:tcPr>
            <w:tcW w:w="8160" w:type="dxa"/>
            <w:vAlign w:val="bottom"/>
          </w:tcPr>
          <w:p>
            <w:pPr>
              <w:ind w:left="180"/>
              <w:spacing w:after="0"/>
              <w:rPr>
                <w:sz w:val="20"/>
                <w:szCs w:val="20"/>
                <w:color w:val="auto"/>
              </w:rPr>
            </w:pPr>
            <w:r>
              <w:rPr>
                <w:rFonts w:ascii="Arial" w:cs="Arial" w:eastAsia="Arial" w:hAnsi="Arial"/>
                <w:sz w:val="18"/>
                <w:szCs w:val="18"/>
                <w:color w:val="231F20"/>
              </w:rPr>
              <w:t>Certifications of Chief Executive Officer and Chief Financial Officer pursuant to Section 906 of the</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Sarbanes-Oxley Act of 2002.</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97.1</w:t>
            </w:r>
          </w:p>
        </w:tc>
        <w:tc>
          <w:tcPr>
            <w:tcW w:w="8160" w:type="dxa"/>
            <w:vAlign w:val="bottom"/>
          </w:tcPr>
          <w:p>
            <w:pPr>
              <w:ind w:left="180"/>
              <w:spacing w:after="0"/>
              <w:rPr>
                <w:sz w:val="20"/>
                <w:szCs w:val="20"/>
                <w:color w:val="auto"/>
              </w:rPr>
            </w:pPr>
            <w:r>
              <w:rPr>
                <w:rFonts w:ascii="Arial" w:cs="Arial" w:eastAsia="Arial" w:hAnsi="Arial"/>
                <w:sz w:val="18"/>
                <w:szCs w:val="18"/>
                <w:color w:val="231F20"/>
              </w:rPr>
              <w:t>California Resources Corporation Incentive-Based Compensation Recoupment Policy. (filed as</w:t>
            </w:r>
          </w:p>
        </w:tc>
      </w:tr>
      <w:tr>
        <w:trPr>
          <w:trHeight w:val="186"/>
        </w:trPr>
        <w:tc>
          <w:tcPr>
            <w:tcW w:w="960" w:type="dxa"/>
            <w:vAlign w:val="bottom"/>
          </w:tcPr>
          <w:p>
            <w:pPr>
              <w:spacing w:after="0"/>
              <w:rPr>
                <w:sz w:val="16"/>
                <w:szCs w:val="16"/>
                <w:color w:val="auto"/>
              </w:rPr>
            </w:pPr>
          </w:p>
        </w:tc>
        <w:tc>
          <w:tcPr>
            <w:tcW w:w="8160" w:type="dxa"/>
            <w:vAlign w:val="bottom"/>
          </w:tcPr>
          <w:p>
            <w:pPr>
              <w:ind w:left="180"/>
              <w:spacing w:after="0" w:line="186" w:lineRule="exact"/>
              <w:rPr>
                <w:sz w:val="20"/>
                <w:szCs w:val="20"/>
                <w:color w:val="auto"/>
              </w:rPr>
            </w:pPr>
            <w:r>
              <w:rPr>
                <w:rFonts w:ascii="Arial" w:cs="Arial" w:eastAsia="Arial" w:hAnsi="Arial"/>
                <w:sz w:val="18"/>
                <w:szCs w:val="18"/>
                <w:color w:val="231F20"/>
              </w:rPr>
              <w:t>Exhibit 97.1 to Registrant’s Annual Report on Form 10-K filed on February 28, 2024 and</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incorporated herein by reference).</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99.1*</w:t>
            </w:r>
          </w:p>
        </w:tc>
        <w:tc>
          <w:tcPr>
            <w:tcW w:w="8160" w:type="dxa"/>
            <w:vAlign w:val="bottom"/>
          </w:tcPr>
          <w:p>
            <w:pPr>
              <w:ind w:left="180"/>
              <w:spacing w:after="0"/>
              <w:rPr>
                <w:sz w:val="20"/>
                <w:szCs w:val="20"/>
                <w:color w:val="auto"/>
              </w:rPr>
            </w:pPr>
            <w:r>
              <w:rPr>
                <w:rFonts w:ascii="Arial" w:cs="Arial" w:eastAsia="Arial" w:hAnsi="Arial"/>
                <w:sz w:val="18"/>
                <w:szCs w:val="18"/>
                <w:color w:val="231F20"/>
              </w:rPr>
              <w:t>Netherland, Sewell &amp; Associates, Inc. Estimated Future Reserves Attributable to Certain Leasehold</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and Royalty Interests as of December 31, 2025.</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99.2*</w:t>
            </w:r>
          </w:p>
        </w:tc>
        <w:tc>
          <w:tcPr>
            <w:tcW w:w="8160" w:type="dxa"/>
            <w:vAlign w:val="bottom"/>
          </w:tcPr>
          <w:p>
            <w:pPr>
              <w:ind w:left="180"/>
              <w:spacing w:after="0"/>
              <w:rPr>
                <w:sz w:val="20"/>
                <w:szCs w:val="20"/>
                <w:color w:val="auto"/>
              </w:rPr>
            </w:pPr>
            <w:r>
              <w:rPr>
                <w:rFonts w:ascii="Arial" w:cs="Arial" w:eastAsia="Arial" w:hAnsi="Arial"/>
                <w:sz w:val="18"/>
                <w:szCs w:val="18"/>
                <w:color w:val="231F20"/>
              </w:rPr>
              <w:t>DeGolyer and MacNaughton Estimated Future Reserves Attributable to Certain Leasehold and</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Royalty Interests as of December 31, 2025.</w:t>
            </w: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231F20"/>
              </w:rPr>
              <w:t>99.3*</w:t>
            </w:r>
          </w:p>
        </w:tc>
        <w:tc>
          <w:tcPr>
            <w:tcW w:w="8160" w:type="dxa"/>
            <w:vAlign w:val="bottom"/>
          </w:tcPr>
          <w:p>
            <w:pPr>
              <w:ind w:left="180"/>
              <w:spacing w:after="0"/>
              <w:rPr>
                <w:sz w:val="20"/>
                <w:szCs w:val="20"/>
                <w:color w:val="auto"/>
              </w:rPr>
            </w:pPr>
            <w:r>
              <w:rPr>
                <w:rFonts w:ascii="Arial" w:cs="Arial" w:eastAsia="Arial" w:hAnsi="Arial"/>
                <w:sz w:val="18"/>
                <w:szCs w:val="18"/>
                <w:color w:val="231F20"/>
              </w:rPr>
              <w:t>Unaudited pro forma condensed combined financial statements of California Resources</w:t>
            </w:r>
          </w:p>
        </w:tc>
      </w:tr>
      <w:tr>
        <w:trPr>
          <w:trHeight w:val="201"/>
        </w:trPr>
        <w:tc>
          <w:tcPr>
            <w:tcW w:w="960" w:type="dxa"/>
            <w:vAlign w:val="bottom"/>
          </w:tcPr>
          <w:p>
            <w:pPr>
              <w:spacing w:after="0"/>
              <w:rPr>
                <w:sz w:val="17"/>
                <w:szCs w:val="17"/>
                <w:color w:val="auto"/>
              </w:rPr>
            </w:pPr>
          </w:p>
        </w:tc>
        <w:tc>
          <w:tcPr>
            <w:tcW w:w="8160" w:type="dxa"/>
            <w:vAlign w:val="bottom"/>
          </w:tcPr>
          <w:p>
            <w:pPr>
              <w:ind w:left="180"/>
              <w:spacing w:after="0" w:line="201" w:lineRule="exact"/>
              <w:rPr>
                <w:sz w:val="20"/>
                <w:szCs w:val="20"/>
                <w:color w:val="auto"/>
              </w:rPr>
            </w:pPr>
            <w:r>
              <w:rPr>
                <w:rFonts w:ascii="Arial" w:cs="Arial" w:eastAsia="Arial" w:hAnsi="Arial"/>
                <w:sz w:val="18"/>
                <w:szCs w:val="18"/>
                <w:color w:val="231F20"/>
              </w:rPr>
              <w:t>Corporation.</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101.INS*</w:t>
            </w:r>
          </w:p>
        </w:tc>
        <w:tc>
          <w:tcPr>
            <w:tcW w:w="8160" w:type="dxa"/>
            <w:vAlign w:val="bottom"/>
          </w:tcPr>
          <w:p>
            <w:pPr>
              <w:ind w:left="180"/>
              <w:spacing w:after="0"/>
              <w:rPr>
                <w:sz w:val="20"/>
                <w:szCs w:val="20"/>
                <w:color w:val="auto"/>
              </w:rPr>
            </w:pPr>
            <w:r>
              <w:rPr>
                <w:rFonts w:ascii="Arial" w:cs="Arial" w:eastAsia="Arial" w:hAnsi="Arial"/>
                <w:sz w:val="18"/>
                <w:szCs w:val="18"/>
                <w:color w:val="231F20"/>
              </w:rPr>
              <w:t>Inline XBRL Instance Document.</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101.SCH*</w:t>
            </w:r>
          </w:p>
        </w:tc>
        <w:tc>
          <w:tcPr>
            <w:tcW w:w="8160" w:type="dxa"/>
            <w:vAlign w:val="bottom"/>
          </w:tcPr>
          <w:p>
            <w:pPr>
              <w:ind w:left="180"/>
              <w:spacing w:after="0"/>
              <w:rPr>
                <w:sz w:val="20"/>
                <w:szCs w:val="20"/>
                <w:color w:val="auto"/>
              </w:rPr>
            </w:pPr>
            <w:r>
              <w:rPr>
                <w:rFonts w:ascii="Arial" w:cs="Arial" w:eastAsia="Arial" w:hAnsi="Arial"/>
                <w:sz w:val="18"/>
                <w:szCs w:val="18"/>
                <w:color w:val="231F20"/>
              </w:rPr>
              <w:t>Inline XBRL Taxonomy Extension Schema Document.</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101.CAL*</w:t>
            </w:r>
          </w:p>
        </w:tc>
        <w:tc>
          <w:tcPr>
            <w:tcW w:w="8160" w:type="dxa"/>
            <w:vAlign w:val="bottom"/>
          </w:tcPr>
          <w:p>
            <w:pPr>
              <w:ind w:left="180"/>
              <w:spacing w:after="0"/>
              <w:rPr>
                <w:sz w:val="20"/>
                <w:szCs w:val="20"/>
                <w:color w:val="auto"/>
              </w:rPr>
            </w:pPr>
            <w:r>
              <w:rPr>
                <w:rFonts w:ascii="Arial" w:cs="Arial" w:eastAsia="Arial" w:hAnsi="Arial"/>
                <w:sz w:val="18"/>
                <w:szCs w:val="18"/>
                <w:color w:val="231F20"/>
              </w:rPr>
              <w:t>Inline XBRL Taxonomy Extension Calculation Linkbase Document.</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101.LAB*</w:t>
            </w:r>
          </w:p>
        </w:tc>
        <w:tc>
          <w:tcPr>
            <w:tcW w:w="8160" w:type="dxa"/>
            <w:vAlign w:val="bottom"/>
          </w:tcPr>
          <w:p>
            <w:pPr>
              <w:ind w:left="180"/>
              <w:spacing w:after="0"/>
              <w:rPr>
                <w:sz w:val="20"/>
                <w:szCs w:val="20"/>
                <w:color w:val="auto"/>
              </w:rPr>
            </w:pPr>
            <w:r>
              <w:rPr>
                <w:rFonts w:ascii="Arial" w:cs="Arial" w:eastAsia="Arial" w:hAnsi="Arial"/>
                <w:sz w:val="18"/>
                <w:szCs w:val="18"/>
                <w:color w:val="231F20"/>
              </w:rPr>
              <w:t>Inline XBRL Taxonomy Extension Label Linkbase Document.</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101.PRE*</w:t>
            </w:r>
          </w:p>
        </w:tc>
        <w:tc>
          <w:tcPr>
            <w:tcW w:w="8160" w:type="dxa"/>
            <w:vAlign w:val="bottom"/>
          </w:tcPr>
          <w:p>
            <w:pPr>
              <w:ind w:left="180"/>
              <w:spacing w:after="0"/>
              <w:rPr>
                <w:sz w:val="20"/>
                <w:szCs w:val="20"/>
                <w:color w:val="auto"/>
              </w:rPr>
            </w:pPr>
            <w:r>
              <w:rPr>
                <w:rFonts w:ascii="Arial" w:cs="Arial" w:eastAsia="Arial" w:hAnsi="Arial"/>
                <w:sz w:val="18"/>
                <w:szCs w:val="18"/>
                <w:color w:val="231F20"/>
              </w:rPr>
              <w:t>Inline XBRL Taxonomy Extension Presentation Linkbase Document.</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101.DEF*</w:t>
            </w:r>
          </w:p>
        </w:tc>
        <w:tc>
          <w:tcPr>
            <w:tcW w:w="8160" w:type="dxa"/>
            <w:vAlign w:val="bottom"/>
          </w:tcPr>
          <w:p>
            <w:pPr>
              <w:ind w:left="180"/>
              <w:spacing w:after="0"/>
              <w:rPr>
                <w:sz w:val="20"/>
                <w:szCs w:val="20"/>
                <w:color w:val="auto"/>
              </w:rPr>
            </w:pPr>
            <w:r>
              <w:rPr>
                <w:rFonts w:ascii="Arial" w:cs="Arial" w:eastAsia="Arial" w:hAnsi="Arial"/>
                <w:sz w:val="18"/>
                <w:szCs w:val="18"/>
                <w:color w:val="231F20"/>
              </w:rPr>
              <w:t>Inline XBRL Taxonomy Extension Definition Linkbase Document.</w:t>
            </w:r>
          </w:p>
        </w:tc>
      </w:tr>
      <w:tr>
        <w:trPr>
          <w:trHeight w:val="246"/>
        </w:trPr>
        <w:tc>
          <w:tcPr>
            <w:tcW w:w="960" w:type="dxa"/>
            <w:vAlign w:val="bottom"/>
          </w:tcPr>
          <w:p>
            <w:pPr>
              <w:spacing w:after="0"/>
              <w:rPr>
                <w:sz w:val="20"/>
                <w:szCs w:val="20"/>
                <w:color w:val="auto"/>
              </w:rPr>
            </w:pPr>
            <w:r>
              <w:rPr>
                <w:rFonts w:ascii="Arial" w:cs="Arial" w:eastAsia="Arial" w:hAnsi="Arial"/>
                <w:sz w:val="18"/>
                <w:szCs w:val="18"/>
                <w:color w:val="231F20"/>
              </w:rPr>
              <w:t>104</w:t>
            </w:r>
          </w:p>
        </w:tc>
        <w:tc>
          <w:tcPr>
            <w:tcW w:w="8160" w:type="dxa"/>
            <w:vAlign w:val="bottom"/>
          </w:tcPr>
          <w:p>
            <w:pPr>
              <w:ind w:left="180"/>
              <w:spacing w:after="0"/>
              <w:rPr>
                <w:sz w:val="20"/>
                <w:szCs w:val="20"/>
                <w:color w:val="auto"/>
              </w:rPr>
            </w:pPr>
            <w:r>
              <w:rPr>
                <w:rFonts w:ascii="Arial" w:cs="Arial" w:eastAsia="Arial" w:hAnsi="Arial"/>
                <w:sz w:val="18"/>
                <w:szCs w:val="18"/>
                <w:color w:val="231F20"/>
              </w:rPr>
              <w:t>Cover Page Interactive Data File (formatted in inline XBRL and contained in Exhibits 101).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231F20"/>
        </w:rPr>
        <w:t>* Filed herewith.</w:t>
      </w:r>
    </w:p>
    <w:p>
      <w:pPr>
        <w:spacing w:after="0" w:line="19" w:lineRule="exact"/>
        <w:rPr>
          <w:sz w:val="20"/>
          <w:szCs w:val="20"/>
          <w:color w:val="auto"/>
        </w:rPr>
      </w:pPr>
    </w:p>
    <w:p>
      <w:pPr>
        <w:ind w:right="880"/>
        <w:spacing w:after="0" w:line="248" w:lineRule="auto"/>
        <w:rPr>
          <w:sz w:val="20"/>
          <w:szCs w:val="20"/>
          <w:color w:val="auto"/>
        </w:rPr>
      </w:pPr>
      <w:r>
        <w:rPr>
          <w:rFonts w:ascii="Arial" w:cs="Arial" w:eastAsia="Arial" w:hAnsi="Arial"/>
          <w:sz w:val="18"/>
          <w:szCs w:val="18"/>
          <w:color w:val="231F20"/>
        </w:rPr>
        <w:t>**Certain portions of this exhibit (indicated by “[*****]”) have been omitted pursuant to Item 601(b)(10) of Regulation S-K</w:t>
      </w:r>
    </w:p>
    <w:p>
      <w:pPr>
        <w:spacing w:after="0" w:line="1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231F20"/>
        </w:rPr>
        <w:t>***This filing excludes certain schedules and exhibits pursuant to Item 601(a)(5) of Regulation S-K, which the registrant agrees to furnish supplementally to the SEC upon request by the SEC; provided, however, that the registrant may request confidential treatment pursuant to Rule 24b-2 of the Securities Exchange Act of 1934, as amended, for any schedules or exhibits so furnished</w:t>
      </w:r>
    </w:p>
    <w:p>
      <w:pPr>
        <w:sectPr>
          <w:pgSz w:w="11880" w:h="15480" w:orient="portrait"/>
          <w:cols w:equalWidth="0" w:num="1">
            <w:col w:w="9120"/>
          </w:cols>
          <w:pgMar w:left="1380" w:top="1248" w:right="1380" w:bottom="66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164</w:t>
      </w:r>
    </w:p>
    <w:p>
      <w:pPr>
        <w:sectPr>
          <w:pgSz w:w="11880" w:h="15480" w:orient="portrait"/>
          <w:cols w:equalWidth="0" w:num="1">
            <w:col w:w="9120"/>
          </w:cols>
          <w:pgMar w:left="1380" w:top="1248" w:right="1380" w:bottom="660" w:gutter="0" w:footer="0" w:header="0"/>
          <w:type w:val="continuous"/>
        </w:sectPr>
      </w:pPr>
    </w:p>
    <w:bookmarkStart w:id="168" w:name="page169"/>
    <w:bookmarkEnd w:id="168"/>
    <w:p>
      <w:pPr>
        <w:spacing w:after="0"/>
        <w:rPr>
          <w:sz w:val="20"/>
          <w:szCs w:val="20"/>
          <w:color w:val="auto"/>
        </w:rPr>
      </w:pPr>
      <w:r>
        <w:rPr>
          <w:rFonts w:ascii="Arial" w:cs="Arial" w:eastAsia="Arial" w:hAnsi="Arial"/>
          <w:sz w:val="20"/>
          <w:szCs w:val="20"/>
          <w:b w:val="1"/>
          <w:bCs w:val="1"/>
          <w:color w:val="231F20"/>
        </w:rPr>
        <w:t>SIGNATURES</w:t>
      </w:r>
    </w:p>
    <w:p>
      <w:pPr>
        <w:spacing w:after="0" w:line="215" w:lineRule="exact"/>
        <w:rPr>
          <w:sz w:val="20"/>
          <w:szCs w:val="20"/>
          <w:color w:val="auto"/>
        </w:rPr>
      </w:pPr>
    </w:p>
    <w:p>
      <w:pPr>
        <w:ind w:right="100" w:firstLine="270"/>
        <w:spacing w:after="0" w:line="248" w:lineRule="auto"/>
        <w:rPr>
          <w:sz w:val="20"/>
          <w:szCs w:val="20"/>
          <w:color w:val="auto"/>
        </w:rPr>
      </w:pPr>
      <w:r>
        <w:rPr>
          <w:rFonts w:ascii="Arial" w:cs="Arial" w:eastAsia="Arial" w:hAnsi="Arial"/>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6160" w:type="dxa"/>
            <w:vAlign w:val="bottom"/>
            <w:gridSpan w:val="2"/>
          </w:tcPr>
          <w:p>
            <w:pPr>
              <w:ind w:left="1660"/>
              <w:spacing w:after="0"/>
              <w:rPr>
                <w:sz w:val="20"/>
                <w:szCs w:val="20"/>
                <w:color w:val="auto"/>
              </w:rPr>
            </w:pPr>
            <w:r>
              <w:rPr>
                <w:rFonts w:ascii="Arial" w:cs="Arial" w:eastAsia="Arial" w:hAnsi="Arial"/>
                <w:sz w:val="18"/>
                <w:szCs w:val="18"/>
                <w:color w:val="231F20"/>
              </w:rPr>
              <w:t>CALIFORNIA RESOURCES CORPORATION</w:t>
            </w:r>
          </w:p>
        </w:tc>
        <w:tc>
          <w:tcPr>
            <w:tcW w:w="0" w:type="dxa"/>
            <w:vAlign w:val="bottom"/>
          </w:tcPr>
          <w:p>
            <w:pPr>
              <w:spacing w:after="0"/>
              <w:rPr>
                <w:sz w:val="1"/>
                <w:szCs w:val="1"/>
                <w:color w:val="auto"/>
              </w:rPr>
            </w:pPr>
          </w:p>
        </w:tc>
      </w:tr>
      <w:tr>
        <w:trPr>
          <w:trHeight w:val="400"/>
        </w:trPr>
        <w:tc>
          <w:tcPr>
            <w:tcW w:w="2960" w:type="dxa"/>
            <w:vAlign w:val="bottom"/>
            <w:vMerge w:val="restart"/>
          </w:tcPr>
          <w:p>
            <w:pPr>
              <w:spacing w:after="0"/>
              <w:rPr>
                <w:sz w:val="20"/>
                <w:szCs w:val="20"/>
                <w:color w:val="auto"/>
              </w:rPr>
            </w:pPr>
            <w:r>
              <w:rPr>
                <w:rFonts w:ascii="Arial" w:cs="Arial" w:eastAsia="Arial" w:hAnsi="Arial"/>
                <w:sz w:val="20"/>
                <w:szCs w:val="20"/>
                <w:color w:val="231F20"/>
              </w:rPr>
              <w:t>March 2, 2026</w:t>
            </w:r>
          </w:p>
        </w:tc>
        <w:tc>
          <w:tcPr>
            <w:tcW w:w="2020" w:type="dxa"/>
            <w:vAlign w:val="bottom"/>
            <w:vMerge w:val="restart"/>
          </w:tcPr>
          <w:p>
            <w:pPr>
              <w:ind w:left="1660"/>
              <w:spacing w:after="0"/>
              <w:rPr>
                <w:sz w:val="20"/>
                <w:szCs w:val="20"/>
                <w:color w:val="auto"/>
              </w:rPr>
            </w:pPr>
            <w:r>
              <w:rPr>
                <w:rFonts w:ascii="Arial" w:cs="Arial" w:eastAsia="Arial" w:hAnsi="Arial"/>
                <w:sz w:val="20"/>
                <w:szCs w:val="20"/>
                <w:color w:val="231F20"/>
              </w:rPr>
              <w:t>By:</w:t>
            </w:r>
          </w:p>
        </w:tc>
        <w:tc>
          <w:tcPr>
            <w:tcW w:w="4140" w:type="dxa"/>
            <w:vAlign w:val="bottom"/>
          </w:tcPr>
          <w:p>
            <w:pPr>
              <w:ind w:left="1240"/>
              <w:spacing w:after="0"/>
              <w:rPr>
                <w:sz w:val="20"/>
                <w:szCs w:val="20"/>
                <w:color w:val="auto"/>
              </w:rPr>
            </w:pPr>
            <w:r>
              <w:rPr>
                <w:rFonts w:ascii="Arial" w:cs="Arial" w:eastAsia="Arial" w:hAnsi="Arial"/>
                <w:sz w:val="18"/>
                <w:szCs w:val="18"/>
                <w:color w:val="231F20"/>
              </w:rPr>
              <w:t>/s/ Francisco J. Leon</w:t>
            </w:r>
          </w:p>
        </w:tc>
        <w:tc>
          <w:tcPr>
            <w:tcW w:w="0" w:type="dxa"/>
            <w:vAlign w:val="bottom"/>
          </w:tcPr>
          <w:p>
            <w:pPr>
              <w:spacing w:after="0"/>
              <w:rPr>
                <w:sz w:val="1"/>
                <w:szCs w:val="1"/>
                <w:color w:val="auto"/>
              </w:rPr>
            </w:pPr>
          </w:p>
        </w:tc>
      </w:tr>
      <w:tr>
        <w:trPr>
          <w:trHeight w:val="39"/>
        </w:trPr>
        <w:tc>
          <w:tcPr>
            <w:tcW w:w="2960" w:type="dxa"/>
            <w:vAlign w:val="bottom"/>
            <w:vMerge w:val="continue"/>
          </w:tcPr>
          <w:p>
            <w:pPr>
              <w:spacing w:after="0"/>
              <w:rPr>
                <w:sz w:val="3"/>
                <w:szCs w:val="3"/>
                <w:color w:val="auto"/>
              </w:rPr>
            </w:pPr>
          </w:p>
        </w:tc>
        <w:tc>
          <w:tcPr>
            <w:tcW w:w="2020" w:type="dxa"/>
            <w:vAlign w:val="bottom"/>
            <w:vMerge w:val="continue"/>
          </w:tcPr>
          <w:p>
            <w:pPr>
              <w:spacing w:after="0"/>
              <w:rPr>
                <w:sz w:val="3"/>
                <w:szCs w:val="3"/>
                <w:color w:val="auto"/>
              </w:rPr>
            </w:pPr>
          </w:p>
        </w:tc>
        <w:tc>
          <w:tcPr>
            <w:tcW w:w="414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231F20"/>
        </w:rPr>
        <w:t>Francisco J. Leon</w:t>
      </w:r>
    </w:p>
    <w:p>
      <w:pPr>
        <w:spacing w:after="0" w:line="13"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231F20"/>
        </w:rPr>
        <w:t>President,</w:t>
      </w:r>
    </w:p>
    <w:p>
      <w:pPr>
        <w:spacing w:after="0" w:line="13"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231F20"/>
        </w:rPr>
        <w:t>Chief Executive Officer and Director</w:t>
      </w:r>
    </w:p>
    <w:p>
      <w:pPr>
        <w:spacing w:after="0" w:line="219" w:lineRule="exact"/>
        <w:rPr>
          <w:sz w:val="20"/>
          <w:szCs w:val="20"/>
          <w:color w:val="auto"/>
        </w:rPr>
      </w:pPr>
    </w:p>
    <w:p>
      <w:pPr>
        <w:ind w:right="40" w:firstLine="270"/>
        <w:spacing w:after="0" w:line="247" w:lineRule="auto"/>
        <w:rPr>
          <w:sz w:val="20"/>
          <w:szCs w:val="20"/>
          <w:color w:val="auto"/>
        </w:rPr>
      </w:pPr>
      <w:r>
        <w:rPr>
          <w:rFonts w:ascii="Arial" w:cs="Arial" w:eastAsia="Arial" w:hAnsi="Arial"/>
          <w:sz w:val="18"/>
          <w:szCs w:val="18"/>
          <w:color w:val="231F20"/>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p>
      <w:pPr>
        <w:ind w:left="5600"/>
        <w:spacing w:after="0"/>
        <w:tabs>
          <w:tab w:leader="none" w:pos="8080" w:val="left"/>
        </w:tabs>
        <w:rPr>
          <w:sz w:val="20"/>
          <w:szCs w:val="20"/>
          <w:color w:val="auto"/>
        </w:rPr>
      </w:pPr>
      <w:r>
        <w:rPr>
          <w:rFonts w:ascii="Arial" w:cs="Arial" w:eastAsia="Arial" w:hAnsi="Arial"/>
          <w:sz w:val="16"/>
          <w:szCs w:val="16"/>
          <w:b w:val="1"/>
          <w:bCs w:val="1"/>
          <w:color w:val="231F20"/>
        </w:rPr>
        <w:t>Title</w:t>
      </w:r>
      <w:r>
        <w:rPr>
          <w:sz w:val="20"/>
          <w:szCs w:val="20"/>
          <w:color w:val="auto"/>
        </w:rPr>
        <w:tab/>
      </w:r>
      <w:r>
        <w:rPr>
          <w:rFonts w:ascii="Arial" w:cs="Arial" w:eastAsia="Arial" w:hAnsi="Arial"/>
          <w:sz w:val="16"/>
          <w:szCs w:val="16"/>
          <w:b w:val="1"/>
          <w:bCs w:val="1"/>
          <w:color w:val="231F20"/>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3553460</wp:posOffset>
                </wp:positionH>
                <wp:positionV relativeFrom="paragraph">
                  <wp:posOffset>23495</wp:posOffset>
                </wp:positionV>
                <wp:extent cx="20828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28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8pt,1.85pt" to="296.2pt,1.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5147310</wp:posOffset>
                </wp:positionH>
                <wp:positionV relativeFrom="paragraph">
                  <wp:posOffset>23495</wp:posOffset>
                </wp:positionV>
                <wp:extent cx="22034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34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3pt,1.85pt" to="422.65pt,1.85pt" o:allowincell="f" strokecolor="#231F20" strokeweight="1pt"/>
            </w:pict>
          </mc:Fallback>
        </mc:AlternateContent>
      </w:r>
    </w:p>
    <w:p>
      <w:pPr>
        <w:sectPr>
          <w:pgSz w:w="11880" w:h="15480" w:orient="portrait"/>
          <w:cols w:equalWidth="0" w:num="1">
            <w:col w:w="9120"/>
          </w:cols>
          <w:pgMar w:left="1380" w:top="1310" w:right="1380" w:bottom="660" w:gutter="0" w:footer="0" w:header="0"/>
        </w:sectPr>
      </w:pPr>
    </w:p>
    <w:p>
      <w:pPr>
        <w:spacing w:after="0" w:line="29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Francisco J. Leon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Francisco J. Leon</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Clio Crespy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Clio Crespy</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Noelle M. Repetti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Noelle M. Repetti</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Tiffany (TJ) Thom Cepak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25908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204pt,0.9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Tiffany (TJ) Thom Cepak</w:t>
      </w:r>
    </w:p>
    <w:p>
      <w:pPr>
        <w:spacing w:after="0" w:line="13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Andrew B. Bremner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Andrew B. Bremner</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James N. Chapman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James N. Chapman</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James R. Jackson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James R. Jackson</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Christian S. Kendall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Christian S. Kendall</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Mark A. (Mac) McFarland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Mark A. (Mac) McFarland</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William B. Roby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William B. Roby</w:t>
      </w:r>
    </w:p>
    <w:p>
      <w:pPr>
        <w:spacing w:after="0" w:line="21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/s/ A. Alejandra Veltmann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12065</wp:posOffset>
                </wp:positionV>
                <wp:extent cx="25908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5pt" to="204pt,0.95pt" o:allowincell="f" strokecolor="#231F20" strokeweight="0.5pt"/>
            </w:pict>
          </mc:Fallback>
        </mc:AlternateContent>
      </w:r>
    </w:p>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231F20"/>
        </w:rPr>
        <w:t>A. Alejandra Veltmann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w w:val="98"/>
              </w:rPr>
              <w:t>President,</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280"/>
        </w:trPr>
        <w:tc>
          <w:tcPr>
            <w:tcW w:w="3160" w:type="dxa"/>
            <w:vAlign w:val="bottom"/>
          </w:tcPr>
          <w:p>
            <w:pPr>
              <w:jc w:val="center"/>
              <w:ind w:right="130"/>
              <w:spacing w:after="0"/>
              <w:rPr>
                <w:sz w:val="20"/>
                <w:szCs w:val="20"/>
                <w:color w:val="auto"/>
              </w:rPr>
            </w:pPr>
            <w:r>
              <w:rPr>
                <w:rFonts w:ascii="Arial" w:cs="Arial" w:eastAsia="Arial" w:hAnsi="Arial"/>
                <w:sz w:val="18"/>
                <w:szCs w:val="18"/>
                <w:color w:val="231F20"/>
                <w:w w:val="99"/>
              </w:rPr>
              <w:t>Chief Executive Officer and Director</w:t>
            </w:r>
          </w:p>
        </w:tc>
        <w:tc>
          <w:tcPr>
            <w:tcW w:w="1400" w:type="dxa"/>
            <w:vAlign w:val="bottom"/>
          </w:tcPr>
          <w:p>
            <w:pPr>
              <w:spacing w:after="0"/>
              <w:rPr>
                <w:sz w:val="24"/>
                <w:szCs w:val="24"/>
                <w:color w:val="auto"/>
              </w:rPr>
            </w:pPr>
          </w:p>
        </w:tc>
      </w:tr>
      <w:tr>
        <w:trPr>
          <w:trHeight w:val="420"/>
        </w:trPr>
        <w:tc>
          <w:tcPr>
            <w:tcW w:w="3160" w:type="dxa"/>
            <w:vAlign w:val="bottom"/>
          </w:tcPr>
          <w:p>
            <w:pPr>
              <w:jc w:val="center"/>
              <w:ind w:right="130"/>
              <w:spacing w:after="0"/>
              <w:rPr>
                <w:sz w:val="20"/>
                <w:szCs w:val="20"/>
                <w:color w:val="auto"/>
              </w:rPr>
            </w:pPr>
            <w:r>
              <w:rPr>
                <w:rFonts w:ascii="Arial" w:cs="Arial" w:eastAsia="Arial" w:hAnsi="Arial"/>
                <w:sz w:val="18"/>
                <w:szCs w:val="18"/>
                <w:color w:val="231F20"/>
                <w:w w:val="99"/>
              </w:rPr>
              <w:t>Executive Vice President and</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28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w w:val="99"/>
              </w:rPr>
              <w:t>Chief Financial Officer</w:t>
            </w:r>
          </w:p>
        </w:tc>
        <w:tc>
          <w:tcPr>
            <w:tcW w:w="1400" w:type="dxa"/>
            <w:vAlign w:val="bottom"/>
          </w:tcPr>
          <w:p>
            <w:pPr>
              <w:spacing w:after="0"/>
              <w:rPr>
                <w:sz w:val="24"/>
                <w:szCs w:val="24"/>
                <w:color w:val="auto"/>
              </w:rPr>
            </w:pPr>
          </w:p>
        </w:tc>
      </w:tr>
      <w:tr>
        <w:trPr>
          <w:trHeight w:val="42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rPr>
              <w:t>Senior Vice President and Controller</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22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w w:val="99"/>
              </w:rPr>
              <w:t>and Principal Accounting Officer</w:t>
            </w:r>
          </w:p>
        </w:tc>
        <w:tc>
          <w:tcPr>
            <w:tcW w:w="1400" w:type="dxa"/>
            <w:vAlign w:val="bottom"/>
          </w:tcPr>
          <w:p>
            <w:pPr>
              <w:spacing w:after="0"/>
              <w:rPr>
                <w:sz w:val="19"/>
                <w:szCs w:val="19"/>
                <w:color w:val="auto"/>
              </w:rPr>
            </w:pPr>
          </w:p>
        </w:tc>
      </w:tr>
      <w:tr>
        <w:trPr>
          <w:trHeight w:val="520"/>
        </w:trPr>
        <w:tc>
          <w:tcPr>
            <w:tcW w:w="3160" w:type="dxa"/>
            <w:vAlign w:val="bottom"/>
          </w:tcPr>
          <w:p>
            <w:pPr>
              <w:jc w:val="center"/>
              <w:ind w:right="130"/>
              <w:spacing w:after="0"/>
              <w:rPr>
                <w:sz w:val="20"/>
                <w:szCs w:val="20"/>
                <w:color w:val="auto"/>
              </w:rPr>
            </w:pPr>
            <w:r>
              <w:rPr>
                <w:rFonts w:ascii="Arial" w:cs="Arial" w:eastAsia="Arial" w:hAnsi="Arial"/>
                <w:sz w:val="18"/>
                <w:szCs w:val="18"/>
                <w:color w:val="231F20"/>
                <w:w w:val="99"/>
              </w:rPr>
              <w:t>Chair of the Board</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66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rPr>
              <w:t>Director</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66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rPr>
              <w:t>Director</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70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rPr>
              <w:t>Director</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70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rPr>
              <w:t>Director</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70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rPr>
              <w:t>Director</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70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rPr>
              <w:t>Director</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r>
        <w:trPr>
          <w:trHeight w:val="700"/>
        </w:trPr>
        <w:tc>
          <w:tcPr>
            <w:tcW w:w="3160" w:type="dxa"/>
            <w:vAlign w:val="bottom"/>
          </w:tcPr>
          <w:p>
            <w:pPr>
              <w:jc w:val="center"/>
              <w:ind w:right="150"/>
              <w:spacing w:after="0"/>
              <w:rPr>
                <w:sz w:val="20"/>
                <w:szCs w:val="20"/>
                <w:color w:val="auto"/>
              </w:rPr>
            </w:pPr>
            <w:r>
              <w:rPr>
                <w:rFonts w:ascii="Arial" w:cs="Arial" w:eastAsia="Arial" w:hAnsi="Arial"/>
                <w:sz w:val="18"/>
                <w:szCs w:val="18"/>
                <w:color w:val="231F20"/>
              </w:rPr>
              <w:t>Director</w:t>
            </w:r>
          </w:p>
        </w:tc>
        <w:tc>
          <w:tcPr>
            <w:tcW w:w="1400" w:type="dxa"/>
            <w:vAlign w:val="bottom"/>
          </w:tcPr>
          <w:p>
            <w:pPr>
              <w:ind w:left="240"/>
              <w:spacing w:after="0"/>
              <w:rPr>
                <w:sz w:val="20"/>
                <w:szCs w:val="20"/>
                <w:color w:val="auto"/>
              </w:rPr>
            </w:pPr>
            <w:r>
              <w:rPr>
                <w:rFonts w:ascii="Arial" w:cs="Arial" w:eastAsia="Arial" w:hAnsi="Arial"/>
                <w:sz w:val="18"/>
                <w:szCs w:val="18"/>
                <w:color w:val="231F20"/>
                <w:w w:val="99"/>
              </w:rPr>
              <w:t>March 2, 2026</w:t>
            </w:r>
          </w:p>
        </w:tc>
      </w:tr>
    </w:tbl>
    <w:p>
      <w:pPr>
        <w:spacing w:after="0" w:line="439" w:lineRule="exact"/>
        <w:rPr>
          <w:sz w:val="20"/>
          <w:szCs w:val="20"/>
          <w:color w:val="auto"/>
        </w:rPr>
      </w:pPr>
    </w:p>
    <w:p>
      <w:pPr>
        <w:sectPr>
          <w:pgSz w:w="11880" w:h="15480" w:orient="portrait"/>
          <w:cols w:equalWidth="0" w:num="2">
            <w:col w:w="3580" w:space="720"/>
            <w:col w:w="4820"/>
          </w:cols>
          <w:pgMar w:left="1380" w:top="1310" w:right="1380" w:bottom="66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165</w:t>
      </w:r>
    </w:p>
    <w:p>
      <w:pPr>
        <w:sectPr>
          <w:pgSz w:w="11880" w:h="15480" w:orient="portrait"/>
          <w:cols w:equalWidth="0" w:num="1">
            <w:col w:w="9120"/>
          </w:cols>
          <w:pgMar w:left="1380" w:top="1310" w:right="1380" w:bottom="660"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70" w:name="page171"/>
    <w:bookmarkEnd w:id="170"/>
    <w:p>
      <w:pPr>
        <w:ind w:left="6"/>
        <w:spacing w:after="0"/>
        <w:rPr>
          <w:sz w:val="20"/>
          <w:szCs w:val="20"/>
          <w:color w:val="auto"/>
        </w:rPr>
      </w:pPr>
      <w:r>
        <w:rPr>
          <w:rFonts w:ascii="Arial" w:cs="Arial" w:eastAsia="Arial" w:hAnsi="Arial"/>
          <w:sz w:val="22"/>
          <w:szCs w:val="22"/>
          <w:color w:val="FFFFFF"/>
        </w:rPr>
        <w:t>Annual Meeting</w:t>
      </w:r>
    </w:p>
    <w:p>
      <w:pPr>
        <w:spacing w:after="0" w:line="123" w:lineRule="exact"/>
        <w:rPr>
          <w:sz w:val="20"/>
          <w:szCs w:val="20"/>
          <w:color w:val="auto"/>
        </w:rPr>
      </w:pPr>
    </w:p>
    <w:p>
      <w:pPr>
        <w:ind w:left="6" w:right="120"/>
        <w:spacing w:after="0" w:line="267" w:lineRule="auto"/>
        <w:rPr>
          <w:sz w:val="20"/>
          <w:szCs w:val="20"/>
          <w:color w:val="auto"/>
        </w:rPr>
      </w:pPr>
      <w:r>
        <w:rPr>
          <w:rFonts w:ascii="Arial" w:cs="Arial" w:eastAsia="Arial" w:hAnsi="Arial"/>
          <w:sz w:val="19"/>
          <w:szCs w:val="19"/>
          <w:color w:val="FFFFFF"/>
        </w:rPr>
        <w:t>California Resources Corporation’s annual meeting of stockholders will be held virtually at 11:00 a.m. Pacific Time on April 30, 2026. You will not be able to attend the annual meeting physically. If you wish to attend the annual meeting, you must follow the instructions under “Attending the Annual Meeting” in the proxy statement.</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2"/>
          <w:szCs w:val="22"/>
          <w:color w:val="FFFFFF"/>
        </w:rPr>
        <w:t>Auditors</w:t>
      </w:r>
    </w:p>
    <w:p>
      <w:pPr>
        <w:spacing w:after="0" w:line="55" w:lineRule="exact"/>
        <w:rPr>
          <w:sz w:val="20"/>
          <w:szCs w:val="20"/>
          <w:color w:val="auto"/>
        </w:rPr>
      </w:pPr>
    </w:p>
    <w:p>
      <w:pPr>
        <w:ind w:left="6"/>
        <w:spacing w:after="0"/>
        <w:rPr>
          <w:sz w:val="20"/>
          <w:szCs w:val="20"/>
          <w:color w:val="auto"/>
        </w:rPr>
      </w:pPr>
      <w:r>
        <w:rPr>
          <w:rFonts w:ascii="Arial" w:cs="Arial" w:eastAsia="Arial" w:hAnsi="Arial"/>
          <w:sz w:val="20"/>
          <w:szCs w:val="20"/>
          <w:color w:val="FFFFFF"/>
        </w:rPr>
        <w:t>KPMG LLP, Los Angeles, California</w:t>
      </w:r>
    </w:p>
    <w:p>
      <w:pPr>
        <w:spacing w:after="0" w:line="258" w:lineRule="exact"/>
        <w:rPr>
          <w:sz w:val="20"/>
          <w:szCs w:val="20"/>
          <w:color w:val="auto"/>
        </w:rPr>
      </w:pPr>
    </w:p>
    <w:p>
      <w:pPr>
        <w:ind w:left="6"/>
        <w:spacing w:after="0"/>
        <w:rPr>
          <w:sz w:val="20"/>
          <w:szCs w:val="20"/>
          <w:color w:val="auto"/>
        </w:rPr>
      </w:pPr>
      <w:r>
        <w:rPr>
          <w:rFonts w:ascii="Arial" w:cs="Arial" w:eastAsia="Arial" w:hAnsi="Arial"/>
          <w:sz w:val="22"/>
          <w:szCs w:val="22"/>
          <w:color w:val="FFFFFF"/>
        </w:rPr>
        <w:t>Transfer Agent &amp; Registrar</w:t>
      </w:r>
    </w:p>
    <w:p>
      <w:pPr>
        <w:spacing w:after="0" w:line="43" w:lineRule="exact"/>
        <w:rPr>
          <w:sz w:val="20"/>
          <w:szCs w:val="20"/>
          <w:color w:val="auto"/>
        </w:rPr>
      </w:pPr>
    </w:p>
    <w:p>
      <w:pPr>
        <w:ind w:left="6" w:right="1340"/>
        <w:spacing w:after="0" w:line="256" w:lineRule="auto"/>
        <w:rPr>
          <w:sz w:val="20"/>
          <w:szCs w:val="20"/>
          <w:color w:val="auto"/>
        </w:rPr>
      </w:pPr>
      <w:r>
        <w:rPr>
          <w:rFonts w:ascii="Arial" w:cs="Arial" w:eastAsia="Arial" w:hAnsi="Arial"/>
          <w:sz w:val="20"/>
          <w:szCs w:val="20"/>
          <w:color w:val="FFFFFF"/>
        </w:rPr>
        <w:t>Odyssey Transfer and Trust Company 2155 Woodlane Drive, Suite 100, Woodbury, MN 55125</w:t>
      </w:r>
    </w:p>
    <w:p>
      <w:pPr>
        <w:spacing w:after="0" w:line="24" w:lineRule="exact"/>
        <w:rPr>
          <w:sz w:val="20"/>
          <w:szCs w:val="20"/>
          <w:color w:val="auto"/>
        </w:rPr>
      </w:pPr>
    </w:p>
    <w:p>
      <w:pPr>
        <w:ind w:left="6" w:right="2020" w:hanging="6"/>
        <w:spacing w:after="0" w:line="297" w:lineRule="auto"/>
        <w:tabs>
          <w:tab w:leader="none" w:pos="525" w:val="left"/>
        </w:tabs>
        <w:numPr>
          <w:ilvl w:val="0"/>
          <w:numId w:val="95"/>
        </w:numPr>
        <w:rPr>
          <w:rFonts w:ascii="Arial" w:cs="Arial" w:eastAsia="Arial" w:hAnsi="Arial"/>
          <w:sz w:val="18"/>
          <w:szCs w:val="18"/>
          <w:color w:val="FFFFFF"/>
        </w:rPr>
      </w:pPr>
      <w:r>
        <w:rPr>
          <w:rFonts w:ascii="Arial" w:cs="Arial" w:eastAsia="Arial" w:hAnsi="Arial"/>
          <w:sz w:val="18"/>
          <w:szCs w:val="18"/>
          <w:color w:val="FFFFFF"/>
        </w:rPr>
        <w:t>290-1175 contactus@odysseytrust.com www.odysseytrust.com/us/</w:t>
      </w:r>
    </w:p>
    <w:p>
      <w:pPr>
        <w:spacing w:after="0" w:line="382" w:lineRule="exact"/>
        <w:rPr>
          <w:sz w:val="20"/>
          <w:szCs w:val="20"/>
          <w:color w:val="auto"/>
        </w:rPr>
      </w:pPr>
    </w:p>
    <w:p>
      <w:pPr>
        <w:ind w:left="6"/>
        <w:spacing w:after="0"/>
        <w:rPr>
          <w:sz w:val="20"/>
          <w:szCs w:val="20"/>
          <w:color w:val="auto"/>
        </w:rPr>
      </w:pPr>
      <w:r>
        <w:rPr>
          <w:rFonts w:ascii="Arial" w:cs="Arial" w:eastAsia="Arial" w:hAnsi="Arial"/>
          <w:sz w:val="22"/>
          <w:szCs w:val="22"/>
          <w:color w:val="102349"/>
        </w:rPr>
        <w:t>Officers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8"/>
          <w:szCs w:val="18"/>
          <w:color w:val="6D6E70"/>
        </w:rPr>
        <w:t>Francisco J. Leon</w:t>
      </w:r>
    </w:p>
    <w:p>
      <w:pPr>
        <w:ind w:left="6"/>
        <w:spacing w:after="0"/>
        <w:rPr>
          <w:sz w:val="20"/>
          <w:szCs w:val="20"/>
          <w:color w:val="auto"/>
        </w:rPr>
      </w:pPr>
      <w:r>
        <w:rPr>
          <w:rFonts w:ascii="Arial" w:cs="Arial" w:eastAsia="Arial" w:hAnsi="Arial"/>
          <w:sz w:val="18"/>
          <w:szCs w:val="18"/>
          <w:color w:val="6D6E70"/>
        </w:rPr>
        <w:t>President and Chief Executive Officer</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18"/>
          <w:szCs w:val="18"/>
          <w:color w:val="6D6E70"/>
        </w:rPr>
        <w:t>Jay A. Bys</w:t>
      </w:r>
    </w:p>
    <w:p>
      <w:pPr>
        <w:spacing w:after="0" w:line="7" w:lineRule="exact"/>
        <w:rPr>
          <w:sz w:val="20"/>
          <w:szCs w:val="20"/>
          <w:color w:val="auto"/>
        </w:rPr>
      </w:pPr>
    </w:p>
    <w:p>
      <w:pPr>
        <w:ind w:left="6"/>
        <w:spacing w:after="0"/>
        <w:rPr>
          <w:sz w:val="20"/>
          <w:szCs w:val="20"/>
          <w:color w:val="auto"/>
        </w:rPr>
      </w:pPr>
      <w:r>
        <w:rPr>
          <w:rFonts w:ascii="Arial" w:cs="Arial" w:eastAsia="Arial" w:hAnsi="Arial"/>
          <w:sz w:val="17"/>
          <w:szCs w:val="17"/>
          <w:color w:val="6D6E70"/>
        </w:rPr>
        <w:t>Executive Vice President and Chief Commercial Officer</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8"/>
          <w:szCs w:val="18"/>
          <w:color w:val="6D6E70"/>
        </w:rPr>
        <w:t>Clio Crespy</w:t>
      </w:r>
    </w:p>
    <w:p>
      <w:pPr>
        <w:ind w:left="6"/>
        <w:spacing w:after="0"/>
        <w:rPr>
          <w:sz w:val="20"/>
          <w:szCs w:val="20"/>
          <w:color w:val="auto"/>
        </w:rPr>
      </w:pPr>
      <w:r>
        <w:rPr>
          <w:rFonts w:ascii="Arial" w:cs="Arial" w:eastAsia="Arial" w:hAnsi="Arial"/>
          <w:sz w:val="18"/>
          <w:szCs w:val="18"/>
          <w:color w:val="6D6E70"/>
        </w:rPr>
        <w:t>Executive Vice President and Chief Financial Officer</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18"/>
          <w:szCs w:val="18"/>
          <w:color w:val="6D6E70"/>
        </w:rPr>
        <w:t>Chris D. Gould</w:t>
      </w:r>
    </w:p>
    <w:p>
      <w:pPr>
        <w:spacing w:after="0" w:line="7" w:lineRule="exact"/>
        <w:rPr>
          <w:sz w:val="20"/>
          <w:szCs w:val="20"/>
          <w:color w:val="auto"/>
        </w:rPr>
      </w:pPr>
    </w:p>
    <w:p>
      <w:pPr>
        <w:ind w:left="6" w:right="200"/>
        <w:spacing w:after="0" w:line="281" w:lineRule="auto"/>
        <w:rPr>
          <w:sz w:val="20"/>
          <w:szCs w:val="20"/>
          <w:color w:val="auto"/>
        </w:rPr>
      </w:pPr>
      <w:r>
        <w:rPr>
          <w:rFonts w:ascii="Arial" w:cs="Arial" w:eastAsia="Arial" w:hAnsi="Arial"/>
          <w:sz w:val="16"/>
          <w:szCs w:val="16"/>
          <w:color w:val="6D6E70"/>
        </w:rPr>
        <w:t>Executive Vice President, Chief Sustainability Officer and Managing Director, Carbon TerraVault Holdings, LLC</w:t>
      </w:r>
    </w:p>
    <w:p>
      <w:pPr>
        <w:spacing w:after="0" w:line="155" w:lineRule="exact"/>
        <w:rPr>
          <w:sz w:val="20"/>
          <w:szCs w:val="20"/>
          <w:color w:val="auto"/>
        </w:rPr>
      </w:pPr>
    </w:p>
    <w:p>
      <w:pPr>
        <w:ind w:left="6"/>
        <w:spacing w:after="0"/>
        <w:rPr>
          <w:sz w:val="20"/>
          <w:szCs w:val="20"/>
          <w:color w:val="auto"/>
        </w:rPr>
      </w:pPr>
      <w:r>
        <w:rPr>
          <w:rFonts w:ascii="Arial" w:cs="Arial" w:eastAsia="Arial" w:hAnsi="Arial"/>
          <w:sz w:val="18"/>
          <w:szCs w:val="18"/>
          <w:color w:val="6D6E70"/>
        </w:rPr>
        <w:t>Omar Hayat</w:t>
      </w:r>
    </w:p>
    <w:p>
      <w:pPr>
        <w:ind w:left="6"/>
        <w:spacing w:after="0"/>
        <w:rPr>
          <w:sz w:val="20"/>
          <w:szCs w:val="20"/>
          <w:color w:val="auto"/>
        </w:rPr>
      </w:pPr>
      <w:r>
        <w:rPr>
          <w:rFonts w:ascii="Arial" w:cs="Arial" w:eastAsia="Arial" w:hAnsi="Arial"/>
          <w:sz w:val="18"/>
          <w:szCs w:val="18"/>
          <w:color w:val="6D6E70"/>
        </w:rPr>
        <w:t>Executive Vice President and Chief Operating Officer</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18"/>
          <w:szCs w:val="18"/>
          <w:color w:val="6D6E70"/>
        </w:rPr>
        <w:t>Michael L. Preston</w:t>
      </w:r>
    </w:p>
    <w:p>
      <w:pPr>
        <w:spacing w:after="0" w:line="7" w:lineRule="exact"/>
        <w:rPr>
          <w:sz w:val="20"/>
          <w:szCs w:val="20"/>
          <w:color w:val="auto"/>
        </w:rPr>
      </w:pPr>
    </w:p>
    <w:p>
      <w:pPr>
        <w:ind w:left="6" w:right="920"/>
        <w:spacing w:after="0" w:line="231" w:lineRule="auto"/>
        <w:rPr>
          <w:sz w:val="20"/>
          <w:szCs w:val="20"/>
          <w:color w:val="auto"/>
        </w:rPr>
      </w:pPr>
      <w:r>
        <w:rPr>
          <w:rFonts w:ascii="Arial" w:cs="Arial" w:eastAsia="Arial" w:hAnsi="Arial"/>
          <w:sz w:val="18"/>
          <w:szCs w:val="18"/>
          <w:color w:val="6D6E70"/>
        </w:rPr>
        <w:t>Executive Vice President, Chief Strategy Officer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1691005</wp:posOffset>
            </wp:positionV>
            <wp:extent cx="782955" cy="347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1">
                      <a:extLst>
                        <a:ext uri="{28A0092B-C50C-407E-A947-70E740481C1C}"/>
                      </a:extLst>
                    </a:blip>
                    <a:srcRect/>
                    <a:stretch>
                      <a:fillRect/>
                    </a:stretch>
                  </pic:blipFill>
                  <pic:spPr bwMode="auto">
                    <a:xfrm>
                      <a:off x="0" y="0"/>
                      <a:ext cx="782955" cy="34798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2171065</wp:posOffset>
            </wp:positionV>
            <wp:extent cx="986790" cy="4648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2">
                      <a:extLst>
                        <a:ext uri="{28A0092B-C50C-407E-A947-70E740481C1C}"/>
                      </a:extLst>
                    </a:blip>
                    <a:srcRect/>
                    <a:stretch>
                      <a:fillRect/>
                    </a:stretch>
                  </pic:blipFill>
                  <pic:spPr bwMode="auto">
                    <a:xfrm>
                      <a:off x="0" y="0"/>
                      <a:ext cx="986790" cy="46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66"/>
        <w:spacing w:after="0"/>
        <w:rPr>
          <w:sz w:val="20"/>
          <w:szCs w:val="20"/>
          <w:color w:val="auto"/>
        </w:rPr>
      </w:pPr>
      <w:r>
        <w:rPr>
          <w:rFonts w:ascii="Arial" w:cs="Arial" w:eastAsia="Arial" w:hAnsi="Arial"/>
          <w:sz w:val="11"/>
          <w:szCs w:val="11"/>
          <w:color w:val="231F20"/>
        </w:rPr>
        <w:t>This Annual Report is printed on paper that is made of</w:t>
      </w:r>
    </w:p>
    <w:p>
      <w:pPr>
        <w:spacing w:after="0" w:line="66" w:lineRule="exact"/>
        <w:rPr>
          <w:sz w:val="20"/>
          <w:szCs w:val="20"/>
          <w:color w:val="auto"/>
        </w:rPr>
      </w:pPr>
    </w:p>
    <w:p>
      <w:pPr>
        <w:ind w:left="1666"/>
        <w:spacing w:after="0"/>
        <w:rPr>
          <w:sz w:val="20"/>
          <w:szCs w:val="20"/>
          <w:color w:val="auto"/>
        </w:rPr>
      </w:pPr>
      <w:r>
        <w:rPr>
          <w:rFonts w:ascii="Arial" w:cs="Arial" w:eastAsia="Arial" w:hAnsi="Arial"/>
          <w:sz w:val="11"/>
          <w:szCs w:val="11"/>
          <w:color w:val="231F20"/>
        </w:rPr>
        <w:t>material from well-managed FSC</w:t>
      </w:r>
      <w:r>
        <w:rPr>
          <w:rFonts w:ascii="Arial" w:cs="Arial" w:eastAsia="Arial" w:hAnsi="Arial"/>
          <w:sz w:val="5"/>
          <w:szCs w:val="5"/>
          <w:color w:val="231F20"/>
        </w:rPr>
        <w:t>®</w:t>
      </w:r>
      <w:r>
        <w:rPr>
          <w:rFonts w:ascii="Arial" w:cs="Arial" w:eastAsia="Arial" w:hAnsi="Arial"/>
          <w:sz w:val="11"/>
          <w:szCs w:val="11"/>
          <w:color w:val="231F20"/>
        </w:rPr>
        <w:t>-certified forests,</w:t>
      </w:r>
    </w:p>
    <w:p>
      <w:pPr>
        <w:spacing w:after="0" w:line="66" w:lineRule="exact"/>
        <w:rPr>
          <w:sz w:val="20"/>
          <w:szCs w:val="20"/>
          <w:color w:val="auto"/>
        </w:rPr>
      </w:pPr>
    </w:p>
    <w:p>
      <w:pPr>
        <w:ind w:left="1666"/>
        <w:spacing w:after="0"/>
        <w:rPr>
          <w:sz w:val="20"/>
          <w:szCs w:val="20"/>
          <w:color w:val="auto"/>
        </w:rPr>
      </w:pPr>
      <w:r>
        <w:rPr>
          <w:rFonts w:ascii="Arial" w:cs="Arial" w:eastAsia="Arial" w:hAnsi="Arial"/>
          <w:sz w:val="12"/>
          <w:szCs w:val="12"/>
          <w:color w:val="231F20"/>
        </w:rPr>
        <w:t>recycled materials, and other controlled 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FFFFFF"/>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-3610610</wp:posOffset>
            </wp:positionH>
            <wp:positionV relativeFrom="paragraph">
              <wp:posOffset>-425450</wp:posOffset>
            </wp:positionV>
            <wp:extent cx="6750685" cy="3562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3">
                      <a:extLst>
                        <a:ext uri="{28A0092B-C50C-407E-A947-70E740481C1C}"/>
                      </a:extLst>
                    </a:blip>
                    <a:srcRect/>
                    <a:stretch>
                      <a:fillRect/>
                    </a:stretch>
                  </pic:blipFill>
                  <pic:spPr bwMode="auto">
                    <a:xfrm>
                      <a:off x="0" y="0"/>
                      <a:ext cx="6750685" cy="3562985"/>
                    </a:xfrm>
                    <a:prstGeom prst="rect">
                      <a:avLst/>
                    </a:prstGeom>
                    <a:noFill/>
                  </pic:spPr>
                </pic:pic>
              </a:graphicData>
            </a:graphic>
          </wp:anchor>
        </w:drawing>
      </w:r>
    </w:p>
    <w:p>
      <w:pPr>
        <w:spacing w:after="0" w:line="75"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color w:val="FFFFFF"/>
        </w:rPr>
        <w:t>Company financial information, public disclosures and other information are available through our website at www.crc.com. We will promptly deliver free of charge, upon request, an annual report on Form 10-K to any stockholder requesting a copy. Requests should be directed to our Investor Relations team at our corporate headquarters address or sent to CRC_IR@crc.com.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FFFFFF"/>
        </w:rPr>
        <w:t>Stock Exchange Listing</w:t>
      </w:r>
    </w:p>
    <w:p>
      <w:pPr>
        <w:spacing w:after="0" w:line="43" w:lineRule="exact"/>
        <w:rPr>
          <w:sz w:val="20"/>
          <w:szCs w:val="20"/>
          <w:color w:val="auto"/>
        </w:rPr>
      </w:pPr>
    </w:p>
    <w:p>
      <w:pPr>
        <w:jc w:val="both"/>
        <w:ind w:right="440"/>
        <w:spacing w:after="0" w:line="256" w:lineRule="auto"/>
        <w:rPr>
          <w:sz w:val="20"/>
          <w:szCs w:val="20"/>
          <w:color w:val="auto"/>
        </w:rPr>
      </w:pPr>
      <w:r>
        <w:rPr>
          <w:rFonts w:ascii="Arial" w:cs="Arial" w:eastAsia="Arial" w:hAnsi="Arial"/>
          <w:sz w:val="20"/>
          <w:szCs w:val="20"/>
          <w:color w:val="FFFFFF"/>
        </w:rPr>
        <w:t>California Resources Corporation’s common stock is listed on the New York Stock Exchange (NYSE). The symbol is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22"/>
          <w:szCs w:val="22"/>
          <w:color w:val="102349"/>
        </w:rPr>
        <w:t>Board of Directors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6D6E70"/>
        </w:rPr>
        <w:t>Tiffany (TJ) Thom Cepak</w:t>
      </w:r>
    </w:p>
    <w:p>
      <w:pPr>
        <w:spacing w:after="0" w:line="7" w:lineRule="exact"/>
        <w:rPr>
          <w:sz w:val="20"/>
          <w:szCs w:val="20"/>
          <w:color w:val="auto"/>
        </w:rPr>
      </w:pPr>
    </w:p>
    <w:p>
      <w:pPr>
        <w:ind w:left="40" w:right="160"/>
        <w:spacing w:after="0" w:line="231" w:lineRule="auto"/>
        <w:rPr>
          <w:sz w:val="20"/>
          <w:szCs w:val="20"/>
          <w:color w:val="auto"/>
        </w:rPr>
      </w:pPr>
      <w:r>
        <w:rPr>
          <w:rFonts w:ascii="Arial" w:cs="Arial" w:eastAsia="Arial" w:hAnsi="Arial"/>
          <w:sz w:val="18"/>
          <w:szCs w:val="18"/>
          <w:color w:val="6D6E70"/>
        </w:rPr>
        <w:t>Chair of the Board, Member of the Finance Committee and Director since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6D6E70"/>
        </w:rPr>
        <w:t>Andrew B. Bremner</w:t>
      </w:r>
    </w:p>
    <w:p>
      <w:pPr>
        <w:spacing w:after="0" w:line="7" w:lineRule="exact"/>
        <w:rPr>
          <w:sz w:val="20"/>
          <w:szCs w:val="20"/>
          <w:color w:val="auto"/>
        </w:rPr>
      </w:pPr>
    </w:p>
    <w:p>
      <w:pPr>
        <w:ind w:left="40" w:right="40"/>
        <w:spacing w:after="0" w:line="231" w:lineRule="auto"/>
        <w:rPr>
          <w:sz w:val="20"/>
          <w:szCs w:val="20"/>
          <w:color w:val="auto"/>
        </w:rPr>
      </w:pPr>
      <w:r>
        <w:rPr>
          <w:rFonts w:ascii="Arial" w:cs="Arial" w:eastAsia="Arial" w:hAnsi="Arial"/>
          <w:sz w:val="18"/>
          <w:szCs w:val="18"/>
          <w:color w:val="6D6E70"/>
        </w:rPr>
        <w:t>Member of the Compensation Committee, Finance Committee, Sustainability Committee and Carbon TerraVault Committee and Director since 2021</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6D6E70"/>
        </w:rPr>
        <w:t>James N. Chapman</w:t>
      </w:r>
    </w:p>
    <w:p>
      <w:pPr>
        <w:spacing w:after="0" w:line="7" w:lineRule="exact"/>
        <w:rPr>
          <w:sz w:val="20"/>
          <w:szCs w:val="20"/>
          <w:color w:val="auto"/>
        </w:rPr>
      </w:pPr>
    </w:p>
    <w:p>
      <w:pPr>
        <w:ind w:left="40" w:right="280"/>
        <w:spacing w:after="0" w:line="231" w:lineRule="auto"/>
        <w:rPr>
          <w:sz w:val="20"/>
          <w:szCs w:val="20"/>
          <w:color w:val="auto"/>
        </w:rPr>
      </w:pPr>
      <w:r>
        <w:rPr>
          <w:rFonts w:ascii="Arial" w:cs="Arial" w:eastAsia="Arial" w:hAnsi="Arial"/>
          <w:sz w:val="18"/>
          <w:szCs w:val="18"/>
          <w:color w:val="6D6E70"/>
        </w:rPr>
        <w:t>Chair of the Compensation Committee and Finance Committee, Member of the Carbon TerraVault Committee and Director since 2020</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6D6E70"/>
        </w:rPr>
        <w:t>James R. Jackson</w:t>
      </w:r>
    </w:p>
    <w:p>
      <w:pPr>
        <w:spacing w:after="0" w:line="7" w:lineRule="exact"/>
        <w:rPr>
          <w:sz w:val="20"/>
          <w:szCs w:val="20"/>
          <w:color w:val="auto"/>
        </w:rPr>
      </w:pPr>
    </w:p>
    <w:p>
      <w:pPr>
        <w:ind w:left="40" w:right="120"/>
        <w:spacing w:after="0" w:line="231" w:lineRule="auto"/>
        <w:rPr>
          <w:sz w:val="20"/>
          <w:szCs w:val="20"/>
          <w:color w:val="auto"/>
        </w:rPr>
      </w:pPr>
      <w:r>
        <w:rPr>
          <w:rFonts w:ascii="Arial" w:cs="Arial" w:eastAsia="Arial" w:hAnsi="Arial"/>
          <w:sz w:val="18"/>
          <w:szCs w:val="18"/>
          <w:color w:val="6D6E70"/>
        </w:rPr>
        <w:t>Member of the Sustainability Committee and Director since 2024</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6D6E70"/>
        </w:rPr>
        <w:t>Christian S. Kendall</w:t>
      </w:r>
    </w:p>
    <w:p>
      <w:pPr>
        <w:spacing w:after="0" w:line="7" w:lineRule="exact"/>
        <w:rPr>
          <w:sz w:val="20"/>
          <w:szCs w:val="20"/>
          <w:color w:val="auto"/>
        </w:rPr>
      </w:pPr>
    </w:p>
    <w:p>
      <w:pPr>
        <w:ind w:left="40" w:right="420"/>
        <w:spacing w:after="0" w:line="248" w:lineRule="auto"/>
        <w:rPr>
          <w:sz w:val="20"/>
          <w:szCs w:val="20"/>
          <w:color w:val="auto"/>
        </w:rPr>
      </w:pPr>
      <w:r>
        <w:rPr>
          <w:rFonts w:ascii="Arial" w:cs="Arial" w:eastAsia="Arial" w:hAnsi="Arial"/>
          <w:sz w:val="17"/>
          <w:szCs w:val="17"/>
          <w:color w:val="6D6E70"/>
        </w:rPr>
        <w:t>Chair of the Nominating and Governance Committee, Member of the Audit Committee and Carbon TerraVault Committee and Director since 2024</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6D6E70"/>
        </w:rPr>
        <w:t>Francisco J. Leon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6D6E70"/>
        </w:rPr>
        <w:t>President, Chief Executive Officer and Director since 2023</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color w:val="6D6E70"/>
        </w:rPr>
        <w:t>Mark A. (Mac) McFarland</w:t>
      </w:r>
    </w:p>
    <w:p>
      <w:pPr>
        <w:spacing w:after="0" w:line="7" w:lineRule="exact"/>
        <w:rPr>
          <w:sz w:val="20"/>
          <w:szCs w:val="20"/>
          <w:color w:val="auto"/>
        </w:rPr>
      </w:pPr>
    </w:p>
    <w:p>
      <w:pPr>
        <w:ind w:left="40"/>
        <w:spacing w:after="0" w:line="231" w:lineRule="auto"/>
        <w:rPr>
          <w:sz w:val="20"/>
          <w:szCs w:val="20"/>
          <w:color w:val="auto"/>
        </w:rPr>
      </w:pPr>
      <w:r>
        <w:rPr>
          <w:rFonts w:ascii="Arial" w:cs="Arial" w:eastAsia="Arial" w:hAnsi="Arial"/>
          <w:sz w:val="18"/>
          <w:szCs w:val="18"/>
          <w:color w:val="6D6E70"/>
        </w:rPr>
        <w:t>Chair of the Carbon TerraVault Committee and Director since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6D6E70"/>
        </w:rPr>
        <w:t>William B. Roby</w:t>
      </w:r>
    </w:p>
    <w:p>
      <w:pPr>
        <w:spacing w:after="0" w:line="7" w:lineRule="exact"/>
        <w:rPr>
          <w:sz w:val="20"/>
          <w:szCs w:val="20"/>
          <w:color w:val="auto"/>
        </w:rPr>
      </w:pPr>
    </w:p>
    <w:p>
      <w:pPr>
        <w:jc w:val="both"/>
        <w:ind w:left="40" w:right="80"/>
        <w:spacing w:after="0" w:line="248" w:lineRule="auto"/>
        <w:rPr>
          <w:sz w:val="20"/>
          <w:szCs w:val="20"/>
          <w:color w:val="auto"/>
        </w:rPr>
      </w:pPr>
      <w:r>
        <w:rPr>
          <w:rFonts w:ascii="Arial" w:cs="Arial" w:eastAsia="Arial" w:hAnsi="Arial"/>
          <w:sz w:val="17"/>
          <w:szCs w:val="17"/>
          <w:color w:val="6D6E70"/>
        </w:rPr>
        <w:t>Chair of the Sustainability Committee, Member of the Audit Committee, Compensation Committee, and Nominating and Governance Committee and Director since 2020</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6D6E70"/>
        </w:rPr>
        <w:t>Alejandra (Ale) Veltmann</w:t>
      </w:r>
    </w:p>
    <w:p>
      <w:pPr>
        <w:spacing w:after="0" w:line="7" w:lineRule="exact"/>
        <w:rPr>
          <w:sz w:val="20"/>
          <w:szCs w:val="20"/>
          <w:color w:val="auto"/>
        </w:rPr>
      </w:pPr>
    </w:p>
    <w:p>
      <w:pPr>
        <w:ind w:left="40" w:right="280"/>
        <w:spacing w:after="0" w:line="251" w:lineRule="auto"/>
        <w:rPr>
          <w:sz w:val="20"/>
          <w:szCs w:val="20"/>
          <w:color w:val="auto"/>
        </w:rPr>
      </w:pPr>
      <w:r>
        <w:rPr>
          <w:rFonts w:ascii="Arial" w:cs="Arial" w:eastAsia="Arial" w:hAnsi="Arial"/>
          <w:sz w:val="17"/>
          <w:szCs w:val="17"/>
          <w:color w:val="6D6E70"/>
        </w:rPr>
        <w:t>Chair of the Audit Committee, Member of the Nominating and Governance Committee and Director since 2021</w:t>
      </w:r>
    </w:p>
    <w:p>
      <w:pPr>
        <w:sectPr>
          <w:pgSz w:w="11520" w:h="15480" w:orient="portrait"/>
          <w:cols w:equalWidth="0" w:num="2">
            <w:col w:w="4466" w:space="720"/>
            <w:col w:w="4640"/>
          </w:cols>
          <w:pgMar w:left="934" w:top="1008" w:right="760" w:bottom="294" w:gutter="0" w:footer="0" w:header="0"/>
        </w:sectPr>
      </w:pPr>
    </w:p>
    <w:bookmarkStart w:id="171" w:name="page172"/>
    <w:bookmarkEnd w:id="171"/>
    <w:p>
      <w:pPr>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4">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bullet"/>
      <w:start w:val="1"/>
    </w:lvl>
  </w:abstractNum>
  <w:abstractNum w:abstractNumId="2">
    <w:nsid w:val="684A481A"/>
    <w:multiLevelType w:val="hybridMultilevel"/>
    <w:lvl w:ilvl="0">
      <w:lvlJc w:val="left"/>
      <w:lvlText w:val="2"/>
      <w:numFmt w:val="bullet"/>
      <w:start w:val="1"/>
    </w:lvl>
  </w:abstractNum>
  <w:abstractNum w:abstractNumId="3">
    <w:nsid w:val="579478FE"/>
    <w:multiLevelType w:val="hybridMultilevel"/>
    <w:lvl w:ilvl="0">
      <w:lvlJc w:val="left"/>
      <w:lvlText w:val="Í"/>
      <w:numFmt w:val="bullet"/>
      <w:start w:val="1"/>
    </w:lvl>
  </w:abstractNum>
  <w:abstractNum w:abstractNumId="4">
    <w:nsid w:val="749ABB43"/>
    <w:multiLevelType w:val="hybridMultilevel"/>
    <w:lvl w:ilvl="0">
      <w:lvlJc w:val="left"/>
      <w:lvlText w:val="\lquote "/>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1)"/>
      <w:numFmt w:val="lowerLetter"/>
      <w:start w:val="2"/>
    </w:lvl>
  </w:abstractNum>
  <w:abstractNum w:abstractNumId="12">
    <w:nsid w:val="374A3FE6"/>
    <w:multiLevelType w:val="hybridMultilevel"/>
    <w:lvl w:ilvl="0">
      <w:lvlJc w:val="left"/>
      <w:lvlText w:val="(%1)"/>
      <w:numFmt w:val="lowerLetter"/>
      <w:start w:val="1"/>
    </w:lvl>
  </w:abstractNum>
  <w:abstractNum w:abstractNumId="13">
    <w:nsid w:val="4F4EF005"/>
    <w:multiLevelType w:val="hybridMultilevel"/>
    <w:lvl w:ilvl="0">
      <w:lvlJc w:val="left"/>
      <w:lvlText w:val="(%1)"/>
      <w:numFmt w:val="lowerLetter"/>
      <w:start w:val="1"/>
    </w:lvl>
  </w:abstractNum>
  <w:abstractNum w:abstractNumId="14">
    <w:nsid w:val="23F9C13C"/>
    <w:multiLevelType w:val="hybridMultilevel"/>
    <w:lvl w:ilvl="0">
      <w:lvlJc w:val="left"/>
      <w:lvlText w:val="(%1)"/>
      <w:numFmt w:val="lowerLetter"/>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1)"/>
      <w:numFmt w:val="lowerLetter"/>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1)"/>
      <w:numFmt w:val="lowerLetter"/>
      <w:start w:val="1"/>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1)"/>
      <w:numFmt w:val="lowerLetter"/>
      <w:start w:val="2"/>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1"/>
    </w:lvl>
  </w:abstractNum>
  <w:abstractNum w:abstractNumId="42">
    <w:nsid w:val="6590700B"/>
    <w:multiLevelType w:val="hybridMultilevel"/>
    <w:lvl w:ilvl="0">
      <w:lvlJc w:val="left"/>
      <w:lvlText w:val="\endash "/>
      <w:numFmt w:val="bullet"/>
      <w:start w:val="1"/>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decimal"/>
      <w:start w:val="3"/>
    </w:lvl>
  </w:abstractNum>
  <w:abstractNum w:abstractNumId="45">
    <w:nsid w:val="98A3148"/>
    <w:multiLevelType w:val="hybridMultilevel"/>
    <w:lvl w:ilvl="0">
      <w:lvlJc w:val="left"/>
      <w:lvlText w:val="(%1)"/>
      <w:numFmt w:val="decimal"/>
      <w:start w:val="5"/>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lowerLetter"/>
      <w:start w:val="1"/>
    </w:lvl>
  </w:abstractNum>
  <w:abstractNum w:abstractNumId="48">
    <w:nsid w:val="42C296BD"/>
    <w:multiLevelType w:val="hybridMultilevel"/>
    <w:lvl w:ilvl="0">
      <w:lvlJc w:val="left"/>
      <w:lvlText w:val="(%1)"/>
      <w:numFmt w:val="lowerLetter"/>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lowerLetter"/>
      <w:start w:val="1"/>
    </w:lvl>
  </w:abstractNum>
  <w:abstractNum w:abstractNumId="54">
    <w:nsid w:val="7BD3EE7B"/>
    <w:multiLevelType w:val="hybridMultilevel"/>
    <w:lvl w:ilvl="0">
      <w:lvlJc w:val="left"/>
      <w:lvlText w:val="(%1)"/>
      <w:numFmt w:val="lowerLetter"/>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2"/>
    </w:lvl>
  </w:abstractNum>
  <w:abstractNum w:abstractNumId="62">
    <w:nsid w:val="1A32234B"/>
    <w:multiLevelType w:val="hybridMultilevel"/>
    <w:lvl w:ilvl="0">
      <w:lvlJc w:val="left"/>
      <w:lvlText w:val="(%1)"/>
      <w:numFmt w:val="lowerLetter"/>
      <w:start w:val="1"/>
    </w:lvl>
  </w:abstractNum>
  <w:abstractNum w:abstractNumId="63">
    <w:nsid w:val="3B0FD379"/>
    <w:multiLevelType w:val="hybridMultilevel"/>
    <w:lvl w:ilvl="0">
      <w:lvlJc w:val="left"/>
      <w:lvlText w:val="(%1)"/>
      <w:numFmt w:val="lowerRoman"/>
      <w:start w:val="1"/>
    </w:lvl>
  </w:abstractNum>
  <w:abstractNum w:abstractNumId="64">
    <w:nsid w:val="68EB2F63"/>
    <w:multiLevelType w:val="hybridMultilevel"/>
    <w:lvl w:ilvl="0">
      <w:lvlJc w:val="left"/>
      <w:lvlText w:val="(%1)"/>
      <w:numFmt w:val="lowerLetter"/>
      <w:start w:val="1"/>
    </w:lvl>
  </w:abstractNum>
  <w:abstractNum w:abstractNumId="65">
    <w:nsid w:val="4962813B"/>
    <w:multiLevelType w:val="hybridMultilevel"/>
    <w:lvl w:ilvl="0">
      <w:lvlJc w:val="left"/>
      <w:lvlText w:val="(%1)"/>
      <w:numFmt w:val="lowerLetter"/>
      <w:start w:val="2"/>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1)"/>
      <w:numFmt w:val="lowerRoman"/>
      <w:start w:val="2"/>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lowerLetter"/>
      <w:start w:val="1"/>
    </w:lvl>
  </w:abstractNum>
  <w:abstractNum w:abstractNumId="71">
    <w:nsid w:val="71EA1109"/>
    <w:multiLevelType w:val="hybridMultilevel"/>
    <w:lvl w:ilvl="0">
      <w:lvlJc w:val="left"/>
      <w:lvlText w:val="(%1)"/>
      <w:numFmt w:val="lowerLetter"/>
      <w:start w:val="1"/>
    </w:lvl>
  </w:abstractNum>
  <w:abstractNum w:abstractNumId="72">
    <w:nsid w:val="100F59DC"/>
    <w:multiLevelType w:val="hybridMultilevel"/>
    <w:lvl w:ilvl="0">
      <w:lvlJc w:val="left"/>
      <w:lvlText w:val="(%1)"/>
      <w:numFmt w:val="lowerLetter"/>
      <w:start w:val="1"/>
    </w:lvl>
  </w:abstractNum>
  <w:abstractNum w:abstractNumId="73">
    <w:nsid w:val="7FB7E0AA"/>
    <w:multiLevelType w:val="hybridMultilevel"/>
    <w:lvl w:ilvl="0">
      <w:lvlJc w:val="left"/>
      <w:lvlText w:val="(%1)"/>
      <w:numFmt w:val="lowerLetter"/>
      <w:start w:val="1"/>
    </w:lvl>
  </w:abstractNum>
  <w:abstractNum w:abstractNumId="74">
    <w:nsid w:val="6EB5BD4"/>
    <w:multiLevelType w:val="hybridMultilevel"/>
    <w:lvl w:ilvl="0">
      <w:lvlJc w:val="left"/>
      <w:lvlText w:val="(%1)"/>
      <w:numFmt w:val="lowerLetter"/>
      <w:start w:val="1"/>
    </w:lvl>
  </w:abstractNum>
  <w:abstractNum w:abstractNumId="75">
    <w:nsid w:val="6F6DD9AC"/>
    <w:multiLevelType w:val="hybridMultilevel"/>
    <w:lvl w:ilvl="0">
      <w:lvlJc w:val="left"/>
      <w:lvlText w:val="(%1)"/>
      <w:numFmt w:val="lowerLetter"/>
      <w:start w:val="1"/>
    </w:lvl>
  </w:abstractNum>
  <w:abstractNum w:abstractNumId="76">
    <w:nsid w:val="94211F2"/>
    <w:multiLevelType w:val="hybridMultilevel"/>
    <w:lvl w:ilvl="0">
      <w:lvlJc w:val="left"/>
      <w:lvlText w:val="(%1)"/>
      <w:numFmt w:val="lowerLetter"/>
      <w:start w:val="1"/>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lowerLetter"/>
      <w:start w:val="3"/>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lowerLetter"/>
      <w:start w:val="1"/>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lowerLetter"/>
      <w:start w:val="1"/>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lowerLetter"/>
      <w:start w:val="2"/>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Letter"/>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lowerRoman"/>
      <w:start w:val="1"/>
    </w:lvl>
  </w:abstractNum>
  <w:abstractNum w:abstractNumId="92">
    <w:nsid w:val="60EF0119"/>
    <w:multiLevelType w:val="hybridMultilevel"/>
    <w:lvl w:ilvl="0">
      <w:lvlJc w:val="left"/>
      <w:lvlText w:val="(%1)"/>
      <w:numFmt w:val="lowerRoman"/>
      <w:start w:val="2"/>
    </w:lvl>
  </w:abstractNum>
  <w:abstractNum w:abstractNumId="93">
    <w:nsid w:val="26F324BA"/>
    <w:multiLevelType w:val="hybridMultilevel"/>
    <w:lvl w:ilvl="0">
      <w:lvlJc w:val="left"/>
      <w:lvlText w:val="(%1)"/>
      <w:numFmt w:val="lowerLetter"/>
    </w:lvl>
    <w:lvl w:ilvl="1">
      <w:lvlJc w:val="left"/>
      <w:lvlText w:val="•"/>
      <w:numFmt w:val="bullet"/>
      <w:start w:val="1"/>
    </w:lvl>
  </w:abstractNum>
  <w:abstractNum w:abstractNumId="94">
    <w:nsid w:val="7F01579B"/>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2026-03-18T15:33:05Z</dcterms:created>
  <dcterms:modified xsi:type="dcterms:W3CDTF">2026-03-18T15:33:05Z</dcterms:modified>
</cp:coreProperties>
</file>