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46" w:lineRule="exact"/>
        <w:rPr>
          <w:sz w:val="24"/>
          <w:szCs w:val="24"/>
          <w:color w:val="auto"/>
        </w:rPr>
      </w:pPr>
    </w:p>
    <w:p>
      <w:pPr>
        <w:ind w:left="4520"/>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ind w:left="21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2636520</wp:posOffset>
            </wp:positionH>
            <wp:positionV relativeFrom="paragraph">
              <wp:posOffset>57785</wp:posOffset>
            </wp:positionV>
            <wp:extent cx="18688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22" w:lineRule="exact"/>
        <w:rPr>
          <w:sz w:val="24"/>
          <w:szCs w:val="24"/>
          <w:color w:val="auto"/>
        </w:rPr>
      </w:pPr>
    </w:p>
    <w:p>
      <w:pPr>
        <w:ind w:left="4400"/>
        <w:spacing w:after="0"/>
        <w:rPr>
          <w:sz w:val="20"/>
          <w:szCs w:val="20"/>
          <w:color w:val="auto"/>
        </w:rPr>
      </w:pPr>
      <w:r>
        <w:rPr>
          <w:rFonts w:ascii="Arial" w:cs="Arial" w:eastAsia="Arial" w:hAnsi="Arial"/>
          <w:sz w:val="32"/>
          <w:szCs w:val="32"/>
          <w:b w:val="1"/>
          <w:bCs w:val="1"/>
          <w:color w:val="auto"/>
        </w:rPr>
        <w:t>SCHEDULE 14A</w:t>
      </w:r>
    </w:p>
    <w:p>
      <w:pPr>
        <w:spacing w:after="0" w:line="85" w:lineRule="exact"/>
        <w:rPr>
          <w:sz w:val="24"/>
          <w:szCs w:val="24"/>
          <w:color w:val="auto"/>
        </w:rPr>
      </w:pPr>
    </w:p>
    <w:tbl>
      <w:tblPr>
        <w:tblLayout w:type="fixed"/>
        <w:tblInd w:w="2740" w:type="dxa"/>
        <w:tblCellMar>
          <w:top w:w="0" w:type="dxa"/>
          <w:left w:w="0" w:type="dxa"/>
          <w:bottom w:w="0" w:type="dxa"/>
          <w:right w:w="0" w:type="dxa"/>
        </w:tblCellMar>
      </w:tblPr>
      <w:tr>
        <w:trPr>
          <w:trHeight w:val="253"/>
        </w:trPr>
        <w:tc>
          <w:tcPr>
            <w:tcW w:w="3500" w:type="dxa"/>
            <w:vAlign w:val="bottom"/>
            <w:gridSpan w:val="2"/>
          </w:tcPr>
          <w:p>
            <w:pPr>
              <w:jc w:val="right"/>
              <w:ind w:right="20"/>
              <w:spacing w:after="0"/>
              <w:rPr>
                <w:sz w:val="20"/>
                <w:szCs w:val="20"/>
                <w:color w:val="auto"/>
              </w:rPr>
            </w:pPr>
            <w:r>
              <w:rPr>
                <w:rFonts w:ascii="Arial" w:cs="Arial" w:eastAsia="Arial" w:hAnsi="Arial"/>
                <w:sz w:val="22"/>
                <w:szCs w:val="22"/>
                <w:color w:val="auto"/>
              </w:rPr>
              <w:t>Proxy Statement Pursuant to</w:t>
            </w:r>
          </w:p>
        </w:tc>
        <w:tc>
          <w:tcPr>
            <w:tcW w:w="1940" w:type="dxa"/>
            <w:vAlign w:val="bottom"/>
            <w:gridSpan w:val="2"/>
          </w:tcPr>
          <w:p>
            <w:pPr>
              <w:ind w:left="40"/>
              <w:spacing w:after="0"/>
              <w:rPr>
                <w:sz w:val="20"/>
                <w:szCs w:val="20"/>
                <w:color w:val="auto"/>
              </w:rPr>
            </w:pPr>
            <w:r>
              <w:rPr>
                <w:rFonts w:ascii="Arial" w:cs="Arial" w:eastAsia="Arial" w:hAnsi="Arial"/>
                <w:sz w:val="22"/>
                <w:szCs w:val="22"/>
                <w:color w:val="auto"/>
              </w:rPr>
              <w:t>Section 14(a) of</w:t>
            </w:r>
          </w:p>
        </w:tc>
        <w:tc>
          <w:tcPr>
            <w:tcW w:w="340" w:type="dxa"/>
            <w:vAlign w:val="bottom"/>
          </w:tcPr>
          <w:p>
            <w:pPr>
              <w:spacing w:after="0"/>
              <w:rPr>
                <w:sz w:val="21"/>
                <w:szCs w:val="21"/>
                <w:color w:val="auto"/>
              </w:rPr>
            </w:pPr>
          </w:p>
        </w:tc>
      </w:tr>
      <w:tr>
        <w:trPr>
          <w:trHeight w:val="283"/>
        </w:trPr>
        <w:tc>
          <w:tcPr>
            <w:tcW w:w="3500" w:type="dxa"/>
            <w:vAlign w:val="bottom"/>
            <w:gridSpan w:val="2"/>
          </w:tcPr>
          <w:p>
            <w:pPr>
              <w:jc w:val="right"/>
              <w:ind w:right="20"/>
              <w:spacing w:after="0"/>
              <w:rPr>
                <w:sz w:val="20"/>
                <w:szCs w:val="20"/>
                <w:color w:val="auto"/>
              </w:rPr>
            </w:pPr>
            <w:r>
              <w:rPr>
                <w:rFonts w:ascii="Arial" w:cs="Arial" w:eastAsia="Arial" w:hAnsi="Arial"/>
                <w:sz w:val="22"/>
                <w:szCs w:val="22"/>
                <w:color w:val="auto"/>
                <w:w w:val="97"/>
              </w:rPr>
              <w:t>the Securities Exchange Act of 1934</w:t>
            </w:r>
          </w:p>
        </w:tc>
        <w:tc>
          <w:tcPr>
            <w:tcW w:w="1940" w:type="dxa"/>
            <w:vAlign w:val="bottom"/>
            <w:gridSpan w:val="2"/>
          </w:tcPr>
          <w:p>
            <w:pPr>
              <w:ind w:left="40"/>
              <w:spacing w:after="0"/>
              <w:rPr>
                <w:sz w:val="20"/>
                <w:szCs w:val="20"/>
                <w:color w:val="auto"/>
              </w:rPr>
            </w:pPr>
            <w:r>
              <w:rPr>
                <w:rFonts w:ascii="Arial" w:cs="Arial" w:eastAsia="Arial" w:hAnsi="Arial"/>
                <w:sz w:val="22"/>
                <w:szCs w:val="22"/>
                <w:color w:val="auto"/>
              </w:rPr>
              <w:t>(Amendment No.</w:t>
            </w:r>
          </w:p>
        </w:tc>
        <w:tc>
          <w:tcPr>
            <w:tcW w:w="34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148"/>
        </w:trPr>
        <w:tc>
          <w:tcPr>
            <w:tcW w:w="1420" w:type="dxa"/>
            <w:vAlign w:val="bottom"/>
          </w:tcPr>
          <w:p>
            <w:pPr>
              <w:spacing w:after="0"/>
              <w:rPr>
                <w:sz w:val="12"/>
                <w:szCs w:val="12"/>
                <w:color w:val="auto"/>
              </w:rPr>
            </w:pPr>
          </w:p>
        </w:tc>
        <w:tc>
          <w:tcPr>
            <w:tcW w:w="20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r>
    </w:tbl>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03"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43"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03"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330" w:lineRule="exact"/>
        <w:rPr>
          <w:sz w:val="24"/>
          <w:szCs w:val="24"/>
          <w:color w:val="auto"/>
        </w:rPr>
      </w:pPr>
    </w:p>
    <w:p>
      <w:pPr>
        <w:jc w:val="center"/>
        <w:ind w:right="-1100"/>
        <w:spacing w:after="0"/>
        <w:rPr>
          <w:sz w:val="20"/>
          <w:szCs w:val="20"/>
          <w:color w:val="auto"/>
        </w:rPr>
      </w:pPr>
      <w:r>
        <w:rPr>
          <w:rFonts w:ascii="Arial" w:cs="Arial" w:eastAsia="Arial" w:hAnsi="Arial"/>
          <w:sz w:val="35"/>
          <w:szCs w:val="35"/>
          <w:b w:val="1"/>
          <w:bCs w:val="1"/>
          <w:color w:val="auto"/>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3" w:lineRule="exact"/>
        <w:rPr>
          <w:sz w:val="24"/>
          <w:szCs w:val="24"/>
          <w:color w:val="auto"/>
        </w:rPr>
      </w:pPr>
    </w:p>
    <w:p>
      <w:pPr>
        <w:ind w:left="402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5"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9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98"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00" w:hanging="392"/>
        <w:spacing w:after="0"/>
        <w:tabs>
          <w:tab w:leader="none" w:pos="4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00" w:hanging="392"/>
        <w:spacing w:after="0"/>
        <w:tabs>
          <w:tab w:leader="none" w:pos="4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1264920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988060</wp:posOffset>
            </wp:positionH>
            <wp:positionV relativeFrom="page">
              <wp:posOffset>937895</wp:posOffset>
            </wp:positionV>
            <wp:extent cx="5572125" cy="71405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572125" cy="7140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5"/>
          <w:szCs w:val="5"/>
          <w:color w:val="FFFFFF"/>
        </w:rPr>
        <w:t>Proxy Statement 2025 and Notice of Annual Meeting California Resources Corporation Carbon Terravault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807085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800100</wp:posOffset>
            </wp:positionV>
            <wp:extent cx="1791335" cy="8743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79133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32"/>
          <w:szCs w:val="32"/>
          <w:color w:val="0075C9"/>
        </w:rPr>
        <w:t>Letter to Shareholders from the Chair of the Board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0075C9"/>
        </w:rPr>
        <w:t>Fellow Shareholders,</w:t>
      </w:r>
    </w:p>
    <w:p>
      <w:pPr>
        <w:spacing w:after="0" w:line="214"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 xml:space="preserve">California Resources exits 2024 as a transformed company – larger, financially stronger and better positioned to capture value for our shareholders. It was a remarkable year of execution across the business and we continue to demonstrate that </w:t>
      </w:r>
      <w:r>
        <w:rPr>
          <w:rFonts w:ascii="Arial" w:cs="Arial" w:eastAsia="Arial" w:hAnsi="Arial"/>
          <w:sz w:val="18"/>
          <w:szCs w:val="18"/>
          <w:b w:val="1"/>
          <w:bCs w:val="1"/>
          <w:i w:val="1"/>
          <w:iCs w:val="1"/>
          <w:color w:val="auto"/>
        </w:rPr>
        <w:t>we are a different kind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energy company</w:t>
      </w:r>
      <w:r>
        <w:rPr>
          <w:rFonts w:ascii="Arial" w:cs="Arial" w:eastAsia="Arial" w:hAnsi="Arial"/>
          <w:sz w:val="18"/>
          <w:szCs w:val="18"/>
          <w:color w:val="auto"/>
        </w:rPr>
        <w:t>.</w:t>
      </w:r>
    </w:p>
    <w:p>
      <w:pPr>
        <w:spacing w:after="0" w:line="91"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Our ongoing success is due to the hard work and commitment of our talented people, proven leadership, and an engaged and active board of directors. We added three new board members in 2024, with two joining us after our Aera Energy, LLC merger. Today, we have a 10-member board with diverse experiences and skill sets across public and private industries, capital markets, power, carbon capture and oil and gas leadership. Eight of our board members qualify as independent directors.</w:t>
      </w:r>
    </w:p>
    <w:p>
      <w:pPr>
        <w:spacing w:after="0" w:line="106"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auto"/>
        </w:rPr>
        <w:t>Our oversight and governance practices serve the shareholder and support the Company’s proven business plan to create long-term shareholder value. CRC’s ongoing success was evident in this year’s strong financial and operating results.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Highlights:</w:t>
      </w:r>
    </w:p>
    <w:p>
      <w:pPr>
        <w:spacing w:after="0" w:line="142" w:lineRule="exact"/>
        <w:rPr>
          <w:sz w:val="20"/>
          <w:szCs w:val="20"/>
          <w:color w:val="auto"/>
        </w:rPr>
      </w:pPr>
    </w:p>
    <w:p>
      <w:pPr>
        <w:jc w:val="both"/>
        <w:ind w:right="480"/>
        <w:spacing w:after="0" w:line="253" w:lineRule="auto"/>
        <w:rPr>
          <w:sz w:val="20"/>
          <w:szCs w:val="20"/>
          <w:color w:val="auto"/>
        </w:rPr>
      </w:pPr>
      <w:r>
        <w:rPr>
          <w:rFonts w:ascii="Arial" w:cs="Arial" w:eastAsia="Arial" w:hAnsi="Arial"/>
          <w:sz w:val="18"/>
          <w:szCs w:val="18"/>
          <w:i w:val="1"/>
          <w:iCs w:val="1"/>
          <w:color w:val="auto"/>
        </w:rPr>
        <w:t xml:space="preserve">The year’s most significant highlight was our merger with Aera Energy. </w:t>
      </w:r>
      <w:r>
        <w:rPr>
          <w:rFonts w:ascii="Arial" w:cs="Arial" w:eastAsia="Arial" w:hAnsi="Arial"/>
          <w:sz w:val="18"/>
          <w:szCs w:val="18"/>
          <w:color w:val="auto"/>
        </w:rPr>
        <w:t>We are now California’s largest oil and gas producer, working to</w:t>
      </w:r>
      <w:r>
        <w:rPr>
          <w:rFonts w:ascii="Arial" w:cs="Arial" w:eastAsia="Arial" w:hAnsi="Arial"/>
          <w:sz w:val="18"/>
          <w:szCs w:val="18"/>
          <w:i w:val="1"/>
          <w:iCs w:val="1"/>
          <w:color w:val="auto"/>
        </w:rPr>
        <w:t xml:space="preserve"> </w:t>
      </w:r>
      <w:r>
        <w:rPr>
          <w:rFonts w:ascii="Arial" w:cs="Arial" w:eastAsia="Arial" w:hAnsi="Arial"/>
          <w:sz w:val="18"/>
          <w:szCs w:val="18"/>
          <w:color w:val="auto"/>
        </w:rPr>
        <w:t>safely and responsibly develop a locally produced product that the Golden State desperately needs. By the end of 2025, CRC will have actioned an estimated $235 million in sustainable synergies, showing again that assets are better under our oversight.</w:t>
      </w:r>
    </w:p>
    <w:p>
      <w:pPr>
        <w:spacing w:after="0" w:line="8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 xml:space="preserve">We achieved our financial objectives. </w:t>
      </w:r>
      <w:r>
        <w:rPr>
          <w:rFonts w:ascii="Arial" w:cs="Arial" w:eastAsia="Arial" w:hAnsi="Arial"/>
          <w:sz w:val="18"/>
          <w:szCs w:val="18"/>
          <w:color w:val="auto"/>
        </w:rPr>
        <w:t>Net cash flow from operating activities was $610 million, with $ 707 million before changes in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liabilities¹ and $355 million in free cash flow¹ in 2024. Notably, our adjusted EBITDAX¹ surpassed $1 billion. We also reported adjusted net income¹ of $317 million, or $3.89 per diluted share. Our conventional assets continued to perform well, with low natural declines supporting a 2024 exit rate gross production of 163 thousand barrels of oil equivalent per day (Mboe/d), with 79% oil. In 2025, we will focus on driving further efficiencies while delivering sustainable financial growth and value creation for our shareholders.</w:t>
      </w:r>
    </w:p>
    <w:p>
      <w:pPr>
        <w:spacing w:after="0" w:line="109" w:lineRule="exact"/>
        <w:rPr>
          <w:sz w:val="20"/>
          <w:szCs w:val="20"/>
          <w:color w:val="auto"/>
        </w:rPr>
      </w:pPr>
    </w:p>
    <w:p>
      <w:pPr>
        <w:jc w:val="both"/>
        <w:spacing w:after="0" w:line="228" w:lineRule="auto"/>
        <w:rPr>
          <w:sz w:val="20"/>
          <w:szCs w:val="20"/>
          <w:color w:val="auto"/>
        </w:rPr>
      </w:pPr>
      <w:r>
        <w:rPr>
          <w:rFonts w:ascii="Arial" w:cs="Arial" w:eastAsia="Arial" w:hAnsi="Arial"/>
          <w:sz w:val="18"/>
          <w:szCs w:val="18"/>
          <w:i w:val="1"/>
          <w:iCs w:val="1"/>
          <w:color w:val="auto"/>
        </w:rPr>
        <w:t xml:space="preserve">Returning capital to shareholders remains core to our value creation strategy. </w:t>
      </w:r>
      <w:r>
        <w:rPr>
          <w:rFonts w:ascii="Arial" w:cs="Arial" w:eastAsia="Arial" w:hAnsi="Arial"/>
          <w:sz w:val="18"/>
          <w:szCs w:val="18"/>
          <w:color w:val="auto"/>
        </w:rPr>
        <w:t>We increased our dividend by 25% and distributed more than</w:t>
      </w:r>
      <w:r>
        <w:rPr>
          <w:rFonts w:ascii="Arial" w:cs="Arial" w:eastAsia="Arial" w:hAnsi="Arial"/>
          <w:sz w:val="18"/>
          <w:szCs w:val="18"/>
          <w:i w:val="1"/>
          <w:iCs w:val="1"/>
          <w:color w:val="auto"/>
        </w:rPr>
        <w:t xml:space="preserve"> </w:t>
      </w:r>
      <w:r>
        <w:rPr>
          <w:rFonts w:ascii="Arial" w:cs="Arial" w:eastAsia="Arial" w:hAnsi="Arial"/>
          <w:sz w:val="18"/>
          <w:szCs w:val="18"/>
          <w:color w:val="auto"/>
        </w:rPr>
        <w:t>85% of free cash flow</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back to shareholders. Since mid-2021, we have returned more than $1.1 billion to stakeholders through share repurchases, dividends and debt reduction.</w:t>
      </w:r>
    </w:p>
    <w:p>
      <w:pPr>
        <w:spacing w:after="0" w:line="11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i w:val="1"/>
          <w:iCs w:val="1"/>
          <w:color w:val="auto"/>
        </w:rPr>
        <w:t>Our carbon management business, Carbon TerraVault (CTV) made significant strides on key milestones to decarbonize California</w:t>
      </w:r>
      <w:r>
        <w:rPr>
          <w:rFonts w:ascii="Arial" w:cs="Arial" w:eastAsia="Arial" w:hAnsi="Arial"/>
          <w:sz w:val="18"/>
          <w:szCs w:val="18"/>
          <w:color w:val="auto"/>
        </w:rPr>
        <w:t>. These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advancing our Elk Hills cryogenic gas plant carbon capture project, a new memorandum of understanding</w:t>
      </w:r>
      <w:r>
        <w:rPr>
          <w:rFonts w:ascii="Arial" w:cs="Arial" w:eastAsia="Arial" w:hAnsi="Arial"/>
          <w:sz w:val="24"/>
          <w:szCs w:val="24"/>
          <w:color w:val="auto"/>
          <w:vertAlign w:val="superscript"/>
        </w:rPr>
        <w:t>2</w:t>
      </w:r>
      <w:r>
        <w:rPr>
          <w:rFonts w:ascii="Arial" w:cs="Arial" w:eastAsia="Arial" w:hAnsi="Arial"/>
          <w:sz w:val="18"/>
          <w:szCs w:val="18"/>
          <w:color w:val="auto"/>
        </w:rPr>
        <w:t xml:space="preserve"> with National Cement for California’s first net zero cement facility and the nation’s first Class VI permit for carbon dioxide injection and storage in depleted oil and gas wells, with seven additional Class VI Permits pending Environmental Protection Agency approval. Combined, we have nearly 9 million metric tons per annum of carbon management projects under consideration</w:t>
      </w:r>
      <w:r>
        <w:rPr>
          <w:rFonts w:ascii="Arial" w:cs="Arial" w:eastAsia="Arial" w:hAnsi="Arial"/>
          <w:sz w:val="24"/>
          <w:szCs w:val="24"/>
          <w:color w:val="auto"/>
          <w:vertAlign w:val="superscript"/>
        </w:rPr>
        <w:t>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795655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ind w:right="20"/>
        <w:spacing w:after="0" w:line="230" w:lineRule="auto"/>
        <w:rPr>
          <w:sz w:val="20"/>
          <w:szCs w:val="20"/>
          <w:color w:val="auto"/>
        </w:rPr>
      </w:pPr>
      <w:r>
        <w:rPr>
          <w:rFonts w:ascii="Arial" w:cs="Arial" w:eastAsia="Arial" w:hAnsi="Arial"/>
          <w:sz w:val="18"/>
          <w:szCs w:val="18"/>
          <w:i w:val="1"/>
          <w:iCs w:val="1"/>
          <w:color w:val="auto"/>
        </w:rPr>
        <w:t xml:space="preserve">Our actions demonstrate our commitment to being a sustainable company. </w:t>
      </w:r>
      <w:r>
        <w:rPr>
          <w:rFonts w:ascii="Arial" w:cs="Arial" w:eastAsia="Arial" w:hAnsi="Arial"/>
          <w:sz w:val="18"/>
          <w:szCs w:val="18"/>
          <w:color w:val="auto"/>
        </w:rPr>
        <w:t>This proxy statement proves that an energy company can be both</w:t>
      </w:r>
      <w:r>
        <w:rPr>
          <w:rFonts w:ascii="Arial" w:cs="Arial" w:eastAsia="Arial" w:hAnsi="Arial"/>
          <w:sz w:val="18"/>
          <w:szCs w:val="18"/>
          <w:i w:val="1"/>
          <w:iCs w:val="1"/>
          <w:color w:val="auto"/>
        </w:rPr>
        <w:t xml:space="preserve"> profitable </w:t>
      </w:r>
      <w:r>
        <w:rPr>
          <w:rFonts w:ascii="Arial" w:cs="Arial" w:eastAsia="Arial" w:hAnsi="Arial"/>
          <w:sz w:val="18"/>
          <w:szCs w:val="18"/>
          <w:color w:val="auto"/>
        </w:rPr>
        <w:t>and</w:t>
      </w:r>
      <w:r>
        <w:rPr>
          <w:rFonts w:ascii="Arial" w:cs="Arial" w:eastAsia="Arial" w:hAnsi="Arial"/>
          <w:sz w:val="18"/>
          <w:szCs w:val="18"/>
          <w:i w:val="1"/>
          <w:iCs w:val="1"/>
          <w:color w:val="auto"/>
        </w:rPr>
        <w:t xml:space="preserve"> sustainable</w:t>
      </w:r>
      <w:r>
        <w:rPr>
          <w:rFonts w:ascii="Arial" w:cs="Arial" w:eastAsia="Arial" w:hAnsi="Arial"/>
          <w:sz w:val="18"/>
          <w:szCs w:val="18"/>
          <w:color w:val="auto"/>
        </w:rPr>
        <w:t>. Among other highlights, we received MiQ “Grade A” certification for methane emissions performance in the LA</w:t>
      </w:r>
      <w:r>
        <w:rPr>
          <w:rFonts w:ascii="Arial" w:cs="Arial" w:eastAsia="Arial" w:hAnsi="Arial"/>
          <w:sz w:val="18"/>
          <w:szCs w:val="18"/>
          <w:i w:val="1"/>
          <w:iCs w:val="1"/>
          <w:color w:val="auto"/>
        </w:rPr>
        <w:t xml:space="preserve"> </w:t>
      </w:r>
      <w:r>
        <w:rPr>
          <w:rFonts w:ascii="Arial" w:cs="Arial" w:eastAsia="Arial" w:hAnsi="Arial"/>
          <w:sz w:val="18"/>
          <w:szCs w:val="18"/>
          <w:color w:val="auto"/>
        </w:rPr>
        <w:t>Basin; maintained our culture of safety with a TRIR</w:t>
      </w:r>
      <w:r>
        <w:rPr>
          <w:rFonts w:ascii="Arial" w:cs="Arial" w:eastAsia="Arial" w:hAnsi="Arial"/>
          <w:sz w:val="24"/>
          <w:szCs w:val="24"/>
          <w:color w:val="auto"/>
          <w:vertAlign w:val="superscript"/>
        </w:rPr>
        <w:t>4</w:t>
      </w:r>
      <w:r>
        <w:rPr>
          <w:rFonts w:ascii="Arial" w:cs="Arial" w:eastAsia="Arial" w:hAnsi="Arial"/>
          <w:sz w:val="18"/>
          <w:szCs w:val="18"/>
          <w:color w:val="auto"/>
        </w:rPr>
        <w:t xml:space="preserve"> of 0.39 post our Aera merger; and, supported more than 150 non-profits with monetary and volunteer efforts. We “walk the talk” with a substantial portion of the executive annual incentive relating to company performance tied to carbon management, safety, and environmental stewardship.</w:t>
      </w:r>
    </w:p>
    <w:p>
      <w:pPr>
        <w:spacing w:after="0" w:line="103"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 xml:space="preserve">We are optimistic as we enter 2025. Our business is uniquely positioned to deliver exceptional results from our conventional oil and gas assets with an increased focus on meaningful power and carbon management growth opportunities while helping lead decarbonization efforts in California. </w:t>
      </w:r>
      <w:r>
        <w:rPr>
          <w:rFonts w:ascii="Arial" w:cs="Arial" w:eastAsia="Arial" w:hAnsi="Arial"/>
          <w:sz w:val="18"/>
          <w:szCs w:val="18"/>
          <w:b w:val="1"/>
          <w:bCs w:val="1"/>
          <w:color w:val="auto"/>
        </w:rPr>
        <w:t>We see significant value in our integrated asset portfolio – and we have the team in place today to unlock 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appreciate your investment in CRC.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920240"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2024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Tiffany (TJ) Thom Cepak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Independent Chair of the Board</w:t>
      </w:r>
    </w:p>
    <w:p>
      <w:pPr>
        <w:spacing w:after="0"/>
        <w:rPr>
          <w:sz w:val="20"/>
          <w:szCs w:val="20"/>
          <w:color w:val="auto"/>
        </w:rPr>
      </w:pPr>
      <w:r>
        <w:rPr>
          <w:rFonts w:ascii="Arial" w:cs="Arial" w:eastAsia="Arial" w:hAnsi="Arial"/>
          <w:sz w:val="18"/>
          <w:szCs w:val="18"/>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w:t>
      </w:r>
    </w:p>
    <w:p>
      <w:pPr>
        <w:spacing w:after="0" w:line="100"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Represents a non-GAAP measure. For all historical non-GAAP financial measures please see the Investor Relations page at www.crc.com for a reconciliation to the nearest GAAP equivalent and other additional information. Free cash flow is equal to net cash provided (used) by operating activities less capital investments.</w:t>
      </w:r>
    </w:p>
    <w:p>
      <w:pPr>
        <w:spacing w:after="0" w:line="165" w:lineRule="exact"/>
        <w:rPr>
          <w:sz w:val="20"/>
          <w:szCs w:val="20"/>
          <w:color w:val="auto"/>
        </w:rPr>
      </w:pPr>
    </w:p>
    <w:p>
      <w:pPr>
        <w:jc w:val="both"/>
        <w:ind w:right="40"/>
        <w:spacing w:after="0" w:line="238" w:lineRule="auto"/>
        <w:rPr>
          <w:sz w:val="20"/>
          <w:szCs w:val="20"/>
          <w:color w:val="auto"/>
        </w:rPr>
      </w:pPr>
      <w:r>
        <w:rPr>
          <w:rFonts w:ascii="Arial" w:cs="Arial" w:eastAsia="Arial" w:hAnsi="Arial"/>
          <w:sz w:val="21"/>
          <w:szCs w:val="21"/>
          <w:color w:val="auto"/>
          <w:vertAlign w:val="superscript"/>
        </w:rPr>
        <w:t>2</w:t>
      </w:r>
      <w:r>
        <w:rPr>
          <w:rFonts w:ascii="Arial" w:cs="Arial" w:eastAsia="Arial" w:hAnsi="Arial"/>
          <w:sz w:val="16"/>
          <w:szCs w:val="16"/>
          <w:color w:val="auto"/>
        </w:rPr>
        <w:t>MOUs and CDMAs are non-binding agreements. The projects and transactions described in an MOU or CDMA are subject to certain conditions precedent, typically including the negotiation of definitive documents, a final investment decision by the parties and receipt of EPA Class VI permits and other regulatory approvals.</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3</w:t>
      </w:r>
      <w:r>
        <w:rPr>
          <w:rFonts w:ascii="Arial" w:cs="Arial" w:eastAsia="Arial" w:hAnsi="Arial"/>
          <w:sz w:val="16"/>
          <w:szCs w:val="16"/>
          <w:color w:val="auto"/>
        </w:rPr>
        <w:t>Please see CRC’s 4Q24 earnings presentation for a complete list of CRC’s CCS projects under consideration.</w:t>
      </w:r>
    </w:p>
    <w:p>
      <w:pPr>
        <w:spacing w:after="0" w:line="137"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4</w:t>
      </w:r>
      <w:r>
        <w:rPr>
          <w:rFonts w:ascii="Arial" w:cs="Arial" w:eastAsia="Arial" w:hAnsi="Arial"/>
          <w:sz w:val="16"/>
          <w:szCs w:val="16"/>
          <w:color w:val="auto"/>
        </w:rPr>
        <w:t>Total Recordable Incident Rate (TRIR) calculated as recordable incidents per 200,000 hours for all workers (employees and contractors).</w:t>
      </w:r>
    </w:p>
    <w:p>
      <w:pPr>
        <w:spacing w:after="0" w:line="150"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 xml:space="preserve">PLEASE NOTE: This letter and the Proxy Statement contain forward-looking statements within the meaning of Section 27A of the Securities Act of 1933 and Section 21E of the Securities Exchange Act of 1934. All statements other than historical facts are forward-looking statements, and include statements regarding our future financial position, business strategy, projected revenues, earnings, costs, capital expenditures and plans and objectives of management for the future. The forward-looking statements herein involve risks and uncertainties that could materially affect our expected results of operations, liquidity, cash flows and business prospects. For a discussion of these risks and uncertainties, please refer to the “Risk Factors” and “Forward-Looking Statements” described in our Annual Report on Form 10-K. Words such as “expect,”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 Such forward-looking </w:t>
      </w:r>
      <w:r>
        <w:rPr>
          <w:rFonts w:ascii="Arial" w:cs="Arial" w:eastAsia="Arial" w:hAnsi="Arial"/>
          <w:sz w:val="16"/>
          <w:szCs w:val="16"/>
          <w:color w:val="262626"/>
        </w:rPr>
        <w:t>statements are based on management's expectations as of the date of this filing, unless</w:t>
      </w:r>
      <w:r>
        <w:rPr>
          <w:rFonts w:ascii="Arial" w:cs="Arial" w:eastAsia="Arial" w:hAnsi="Arial"/>
          <w:sz w:val="16"/>
          <w:szCs w:val="16"/>
          <w:color w:val="auto"/>
        </w:rPr>
        <w:t xml:space="preserve"> </w:t>
      </w:r>
      <w:r>
        <w:rPr>
          <w:rFonts w:ascii="Arial" w:cs="Arial" w:eastAsia="Arial" w:hAnsi="Arial"/>
          <w:sz w:val="16"/>
          <w:szCs w:val="16"/>
          <w:color w:val="262626"/>
        </w:rPr>
        <w:t xml:space="preserve">an earlier date is specified, and involve many risks and uncertainties that could cause our actual results to differ materially from those expressed or implied in our forward-looking statements. Given these risks and uncertainties, readers are cautioned not to place undue reliance on such forward-looking statements. Readers are urged to carefully review and consider the various disclosures made in our Form 10-K and in other documents we file from time to time with the SEC that disclose risks and uncertainties that may affect our business. </w:t>
      </w:r>
      <w:r>
        <w:rPr>
          <w:rFonts w:ascii="Arial" w:cs="Arial" w:eastAsia="Arial" w:hAnsi="Arial"/>
          <w:sz w:val="16"/>
          <w:szCs w:val="16"/>
          <w:color w:val="000000"/>
        </w:rPr>
        <w:t>Any forward-looking statement speaks only as of the date on which</w:t>
      </w:r>
      <w:r>
        <w:rPr>
          <w:rFonts w:ascii="Arial" w:cs="Arial" w:eastAsia="Arial" w:hAnsi="Arial"/>
          <w:sz w:val="16"/>
          <w:szCs w:val="16"/>
          <w:color w:val="262626"/>
        </w:rPr>
        <w:t xml:space="preserve"> </w:t>
      </w:r>
      <w:r>
        <w:rPr>
          <w:rFonts w:ascii="Arial" w:cs="Arial" w:eastAsia="Arial" w:hAnsi="Arial"/>
          <w:sz w:val="16"/>
          <w:szCs w:val="16"/>
          <w:color w:val="000000"/>
        </w:rPr>
        <w:t>such statement is made and we undertake no obligation and expressly disclaim any duty to correct or update any forward-looking statement, except as required by applicable law.</w:t>
      </w:r>
    </w:p>
    <w:p>
      <w:pPr>
        <w:spacing w:after="0" w:line="228"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We have included in this letter and the Proxy Statement certain voluntary disclosures regarding our sustainability goals, Sustainability Reports and related matters because we believe these matters are of interest to our investors; however,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729615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4" w:name="page5"/>
    <w:bookmarkEnd w:id="4"/>
    <w:p>
      <w:pPr>
        <w:spacing w:after="0" w:line="49"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do not believe these disclosures are “material” as that concept is defined by or construed in accordance with the securities laws or any other laws of the U.S. or any other jurisdiction, or as that concept is used in the context of financial statements and financial reporting. These disclosures speak only as of the date on which they are made, and we undertake no obligation and expressly disclaim any duty to correct or update such disclosures, whether as a result of new information, future events or otherwise, except as required by applicable law. Additionally, please note that these disclosures are for information purposes only, and no information found and/or provided in the Company’s Sustainability Reports or on the Company’s website in general is intended or deemed to be incorporated by reference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754380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826135</wp:posOffset>
            </wp:positionV>
            <wp:extent cx="1791335" cy="874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791335" cy="87439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FFFFFF"/>
        </w:rPr>
        <w:t>California Resources Corporation</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6"/>
          <w:szCs w:val="16"/>
          <w:color w:val="7F7F7F"/>
        </w:rPr>
        <w:t>1 World Trade Center, Suite 1500 | Long Beach | California 90831</w:t>
      </w:r>
    </w:p>
    <w:p>
      <w:pPr>
        <w:spacing w:after="0" w:line="50" w:lineRule="exact"/>
        <w:rPr>
          <w:sz w:val="20"/>
          <w:szCs w:val="20"/>
          <w:color w:val="auto"/>
        </w:rPr>
      </w:pPr>
    </w:p>
    <w:p>
      <w:pPr>
        <w:spacing w:after="0"/>
        <w:rPr>
          <w:sz w:val="20"/>
          <w:szCs w:val="20"/>
          <w:color w:val="auto"/>
        </w:rPr>
      </w:pPr>
      <w:r>
        <w:rPr>
          <w:rFonts w:ascii="Arial" w:cs="Arial" w:eastAsia="Arial" w:hAnsi="Arial"/>
          <w:sz w:val="4"/>
          <w:szCs w:val="4"/>
          <w:color w:val="FFFFFF"/>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32"/>
          <w:szCs w:val="32"/>
          <w:color w:val="0075C9"/>
        </w:rPr>
        <w:t>Notice of the 2025 Annual Meeting of Stockholders</w:t>
      </w:r>
    </w:p>
    <w:p>
      <w:pPr>
        <w:sectPr>
          <w:pgSz w:w="11900" w:h="16838" w:orient="portrait"/>
          <w:cols w:equalWidth="0" w:num="1">
            <w:col w:w="11160"/>
          </w:cols>
          <w:pgMar w:left="320" w:top="1440" w:right="419" w:bottom="1440" w:gutter="0" w:footer="0" w:header="0"/>
        </w:sect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7"/>
          <w:szCs w:val="17"/>
          <w:color w:val="0075C9"/>
        </w:rPr>
        <w:t>Meeting Date:</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May 2, 2025</w:t>
      </w:r>
    </w:p>
    <w:p>
      <w:pPr>
        <w:spacing w:after="0" w:line="88" w:lineRule="exact"/>
        <w:rPr>
          <w:sz w:val="20"/>
          <w:szCs w:val="20"/>
          <w:color w:val="auto"/>
        </w:rPr>
      </w:pPr>
    </w:p>
    <w:p>
      <w:pPr>
        <w:sectPr>
          <w:pgSz w:w="11900" w:h="16838" w:orient="portrait"/>
          <w:cols w:equalWidth="0" w:num="2">
            <w:col w:w="1300" w:space="720"/>
            <w:col w:w="9140"/>
          </w:cols>
          <w:pgMar w:left="320" w:top="1440" w:right="419" w:bottom="1440" w:gutter="0" w:footer="0" w:header="0"/>
          <w:type w:val="continuous"/>
        </w:sectPr>
      </w:pPr>
    </w:p>
    <w:p>
      <w:pPr>
        <w:ind w:left="20"/>
        <w:spacing w:after="0"/>
        <w:rPr>
          <w:sz w:val="20"/>
          <w:szCs w:val="20"/>
          <w:color w:val="auto"/>
        </w:rPr>
      </w:pPr>
      <w:r>
        <w:rPr>
          <w:rFonts w:ascii="Arial" w:cs="Arial" w:eastAsia="Arial" w:hAnsi="Arial"/>
          <w:sz w:val="17"/>
          <w:szCs w:val="17"/>
          <w:color w:val="0075C9"/>
        </w:rPr>
        <w:t>Meeting 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11:00 a.m., Pacific Time</w:t>
      </w:r>
    </w:p>
    <w:p>
      <w:pPr>
        <w:spacing w:after="0" w:line="88" w:lineRule="exact"/>
        <w:rPr>
          <w:sz w:val="20"/>
          <w:szCs w:val="20"/>
          <w:color w:val="auto"/>
        </w:rPr>
      </w:pPr>
    </w:p>
    <w:p>
      <w:pPr>
        <w:sectPr>
          <w:pgSz w:w="11900" w:h="16838" w:orient="portrait"/>
          <w:cols w:equalWidth="0" w:num="2">
            <w:col w:w="1300" w:space="720"/>
            <w:col w:w="9140"/>
          </w:cols>
          <w:pgMar w:left="320" w:top="1440" w:right="419" w:bottom="1440" w:gutter="0" w:footer="0" w:header="0"/>
          <w:type w:val="continuous"/>
        </w:sectPr>
      </w:pPr>
    </w:p>
    <w:p>
      <w:pPr>
        <w:ind w:left="20"/>
        <w:spacing w:after="0"/>
        <w:rPr>
          <w:sz w:val="20"/>
          <w:szCs w:val="20"/>
          <w:color w:val="auto"/>
        </w:rPr>
      </w:pPr>
      <w:r>
        <w:rPr>
          <w:rFonts w:ascii="Arial" w:cs="Arial" w:eastAsia="Arial" w:hAnsi="Arial"/>
          <w:sz w:val="18"/>
          <w:szCs w:val="18"/>
          <w:color w:val="0075C9"/>
        </w:rPr>
        <w:t>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Virtual meeting at https://www.virtualshareholdermeeting.com/CRC2025</w:t>
      </w:r>
    </w:p>
    <w:p>
      <w:pPr>
        <w:spacing w:after="0" w:line="88" w:lineRule="exact"/>
        <w:rPr>
          <w:sz w:val="20"/>
          <w:szCs w:val="20"/>
          <w:color w:val="auto"/>
        </w:rPr>
      </w:pPr>
    </w:p>
    <w:p>
      <w:pPr>
        <w:sectPr>
          <w:pgSz w:w="11900" w:h="16838" w:orient="portrait"/>
          <w:cols w:equalWidth="0" w:num="2">
            <w:col w:w="1300" w:space="720"/>
            <w:col w:w="9140"/>
          </w:cols>
          <w:pgMar w:left="320" w:top="1440" w:right="419" w:bottom="1440" w:gutter="0" w:footer="0" w:header="0"/>
          <w:type w:val="continuous"/>
        </w:sectPr>
      </w:pPr>
    </w:p>
    <w:p>
      <w:pPr>
        <w:ind w:left="20"/>
        <w:spacing w:after="0"/>
        <w:rPr>
          <w:sz w:val="20"/>
          <w:szCs w:val="20"/>
          <w:color w:val="auto"/>
        </w:rPr>
      </w:pPr>
      <w:r>
        <w:rPr>
          <w:rFonts w:ascii="Arial" w:cs="Arial" w:eastAsia="Arial" w:hAnsi="Arial"/>
          <w:sz w:val="17"/>
          <w:szCs w:val="17"/>
          <w:color w:val="0075C9"/>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March 10, 2025</w:t>
      </w:r>
    </w:p>
    <w:p>
      <w:pPr>
        <w:spacing w:after="0" w:line="200" w:lineRule="exact"/>
        <w:rPr>
          <w:sz w:val="20"/>
          <w:szCs w:val="20"/>
          <w:color w:val="auto"/>
        </w:rPr>
      </w:pPr>
    </w:p>
    <w:p>
      <w:pPr>
        <w:sectPr>
          <w:pgSz w:w="11900" w:h="16838" w:orient="portrait"/>
          <w:cols w:equalWidth="0" w:num="2">
            <w:col w:w="1300" w:space="720"/>
            <w:col w:w="9140"/>
          </w:cols>
          <w:pgMar w:left="320" w:top="1440" w:right="419"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Purposes of the 2025 annual meeting of stockholders:</w:t>
      </w:r>
    </w:p>
    <w:p>
      <w:pPr>
        <w:spacing w:after="0" w:line="212" w:lineRule="exact"/>
        <w:rPr>
          <w:sz w:val="20"/>
          <w:szCs w:val="20"/>
          <w:color w:val="auto"/>
        </w:rPr>
      </w:pPr>
    </w:p>
    <w:p>
      <w:pPr>
        <w:ind w:left="760" w:hanging="542"/>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ten director nominees named in this proxy statement, each for a one-year term;</w:t>
      </w:r>
    </w:p>
    <w:p>
      <w:pPr>
        <w:spacing w:after="0" w:line="103" w:lineRule="exact"/>
        <w:rPr>
          <w:rFonts w:ascii="Arial" w:cs="Arial" w:eastAsia="Arial" w:hAnsi="Arial"/>
          <w:sz w:val="18"/>
          <w:szCs w:val="18"/>
          <w:color w:val="auto"/>
        </w:rPr>
      </w:pPr>
    </w:p>
    <w:p>
      <w:pPr>
        <w:ind w:left="760" w:right="300" w:hanging="542"/>
        <w:spacing w:after="0" w:line="27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KPMG LLP as our independent registered public accounting firm for the year ending December 31, 2025; and</w:t>
      </w:r>
    </w:p>
    <w:p>
      <w:pPr>
        <w:spacing w:after="0" w:line="45" w:lineRule="exact"/>
        <w:rPr>
          <w:rFonts w:ascii="Arial" w:cs="Arial" w:eastAsia="Arial" w:hAnsi="Arial"/>
          <w:sz w:val="18"/>
          <w:szCs w:val="18"/>
          <w:color w:val="auto"/>
        </w:rPr>
      </w:pPr>
    </w:p>
    <w:p>
      <w:pPr>
        <w:ind w:left="760" w:hanging="542"/>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hold an advisory vote to approve named executive officer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relevant to these matters is set forth in the accompanying proxy statement.</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close of business on March 10, 2025, was fixed as the record date for the determination of stockholders entitled to receive notice of and to vote at the annual meeting or any adjournment or postponement thereof. Only our stockholders of record or their legal proxy holders as of the record date or our invited guests may attend the annual meeting.</w:t>
      </w:r>
    </w:p>
    <w:p>
      <w:pPr>
        <w:spacing w:after="0" w:line="169"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 annual meeting will be held in a virtual meeting format only at https://www.virtualshareholdermeeting.com/CRC2025. You will not be able to attend the annual meeting in person. If you wish to attend the annual meeting, you must follow the instructions under “Attending the Annual Meeting” on page 67 of the proxy statement. We have also provided information regarding how stockholders can engage during the annual meeting, including how they can vote, ask questions, request technical support and access information following the annual meeting within this proxy statement.</w:t>
      </w:r>
    </w:p>
    <w:p>
      <w:pPr>
        <w:spacing w:after="0" w:line="176"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Beginning on March 19, 2025, we mailed a Notice of Internet Availability of Proxy Materials to our stockholders containing instructions on how to access the proxy statement and vote online and made our proxy materials available to our stockholders over the Internet.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345565" cy="282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4556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Michael L. Preston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Strategy Officer and General Counsel</w:t>
      </w: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6" w:name="page7"/>
    <w:bookmarkEnd w:id="6"/>
    <w:p>
      <w:pPr>
        <w:spacing w:after="0"/>
        <w:rPr>
          <w:sz w:val="20"/>
          <w:szCs w:val="20"/>
          <w:color w:val="auto"/>
        </w:rPr>
      </w:pPr>
      <w:r>
        <w:rPr>
          <w:rFonts w:ascii="Arial" w:cs="Arial" w:eastAsia="Arial" w:hAnsi="Arial"/>
          <w:sz w:val="32"/>
          <w:szCs w:val="32"/>
          <w:color w:val="0075C9"/>
        </w:rPr>
        <w:t>IMPORTANT VOTING INFORMATION</w:t>
      </w:r>
    </w:p>
    <w:p>
      <w:pPr>
        <w:spacing w:after="0" w:line="12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If you owned shares of our common stock at the close of business on March 10, 2025, you are entitled to one vote per share upon each matter presented at our 2025 annual meeting of stockholders to be held on May 2, 2025. In order for stockholders whose shares were held in an account at a brokerage firm, bank or other nominee (i.e., in “street name”) as of March 10, 2025, to vote their shares at the 2025 annual meeting, they will need to obtain a legal proxy from the broker, bank or other nominee that holds their shares authorizing them to vote at the annual meeting.</w:t>
      </w:r>
    </w:p>
    <w:p>
      <w:pPr>
        <w:spacing w:after="0" w:line="176"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If you hold shares in “street name,” unless you provide specific instructions by completing and returning the voting instruction form or following the instructions provided to you to vote your shares via telephone or the Internet, your broker is only permitted to vote on your behalf on ratification of the appointment of KPMG LLP as our independent registered public accounting firm for fiscal year 2025, and may not vote on the election of directors and other matters to be considered at the annual meeting. For your vote to be recognized, you will need to communicate your voting decisions to your broker, bank or other nominee before the date of the annual meeting.</w:t>
      </w:r>
    </w:p>
    <w:p>
      <w:pPr>
        <w:spacing w:after="0" w:line="275" w:lineRule="exact"/>
        <w:rPr>
          <w:sz w:val="20"/>
          <w:szCs w:val="20"/>
          <w:color w:val="auto"/>
        </w:rPr>
      </w:pPr>
    </w:p>
    <w:p>
      <w:pPr>
        <w:spacing w:after="0"/>
        <w:rPr>
          <w:sz w:val="20"/>
          <w:szCs w:val="20"/>
          <w:color w:val="auto"/>
        </w:rPr>
      </w:pPr>
      <w:r>
        <w:rPr>
          <w:rFonts w:ascii="Arial" w:cs="Arial" w:eastAsia="Arial" w:hAnsi="Arial"/>
          <w:sz w:val="32"/>
          <w:szCs w:val="32"/>
          <w:color w:val="0075C9"/>
        </w:rPr>
        <w:t>YOUR VOTE IS IMPORTANT</w:t>
      </w:r>
    </w:p>
    <w:p>
      <w:pPr>
        <w:spacing w:after="0" w:line="127"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Your vote is important. Our Board of Directors strongly encourages you to exercise your right to vote. Voting early helps ensure that we receive a quorum of shares necessary to hold the annual meeting.</w:t>
      </w:r>
    </w:p>
    <w:p>
      <w:pPr>
        <w:spacing w:after="0" w:line="252" w:lineRule="exact"/>
        <w:rPr>
          <w:sz w:val="20"/>
          <w:szCs w:val="20"/>
          <w:color w:val="auto"/>
        </w:rPr>
      </w:pPr>
    </w:p>
    <w:p>
      <w:pPr>
        <w:spacing w:after="0"/>
        <w:rPr>
          <w:sz w:val="20"/>
          <w:szCs w:val="20"/>
          <w:color w:val="auto"/>
        </w:rPr>
      </w:pPr>
      <w:r>
        <w:rPr>
          <w:rFonts w:ascii="Arial" w:cs="Arial" w:eastAsia="Arial" w:hAnsi="Arial"/>
          <w:sz w:val="32"/>
          <w:szCs w:val="32"/>
          <w:color w:val="0075C9"/>
        </w:rPr>
        <w:t>QUESTIONS</w:t>
      </w:r>
    </w:p>
    <w:p>
      <w:pPr>
        <w:spacing w:after="0" w:line="127"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 xml:space="preserve">If you have any questions about the proxy voting process, please contact Broadridge at (800) 579-1639. The Securities and Exchange Commission also has a website </w:t>
      </w:r>
      <w:r>
        <w:rPr>
          <w:rFonts w:ascii="Arial" w:cs="Arial" w:eastAsia="Arial" w:hAnsi="Arial"/>
          <w:sz w:val="17"/>
          <w:szCs w:val="17"/>
          <w:color w:val="auto"/>
        </w:rPr>
        <w:t>(https://www.sec.gov/spotlight/proxymatters)</w:t>
      </w:r>
      <w:r>
        <w:rPr>
          <w:rFonts w:ascii="Arial" w:cs="Arial" w:eastAsia="Arial" w:hAnsi="Arial"/>
          <w:sz w:val="18"/>
          <w:szCs w:val="18"/>
          <w:color w:val="auto"/>
        </w:rPr>
        <w:t xml:space="preserve"> with more information about your rights as a stockholder. You also may contact our Investor Relations Department by phone at (818) 661-3731 or by e-mail at IR@crc.com.</w:t>
      </w:r>
    </w:p>
    <w:p>
      <w:pPr>
        <w:spacing w:after="0" w:line="268" w:lineRule="exact"/>
        <w:rPr>
          <w:sz w:val="20"/>
          <w:szCs w:val="20"/>
          <w:color w:val="auto"/>
        </w:rPr>
      </w:pPr>
    </w:p>
    <w:p>
      <w:pPr>
        <w:spacing w:after="0"/>
        <w:rPr>
          <w:sz w:val="20"/>
          <w:szCs w:val="20"/>
          <w:color w:val="auto"/>
        </w:rPr>
      </w:pPr>
      <w:r>
        <w:rPr>
          <w:rFonts w:ascii="Arial" w:cs="Arial" w:eastAsia="Arial" w:hAnsi="Arial"/>
          <w:sz w:val="32"/>
          <w:szCs w:val="32"/>
          <w:color w:val="0075C9"/>
        </w:rPr>
        <w:t>ATTENDING THE ANNUAL MEETING</w:t>
      </w:r>
    </w:p>
    <w:p>
      <w:pPr>
        <w:spacing w:after="0" w:line="1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annual meeting will be held in a virtual meeting format only at https://www.virtualshareholdermeeting.com/CRC2025. You will not be able to attend the annual meeting in person. If you wish to attend the annual meeting, you must follow the instructions under “Attending the Annual Meeting” on page 67 of the proxy statement.</w:t>
      </w:r>
    </w:p>
    <w:p>
      <w:pPr>
        <w:spacing w:after="0" w:line="159" w:lineRule="exact"/>
        <w:rPr>
          <w:sz w:val="20"/>
          <w:szCs w:val="20"/>
          <w:color w:val="auto"/>
        </w:rPr>
      </w:pPr>
    </w:p>
    <w:p>
      <w:pPr>
        <w:jc w:val="center"/>
        <w:ind w:left="340" w:right="2060"/>
        <w:spacing w:after="0" w:line="251" w:lineRule="auto"/>
        <w:rPr>
          <w:sz w:val="20"/>
          <w:szCs w:val="20"/>
          <w:color w:val="auto"/>
        </w:rPr>
      </w:pPr>
      <w:r>
        <w:rPr>
          <w:rFonts w:ascii="Arial" w:cs="Arial" w:eastAsia="Arial" w:hAnsi="Arial"/>
          <w:sz w:val="22"/>
          <w:szCs w:val="22"/>
          <w:b w:val="1"/>
          <w:bCs w:val="1"/>
          <w:color w:val="0075C9"/>
        </w:rPr>
        <w:t>IMPORTANT NOTICE REGARDING THE INTERNET AVAILABILITY OF PROXY MATERIALS FOR THE STOCKHOLDER MEETING TO BE HELD ON MAY 2, 2025</w:t>
      </w:r>
    </w:p>
    <w:p>
      <w:pPr>
        <w:spacing w:after="0" w:line="120" w:lineRule="exact"/>
        <w:rPr>
          <w:sz w:val="20"/>
          <w:szCs w:val="20"/>
          <w:color w:val="auto"/>
        </w:rPr>
      </w:pPr>
    </w:p>
    <w:p>
      <w:pPr>
        <w:jc w:val="both"/>
        <w:ind w:right="40"/>
        <w:spacing w:after="0" w:line="250" w:lineRule="auto"/>
        <w:rPr>
          <w:sz w:val="20"/>
          <w:szCs w:val="20"/>
          <w:color w:val="auto"/>
        </w:rPr>
      </w:pPr>
      <w:r>
        <w:rPr>
          <w:rFonts w:ascii="Arial" w:cs="Arial" w:eastAsia="Arial" w:hAnsi="Arial"/>
          <w:sz w:val="18"/>
          <w:szCs w:val="18"/>
          <w:b w:val="1"/>
          <w:bCs w:val="1"/>
          <w:color w:val="auto"/>
        </w:rPr>
        <w:t>The Notice of the 2025 Annual Meeting of Stockholders, the Proxy Statement for the 2025 Annual Meeting of Stockholders and the 2024 Annual Report to Stockholders (which includes the Annual Report on Form 10-K for the fiscal year ended December 31, 2024) of California Resources Corporation are available at http://www.proxyvote.com. You will need the 16-digit control number included on the Notice that was mailed to you, on your proxy card or on the instructions that accompanied your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737235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2"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91"/>
        </w:trPr>
        <w:tc>
          <w:tcPr>
            <w:tcW w:w="2140" w:type="dxa"/>
            <w:vAlign w:val="bottom"/>
            <w:tcBorders>
              <w:bottom w:val="single" w:sz="8" w:color="0075C9"/>
              <w:right w:val="single" w:sz="8" w:color="0075C9"/>
            </w:tcBorders>
            <w:gridSpan w:val="22"/>
            <w:shd w:val="clear" w:color="auto" w:fill="0075C9"/>
          </w:tcPr>
          <w:p>
            <w:pPr>
              <w:spacing w:after="0"/>
              <w:rPr>
                <w:sz w:val="24"/>
                <w:szCs w:val="24"/>
                <w:color w:val="auto"/>
              </w:rPr>
            </w:pPr>
          </w:p>
        </w:tc>
        <w:tc>
          <w:tcPr>
            <w:tcW w:w="9100" w:type="dxa"/>
            <w:vAlign w:val="bottom"/>
            <w:tcBorders>
              <w:bottom w:val="single" w:sz="8" w:color="0075C9"/>
            </w:tcBorders>
            <w:gridSpan w:val="44"/>
            <w:shd w:val="clear" w:color="auto" w:fill="0075C9"/>
          </w:tcPr>
          <w:p>
            <w:pPr>
              <w:spacing w:after="0"/>
              <w:rPr>
                <w:sz w:val="20"/>
                <w:szCs w:val="20"/>
                <w:color w:val="auto"/>
              </w:rPr>
            </w:pPr>
            <w:r>
              <w:rPr>
                <w:rFonts w:ascii="Arial" w:cs="Arial" w:eastAsia="Arial" w:hAnsi="Arial"/>
                <w:sz w:val="18"/>
                <w:szCs w:val="18"/>
                <w:b w:val="1"/>
                <w:bCs w:val="1"/>
                <w:color w:val="FFFFFF"/>
              </w:rPr>
              <w:t>2025 PROXY STATEMENT</w:t>
            </w:r>
          </w:p>
        </w:tc>
      </w:tr>
      <w:tr>
        <w:trPr>
          <w:trHeight w:val="194"/>
        </w:trPr>
        <w:tc>
          <w:tcPr>
            <w:tcW w:w="11240" w:type="dxa"/>
            <w:vAlign w:val="bottom"/>
            <w:gridSpan w:val="66"/>
          </w:tcPr>
          <w:p>
            <w:pPr>
              <w:spacing w:after="0"/>
              <w:rPr>
                <w:sz w:val="20"/>
                <w:szCs w:val="20"/>
                <w:color w:val="auto"/>
              </w:rPr>
            </w:pPr>
            <w:r>
              <w:rPr>
                <w:rFonts w:ascii="Arial" w:cs="Arial" w:eastAsia="Arial" w:hAnsi="Arial"/>
                <w:sz w:val="14"/>
                <w:szCs w:val="14"/>
                <w:color w:val="auto"/>
              </w:rPr>
              <w:t>Table Of Contents</w:t>
            </w:r>
          </w:p>
        </w:tc>
      </w:tr>
      <w:tr>
        <w:trPr>
          <w:trHeight w:val="598"/>
        </w:trPr>
        <w:tc>
          <w:tcPr>
            <w:tcW w:w="7820" w:type="dxa"/>
            <w:vAlign w:val="bottom"/>
            <w:gridSpan w:val="65"/>
          </w:tcPr>
          <w:p>
            <w:pPr>
              <w:spacing w:after="0"/>
              <w:rPr>
                <w:sz w:val="20"/>
                <w:szCs w:val="20"/>
                <w:color w:val="auto"/>
              </w:rPr>
            </w:pPr>
            <w:r>
              <w:rPr>
                <w:rFonts w:ascii="Arial" w:cs="Arial" w:eastAsia="Arial" w:hAnsi="Arial"/>
                <w:sz w:val="32"/>
                <w:szCs w:val="32"/>
                <w:color w:val="0075C9"/>
              </w:rPr>
              <w:t>Table of Contents</w:t>
            </w:r>
          </w:p>
        </w:tc>
        <w:tc>
          <w:tcPr>
            <w:tcW w:w="3420" w:type="dxa"/>
            <w:vAlign w:val="bottom"/>
          </w:tcPr>
          <w:p>
            <w:pPr>
              <w:spacing w:after="0"/>
              <w:rPr>
                <w:sz w:val="24"/>
                <w:szCs w:val="24"/>
                <w:color w:val="auto"/>
              </w:rPr>
            </w:pPr>
          </w:p>
        </w:tc>
      </w:tr>
      <w:tr>
        <w:trPr>
          <w:trHeight w:val="328"/>
        </w:trPr>
        <w:tc>
          <w:tcPr>
            <w:tcW w:w="420" w:type="dxa"/>
            <w:vAlign w:val="bottom"/>
          </w:tcPr>
          <w:p>
            <w:pPr>
              <w:spacing w:after="0"/>
              <w:rPr>
                <w:sz w:val="24"/>
                <w:szCs w:val="24"/>
                <w:color w:val="auto"/>
              </w:rPr>
            </w:pPr>
          </w:p>
        </w:tc>
        <w:tc>
          <w:tcPr>
            <w:tcW w:w="7400" w:type="dxa"/>
            <w:vAlign w:val="bottom"/>
            <w:gridSpan w:val="64"/>
          </w:tcPr>
          <w:p>
            <w:pPr>
              <w:spacing w:after="0"/>
              <w:rPr>
                <w:sz w:val="20"/>
                <w:szCs w:val="20"/>
                <w:color w:val="auto"/>
              </w:rPr>
            </w:pPr>
            <w:r>
              <w:rPr>
                <w:rFonts w:ascii="Arial" w:cs="Arial" w:eastAsia="Arial" w:hAnsi="Arial"/>
                <w:sz w:val="16"/>
                <w:szCs w:val="16"/>
                <w:color w:val="0075C9"/>
              </w:rPr>
              <w:t>Notice of the 2025 Annual Meeting of Stockholders</w:t>
            </w:r>
          </w:p>
        </w:tc>
        <w:tc>
          <w:tcPr>
            <w:tcW w:w="3420" w:type="dxa"/>
            <w:vAlign w:val="bottom"/>
          </w:tcPr>
          <w:p>
            <w:pPr>
              <w:spacing w:after="0"/>
              <w:rPr>
                <w:sz w:val="24"/>
                <w:szCs w:val="24"/>
                <w:color w:val="auto"/>
              </w:rPr>
            </w:pPr>
          </w:p>
        </w:tc>
      </w:tr>
      <w:tr>
        <w:trPr>
          <w:trHeight w:val="263"/>
        </w:trPr>
        <w:tc>
          <w:tcPr>
            <w:tcW w:w="420" w:type="dxa"/>
            <w:vAlign w:val="bottom"/>
          </w:tcPr>
          <w:p>
            <w:pPr>
              <w:spacing w:after="0"/>
              <w:rPr>
                <w:sz w:val="22"/>
                <w:szCs w:val="22"/>
                <w:color w:val="auto"/>
              </w:rPr>
            </w:pPr>
          </w:p>
        </w:tc>
        <w:tc>
          <w:tcPr>
            <w:tcW w:w="2000" w:type="dxa"/>
            <w:vAlign w:val="bottom"/>
            <w:tcBorders>
              <w:top w:val="single" w:sz="8" w:color="0000EE"/>
              <w:bottom w:val="single" w:sz="8" w:color="0000EE"/>
            </w:tcBorders>
            <w:gridSpan w:val="25"/>
          </w:tcPr>
          <w:p>
            <w:pPr>
              <w:spacing w:after="0"/>
              <w:rPr>
                <w:sz w:val="20"/>
                <w:szCs w:val="20"/>
                <w:color w:val="auto"/>
              </w:rPr>
            </w:pPr>
            <w:r>
              <w:rPr>
                <w:rFonts w:ascii="Arial" w:cs="Arial" w:eastAsia="Arial" w:hAnsi="Arial"/>
                <w:sz w:val="16"/>
                <w:szCs w:val="16"/>
                <w:color w:val="0075C9"/>
              </w:rPr>
              <w:t>Proxy Statement Summary</w:t>
            </w:r>
          </w:p>
        </w:tc>
        <w:tc>
          <w:tcPr>
            <w:tcW w:w="1640" w:type="dxa"/>
            <w:vAlign w:val="bottom"/>
            <w:tcBorders>
              <w:top w:val="single" w:sz="8" w:color="0000EE"/>
            </w:tcBorders>
            <w:gridSpan w:val="35"/>
          </w:tcPr>
          <w:p>
            <w:pPr>
              <w:spacing w:after="0"/>
              <w:rPr>
                <w:sz w:val="22"/>
                <w:szCs w:val="22"/>
                <w:color w:val="auto"/>
              </w:rPr>
            </w:pPr>
          </w:p>
        </w:tc>
        <w:tc>
          <w:tcPr>
            <w:tcW w:w="3760" w:type="dxa"/>
            <w:vAlign w:val="bottom"/>
            <w:gridSpan w:val="4"/>
          </w:tcPr>
          <w:p>
            <w:pPr>
              <w:spacing w:after="0"/>
              <w:rPr>
                <w:sz w:val="22"/>
                <w:szCs w:val="22"/>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0075C9"/>
              </w:rPr>
              <w:t>1</w:t>
            </w:r>
          </w:p>
        </w:tc>
      </w:tr>
      <w:tr>
        <w:trPr>
          <w:trHeight w:val="264"/>
        </w:trPr>
        <w:tc>
          <w:tcPr>
            <w:tcW w:w="420" w:type="dxa"/>
            <w:vAlign w:val="bottom"/>
          </w:tcPr>
          <w:p>
            <w:pPr>
              <w:spacing w:after="0"/>
              <w:rPr>
                <w:sz w:val="22"/>
                <w:szCs w:val="22"/>
                <w:color w:val="auto"/>
              </w:rPr>
            </w:pPr>
          </w:p>
        </w:tc>
        <w:tc>
          <w:tcPr>
            <w:tcW w:w="3320" w:type="dxa"/>
            <w:vAlign w:val="bottom"/>
            <w:tcBorders>
              <w:bottom w:val="single" w:sz="8" w:color="0000EE"/>
            </w:tcBorders>
            <w:gridSpan w:val="57"/>
          </w:tcPr>
          <w:p>
            <w:pPr>
              <w:spacing w:after="0"/>
              <w:rPr>
                <w:sz w:val="20"/>
                <w:szCs w:val="20"/>
                <w:color w:val="auto"/>
              </w:rPr>
            </w:pPr>
            <w:r>
              <w:rPr>
                <w:rFonts w:ascii="Arial" w:cs="Arial" w:eastAsia="Arial" w:hAnsi="Arial"/>
                <w:sz w:val="16"/>
                <w:szCs w:val="16"/>
                <w:color w:val="0075C9"/>
              </w:rPr>
              <w:t>Board of Directors and Corporate Governance</w:t>
            </w:r>
          </w:p>
        </w:tc>
        <w:tc>
          <w:tcPr>
            <w:tcW w:w="4080" w:type="dxa"/>
            <w:vAlign w:val="bottom"/>
            <w:gridSpan w:val="7"/>
          </w:tcPr>
          <w:p>
            <w:pPr>
              <w:spacing w:after="0"/>
              <w:rPr>
                <w:sz w:val="22"/>
                <w:szCs w:val="22"/>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0075C9"/>
              </w:rPr>
              <w:t>5</w:t>
            </w:r>
          </w:p>
        </w:tc>
      </w:tr>
      <w:tr>
        <w:trPr>
          <w:trHeight w:val="155"/>
        </w:trPr>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80" w:type="dxa"/>
            <w:vAlign w:val="bottom"/>
            <w:gridSpan w:val="63"/>
          </w:tcPr>
          <w:p>
            <w:pPr>
              <w:spacing w:after="0" w:line="155" w:lineRule="exact"/>
              <w:rPr>
                <w:sz w:val="20"/>
                <w:szCs w:val="20"/>
                <w:color w:val="auto"/>
              </w:rPr>
            </w:pPr>
            <w:r>
              <w:rPr>
                <w:rFonts w:ascii="Arial" w:cs="Arial" w:eastAsia="Arial" w:hAnsi="Arial"/>
                <w:sz w:val="14"/>
                <w:szCs w:val="14"/>
                <w:color w:val="auto"/>
              </w:rPr>
              <w:t>Our Board of Directors and Director Nominees</w:t>
            </w:r>
          </w:p>
        </w:tc>
        <w:tc>
          <w:tcPr>
            <w:tcW w:w="342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5</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Borders>
              <w:top w:val="single" w:sz="8" w:color="0000EE"/>
              <w:bottom w:val="single" w:sz="8" w:color="0000EE"/>
            </w:tcBorders>
            <w:gridSpan w:val="36"/>
          </w:tcPr>
          <w:p>
            <w:pPr>
              <w:spacing w:after="0" w:line="142" w:lineRule="exact"/>
              <w:rPr>
                <w:sz w:val="20"/>
                <w:szCs w:val="20"/>
                <w:color w:val="auto"/>
              </w:rPr>
            </w:pPr>
            <w:r>
              <w:rPr>
                <w:rFonts w:ascii="Arial" w:cs="Arial" w:eastAsia="Arial" w:hAnsi="Arial"/>
                <w:sz w:val="14"/>
                <w:szCs w:val="14"/>
                <w:color w:val="auto"/>
              </w:rPr>
              <w:t>Board Refreshment and Evaluation</w:t>
            </w:r>
          </w:p>
        </w:tc>
        <w:tc>
          <w:tcPr>
            <w:tcW w:w="660" w:type="dxa"/>
            <w:vAlign w:val="bottom"/>
            <w:tcBorders>
              <w:top w:val="single" w:sz="8" w:color="0000EE"/>
            </w:tcBorders>
            <w:gridSpan w:val="14"/>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12</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180" w:type="dxa"/>
            <w:vAlign w:val="bottom"/>
            <w:gridSpan w:val="60"/>
          </w:tcPr>
          <w:p>
            <w:pPr>
              <w:spacing w:after="0" w:line="142" w:lineRule="exact"/>
              <w:rPr>
                <w:sz w:val="20"/>
                <w:szCs w:val="20"/>
                <w:color w:val="auto"/>
              </w:rPr>
            </w:pPr>
            <w:r>
              <w:rPr>
                <w:rFonts w:ascii="Arial" w:cs="Arial" w:eastAsia="Arial" w:hAnsi="Arial"/>
                <w:sz w:val="14"/>
                <w:szCs w:val="14"/>
                <w:color w:val="auto"/>
              </w:rPr>
              <w:t>Identifying and Evaluating Nominees for Director</w:t>
            </w: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12</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100" w:type="dxa"/>
            <w:vAlign w:val="bottom"/>
            <w:tcBorders>
              <w:top w:val="single" w:sz="8" w:color="0000EE"/>
            </w:tcBorders>
            <w:gridSpan w:val="53"/>
          </w:tcPr>
          <w:p>
            <w:pPr>
              <w:spacing w:after="0" w:line="142" w:lineRule="exact"/>
              <w:rPr>
                <w:sz w:val="20"/>
                <w:szCs w:val="20"/>
                <w:color w:val="auto"/>
              </w:rPr>
            </w:pPr>
            <w:r>
              <w:rPr>
                <w:rFonts w:ascii="Arial" w:cs="Arial" w:eastAsia="Arial" w:hAnsi="Arial"/>
                <w:sz w:val="14"/>
                <w:szCs w:val="14"/>
                <w:color w:val="auto"/>
              </w:rPr>
              <w:t>Director Criteria, Qualifications and Experience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12</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0" w:type="dxa"/>
            <w:vAlign w:val="bottom"/>
            <w:tcBorders>
              <w:top w:val="single" w:sz="8" w:color="0000EE"/>
            </w:tcBorders>
            <w:gridSpan w:val="49"/>
          </w:tcPr>
          <w:p>
            <w:pPr>
              <w:spacing w:after="0" w:line="142" w:lineRule="exact"/>
              <w:rPr>
                <w:sz w:val="20"/>
                <w:szCs w:val="20"/>
                <w:color w:val="auto"/>
              </w:rPr>
            </w:pPr>
            <w:r>
              <w:rPr>
                <w:rFonts w:ascii="Arial" w:cs="Arial" w:eastAsia="Arial" w:hAnsi="Arial"/>
                <w:sz w:val="14"/>
                <w:szCs w:val="14"/>
                <w:color w:val="auto"/>
              </w:rPr>
              <w:t>Overboarding Policy</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12</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tcBorders>
              <w:top w:val="single" w:sz="8" w:color="0000EE"/>
            </w:tcBorders>
            <w:gridSpan w:val="13"/>
          </w:tcPr>
          <w:p>
            <w:pPr>
              <w:spacing w:after="0" w:line="142" w:lineRule="exact"/>
              <w:rPr>
                <w:sz w:val="20"/>
                <w:szCs w:val="20"/>
                <w:color w:val="auto"/>
              </w:rPr>
            </w:pPr>
            <w:r>
              <w:rPr>
                <w:rFonts w:ascii="Arial" w:cs="Arial" w:eastAsia="Arial" w:hAnsi="Arial"/>
                <w:sz w:val="14"/>
                <w:szCs w:val="14"/>
                <w:color w:val="auto"/>
              </w:rPr>
              <w:t>Board Composition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13</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Borders>
              <w:top w:val="single" w:sz="8" w:color="0000EE"/>
            </w:tcBorders>
            <w:gridSpan w:val="11"/>
          </w:tcPr>
          <w:p>
            <w:pPr>
              <w:spacing w:after="0" w:line="142" w:lineRule="exact"/>
              <w:rPr>
                <w:sz w:val="20"/>
                <w:szCs w:val="20"/>
                <w:color w:val="auto"/>
              </w:rPr>
            </w:pPr>
            <w:r>
              <w:rPr>
                <w:rFonts w:ascii="Arial" w:cs="Arial" w:eastAsia="Arial" w:hAnsi="Arial"/>
                <w:sz w:val="14"/>
                <w:szCs w:val="14"/>
                <w:color w:val="auto"/>
              </w:rPr>
              <w:t>Board Evaluations</w:t>
            </w:r>
          </w:p>
        </w:tc>
        <w:tc>
          <w:tcPr>
            <w:tcW w:w="5940" w:type="dxa"/>
            <w:vAlign w:val="bottom"/>
            <w:gridSpan w:val="49"/>
          </w:tcPr>
          <w:p>
            <w:pPr>
              <w:spacing w:after="0" w:line="142" w:lineRule="exact"/>
              <w:rPr>
                <w:sz w:val="20"/>
                <w:szCs w:val="20"/>
                <w:color w:val="auto"/>
              </w:rPr>
            </w:pPr>
            <w:r>
              <w:rPr>
                <w:rFonts w:ascii="Arial" w:cs="Arial" w:eastAsia="Arial" w:hAnsi="Arial"/>
                <w:sz w:val="14"/>
                <w:szCs w:val="14"/>
                <w:color w:val="auto"/>
              </w:rPr>
              <w:t>and Incumbent Directors</w:t>
            </w: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13</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Borders>
              <w:top w:val="single" w:sz="8" w:color="0000EE"/>
              <w:bottom w:val="single" w:sz="8" w:color="0000EE"/>
            </w:tcBorders>
            <w:gridSpan w:val="6"/>
          </w:tcPr>
          <w:p>
            <w:pPr>
              <w:spacing w:after="0" w:line="142" w:lineRule="exact"/>
              <w:rPr>
                <w:sz w:val="20"/>
                <w:szCs w:val="20"/>
                <w:color w:val="auto"/>
              </w:rPr>
            </w:pPr>
            <w:r>
              <w:rPr>
                <w:rFonts w:ascii="Arial" w:cs="Arial" w:eastAsia="Arial" w:hAnsi="Arial"/>
                <w:sz w:val="14"/>
                <w:szCs w:val="14"/>
                <w:color w:val="auto"/>
              </w:rPr>
              <w:t>Board Education</w:t>
            </w:r>
          </w:p>
        </w:tc>
        <w:tc>
          <w:tcPr>
            <w:tcW w:w="1720" w:type="dxa"/>
            <w:vAlign w:val="bottom"/>
            <w:tcBorders>
              <w:top w:val="single" w:sz="8" w:color="0000EE"/>
            </w:tcBorders>
            <w:gridSpan w:val="40"/>
          </w:tcPr>
          <w:p>
            <w:pPr>
              <w:spacing w:after="0"/>
              <w:rPr>
                <w:sz w:val="12"/>
                <w:szCs w:val="12"/>
                <w:color w:val="auto"/>
              </w:rPr>
            </w:pPr>
          </w:p>
        </w:tc>
        <w:tc>
          <w:tcPr>
            <w:tcW w:w="16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13</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40" w:type="dxa"/>
            <w:vAlign w:val="bottom"/>
            <w:tcBorders>
              <w:bottom w:val="single" w:sz="8" w:color="0000EE"/>
            </w:tcBorders>
          </w:tcPr>
          <w:p>
            <w:pPr>
              <w:spacing w:after="0"/>
              <w:rPr>
                <w:sz w:val="12"/>
                <w:szCs w:val="12"/>
                <w:color w:val="auto"/>
              </w:rPr>
            </w:pPr>
          </w:p>
        </w:tc>
        <w:tc>
          <w:tcPr>
            <w:tcW w:w="2400" w:type="dxa"/>
            <w:vAlign w:val="bottom"/>
            <w:tcBorders>
              <w:bottom w:val="single" w:sz="8" w:color="0000EE"/>
            </w:tcBorders>
            <w:gridSpan w:val="39"/>
          </w:tcPr>
          <w:p>
            <w:pPr>
              <w:spacing w:after="0" w:line="142" w:lineRule="exact"/>
              <w:rPr>
                <w:sz w:val="20"/>
                <w:szCs w:val="20"/>
                <w:color w:val="auto"/>
              </w:rPr>
            </w:pPr>
            <w:r>
              <w:rPr>
                <w:rFonts w:ascii="Arial" w:cs="Arial" w:eastAsia="Arial" w:hAnsi="Arial"/>
                <w:sz w:val="14"/>
                <w:szCs w:val="14"/>
                <w:color w:val="auto"/>
                <w:w w:val="99"/>
              </w:rPr>
              <w:t>Director Independence Determinations</w:t>
            </w:r>
          </w:p>
        </w:tc>
        <w:tc>
          <w:tcPr>
            <w:tcW w:w="4780" w:type="dxa"/>
            <w:vAlign w:val="bottom"/>
            <w:gridSpan w:val="21"/>
          </w:tcPr>
          <w:p>
            <w:pPr>
              <w:spacing w:after="0"/>
              <w:rPr>
                <w:sz w:val="12"/>
                <w:szCs w:val="12"/>
                <w:color w:val="auto"/>
              </w:rPr>
            </w:pP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13</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40" w:type="dxa"/>
            <w:vAlign w:val="bottom"/>
            <w:gridSpan w:val="62"/>
          </w:tcPr>
          <w:p>
            <w:pPr>
              <w:spacing w:after="0" w:line="142" w:lineRule="exact"/>
              <w:rPr>
                <w:sz w:val="20"/>
                <w:szCs w:val="20"/>
                <w:color w:val="auto"/>
              </w:rPr>
            </w:pPr>
            <w:r>
              <w:rPr>
                <w:rFonts w:ascii="Arial" w:cs="Arial" w:eastAsia="Arial" w:hAnsi="Arial"/>
                <w:sz w:val="14"/>
                <w:szCs w:val="14"/>
                <w:color w:val="auto"/>
              </w:rPr>
              <w:t>Board Leadership Structure and Committees</w:t>
            </w: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14</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740" w:type="dxa"/>
            <w:vAlign w:val="bottom"/>
            <w:tcBorders>
              <w:top w:val="single" w:sz="8" w:color="0000EE"/>
            </w:tcBorders>
            <w:gridSpan w:val="44"/>
          </w:tcPr>
          <w:p>
            <w:pPr>
              <w:spacing w:after="0" w:line="142" w:lineRule="exact"/>
              <w:rPr>
                <w:sz w:val="20"/>
                <w:szCs w:val="20"/>
                <w:color w:val="auto"/>
              </w:rPr>
            </w:pPr>
            <w:r>
              <w:rPr>
                <w:rFonts w:ascii="Arial" w:cs="Arial" w:eastAsia="Arial" w:hAnsi="Arial"/>
                <w:sz w:val="14"/>
                <w:szCs w:val="14"/>
                <w:color w:val="auto"/>
              </w:rPr>
              <w:t>Chair</w:t>
            </w:r>
          </w:p>
        </w:tc>
        <w:tc>
          <w:tcPr>
            <w:tcW w:w="18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14</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Borders>
              <w:top w:val="single" w:sz="8" w:color="0000EE"/>
            </w:tcBorders>
            <w:gridSpan w:val="2"/>
          </w:tcPr>
          <w:p>
            <w:pPr>
              <w:spacing w:after="0" w:line="142" w:lineRule="exact"/>
              <w:rPr>
                <w:sz w:val="20"/>
                <w:szCs w:val="20"/>
                <w:color w:val="auto"/>
              </w:rPr>
            </w:pPr>
            <w:r>
              <w:rPr>
                <w:rFonts w:ascii="Arial" w:cs="Arial" w:eastAsia="Arial" w:hAnsi="Arial"/>
                <w:sz w:val="14"/>
                <w:szCs w:val="14"/>
                <w:color w:val="auto"/>
                <w:w w:val="85"/>
              </w:rPr>
              <w:t>Board</w:t>
            </w:r>
          </w:p>
        </w:tc>
        <w:tc>
          <w:tcPr>
            <w:tcW w:w="6800" w:type="dxa"/>
            <w:vAlign w:val="bottom"/>
            <w:gridSpan w:val="57"/>
          </w:tcPr>
          <w:p>
            <w:pPr>
              <w:ind w:left="80"/>
              <w:spacing w:after="0" w:line="142" w:lineRule="exact"/>
              <w:rPr>
                <w:sz w:val="20"/>
                <w:szCs w:val="20"/>
                <w:color w:val="auto"/>
              </w:rPr>
            </w:pPr>
            <w:r>
              <w:rPr>
                <w:rFonts w:ascii="Arial" w:cs="Arial" w:eastAsia="Arial" w:hAnsi="Arial"/>
                <w:sz w:val="14"/>
                <w:szCs w:val="14"/>
                <w:color w:val="auto"/>
              </w:rPr>
              <w:t>Meetings and Attendance</w:t>
            </w: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14</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60" w:type="dxa"/>
            <w:vAlign w:val="bottom"/>
            <w:tcBorders>
              <w:top w:val="single" w:sz="8" w:color="0000EE"/>
              <w:bottom w:val="single" w:sz="8" w:color="0000EE"/>
            </w:tcBorders>
            <w:gridSpan w:val="27"/>
          </w:tcPr>
          <w:p>
            <w:pPr>
              <w:spacing w:after="0" w:line="142" w:lineRule="exact"/>
              <w:rPr>
                <w:sz w:val="20"/>
                <w:szCs w:val="20"/>
                <w:color w:val="auto"/>
              </w:rPr>
            </w:pPr>
            <w:r>
              <w:rPr>
                <w:rFonts w:ascii="Arial" w:cs="Arial" w:eastAsia="Arial" w:hAnsi="Arial"/>
                <w:sz w:val="14"/>
                <w:szCs w:val="14"/>
                <w:color w:val="auto"/>
              </w:rPr>
              <w:t>Executive Sessions of the Board</w:t>
            </w:r>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gridSpan w:val="4"/>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14</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00" w:type="dxa"/>
            <w:vAlign w:val="bottom"/>
            <w:gridSpan w:val="29"/>
          </w:tcPr>
          <w:p>
            <w:pPr>
              <w:spacing w:after="0" w:line="142" w:lineRule="exact"/>
              <w:rPr>
                <w:sz w:val="20"/>
                <w:szCs w:val="20"/>
                <w:color w:val="auto"/>
              </w:rPr>
            </w:pPr>
            <w:r>
              <w:rPr>
                <w:rFonts w:ascii="Arial" w:cs="Arial" w:eastAsia="Arial" w:hAnsi="Arial"/>
                <w:sz w:val="14"/>
                <w:szCs w:val="14"/>
                <w:color w:val="auto"/>
              </w:rPr>
              <w:t>Committees of the Board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gridSpan w:val="4"/>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14</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tcBorders>
              <w:top w:val="single" w:sz="8" w:color="0000EE"/>
              <w:bottom w:val="single" w:sz="8" w:color="0000EE"/>
            </w:tcBorders>
            <w:gridSpan w:val="18"/>
          </w:tcPr>
          <w:p>
            <w:pPr>
              <w:spacing w:after="0" w:line="142" w:lineRule="exact"/>
              <w:rPr>
                <w:sz w:val="20"/>
                <w:szCs w:val="20"/>
                <w:color w:val="auto"/>
              </w:rPr>
            </w:pPr>
            <w:r>
              <w:rPr>
                <w:rFonts w:ascii="Arial" w:cs="Arial" w:eastAsia="Arial" w:hAnsi="Arial"/>
                <w:sz w:val="14"/>
                <w:szCs w:val="14"/>
                <w:color w:val="auto"/>
              </w:rPr>
              <w:t>CTV Holdings Board of</w:t>
            </w:r>
          </w:p>
        </w:tc>
        <w:tc>
          <w:tcPr>
            <w:tcW w:w="520" w:type="dxa"/>
            <w:vAlign w:val="bottom"/>
            <w:tcBorders>
              <w:bottom w:val="single" w:sz="8" w:color="0000EE"/>
            </w:tcBorders>
            <w:gridSpan w:val="12"/>
          </w:tcPr>
          <w:p>
            <w:pPr>
              <w:spacing w:after="0" w:line="142" w:lineRule="exact"/>
              <w:rPr>
                <w:sz w:val="20"/>
                <w:szCs w:val="20"/>
                <w:color w:val="auto"/>
              </w:rPr>
            </w:pPr>
            <w:r>
              <w:rPr>
                <w:rFonts w:ascii="Arial" w:cs="Arial" w:eastAsia="Arial" w:hAnsi="Arial"/>
                <w:sz w:val="14"/>
                <w:szCs w:val="14"/>
                <w:color w:val="auto"/>
                <w:w w:val="89"/>
              </w:rPr>
              <w:t>Directors</w:t>
            </w:r>
          </w:p>
        </w:tc>
        <w:tc>
          <w:tcPr>
            <w:tcW w:w="5020" w:type="dxa"/>
            <w:vAlign w:val="bottom"/>
            <w:gridSpan w:val="29"/>
          </w:tcPr>
          <w:p>
            <w:pPr>
              <w:spacing w:after="0"/>
              <w:rPr>
                <w:sz w:val="12"/>
                <w:szCs w:val="12"/>
                <w:color w:val="auto"/>
              </w:rPr>
            </w:pP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17</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Borders>
              <w:bottom w:val="single" w:sz="8" w:color="0000EE"/>
            </w:tcBorders>
            <w:gridSpan w:val="34"/>
          </w:tcPr>
          <w:p>
            <w:pPr>
              <w:spacing w:after="0" w:line="142" w:lineRule="exact"/>
              <w:rPr>
                <w:sz w:val="20"/>
                <w:szCs w:val="20"/>
                <w:color w:val="auto"/>
              </w:rPr>
            </w:pPr>
            <w:r>
              <w:rPr>
                <w:rFonts w:ascii="Arial" w:cs="Arial" w:eastAsia="Arial" w:hAnsi="Arial"/>
                <w:sz w:val="14"/>
                <w:szCs w:val="14"/>
                <w:color w:val="auto"/>
              </w:rPr>
              <w:t>The Board’s Role in Risk Oversight</w:t>
            </w:r>
          </w:p>
        </w:tc>
        <w:tc>
          <w:tcPr>
            <w:tcW w:w="20" w:type="dxa"/>
            <w:vAlign w:val="bottom"/>
            <w:tcBorders>
              <w:bottom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gridSpan w:val="4"/>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18</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35"/>
          </w:tcPr>
          <w:p>
            <w:pPr>
              <w:spacing w:after="0" w:line="142" w:lineRule="exact"/>
              <w:rPr>
                <w:sz w:val="20"/>
                <w:szCs w:val="20"/>
                <w:color w:val="auto"/>
              </w:rPr>
            </w:pPr>
            <w:r>
              <w:rPr>
                <w:rFonts w:ascii="Arial" w:cs="Arial" w:eastAsia="Arial" w:hAnsi="Arial"/>
                <w:sz w:val="14"/>
                <w:szCs w:val="14"/>
                <w:color w:val="auto"/>
              </w:rPr>
              <w:t>Compensation Committee Interlocks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940" w:type="dxa"/>
            <w:vAlign w:val="bottom"/>
            <w:gridSpan w:val="25"/>
          </w:tcPr>
          <w:p>
            <w:pPr>
              <w:ind w:left="20"/>
              <w:spacing w:after="0" w:line="142" w:lineRule="exact"/>
              <w:rPr>
                <w:sz w:val="20"/>
                <w:szCs w:val="20"/>
                <w:color w:val="auto"/>
              </w:rPr>
            </w:pPr>
            <w:r>
              <w:rPr>
                <w:rFonts w:ascii="Arial" w:cs="Arial" w:eastAsia="Arial" w:hAnsi="Arial"/>
                <w:sz w:val="14"/>
                <w:szCs w:val="14"/>
                <w:color w:val="auto"/>
              </w:rPr>
              <w:t>and Insider Participation</w:t>
            </w: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19</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Borders>
              <w:top w:val="single" w:sz="8" w:color="0000EE"/>
              <w:bottom w:val="single" w:sz="8" w:color="0000EE"/>
            </w:tcBorders>
            <w:gridSpan w:val="28"/>
          </w:tcPr>
          <w:p>
            <w:pPr>
              <w:spacing w:after="0" w:line="142" w:lineRule="exact"/>
              <w:rPr>
                <w:sz w:val="20"/>
                <w:szCs w:val="20"/>
                <w:color w:val="auto"/>
              </w:rPr>
            </w:pPr>
            <w:r>
              <w:rPr>
                <w:rFonts w:ascii="Arial" w:cs="Arial" w:eastAsia="Arial" w:hAnsi="Arial"/>
                <w:sz w:val="14"/>
                <w:szCs w:val="14"/>
                <w:color w:val="auto"/>
              </w:rPr>
              <w:t>Communications with Directors</w:t>
            </w:r>
          </w:p>
        </w:tc>
        <w:tc>
          <w:tcPr>
            <w:tcW w:w="1920" w:type="dxa"/>
            <w:vAlign w:val="bottom"/>
            <w:tcBorders>
              <w:top w:val="single" w:sz="8" w:color="0000EE"/>
            </w:tcBorders>
            <w:gridSpan w:val="33"/>
          </w:tcPr>
          <w:p>
            <w:pPr>
              <w:spacing w:after="0"/>
              <w:rPr>
                <w:sz w:val="12"/>
                <w:szCs w:val="12"/>
                <w:color w:val="auto"/>
              </w:rPr>
            </w:pPr>
          </w:p>
        </w:tc>
        <w:tc>
          <w:tcPr>
            <w:tcW w:w="2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19</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80" w:type="dxa"/>
            <w:vAlign w:val="bottom"/>
            <w:gridSpan w:val="63"/>
          </w:tcPr>
          <w:p>
            <w:pPr>
              <w:spacing w:after="0" w:line="142" w:lineRule="exact"/>
              <w:rPr>
                <w:sz w:val="20"/>
                <w:szCs w:val="20"/>
                <w:color w:val="auto"/>
              </w:rPr>
            </w:pPr>
            <w:r>
              <w:rPr>
                <w:rFonts w:ascii="Arial" w:cs="Arial" w:eastAsia="Arial" w:hAnsi="Arial"/>
                <w:sz w:val="14"/>
                <w:szCs w:val="14"/>
                <w:color w:val="auto"/>
              </w:rPr>
              <w:t>Availability of Corporate Governance Documents</w:t>
            </w: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19</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20" w:type="dxa"/>
            <w:vAlign w:val="bottom"/>
            <w:tcBorders>
              <w:top w:val="single" w:sz="8" w:color="0000EE"/>
            </w:tcBorders>
            <w:gridSpan w:val="53"/>
          </w:tcPr>
          <w:p>
            <w:pPr>
              <w:spacing w:after="0" w:line="142" w:lineRule="exact"/>
              <w:rPr>
                <w:sz w:val="20"/>
                <w:szCs w:val="20"/>
                <w:color w:val="auto"/>
              </w:rPr>
            </w:pPr>
            <w:r>
              <w:rPr>
                <w:rFonts w:ascii="Arial" w:cs="Arial" w:eastAsia="Arial" w:hAnsi="Arial"/>
                <w:sz w:val="14"/>
                <w:szCs w:val="14"/>
                <w:color w:val="auto"/>
              </w:rPr>
              <w:t>Certain Relationships and Related Transactions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tcPr>
          <w:p>
            <w:pPr>
              <w:spacing w:after="0"/>
              <w:rPr>
                <w:sz w:val="12"/>
                <w:szCs w:val="12"/>
                <w:color w:val="auto"/>
              </w:rPr>
            </w:pPr>
          </w:p>
        </w:tc>
        <w:tc>
          <w:tcPr>
            <w:tcW w:w="2340" w:type="dxa"/>
            <w:vAlign w:val="bottom"/>
            <w:gridSpan w:val="2"/>
          </w:tcPr>
          <w:p>
            <w:pPr>
              <w:spacing w:after="0"/>
              <w:rPr>
                <w:sz w:val="12"/>
                <w:szCs w:val="12"/>
                <w:color w:val="auto"/>
              </w:rPr>
            </w:pPr>
          </w:p>
        </w:tc>
        <w:tc>
          <w:tcPr>
            <w:tcW w:w="1120" w:type="dxa"/>
            <w:vAlign w:val="bottom"/>
          </w:tcPr>
          <w:p>
            <w:pPr>
              <w:spacing w:after="0"/>
              <w:rPr>
                <w:sz w:val="12"/>
                <w:szCs w:val="12"/>
                <w:color w:val="auto"/>
              </w:rPr>
            </w:pP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19</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920" w:type="dxa"/>
            <w:vAlign w:val="bottom"/>
            <w:tcBorders>
              <w:top w:val="single" w:sz="8" w:color="0000EE"/>
            </w:tcBorders>
            <w:gridSpan w:val="47"/>
          </w:tcPr>
          <w:p>
            <w:pPr>
              <w:spacing w:after="0" w:line="142" w:lineRule="exact"/>
              <w:rPr>
                <w:sz w:val="20"/>
                <w:szCs w:val="20"/>
                <w:color w:val="auto"/>
              </w:rPr>
            </w:pPr>
            <w:r>
              <w:rPr>
                <w:rFonts w:ascii="Arial" w:cs="Arial" w:eastAsia="Arial" w:hAnsi="Arial"/>
                <w:sz w:val="14"/>
                <w:szCs w:val="14"/>
                <w:color w:val="auto"/>
              </w:rPr>
              <w:t>Policies and Procedures</w:t>
            </w:r>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tcPr>
          <w:p>
            <w:pPr>
              <w:spacing w:after="0"/>
              <w:rPr>
                <w:sz w:val="12"/>
                <w:szCs w:val="12"/>
                <w:color w:val="auto"/>
              </w:rPr>
            </w:pPr>
          </w:p>
        </w:tc>
        <w:tc>
          <w:tcPr>
            <w:tcW w:w="2340" w:type="dxa"/>
            <w:vAlign w:val="bottom"/>
            <w:gridSpan w:val="2"/>
          </w:tcPr>
          <w:p>
            <w:pPr>
              <w:spacing w:after="0"/>
              <w:rPr>
                <w:sz w:val="12"/>
                <w:szCs w:val="12"/>
                <w:color w:val="auto"/>
              </w:rPr>
            </w:pPr>
          </w:p>
        </w:tc>
        <w:tc>
          <w:tcPr>
            <w:tcW w:w="1120" w:type="dxa"/>
            <w:vAlign w:val="bottom"/>
          </w:tcPr>
          <w:p>
            <w:pPr>
              <w:spacing w:after="0"/>
              <w:rPr>
                <w:sz w:val="12"/>
                <w:szCs w:val="12"/>
                <w:color w:val="auto"/>
              </w:rPr>
            </w:pP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19</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Borders>
              <w:top w:val="single" w:sz="8" w:color="0000EE"/>
              <w:bottom w:val="single" w:sz="8" w:color="0000EE"/>
            </w:tcBorders>
            <w:gridSpan w:val="17"/>
          </w:tcPr>
          <w:p>
            <w:pPr>
              <w:spacing w:after="0" w:line="142" w:lineRule="exact"/>
              <w:rPr>
                <w:sz w:val="20"/>
                <w:szCs w:val="20"/>
                <w:color w:val="auto"/>
              </w:rPr>
            </w:pPr>
            <w:r>
              <w:rPr>
                <w:rFonts w:ascii="Arial" w:cs="Arial" w:eastAsia="Arial" w:hAnsi="Arial"/>
                <w:sz w:val="14"/>
                <w:szCs w:val="14"/>
                <w:color w:val="auto"/>
                <w:w w:val="91"/>
              </w:rPr>
              <w:t>Related Party Transactions</w:t>
            </w:r>
          </w:p>
        </w:tc>
        <w:tc>
          <w:tcPr>
            <w:tcW w:w="160" w:type="dxa"/>
            <w:vAlign w:val="bottom"/>
            <w:tcBorders>
              <w:bottom w:val="single" w:sz="8" w:color="0000EE"/>
            </w:tcBorders>
            <w:gridSpan w:val="2"/>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tcPr>
          <w:p>
            <w:pPr>
              <w:spacing w:after="0"/>
              <w:rPr>
                <w:sz w:val="12"/>
                <w:szCs w:val="12"/>
                <w:color w:val="auto"/>
              </w:rPr>
            </w:pPr>
          </w:p>
        </w:tc>
        <w:tc>
          <w:tcPr>
            <w:tcW w:w="2340" w:type="dxa"/>
            <w:vAlign w:val="bottom"/>
            <w:gridSpan w:val="2"/>
          </w:tcPr>
          <w:p>
            <w:pPr>
              <w:spacing w:after="0"/>
              <w:rPr>
                <w:sz w:val="12"/>
                <w:szCs w:val="12"/>
                <w:color w:val="auto"/>
              </w:rPr>
            </w:pPr>
          </w:p>
        </w:tc>
        <w:tc>
          <w:tcPr>
            <w:tcW w:w="1120" w:type="dxa"/>
            <w:vAlign w:val="bottom"/>
          </w:tcPr>
          <w:p>
            <w:pPr>
              <w:spacing w:after="0"/>
              <w:rPr>
                <w:sz w:val="12"/>
                <w:szCs w:val="12"/>
                <w:color w:val="auto"/>
              </w:rPr>
            </w:pP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20</w:t>
            </w:r>
          </w:p>
        </w:tc>
      </w:tr>
      <w:tr>
        <w:trPr>
          <w:trHeight w:val="250"/>
        </w:trPr>
        <w:tc>
          <w:tcPr>
            <w:tcW w:w="420" w:type="dxa"/>
            <w:vAlign w:val="bottom"/>
          </w:tcPr>
          <w:p>
            <w:pPr>
              <w:spacing w:after="0"/>
              <w:rPr>
                <w:sz w:val="21"/>
                <w:szCs w:val="21"/>
                <w:color w:val="auto"/>
              </w:rPr>
            </w:pPr>
          </w:p>
        </w:tc>
        <w:tc>
          <w:tcPr>
            <w:tcW w:w="1440" w:type="dxa"/>
            <w:vAlign w:val="bottom"/>
            <w:tcBorders>
              <w:bottom w:val="single" w:sz="8" w:color="0000EE"/>
            </w:tcBorders>
            <w:gridSpan w:val="14"/>
          </w:tcPr>
          <w:p>
            <w:pPr>
              <w:spacing w:after="0"/>
              <w:rPr>
                <w:sz w:val="20"/>
                <w:szCs w:val="20"/>
                <w:color w:val="auto"/>
              </w:rPr>
            </w:pPr>
            <w:r>
              <w:rPr>
                <w:rFonts w:ascii="Arial" w:cs="Arial" w:eastAsia="Arial" w:hAnsi="Arial"/>
                <w:sz w:val="16"/>
                <w:szCs w:val="16"/>
                <w:color w:val="0075C9"/>
              </w:rPr>
              <w:t>Sustainability Goals</w:t>
            </w:r>
          </w:p>
        </w:tc>
        <w:tc>
          <w:tcPr>
            <w:tcW w:w="5960" w:type="dxa"/>
            <w:vAlign w:val="bottom"/>
            <w:gridSpan w:val="50"/>
          </w:tcPr>
          <w:p>
            <w:pPr>
              <w:spacing w:after="0"/>
              <w:rPr>
                <w:sz w:val="21"/>
                <w:szCs w:val="21"/>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0075C9"/>
              </w:rPr>
              <w:t>22</w:t>
            </w:r>
          </w:p>
        </w:tc>
      </w:tr>
      <w:tr>
        <w:trPr>
          <w:trHeight w:val="263"/>
        </w:trPr>
        <w:tc>
          <w:tcPr>
            <w:tcW w:w="420" w:type="dxa"/>
            <w:vAlign w:val="bottom"/>
          </w:tcPr>
          <w:p>
            <w:pPr>
              <w:spacing w:after="0"/>
              <w:rPr>
                <w:sz w:val="22"/>
                <w:szCs w:val="22"/>
                <w:color w:val="auto"/>
              </w:rPr>
            </w:pPr>
          </w:p>
        </w:tc>
        <w:tc>
          <w:tcPr>
            <w:tcW w:w="7400" w:type="dxa"/>
            <w:vAlign w:val="bottom"/>
            <w:gridSpan w:val="64"/>
          </w:tcPr>
          <w:p>
            <w:pPr>
              <w:spacing w:after="0"/>
              <w:rPr>
                <w:sz w:val="20"/>
                <w:szCs w:val="20"/>
                <w:color w:val="auto"/>
              </w:rPr>
            </w:pPr>
            <w:r>
              <w:rPr>
                <w:rFonts w:ascii="Arial" w:cs="Arial" w:eastAsia="Arial" w:hAnsi="Arial"/>
                <w:sz w:val="16"/>
                <w:szCs w:val="16"/>
                <w:color w:val="0075C9"/>
              </w:rPr>
              <w:t>Audit Committee Report</w:t>
            </w:r>
          </w:p>
        </w:tc>
        <w:tc>
          <w:tcPr>
            <w:tcW w:w="3420" w:type="dxa"/>
            <w:vAlign w:val="bottom"/>
          </w:tcPr>
          <w:p>
            <w:pPr>
              <w:jc w:val="right"/>
              <w:ind w:right="348"/>
              <w:spacing w:after="0"/>
              <w:rPr>
                <w:sz w:val="20"/>
                <w:szCs w:val="20"/>
                <w:color w:val="auto"/>
              </w:rPr>
            </w:pPr>
            <w:r>
              <w:rPr>
                <w:rFonts w:ascii="Arial" w:cs="Arial" w:eastAsia="Arial" w:hAnsi="Arial"/>
                <w:sz w:val="14"/>
                <w:szCs w:val="14"/>
                <w:color w:val="0075C9"/>
              </w:rPr>
              <w:t>23</w:t>
            </w:r>
          </w:p>
        </w:tc>
      </w:tr>
      <w:tr>
        <w:trPr>
          <w:trHeight w:val="20"/>
        </w:trPr>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63"/>
        </w:trPr>
        <w:tc>
          <w:tcPr>
            <w:tcW w:w="420" w:type="dxa"/>
            <w:vAlign w:val="bottom"/>
          </w:tcPr>
          <w:p>
            <w:pPr>
              <w:spacing w:after="0"/>
              <w:rPr>
                <w:sz w:val="22"/>
                <w:szCs w:val="22"/>
                <w:color w:val="auto"/>
              </w:rPr>
            </w:pPr>
          </w:p>
        </w:tc>
        <w:tc>
          <w:tcPr>
            <w:tcW w:w="2840" w:type="dxa"/>
            <w:vAlign w:val="bottom"/>
            <w:tcBorders>
              <w:bottom w:val="single" w:sz="8" w:color="0000EE"/>
            </w:tcBorders>
            <w:gridSpan w:val="48"/>
          </w:tcPr>
          <w:p>
            <w:pPr>
              <w:spacing w:after="0"/>
              <w:rPr>
                <w:sz w:val="20"/>
                <w:szCs w:val="20"/>
                <w:color w:val="auto"/>
              </w:rPr>
            </w:pPr>
            <w:r>
              <w:rPr>
                <w:rFonts w:ascii="Arial" w:cs="Arial" w:eastAsia="Arial" w:hAnsi="Arial"/>
                <w:sz w:val="16"/>
                <w:szCs w:val="16"/>
                <w:color w:val="0075C9"/>
              </w:rPr>
              <w:t>Compensation Discussion and Analysis</w:t>
            </w:r>
          </w:p>
        </w:tc>
        <w:tc>
          <w:tcPr>
            <w:tcW w:w="4560" w:type="dxa"/>
            <w:vAlign w:val="bottom"/>
            <w:gridSpan w:val="16"/>
          </w:tcPr>
          <w:p>
            <w:pPr>
              <w:spacing w:after="0"/>
              <w:rPr>
                <w:sz w:val="22"/>
                <w:szCs w:val="22"/>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0075C9"/>
              </w:rPr>
              <w:t>24</w:t>
            </w:r>
          </w:p>
        </w:tc>
      </w:tr>
      <w:tr>
        <w:trPr>
          <w:trHeight w:val="155"/>
        </w:trPr>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80" w:type="dxa"/>
            <w:vAlign w:val="bottom"/>
            <w:gridSpan w:val="63"/>
          </w:tcPr>
          <w:p>
            <w:pPr>
              <w:spacing w:after="0" w:line="155" w:lineRule="exact"/>
              <w:rPr>
                <w:sz w:val="20"/>
                <w:szCs w:val="20"/>
                <w:color w:val="auto"/>
              </w:rPr>
            </w:pPr>
            <w:r>
              <w:rPr>
                <w:rFonts w:ascii="Arial" w:cs="Arial" w:eastAsia="Arial" w:hAnsi="Arial"/>
                <w:sz w:val="14"/>
                <w:szCs w:val="14"/>
                <w:color w:val="auto"/>
              </w:rPr>
              <w:t>Compensation Objectives and Process</w:t>
            </w:r>
          </w:p>
        </w:tc>
        <w:tc>
          <w:tcPr>
            <w:tcW w:w="342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25</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320" w:type="dxa"/>
            <w:vAlign w:val="bottom"/>
            <w:tcBorders>
              <w:top w:val="single" w:sz="8" w:color="0000EE"/>
              <w:bottom w:val="single" w:sz="8" w:color="0000EE"/>
            </w:tcBorders>
            <w:gridSpan w:val="36"/>
          </w:tcPr>
          <w:p>
            <w:pPr>
              <w:spacing w:after="0" w:line="142" w:lineRule="exact"/>
              <w:rPr>
                <w:sz w:val="20"/>
                <w:szCs w:val="20"/>
                <w:color w:val="auto"/>
              </w:rPr>
            </w:pPr>
            <w:r>
              <w:rPr>
                <w:rFonts w:ascii="Arial" w:cs="Arial" w:eastAsia="Arial" w:hAnsi="Arial"/>
                <w:sz w:val="14"/>
                <w:szCs w:val="14"/>
                <w:color w:val="auto"/>
              </w:rPr>
              <w:t>Executive Compensation Objectives</w:t>
            </w:r>
          </w:p>
        </w:tc>
        <w:tc>
          <w:tcPr>
            <w:tcW w:w="20" w:type="dxa"/>
            <w:vAlign w:val="bottom"/>
            <w:tcBorders>
              <w:top w:val="single" w:sz="8" w:color="0000EE"/>
            </w:tcBorders>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tcPr>
          <w:p>
            <w:pPr>
              <w:spacing w:after="0"/>
              <w:rPr>
                <w:sz w:val="12"/>
                <w:szCs w:val="12"/>
                <w:color w:val="auto"/>
              </w:rPr>
            </w:pPr>
          </w:p>
        </w:tc>
        <w:tc>
          <w:tcPr>
            <w:tcW w:w="2340" w:type="dxa"/>
            <w:vAlign w:val="bottom"/>
            <w:gridSpan w:val="2"/>
          </w:tcPr>
          <w:p>
            <w:pPr>
              <w:spacing w:after="0"/>
              <w:rPr>
                <w:sz w:val="12"/>
                <w:szCs w:val="12"/>
                <w:color w:val="auto"/>
              </w:rPr>
            </w:pPr>
          </w:p>
        </w:tc>
        <w:tc>
          <w:tcPr>
            <w:tcW w:w="1120" w:type="dxa"/>
            <w:vAlign w:val="bottom"/>
          </w:tcPr>
          <w:p>
            <w:pPr>
              <w:spacing w:after="0"/>
              <w:rPr>
                <w:sz w:val="12"/>
                <w:szCs w:val="12"/>
                <w:color w:val="auto"/>
              </w:rPr>
            </w:pP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25</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140" w:type="dxa"/>
            <w:vAlign w:val="bottom"/>
            <w:gridSpan w:val="59"/>
          </w:tcPr>
          <w:p>
            <w:pPr>
              <w:spacing w:after="0" w:line="142" w:lineRule="exact"/>
              <w:rPr>
                <w:sz w:val="20"/>
                <w:szCs w:val="20"/>
                <w:color w:val="auto"/>
              </w:rPr>
            </w:pPr>
            <w:r>
              <w:rPr>
                <w:rFonts w:ascii="Arial" w:cs="Arial" w:eastAsia="Arial" w:hAnsi="Arial"/>
                <w:sz w:val="14"/>
                <w:szCs w:val="14"/>
                <w:color w:val="auto"/>
              </w:rPr>
              <w:t>Compensation Program Best Practices</w:t>
            </w: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25</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460" w:type="dxa"/>
            <w:vAlign w:val="bottom"/>
            <w:tcBorders>
              <w:top w:val="single" w:sz="8" w:color="0000EE"/>
            </w:tcBorders>
            <w:gridSpan w:val="40"/>
          </w:tcPr>
          <w:p>
            <w:pPr>
              <w:spacing w:after="0" w:line="142" w:lineRule="exact"/>
              <w:rPr>
                <w:sz w:val="20"/>
                <w:szCs w:val="20"/>
                <w:color w:val="auto"/>
              </w:rPr>
            </w:pPr>
            <w:r>
              <w:rPr>
                <w:rFonts w:ascii="Arial" w:cs="Arial" w:eastAsia="Arial" w:hAnsi="Arial"/>
                <w:sz w:val="14"/>
                <w:szCs w:val="14"/>
                <w:color w:val="auto"/>
              </w:rPr>
              <w:t>Role of Compensation Committee</w:t>
            </w:r>
          </w:p>
        </w:tc>
        <w:tc>
          <w:tcPr>
            <w:tcW w:w="80" w:type="dxa"/>
            <w:vAlign w:val="bottom"/>
          </w:tcPr>
          <w:p>
            <w:pPr>
              <w:spacing w:after="0"/>
              <w:rPr>
                <w:sz w:val="12"/>
                <w:szCs w:val="12"/>
                <w:color w:val="auto"/>
              </w:rPr>
            </w:pPr>
          </w:p>
        </w:tc>
        <w:tc>
          <w:tcPr>
            <w:tcW w:w="46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tcPr>
          <w:p>
            <w:pPr>
              <w:spacing w:after="0"/>
              <w:rPr>
                <w:sz w:val="12"/>
                <w:szCs w:val="12"/>
                <w:color w:val="auto"/>
              </w:rPr>
            </w:pPr>
          </w:p>
        </w:tc>
        <w:tc>
          <w:tcPr>
            <w:tcW w:w="2340" w:type="dxa"/>
            <w:vAlign w:val="bottom"/>
            <w:gridSpan w:val="2"/>
          </w:tcPr>
          <w:p>
            <w:pPr>
              <w:spacing w:after="0"/>
              <w:rPr>
                <w:sz w:val="12"/>
                <w:szCs w:val="12"/>
                <w:color w:val="auto"/>
              </w:rPr>
            </w:pPr>
          </w:p>
        </w:tc>
        <w:tc>
          <w:tcPr>
            <w:tcW w:w="1120" w:type="dxa"/>
            <w:vAlign w:val="bottom"/>
          </w:tcPr>
          <w:p>
            <w:pPr>
              <w:spacing w:after="0"/>
              <w:rPr>
                <w:sz w:val="12"/>
                <w:szCs w:val="12"/>
                <w:color w:val="auto"/>
              </w:rPr>
            </w:pP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26</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tcBorders>
              <w:top w:val="single" w:sz="8" w:color="0000EE"/>
            </w:tcBorders>
            <w:gridSpan w:val="33"/>
          </w:tcPr>
          <w:p>
            <w:pPr>
              <w:spacing w:after="0" w:line="142" w:lineRule="exact"/>
              <w:rPr>
                <w:sz w:val="20"/>
                <w:szCs w:val="20"/>
                <w:color w:val="auto"/>
              </w:rPr>
            </w:pPr>
            <w:r>
              <w:rPr>
                <w:rFonts w:ascii="Arial" w:cs="Arial" w:eastAsia="Arial" w:hAnsi="Arial"/>
                <w:sz w:val="14"/>
                <w:szCs w:val="14"/>
                <w:color w:val="auto"/>
              </w:rPr>
              <w:t>Role of Management</w:t>
            </w:r>
          </w:p>
        </w:tc>
        <w:tc>
          <w:tcPr>
            <w:tcW w:w="10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46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tcPr>
          <w:p>
            <w:pPr>
              <w:spacing w:after="0"/>
              <w:rPr>
                <w:sz w:val="12"/>
                <w:szCs w:val="12"/>
                <w:color w:val="auto"/>
              </w:rPr>
            </w:pPr>
          </w:p>
        </w:tc>
        <w:tc>
          <w:tcPr>
            <w:tcW w:w="2340" w:type="dxa"/>
            <w:vAlign w:val="bottom"/>
            <w:gridSpan w:val="2"/>
          </w:tcPr>
          <w:p>
            <w:pPr>
              <w:spacing w:after="0"/>
              <w:rPr>
                <w:sz w:val="12"/>
                <w:szCs w:val="12"/>
                <w:color w:val="auto"/>
              </w:rPr>
            </w:pPr>
          </w:p>
        </w:tc>
        <w:tc>
          <w:tcPr>
            <w:tcW w:w="1120" w:type="dxa"/>
            <w:vAlign w:val="bottom"/>
          </w:tcPr>
          <w:p>
            <w:pPr>
              <w:spacing w:after="0"/>
              <w:rPr>
                <w:sz w:val="12"/>
                <w:szCs w:val="12"/>
                <w:color w:val="auto"/>
              </w:rPr>
            </w:pP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26</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Borders>
              <w:top w:val="single" w:sz="8" w:color="0000EE"/>
            </w:tcBorders>
            <w:gridSpan w:val="13"/>
          </w:tcPr>
          <w:p>
            <w:pPr>
              <w:spacing w:after="0" w:line="142" w:lineRule="exact"/>
              <w:rPr>
                <w:sz w:val="20"/>
                <w:szCs w:val="20"/>
                <w:color w:val="auto"/>
              </w:rPr>
            </w:pPr>
            <w:r>
              <w:rPr>
                <w:rFonts w:ascii="Arial" w:cs="Arial" w:eastAsia="Arial" w:hAnsi="Arial"/>
                <w:sz w:val="14"/>
                <w:szCs w:val="14"/>
                <w:color w:val="auto"/>
              </w:rPr>
              <w:t>Role of Independent</w:t>
            </w:r>
          </w:p>
        </w:tc>
        <w:tc>
          <w:tcPr>
            <w:tcW w:w="5800" w:type="dxa"/>
            <w:vAlign w:val="bottom"/>
            <w:gridSpan w:val="45"/>
          </w:tcPr>
          <w:p>
            <w:pPr>
              <w:spacing w:after="0" w:line="142" w:lineRule="exact"/>
              <w:rPr>
                <w:sz w:val="20"/>
                <w:szCs w:val="20"/>
                <w:color w:val="auto"/>
              </w:rPr>
            </w:pPr>
            <w:r>
              <w:rPr>
                <w:rFonts w:ascii="Arial" w:cs="Arial" w:eastAsia="Arial" w:hAnsi="Arial"/>
                <w:sz w:val="14"/>
                <w:szCs w:val="14"/>
                <w:color w:val="auto"/>
              </w:rPr>
              <w:t>Compensation Consultants</w:t>
            </w: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26</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tcBorders>
              <w:top w:val="single" w:sz="8" w:color="0000EE"/>
            </w:tcBorders>
            <w:gridSpan w:val="52"/>
          </w:tcPr>
          <w:p>
            <w:pPr>
              <w:spacing w:after="0" w:line="142" w:lineRule="exact"/>
              <w:rPr>
                <w:sz w:val="20"/>
                <w:szCs w:val="20"/>
                <w:color w:val="auto"/>
              </w:rPr>
            </w:pPr>
            <w:r>
              <w:rPr>
                <w:rFonts w:ascii="Arial" w:cs="Arial" w:eastAsia="Arial" w:hAnsi="Arial"/>
                <w:sz w:val="14"/>
                <w:szCs w:val="14"/>
                <w:color w:val="auto"/>
              </w:rPr>
              <w:t>Use of Compensation Data</w:t>
            </w:r>
          </w:p>
        </w:tc>
        <w:tc>
          <w:tcPr>
            <w:tcW w:w="40" w:type="dxa"/>
            <w:vAlign w:val="bottom"/>
          </w:tcPr>
          <w:p>
            <w:pPr>
              <w:spacing w:after="0"/>
              <w:rPr>
                <w:sz w:val="12"/>
                <w:szCs w:val="12"/>
                <w:color w:val="auto"/>
              </w:rPr>
            </w:pPr>
          </w:p>
        </w:tc>
        <w:tc>
          <w:tcPr>
            <w:tcW w:w="560" w:type="dxa"/>
            <w:vAlign w:val="bottom"/>
            <w:gridSpan w:val="2"/>
          </w:tcPr>
          <w:p>
            <w:pPr>
              <w:spacing w:after="0"/>
              <w:rPr>
                <w:sz w:val="12"/>
                <w:szCs w:val="12"/>
                <w:color w:val="auto"/>
              </w:rPr>
            </w:pPr>
          </w:p>
        </w:tc>
        <w:tc>
          <w:tcPr>
            <w:tcW w:w="2340" w:type="dxa"/>
            <w:vAlign w:val="bottom"/>
            <w:gridSpan w:val="2"/>
          </w:tcPr>
          <w:p>
            <w:pPr>
              <w:spacing w:after="0"/>
              <w:rPr>
                <w:sz w:val="12"/>
                <w:szCs w:val="12"/>
                <w:color w:val="auto"/>
              </w:rPr>
            </w:pPr>
          </w:p>
        </w:tc>
        <w:tc>
          <w:tcPr>
            <w:tcW w:w="1120" w:type="dxa"/>
            <w:vAlign w:val="bottom"/>
          </w:tcPr>
          <w:p>
            <w:pPr>
              <w:spacing w:after="0"/>
              <w:rPr>
                <w:sz w:val="12"/>
                <w:szCs w:val="12"/>
                <w:color w:val="auto"/>
              </w:rPr>
            </w:pP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26</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Borders>
              <w:top w:val="single" w:sz="8" w:color="0000EE"/>
            </w:tcBorders>
            <w:gridSpan w:val="19"/>
          </w:tcPr>
          <w:p>
            <w:pPr>
              <w:spacing w:after="0" w:line="142" w:lineRule="exact"/>
              <w:rPr>
                <w:sz w:val="20"/>
                <w:szCs w:val="20"/>
                <w:color w:val="auto"/>
              </w:rPr>
            </w:pPr>
            <w:r>
              <w:rPr>
                <w:rFonts w:ascii="Arial" w:cs="Arial" w:eastAsia="Arial" w:hAnsi="Arial"/>
                <w:sz w:val="14"/>
                <w:szCs w:val="14"/>
                <w:color w:val="auto"/>
              </w:rPr>
              <w:t>Stockholder Outreach</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10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46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560" w:type="dxa"/>
            <w:vAlign w:val="bottom"/>
            <w:gridSpan w:val="2"/>
          </w:tcPr>
          <w:p>
            <w:pPr>
              <w:spacing w:after="0"/>
              <w:rPr>
                <w:sz w:val="12"/>
                <w:szCs w:val="12"/>
                <w:color w:val="auto"/>
              </w:rPr>
            </w:pPr>
          </w:p>
        </w:tc>
        <w:tc>
          <w:tcPr>
            <w:tcW w:w="2340" w:type="dxa"/>
            <w:vAlign w:val="bottom"/>
            <w:gridSpan w:val="2"/>
          </w:tcPr>
          <w:p>
            <w:pPr>
              <w:spacing w:after="0"/>
              <w:rPr>
                <w:sz w:val="12"/>
                <w:szCs w:val="12"/>
                <w:color w:val="auto"/>
              </w:rPr>
            </w:pPr>
          </w:p>
        </w:tc>
        <w:tc>
          <w:tcPr>
            <w:tcW w:w="1120" w:type="dxa"/>
            <w:vAlign w:val="bottom"/>
          </w:tcPr>
          <w:p>
            <w:pPr>
              <w:spacing w:after="0"/>
              <w:rPr>
                <w:sz w:val="12"/>
                <w:szCs w:val="12"/>
                <w:color w:val="auto"/>
              </w:rPr>
            </w:pP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27</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00" w:type="dxa"/>
            <w:vAlign w:val="bottom"/>
            <w:gridSpan w:val="3"/>
          </w:tcPr>
          <w:p>
            <w:pPr>
              <w:spacing w:after="0"/>
              <w:rPr>
                <w:sz w:val="12"/>
                <w:szCs w:val="12"/>
                <w:color w:val="auto"/>
              </w:rPr>
            </w:pPr>
          </w:p>
        </w:tc>
        <w:tc>
          <w:tcPr>
            <w:tcW w:w="1380" w:type="dxa"/>
            <w:vAlign w:val="bottom"/>
            <w:tcBorders>
              <w:top w:val="single" w:sz="8" w:color="0000EE"/>
            </w:tcBorders>
            <w:gridSpan w:val="14"/>
          </w:tcPr>
          <w:p>
            <w:pPr>
              <w:spacing w:after="0" w:line="142" w:lineRule="exact"/>
              <w:rPr>
                <w:sz w:val="20"/>
                <w:szCs w:val="20"/>
                <w:color w:val="auto"/>
              </w:rPr>
            </w:pPr>
            <w:r>
              <w:rPr>
                <w:rFonts w:ascii="Arial" w:cs="Arial" w:eastAsia="Arial" w:hAnsi="Arial"/>
                <w:sz w:val="14"/>
                <w:szCs w:val="14"/>
                <w:color w:val="auto"/>
                <w:w w:val="91"/>
              </w:rPr>
              <w:t>Stockholder Approval of</w:t>
            </w:r>
          </w:p>
        </w:tc>
        <w:tc>
          <w:tcPr>
            <w:tcW w:w="60" w:type="dxa"/>
            <w:vAlign w:val="bottom"/>
          </w:tcPr>
          <w:p>
            <w:pPr>
              <w:spacing w:after="0"/>
              <w:rPr>
                <w:sz w:val="12"/>
                <w:szCs w:val="12"/>
                <w:color w:val="auto"/>
              </w:rPr>
            </w:pPr>
          </w:p>
        </w:tc>
        <w:tc>
          <w:tcPr>
            <w:tcW w:w="5680" w:type="dxa"/>
            <w:vAlign w:val="bottom"/>
            <w:gridSpan w:val="43"/>
          </w:tcPr>
          <w:p>
            <w:pPr>
              <w:spacing w:after="0" w:line="142" w:lineRule="exact"/>
              <w:rPr>
                <w:sz w:val="20"/>
                <w:szCs w:val="20"/>
                <w:color w:val="auto"/>
              </w:rPr>
            </w:pPr>
            <w:r>
              <w:rPr>
                <w:rFonts w:ascii="Arial" w:cs="Arial" w:eastAsia="Arial" w:hAnsi="Arial"/>
                <w:sz w:val="14"/>
                <w:szCs w:val="14"/>
                <w:color w:val="auto"/>
              </w:rPr>
              <w:t>Executive Compensation</w:t>
            </w: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27</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60" w:type="dxa"/>
            <w:vAlign w:val="bottom"/>
            <w:tcBorders>
              <w:top w:val="single" w:sz="8" w:color="0000EE"/>
            </w:tcBorders>
            <w:gridSpan w:val="54"/>
          </w:tcPr>
          <w:p>
            <w:pPr>
              <w:spacing w:after="0" w:line="142" w:lineRule="exact"/>
              <w:rPr>
                <w:sz w:val="20"/>
                <w:szCs w:val="20"/>
                <w:color w:val="auto"/>
              </w:rPr>
            </w:pPr>
            <w:r>
              <w:rPr>
                <w:rFonts w:ascii="Arial" w:cs="Arial" w:eastAsia="Arial" w:hAnsi="Arial"/>
                <w:sz w:val="14"/>
                <w:szCs w:val="14"/>
                <w:color w:val="auto"/>
              </w:rPr>
              <w:t>2024 Compensation Program</w:t>
            </w: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560" w:type="dxa"/>
            <w:vAlign w:val="bottom"/>
            <w:gridSpan w:val="2"/>
          </w:tcPr>
          <w:p>
            <w:pPr>
              <w:spacing w:after="0"/>
              <w:rPr>
                <w:sz w:val="12"/>
                <w:szCs w:val="12"/>
                <w:color w:val="auto"/>
              </w:rPr>
            </w:pPr>
          </w:p>
        </w:tc>
        <w:tc>
          <w:tcPr>
            <w:tcW w:w="2340" w:type="dxa"/>
            <w:vAlign w:val="bottom"/>
            <w:gridSpan w:val="2"/>
          </w:tcPr>
          <w:p>
            <w:pPr>
              <w:spacing w:after="0"/>
              <w:rPr>
                <w:sz w:val="12"/>
                <w:szCs w:val="12"/>
                <w:color w:val="auto"/>
              </w:rPr>
            </w:pPr>
          </w:p>
        </w:tc>
        <w:tc>
          <w:tcPr>
            <w:tcW w:w="1120" w:type="dxa"/>
            <w:vAlign w:val="bottom"/>
          </w:tcPr>
          <w:p>
            <w:pPr>
              <w:spacing w:after="0"/>
              <w:rPr>
                <w:sz w:val="12"/>
                <w:szCs w:val="12"/>
                <w:color w:val="auto"/>
              </w:rPr>
            </w:pP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27</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740" w:type="dxa"/>
            <w:vAlign w:val="bottom"/>
            <w:tcBorders>
              <w:top w:val="single" w:sz="8" w:color="0000EE"/>
            </w:tcBorders>
            <w:gridSpan w:val="20"/>
          </w:tcPr>
          <w:p>
            <w:pPr>
              <w:spacing w:after="0" w:line="142" w:lineRule="exact"/>
              <w:rPr>
                <w:sz w:val="20"/>
                <w:szCs w:val="20"/>
                <w:color w:val="auto"/>
              </w:rPr>
            </w:pPr>
            <w:r>
              <w:rPr>
                <w:rFonts w:ascii="Arial" w:cs="Arial" w:eastAsia="Arial" w:hAnsi="Arial"/>
                <w:sz w:val="14"/>
                <w:szCs w:val="14"/>
                <w:color w:val="auto"/>
              </w:rPr>
              <w:t>Benefits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10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480" w:type="dxa"/>
            <w:vAlign w:val="bottom"/>
            <w:gridSpan w:val="9"/>
          </w:tcPr>
          <w:p>
            <w:pPr>
              <w:spacing w:after="0"/>
              <w:rPr>
                <w:sz w:val="12"/>
                <w:szCs w:val="12"/>
                <w:color w:val="auto"/>
              </w:rPr>
            </w:pPr>
          </w:p>
        </w:tc>
        <w:tc>
          <w:tcPr>
            <w:tcW w:w="80" w:type="dxa"/>
            <w:vAlign w:val="bottom"/>
            <w:gridSpan w:val="3"/>
          </w:tcPr>
          <w:p>
            <w:pPr>
              <w:spacing w:after="0"/>
              <w:rPr>
                <w:sz w:val="12"/>
                <w:szCs w:val="12"/>
                <w:color w:val="auto"/>
              </w:rPr>
            </w:pPr>
          </w:p>
        </w:tc>
        <w:tc>
          <w:tcPr>
            <w:tcW w:w="560" w:type="dxa"/>
            <w:vAlign w:val="bottom"/>
            <w:gridSpan w:val="2"/>
          </w:tcPr>
          <w:p>
            <w:pPr>
              <w:spacing w:after="0"/>
              <w:rPr>
                <w:sz w:val="12"/>
                <w:szCs w:val="12"/>
                <w:color w:val="auto"/>
              </w:rPr>
            </w:pPr>
          </w:p>
        </w:tc>
        <w:tc>
          <w:tcPr>
            <w:tcW w:w="2340" w:type="dxa"/>
            <w:vAlign w:val="bottom"/>
            <w:gridSpan w:val="2"/>
          </w:tcPr>
          <w:p>
            <w:pPr>
              <w:spacing w:after="0"/>
              <w:rPr>
                <w:sz w:val="12"/>
                <w:szCs w:val="12"/>
                <w:color w:val="auto"/>
              </w:rPr>
            </w:pPr>
          </w:p>
        </w:tc>
        <w:tc>
          <w:tcPr>
            <w:tcW w:w="1120" w:type="dxa"/>
            <w:vAlign w:val="bottom"/>
          </w:tcPr>
          <w:p>
            <w:pPr>
              <w:spacing w:after="0"/>
              <w:rPr>
                <w:sz w:val="12"/>
                <w:szCs w:val="12"/>
                <w:color w:val="auto"/>
              </w:rPr>
            </w:pP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39</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0000EE"/>
              <w:bottom w:val="single" w:sz="8" w:color="0000EE"/>
            </w:tcBorders>
            <w:gridSpan w:val="2"/>
          </w:tcPr>
          <w:p>
            <w:pPr>
              <w:spacing w:after="0" w:line="142" w:lineRule="exact"/>
              <w:rPr>
                <w:sz w:val="20"/>
                <w:szCs w:val="20"/>
                <w:color w:val="auto"/>
              </w:rPr>
            </w:pPr>
            <w:r>
              <w:rPr>
                <w:rFonts w:ascii="Arial" w:cs="Arial" w:eastAsia="Arial" w:hAnsi="Arial"/>
                <w:sz w:val="14"/>
                <w:szCs w:val="14"/>
                <w:color w:val="auto"/>
              </w:rPr>
              <w:t>2025</w:t>
            </w:r>
          </w:p>
        </w:tc>
        <w:tc>
          <w:tcPr>
            <w:tcW w:w="1880" w:type="dxa"/>
            <w:vAlign w:val="bottom"/>
            <w:tcBorders>
              <w:bottom w:val="single" w:sz="8" w:color="0000EE"/>
            </w:tcBorders>
            <w:gridSpan w:val="36"/>
          </w:tcPr>
          <w:p>
            <w:pPr>
              <w:spacing w:after="0" w:line="142" w:lineRule="exact"/>
              <w:rPr>
                <w:sz w:val="20"/>
                <w:szCs w:val="20"/>
                <w:color w:val="auto"/>
              </w:rPr>
            </w:pPr>
            <w:r>
              <w:rPr>
                <w:rFonts w:ascii="Arial" w:cs="Arial" w:eastAsia="Arial" w:hAnsi="Arial"/>
                <w:sz w:val="14"/>
                <w:szCs w:val="14"/>
                <w:color w:val="auto"/>
                <w:w w:val="94"/>
              </w:rPr>
              <w:t>Compensation Program Actions</w:t>
            </w:r>
          </w:p>
        </w:tc>
        <w:tc>
          <w:tcPr>
            <w:tcW w:w="4740" w:type="dxa"/>
            <w:vAlign w:val="bottom"/>
            <w:gridSpan w:val="20"/>
          </w:tcPr>
          <w:p>
            <w:pPr>
              <w:spacing w:after="0"/>
              <w:rPr>
                <w:sz w:val="12"/>
                <w:szCs w:val="12"/>
                <w:color w:val="auto"/>
              </w:rPr>
            </w:pP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40</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gridSpan w:val="43"/>
          </w:tcPr>
          <w:p>
            <w:pPr>
              <w:spacing w:after="0" w:line="142" w:lineRule="exact"/>
              <w:rPr>
                <w:sz w:val="20"/>
                <w:szCs w:val="20"/>
                <w:color w:val="auto"/>
              </w:rPr>
            </w:pPr>
            <w:r>
              <w:rPr>
                <w:rFonts w:ascii="Arial" w:cs="Arial" w:eastAsia="Arial" w:hAnsi="Arial"/>
                <w:sz w:val="14"/>
                <w:szCs w:val="14"/>
                <w:color w:val="auto"/>
              </w:rPr>
              <w:t>Other Compensation Matters</w:t>
            </w:r>
          </w:p>
        </w:tc>
        <w:tc>
          <w:tcPr>
            <w:tcW w:w="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480" w:type="dxa"/>
            <w:vAlign w:val="bottom"/>
            <w:gridSpan w:val="9"/>
          </w:tcPr>
          <w:p>
            <w:pPr>
              <w:spacing w:after="0"/>
              <w:rPr>
                <w:sz w:val="12"/>
                <w:szCs w:val="12"/>
                <w:color w:val="auto"/>
              </w:rPr>
            </w:pPr>
          </w:p>
        </w:tc>
        <w:tc>
          <w:tcPr>
            <w:tcW w:w="80" w:type="dxa"/>
            <w:vAlign w:val="bottom"/>
            <w:gridSpan w:val="3"/>
          </w:tcPr>
          <w:p>
            <w:pPr>
              <w:spacing w:after="0"/>
              <w:rPr>
                <w:sz w:val="12"/>
                <w:szCs w:val="12"/>
                <w:color w:val="auto"/>
              </w:rPr>
            </w:pPr>
          </w:p>
        </w:tc>
        <w:tc>
          <w:tcPr>
            <w:tcW w:w="560" w:type="dxa"/>
            <w:vAlign w:val="bottom"/>
            <w:gridSpan w:val="2"/>
          </w:tcPr>
          <w:p>
            <w:pPr>
              <w:spacing w:after="0"/>
              <w:rPr>
                <w:sz w:val="12"/>
                <w:szCs w:val="12"/>
                <w:color w:val="auto"/>
              </w:rPr>
            </w:pPr>
          </w:p>
        </w:tc>
        <w:tc>
          <w:tcPr>
            <w:tcW w:w="2340" w:type="dxa"/>
            <w:vAlign w:val="bottom"/>
            <w:gridSpan w:val="2"/>
          </w:tcPr>
          <w:p>
            <w:pPr>
              <w:spacing w:after="0"/>
              <w:rPr>
                <w:sz w:val="12"/>
                <w:szCs w:val="12"/>
                <w:color w:val="auto"/>
              </w:rPr>
            </w:pPr>
          </w:p>
        </w:tc>
        <w:tc>
          <w:tcPr>
            <w:tcW w:w="1120" w:type="dxa"/>
            <w:vAlign w:val="bottom"/>
          </w:tcPr>
          <w:p>
            <w:pPr>
              <w:spacing w:after="0"/>
              <w:rPr>
                <w:sz w:val="12"/>
                <w:szCs w:val="12"/>
                <w:color w:val="auto"/>
              </w:rPr>
            </w:pP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41</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700" w:type="dxa"/>
            <w:vAlign w:val="bottom"/>
            <w:tcBorders>
              <w:top w:val="single" w:sz="8" w:color="0000EE"/>
              <w:bottom w:val="single" w:sz="8" w:color="0000EE"/>
            </w:tcBorders>
            <w:gridSpan w:val="18"/>
          </w:tcPr>
          <w:p>
            <w:pPr>
              <w:spacing w:after="0" w:line="142" w:lineRule="exact"/>
              <w:rPr>
                <w:sz w:val="20"/>
                <w:szCs w:val="20"/>
                <w:color w:val="auto"/>
              </w:rPr>
            </w:pPr>
            <w:r>
              <w:rPr>
                <w:rFonts w:ascii="Arial" w:cs="Arial" w:eastAsia="Arial" w:hAnsi="Arial"/>
                <w:sz w:val="14"/>
                <w:szCs w:val="14"/>
                <w:color w:val="auto"/>
                <w:w w:val="95"/>
              </w:rPr>
              <w:t>Stock Ownership Guidelines</w:t>
            </w:r>
          </w:p>
        </w:tc>
        <w:tc>
          <w:tcPr>
            <w:tcW w:w="80" w:type="dxa"/>
            <w:vAlign w:val="bottom"/>
            <w:tcBorders>
              <w:bottom w:val="single" w:sz="8" w:color="0000EE"/>
            </w:tcBorders>
            <w:gridSpan w:val="3"/>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140" w:type="dxa"/>
            <w:vAlign w:val="bottom"/>
            <w:gridSpan w:val="5"/>
          </w:tcPr>
          <w:p>
            <w:pPr>
              <w:spacing w:after="0"/>
              <w:rPr>
                <w:sz w:val="12"/>
                <w:szCs w:val="12"/>
                <w:color w:val="auto"/>
              </w:rPr>
            </w:pPr>
          </w:p>
        </w:tc>
        <w:tc>
          <w:tcPr>
            <w:tcW w:w="120" w:type="dxa"/>
            <w:vAlign w:val="bottom"/>
            <w:gridSpan w:val="2"/>
          </w:tcPr>
          <w:p>
            <w:pPr>
              <w:spacing w:after="0"/>
              <w:rPr>
                <w:sz w:val="12"/>
                <w:szCs w:val="12"/>
                <w:color w:val="auto"/>
              </w:rPr>
            </w:pPr>
          </w:p>
        </w:tc>
        <w:tc>
          <w:tcPr>
            <w:tcW w:w="480" w:type="dxa"/>
            <w:vAlign w:val="bottom"/>
            <w:gridSpan w:val="9"/>
          </w:tcPr>
          <w:p>
            <w:pPr>
              <w:spacing w:after="0"/>
              <w:rPr>
                <w:sz w:val="12"/>
                <w:szCs w:val="12"/>
                <w:color w:val="auto"/>
              </w:rPr>
            </w:pPr>
          </w:p>
        </w:tc>
        <w:tc>
          <w:tcPr>
            <w:tcW w:w="80" w:type="dxa"/>
            <w:vAlign w:val="bottom"/>
            <w:gridSpan w:val="3"/>
          </w:tcPr>
          <w:p>
            <w:pPr>
              <w:spacing w:after="0"/>
              <w:rPr>
                <w:sz w:val="12"/>
                <w:szCs w:val="12"/>
                <w:color w:val="auto"/>
              </w:rPr>
            </w:pPr>
          </w:p>
        </w:tc>
        <w:tc>
          <w:tcPr>
            <w:tcW w:w="560" w:type="dxa"/>
            <w:vAlign w:val="bottom"/>
            <w:gridSpan w:val="2"/>
          </w:tcPr>
          <w:p>
            <w:pPr>
              <w:spacing w:after="0"/>
              <w:rPr>
                <w:sz w:val="12"/>
                <w:szCs w:val="12"/>
                <w:color w:val="auto"/>
              </w:rPr>
            </w:pPr>
          </w:p>
        </w:tc>
        <w:tc>
          <w:tcPr>
            <w:tcW w:w="2340" w:type="dxa"/>
            <w:vAlign w:val="bottom"/>
            <w:gridSpan w:val="2"/>
          </w:tcPr>
          <w:p>
            <w:pPr>
              <w:spacing w:after="0"/>
              <w:rPr>
                <w:sz w:val="12"/>
                <w:szCs w:val="12"/>
                <w:color w:val="auto"/>
              </w:rPr>
            </w:pPr>
          </w:p>
        </w:tc>
        <w:tc>
          <w:tcPr>
            <w:tcW w:w="1120" w:type="dxa"/>
            <w:vAlign w:val="bottom"/>
          </w:tcPr>
          <w:p>
            <w:pPr>
              <w:spacing w:after="0"/>
              <w:rPr>
                <w:sz w:val="12"/>
                <w:szCs w:val="12"/>
                <w:color w:val="auto"/>
              </w:rPr>
            </w:pP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41</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Borders>
              <w:bottom w:val="single" w:sz="8" w:color="0000EE"/>
            </w:tcBorders>
            <w:gridSpan w:val="7"/>
          </w:tcPr>
          <w:p>
            <w:pPr>
              <w:spacing w:after="0" w:line="142" w:lineRule="exact"/>
              <w:rPr>
                <w:sz w:val="20"/>
                <w:szCs w:val="20"/>
                <w:color w:val="auto"/>
              </w:rPr>
            </w:pPr>
            <w:r>
              <w:rPr>
                <w:rFonts w:ascii="Arial" w:cs="Arial" w:eastAsia="Arial" w:hAnsi="Arial"/>
                <w:sz w:val="14"/>
                <w:szCs w:val="14"/>
                <w:color w:val="auto"/>
                <w:w w:val="99"/>
              </w:rPr>
              <w:t>Clawback Policies</w:t>
            </w:r>
          </w:p>
        </w:tc>
        <w:tc>
          <w:tcPr>
            <w:tcW w:w="640" w:type="dxa"/>
            <w:vAlign w:val="bottom"/>
            <w:gridSpan w:val="14"/>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140" w:type="dxa"/>
            <w:vAlign w:val="bottom"/>
            <w:gridSpan w:val="5"/>
          </w:tcPr>
          <w:p>
            <w:pPr>
              <w:spacing w:after="0"/>
              <w:rPr>
                <w:sz w:val="12"/>
                <w:szCs w:val="12"/>
                <w:color w:val="auto"/>
              </w:rPr>
            </w:pPr>
          </w:p>
        </w:tc>
        <w:tc>
          <w:tcPr>
            <w:tcW w:w="120" w:type="dxa"/>
            <w:vAlign w:val="bottom"/>
            <w:gridSpan w:val="2"/>
          </w:tcPr>
          <w:p>
            <w:pPr>
              <w:spacing w:after="0"/>
              <w:rPr>
                <w:sz w:val="12"/>
                <w:szCs w:val="12"/>
                <w:color w:val="auto"/>
              </w:rPr>
            </w:pPr>
          </w:p>
        </w:tc>
        <w:tc>
          <w:tcPr>
            <w:tcW w:w="480" w:type="dxa"/>
            <w:vAlign w:val="bottom"/>
            <w:gridSpan w:val="9"/>
          </w:tcPr>
          <w:p>
            <w:pPr>
              <w:spacing w:after="0"/>
              <w:rPr>
                <w:sz w:val="12"/>
                <w:szCs w:val="12"/>
                <w:color w:val="auto"/>
              </w:rPr>
            </w:pPr>
          </w:p>
        </w:tc>
        <w:tc>
          <w:tcPr>
            <w:tcW w:w="80" w:type="dxa"/>
            <w:vAlign w:val="bottom"/>
            <w:gridSpan w:val="3"/>
          </w:tcPr>
          <w:p>
            <w:pPr>
              <w:spacing w:after="0"/>
              <w:rPr>
                <w:sz w:val="12"/>
                <w:szCs w:val="12"/>
                <w:color w:val="auto"/>
              </w:rPr>
            </w:pPr>
          </w:p>
        </w:tc>
        <w:tc>
          <w:tcPr>
            <w:tcW w:w="560" w:type="dxa"/>
            <w:vAlign w:val="bottom"/>
            <w:gridSpan w:val="2"/>
          </w:tcPr>
          <w:p>
            <w:pPr>
              <w:spacing w:after="0"/>
              <w:rPr>
                <w:sz w:val="12"/>
                <w:szCs w:val="12"/>
                <w:color w:val="auto"/>
              </w:rPr>
            </w:pPr>
          </w:p>
        </w:tc>
        <w:tc>
          <w:tcPr>
            <w:tcW w:w="2340" w:type="dxa"/>
            <w:vAlign w:val="bottom"/>
            <w:gridSpan w:val="2"/>
          </w:tcPr>
          <w:p>
            <w:pPr>
              <w:spacing w:after="0"/>
              <w:rPr>
                <w:sz w:val="12"/>
                <w:szCs w:val="12"/>
                <w:color w:val="auto"/>
              </w:rPr>
            </w:pPr>
          </w:p>
        </w:tc>
        <w:tc>
          <w:tcPr>
            <w:tcW w:w="1120" w:type="dxa"/>
            <w:vAlign w:val="bottom"/>
          </w:tcPr>
          <w:p>
            <w:pPr>
              <w:spacing w:after="0"/>
              <w:rPr>
                <w:sz w:val="12"/>
                <w:szCs w:val="12"/>
                <w:color w:val="auto"/>
              </w:rPr>
            </w:pP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41</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120" w:type="dxa"/>
            <w:vAlign w:val="bottom"/>
            <w:gridSpan w:val="58"/>
          </w:tcPr>
          <w:p>
            <w:pPr>
              <w:spacing w:after="0" w:line="142" w:lineRule="exact"/>
              <w:rPr>
                <w:sz w:val="20"/>
                <w:szCs w:val="20"/>
                <w:color w:val="auto"/>
              </w:rPr>
            </w:pPr>
            <w:r>
              <w:rPr>
                <w:rFonts w:ascii="Arial" w:cs="Arial" w:eastAsia="Arial" w:hAnsi="Arial"/>
                <w:sz w:val="14"/>
                <w:szCs w:val="14"/>
                <w:color w:val="auto"/>
              </w:rPr>
              <w:t>Insider Trading Policies and Procedures</w:t>
            </w: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41</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40" w:type="dxa"/>
            <w:vAlign w:val="bottom"/>
            <w:tcBorders>
              <w:top w:val="single" w:sz="8" w:color="0000EE"/>
            </w:tcBorders>
            <w:gridSpan w:val="41"/>
          </w:tcPr>
          <w:p>
            <w:pPr>
              <w:spacing w:after="0" w:line="142" w:lineRule="exact"/>
              <w:rPr>
                <w:sz w:val="20"/>
                <w:szCs w:val="20"/>
                <w:color w:val="auto"/>
              </w:rPr>
            </w:pPr>
            <w:r>
              <w:rPr>
                <w:rFonts w:ascii="Arial" w:cs="Arial" w:eastAsia="Arial" w:hAnsi="Arial"/>
                <w:sz w:val="14"/>
                <w:szCs w:val="14"/>
                <w:color w:val="auto"/>
              </w:rPr>
              <w:t>Anti-Hedging and Anti-Pledging Policy</w:t>
            </w:r>
          </w:p>
        </w:tc>
        <w:tc>
          <w:tcPr>
            <w:tcW w:w="480" w:type="dxa"/>
            <w:vAlign w:val="bottom"/>
            <w:gridSpan w:val="9"/>
          </w:tcPr>
          <w:p>
            <w:pPr>
              <w:spacing w:after="0"/>
              <w:rPr>
                <w:sz w:val="12"/>
                <w:szCs w:val="12"/>
                <w:color w:val="auto"/>
              </w:rPr>
            </w:pPr>
          </w:p>
        </w:tc>
        <w:tc>
          <w:tcPr>
            <w:tcW w:w="80" w:type="dxa"/>
            <w:vAlign w:val="bottom"/>
            <w:gridSpan w:val="3"/>
          </w:tcPr>
          <w:p>
            <w:pPr>
              <w:spacing w:after="0"/>
              <w:rPr>
                <w:sz w:val="12"/>
                <w:szCs w:val="12"/>
                <w:color w:val="auto"/>
              </w:rPr>
            </w:pPr>
          </w:p>
        </w:tc>
        <w:tc>
          <w:tcPr>
            <w:tcW w:w="560" w:type="dxa"/>
            <w:vAlign w:val="bottom"/>
            <w:gridSpan w:val="2"/>
          </w:tcPr>
          <w:p>
            <w:pPr>
              <w:spacing w:after="0"/>
              <w:rPr>
                <w:sz w:val="12"/>
                <w:szCs w:val="12"/>
                <w:color w:val="auto"/>
              </w:rPr>
            </w:pPr>
          </w:p>
        </w:tc>
        <w:tc>
          <w:tcPr>
            <w:tcW w:w="2340" w:type="dxa"/>
            <w:vAlign w:val="bottom"/>
            <w:gridSpan w:val="2"/>
          </w:tcPr>
          <w:p>
            <w:pPr>
              <w:spacing w:after="0"/>
              <w:rPr>
                <w:sz w:val="12"/>
                <w:szCs w:val="12"/>
                <w:color w:val="auto"/>
              </w:rPr>
            </w:pPr>
          </w:p>
        </w:tc>
        <w:tc>
          <w:tcPr>
            <w:tcW w:w="1120" w:type="dxa"/>
            <w:vAlign w:val="bottom"/>
          </w:tcPr>
          <w:p>
            <w:pPr>
              <w:spacing w:after="0"/>
              <w:rPr>
                <w:sz w:val="12"/>
                <w:szCs w:val="12"/>
                <w:color w:val="auto"/>
              </w:rPr>
            </w:pP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41</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tcBorders>
              <w:top w:val="single" w:sz="8" w:color="0000EE"/>
            </w:tcBorders>
            <w:gridSpan w:val="39"/>
          </w:tcPr>
          <w:p>
            <w:pPr>
              <w:spacing w:after="0" w:line="142" w:lineRule="exact"/>
              <w:rPr>
                <w:sz w:val="20"/>
                <w:szCs w:val="20"/>
                <w:color w:val="auto"/>
              </w:rPr>
            </w:pPr>
            <w:r>
              <w:rPr>
                <w:rFonts w:ascii="Arial" w:cs="Arial" w:eastAsia="Arial" w:hAnsi="Arial"/>
                <w:sz w:val="14"/>
                <w:szCs w:val="14"/>
                <w:color w:val="auto"/>
              </w:rPr>
              <w:t>Compensation Risk Management</w:t>
            </w:r>
          </w:p>
        </w:tc>
        <w:tc>
          <w:tcPr>
            <w:tcW w:w="600" w:type="dxa"/>
            <w:vAlign w:val="bottom"/>
            <w:gridSpan w:val="11"/>
          </w:tcPr>
          <w:p>
            <w:pPr>
              <w:spacing w:after="0"/>
              <w:rPr>
                <w:sz w:val="12"/>
                <w:szCs w:val="12"/>
                <w:color w:val="auto"/>
              </w:rPr>
            </w:pPr>
          </w:p>
        </w:tc>
        <w:tc>
          <w:tcPr>
            <w:tcW w:w="80" w:type="dxa"/>
            <w:vAlign w:val="bottom"/>
            <w:gridSpan w:val="3"/>
          </w:tcPr>
          <w:p>
            <w:pPr>
              <w:spacing w:after="0"/>
              <w:rPr>
                <w:sz w:val="12"/>
                <w:szCs w:val="12"/>
                <w:color w:val="auto"/>
              </w:rPr>
            </w:pPr>
          </w:p>
        </w:tc>
        <w:tc>
          <w:tcPr>
            <w:tcW w:w="560" w:type="dxa"/>
            <w:vAlign w:val="bottom"/>
            <w:gridSpan w:val="2"/>
          </w:tcPr>
          <w:p>
            <w:pPr>
              <w:spacing w:after="0"/>
              <w:rPr>
                <w:sz w:val="12"/>
                <w:szCs w:val="12"/>
                <w:color w:val="auto"/>
              </w:rPr>
            </w:pPr>
          </w:p>
        </w:tc>
        <w:tc>
          <w:tcPr>
            <w:tcW w:w="2340" w:type="dxa"/>
            <w:vAlign w:val="bottom"/>
            <w:gridSpan w:val="2"/>
          </w:tcPr>
          <w:p>
            <w:pPr>
              <w:spacing w:after="0"/>
              <w:rPr>
                <w:sz w:val="12"/>
                <w:szCs w:val="12"/>
                <w:color w:val="auto"/>
              </w:rPr>
            </w:pPr>
          </w:p>
        </w:tc>
        <w:tc>
          <w:tcPr>
            <w:tcW w:w="1120" w:type="dxa"/>
            <w:vAlign w:val="bottom"/>
          </w:tcPr>
          <w:p>
            <w:pPr>
              <w:spacing w:after="0"/>
              <w:rPr>
                <w:sz w:val="12"/>
                <w:szCs w:val="12"/>
                <w:color w:val="auto"/>
              </w:rPr>
            </w:pP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41</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Borders>
              <w:top w:val="single" w:sz="8" w:color="0000EE"/>
              <w:bottom w:val="single" w:sz="8" w:color="0000EE"/>
            </w:tcBorders>
            <w:gridSpan w:val="10"/>
          </w:tcPr>
          <w:p>
            <w:pPr>
              <w:spacing w:after="0" w:line="142" w:lineRule="exact"/>
              <w:rPr>
                <w:sz w:val="20"/>
                <w:szCs w:val="20"/>
                <w:color w:val="auto"/>
              </w:rPr>
            </w:pPr>
            <w:r>
              <w:rPr>
                <w:rFonts w:ascii="Arial" w:cs="Arial" w:eastAsia="Arial" w:hAnsi="Arial"/>
                <w:sz w:val="14"/>
                <w:szCs w:val="14"/>
                <w:color w:val="auto"/>
                <w:w w:val="99"/>
              </w:rPr>
              <w:t>Tax Considerations</w:t>
            </w:r>
          </w:p>
        </w:tc>
        <w:tc>
          <w:tcPr>
            <w:tcW w:w="920" w:type="dxa"/>
            <w:vAlign w:val="bottom"/>
            <w:tcBorders>
              <w:top w:val="single" w:sz="8" w:color="0000EE"/>
            </w:tcBorders>
            <w:gridSpan w:val="21"/>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740" w:type="dxa"/>
            <w:vAlign w:val="bottom"/>
            <w:gridSpan w:val="16"/>
          </w:tcPr>
          <w:p>
            <w:pPr>
              <w:spacing w:after="0"/>
              <w:rPr>
                <w:sz w:val="12"/>
                <w:szCs w:val="12"/>
                <w:color w:val="auto"/>
              </w:rPr>
            </w:pPr>
          </w:p>
        </w:tc>
        <w:tc>
          <w:tcPr>
            <w:tcW w:w="80" w:type="dxa"/>
            <w:vAlign w:val="bottom"/>
            <w:gridSpan w:val="3"/>
          </w:tcPr>
          <w:p>
            <w:pPr>
              <w:spacing w:after="0"/>
              <w:rPr>
                <w:sz w:val="12"/>
                <w:szCs w:val="12"/>
                <w:color w:val="auto"/>
              </w:rPr>
            </w:pPr>
          </w:p>
        </w:tc>
        <w:tc>
          <w:tcPr>
            <w:tcW w:w="560" w:type="dxa"/>
            <w:vAlign w:val="bottom"/>
            <w:gridSpan w:val="2"/>
          </w:tcPr>
          <w:p>
            <w:pPr>
              <w:spacing w:after="0"/>
              <w:rPr>
                <w:sz w:val="12"/>
                <w:szCs w:val="12"/>
                <w:color w:val="auto"/>
              </w:rPr>
            </w:pPr>
          </w:p>
        </w:tc>
        <w:tc>
          <w:tcPr>
            <w:tcW w:w="2340" w:type="dxa"/>
            <w:vAlign w:val="bottom"/>
            <w:gridSpan w:val="2"/>
          </w:tcPr>
          <w:p>
            <w:pPr>
              <w:spacing w:after="0"/>
              <w:rPr>
                <w:sz w:val="12"/>
                <w:szCs w:val="12"/>
                <w:color w:val="auto"/>
              </w:rPr>
            </w:pPr>
          </w:p>
        </w:tc>
        <w:tc>
          <w:tcPr>
            <w:tcW w:w="1120" w:type="dxa"/>
            <w:vAlign w:val="bottom"/>
          </w:tcPr>
          <w:p>
            <w:pPr>
              <w:spacing w:after="0"/>
              <w:rPr>
                <w:sz w:val="12"/>
                <w:szCs w:val="12"/>
                <w:color w:val="auto"/>
              </w:rPr>
            </w:pP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42</w:t>
            </w:r>
          </w:p>
        </w:tc>
      </w:tr>
      <w:tr>
        <w:trPr>
          <w:trHeight w:val="290"/>
        </w:trPr>
        <w:tc>
          <w:tcPr>
            <w:tcW w:w="420" w:type="dxa"/>
            <w:vAlign w:val="bottom"/>
          </w:tcPr>
          <w:p>
            <w:pPr>
              <w:spacing w:after="0"/>
              <w:rPr>
                <w:sz w:val="24"/>
                <w:szCs w:val="24"/>
                <w:color w:val="auto"/>
              </w:rPr>
            </w:pPr>
          </w:p>
        </w:tc>
        <w:tc>
          <w:tcPr>
            <w:tcW w:w="2440" w:type="dxa"/>
            <w:vAlign w:val="bottom"/>
            <w:tcBorders>
              <w:bottom w:val="single" w:sz="8" w:color="0000EE"/>
            </w:tcBorders>
            <w:gridSpan w:val="38"/>
          </w:tcPr>
          <w:p>
            <w:pPr>
              <w:spacing w:after="0"/>
              <w:rPr>
                <w:sz w:val="20"/>
                <w:szCs w:val="20"/>
                <w:color w:val="auto"/>
              </w:rPr>
            </w:pPr>
            <w:r>
              <w:rPr>
                <w:rFonts w:ascii="Arial" w:cs="Arial" w:eastAsia="Arial" w:hAnsi="Arial"/>
                <w:sz w:val="16"/>
                <w:szCs w:val="16"/>
                <w:color w:val="0075C9"/>
              </w:rPr>
              <w:t>Compensation Committee Report</w:t>
            </w:r>
          </w:p>
        </w:tc>
        <w:tc>
          <w:tcPr>
            <w:tcW w:w="4960" w:type="dxa"/>
            <w:vAlign w:val="bottom"/>
            <w:gridSpan w:val="26"/>
          </w:tcPr>
          <w:p>
            <w:pPr>
              <w:spacing w:after="0"/>
              <w:rPr>
                <w:sz w:val="24"/>
                <w:szCs w:val="2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0075C9"/>
              </w:rPr>
              <w:t>43</w:t>
            </w:r>
          </w:p>
        </w:tc>
      </w:tr>
      <w:tr>
        <w:trPr>
          <w:trHeight w:val="264"/>
        </w:trPr>
        <w:tc>
          <w:tcPr>
            <w:tcW w:w="420" w:type="dxa"/>
            <w:vAlign w:val="bottom"/>
          </w:tcPr>
          <w:p>
            <w:pPr>
              <w:spacing w:after="0"/>
              <w:rPr>
                <w:sz w:val="22"/>
                <w:szCs w:val="22"/>
                <w:color w:val="auto"/>
              </w:rPr>
            </w:pPr>
          </w:p>
        </w:tc>
        <w:tc>
          <w:tcPr>
            <w:tcW w:w="2340" w:type="dxa"/>
            <w:vAlign w:val="bottom"/>
            <w:tcBorders>
              <w:bottom w:val="single" w:sz="8" w:color="0000EE"/>
            </w:tcBorders>
            <w:gridSpan w:val="33"/>
          </w:tcPr>
          <w:p>
            <w:pPr>
              <w:spacing w:after="0"/>
              <w:rPr>
                <w:sz w:val="20"/>
                <w:szCs w:val="20"/>
                <w:color w:val="auto"/>
              </w:rPr>
            </w:pPr>
            <w:r>
              <w:rPr>
                <w:rFonts w:ascii="Arial" w:cs="Arial" w:eastAsia="Arial" w:hAnsi="Arial"/>
                <w:sz w:val="16"/>
                <w:szCs w:val="16"/>
                <w:color w:val="0075C9"/>
              </w:rPr>
              <w:t>Executive Compensation Tables</w:t>
            </w:r>
          </w:p>
        </w:tc>
        <w:tc>
          <w:tcPr>
            <w:tcW w:w="5060" w:type="dxa"/>
            <w:vAlign w:val="bottom"/>
            <w:gridSpan w:val="31"/>
          </w:tcPr>
          <w:p>
            <w:pPr>
              <w:spacing w:after="0"/>
              <w:rPr>
                <w:sz w:val="22"/>
                <w:szCs w:val="22"/>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0075C9"/>
              </w:rPr>
              <w:t>44</w:t>
            </w:r>
          </w:p>
        </w:tc>
      </w:tr>
      <w:tr>
        <w:trPr>
          <w:trHeight w:val="155"/>
        </w:trPr>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20" w:type="dxa"/>
            <w:vAlign w:val="bottom"/>
            <w:gridSpan w:val="61"/>
          </w:tcPr>
          <w:p>
            <w:pPr>
              <w:spacing w:after="0" w:line="155" w:lineRule="exact"/>
              <w:rPr>
                <w:sz w:val="20"/>
                <w:szCs w:val="20"/>
                <w:color w:val="auto"/>
              </w:rPr>
            </w:pPr>
            <w:r>
              <w:rPr>
                <w:rFonts w:ascii="Arial" w:cs="Arial" w:eastAsia="Arial" w:hAnsi="Arial"/>
                <w:sz w:val="14"/>
                <w:szCs w:val="14"/>
                <w:color w:val="auto"/>
              </w:rPr>
              <w:t>Summary Compensation Table</w:t>
            </w:r>
          </w:p>
        </w:tc>
        <w:tc>
          <w:tcPr>
            <w:tcW w:w="342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44</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tcBorders>
              <w:top w:val="single" w:sz="8" w:color="0000EE"/>
              <w:bottom w:val="single" w:sz="8" w:color="0000EE"/>
            </w:tcBorders>
            <w:gridSpan w:val="25"/>
          </w:tcPr>
          <w:p>
            <w:pPr>
              <w:spacing w:after="0" w:line="142" w:lineRule="exact"/>
              <w:rPr>
                <w:sz w:val="20"/>
                <w:szCs w:val="20"/>
                <w:color w:val="auto"/>
              </w:rPr>
            </w:pPr>
            <w:r>
              <w:rPr>
                <w:rFonts w:ascii="Arial" w:cs="Arial" w:eastAsia="Arial" w:hAnsi="Arial"/>
                <w:sz w:val="14"/>
                <w:szCs w:val="14"/>
                <w:color w:val="auto"/>
              </w:rPr>
              <w:t>Grants of Plan-Based Awards</w:t>
            </w:r>
          </w:p>
        </w:tc>
        <w:tc>
          <w:tcPr>
            <w:tcW w:w="80" w:type="dxa"/>
            <w:vAlign w:val="bottom"/>
            <w:tcBorders>
              <w:top w:val="single" w:sz="8" w:color="0000EE"/>
            </w:tcBorders>
            <w:gridSpan w:val="2"/>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gridSpan w:val="9"/>
          </w:tcPr>
          <w:p>
            <w:pPr>
              <w:spacing w:after="0"/>
              <w:rPr>
                <w:sz w:val="12"/>
                <w:szCs w:val="12"/>
                <w:color w:val="auto"/>
              </w:rPr>
            </w:pPr>
          </w:p>
        </w:tc>
        <w:tc>
          <w:tcPr>
            <w:tcW w:w="740" w:type="dxa"/>
            <w:vAlign w:val="bottom"/>
            <w:gridSpan w:val="16"/>
          </w:tcPr>
          <w:p>
            <w:pPr>
              <w:spacing w:after="0"/>
              <w:rPr>
                <w:sz w:val="12"/>
                <w:szCs w:val="12"/>
                <w:color w:val="auto"/>
              </w:rPr>
            </w:pPr>
          </w:p>
        </w:tc>
        <w:tc>
          <w:tcPr>
            <w:tcW w:w="80" w:type="dxa"/>
            <w:vAlign w:val="bottom"/>
            <w:gridSpan w:val="3"/>
          </w:tcPr>
          <w:p>
            <w:pPr>
              <w:spacing w:after="0"/>
              <w:rPr>
                <w:sz w:val="12"/>
                <w:szCs w:val="12"/>
                <w:color w:val="auto"/>
              </w:rPr>
            </w:pPr>
          </w:p>
        </w:tc>
        <w:tc>
          <w:tcPr>
            <w:tcW w:w="560" w:type="dxa"/>
            <w:vAlign w:val="bottom"/>
            <w:gridSpan w:val="2"/>
          </w:tcPr>
          <w:p>
            <w:pPr>
              <w:spacing w:after="0"/>
              <w:rPr>
                <w:sz w:val="12"/>
                <w:szCs w:val="12"/>
                <w:color w:val="auto"/>
              </w:rPr>
            </w:pPr>
          </w:p>
        </w:tc>
        <w:tc>
          <w:tcPr>
            <w:tcW w:w="2340" w:type="dxa"/>
            <w:vAlign w:val="bottom"/>
            <w:gridSpan w:val="2"/>
          </w:tcPr>
          <w:p>
            <w:pPr>
              <w:spacing w:after="0"/>
              <w:rPr>
                <w:sz w:val="12"/>
                <w:szCs w:val="12"/>
                <w:color w:val="auto"/>
              </w:rPr>
            </w:pPr>
          </w:p>
        </w:tc>
        <w:tc>
          <w:tcPr>
            <w:tcW w:w="1120" w:type="dxa"/>
            <w:vAlign w:val="bottom"/>
          </w:tcPr>
          <w:p>
            <w:pPr>
              <w:spacing w:after="0"/>
              <w:rPr>
                <w:sz w:val="12"/>
                <w:szCs w:val="12"/>
                <w:color w:val="auto"/>
              </w:rPr>
            </w:pP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45</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20" w:type="dxa"/>
            <w:vAlign w:val="bottom"/>
            <w:gridSpan w:val="61"/>
          </w:tcPr>
          <w:p>
            <w:pPr>
              <w:spacing w:after="0" w:line="142" w:lineRule="exact"/>
              <w:rPr>
                <w:sz w:val="20"/>
                <w:szCs w:val="20"/>
                <w:color w:val="auto"/>
              </w:rPr>
            </w:pPr>
            <w:r>
              <w:rPr>
                <w:rFonts w:ascii="Arial" w:cs="Arial" w:eastAsia="Arial" w:hAnsi="Arial"/>
                <w:sz w:val="14"/>
                <w:szCs w:val="14"/>
                <w:color w:val="auto"/>
              </w:rPr>
              <w:t>Narrative Disclosure to Summary Compensation Table and Grants of Plan-Based Awards Table</w:t>
            </w: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46</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100" w:type="dxa"/>
            <w:vAlign w:val="bottom"/>
            <w:tcBorders>
              <w:top w:val="single" w:sz="8" w:color="0000EE"/>
            </w:tcBorders>
            <w:gridSpan w:val="60"/>
          </w:tcPr>
          <w:p>
            <w:pPr>
              <w:spacing w:after="0" w:line="142" w:lineRule="exact"/>
              <w:rPr>
                <w:sz w:val="20"/>
                <w:szCs w:val="20"/>
                <w:color w:val="auto"/>
              </w:rPr>
            </w:pPr>
            <w:r>
              <w:rPr>
                <w:rFonts w:ascii="Arial" w:cs="Arial" w:eastAsia="Arial" w:hAnsi="Arial"/>
                <w:sz w:val="14"/>
                <w:szCs w:val="14"/>
                <w:color w:val="auto"/>
              </w:rPr>
              <w:t>Outstanding Equity Awards at December 31, 2024</w:t>
            </w:r>
          </w:p>
        </w:tc>
        <w:tc>
          <w:tcPr>
            <w:tcW w:w="1120" w:type="dxa"/>
            <w:vAlign w:val="bottom"/>
          </w:tcPr>
          <w:p>
            <w:pPr>
              <w:spacing w:after="0"/>
              <w:rPr>
                <w:sz w:val="12"/>
                <w:szCs w:val="12"/>
                <w:color w:val="auto"/>
              </w:rPr>
            </w:pP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47</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Borders>
              <w:top w:val="single" w:sz="8" w:color="0000EE"/>
              <w:bottom w:val="single" w:sz="8" w:color="0000EE"/>
            </w:tcBorders>
            <w:gridSpan w:val="15"/>
          </w:tcPr>
          <w:p>
            <w:pPr>
              <w:spacing w:after="0" w:line="142" w:lineRule="exact"/>
              <w:rPr>
                <w:sz w:val="20"/>
                <w:szCs w:val="20"/>
                <w:color w:val="auto"/>
              </w:rPr>
            </w:pPr>
            <w:r>
              <w:rPr>
                <w:rFonts w:ascii="Arial" w:cs="Arial" w:eastAsia="Arial" w:hAnsi="Arial"/>
                <w:sz w:val="14"/>
                <w:szCs w:val="14"/>
                <w:color w:val="auto"/>
              </w:rPr>
              <w:t>Stock Vested in 2024</w:t>
            </w:r>
          </w:p>
        </w:tc>
        <w:tc>
          <w:tcPr>
            <w:tcW w:w="1840" w:type="dxa"/>
            <w:vAlign w:val="bottom"/>
            <w:tcBorders>
              <w:top w:val="single" w:sz="8" w:color="0000EE"/>
            </w:tcBorders>
            <w:gridSpan w:val="41"/>
          </w:tcPr>
          <w:p>
            <w:pPr>
              <w:spacing w:after="0"/>
              <w:rPr>
                <w:sz w:val="12"/>
                <w:szCs w:val="12"/>
                <w:color w:val="auto"/>
              </w:rPr>
            </w:pPr>
          </w:p>
        </w:tc>
        <w:tc>
          <w:tcPr>
            <w:tcW w:w="560" w:type="dxa"/>
            <w:vAlign w:val="bottom"/>
            <w:gridSpan w:val="2"/>
          </w:tcPr>
          <w:p>
            <w:pPr>
              <w:spacing w:after="0"/>
              <w:rPr>
                <w:sz w:val="12"/>
                <w:szCs w:val="12"/>
                <w:color w:val="auto"/>
              </w:rPr>
            </w:pPr>
          </w:p>
        </w:tc>
        <w:tc>
          <w:tcPr>
            <w:tcW w:w="3460" w:type="dxa"/>
            <w:vAlign w:val="bottom"/>
            <w:gridSpan w:val="3"/>
          </w:tcPr>
          <w:p>
            <w:pPr>
              <w:spacing w:after="0"/>
              <w:rPr>
                <w:sz w:val="12"/>
                <w:szCs w:val="12"/>
                <w:color w:val="auto"/>
              </w:rPr>
            </w:pP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48</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20" w:type="dxa"/>
            <w:vAlign w:val="bottom"/>
            <w:gridSpan w:val="61"/>
          </w:tcPr>
          <w:p>
            <w:pPr>
              <w:spacing w:after="0" w:line="142" w:lineRule="exact"/>
              <w:rPr>
                <w:sz w:val="20"/>
                <w:szCs w:val="20"/>
                <w:color w:val="auto"/>
              </w:rPr>
            </w:pPr>
            <w:r>
              <w:rPr>
                <w:rFonts w:ascii="Arial" w:cs="Arial" w:eastAsia="Arial" w:hAnsi="Arial"/>
                <w:sz w:val="14"/>
                <w:szCs w:val="14"/>
                <w:color w:val="auto"/>
              </w:rPr>
              <w:t>2024 Nonqualified Deferred Compensation Table</w:t>
            </w: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48</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20" w:type="dxa"/>
            <w:vAlign w:val="bottom"/>
            <w:tcBorders>
              <w:top w:val="single" w:sz="8" w:color="0000EE"/>
            </w:tcBorders>
            <w:gridSpan w:val="53"/>
          </w:tcPr>
          <w:p>
            <w:pPr>
              <w:spacing w:after="0" w:line="142" w:lineRule="exact"/>
              <w:rPr>
                <w:sz w:val="20"/>
                <w:szCs w:val="20"/>
                <w:color w:val="auto"/>
              </w:rPr>
            </w:pPr>
            <w:r>
              <w:rPr>
                <w:rFonts w:ascii="Arial" w:cs="Arial" w:eastAsia="Arial" w:hAnsi="Arial"/>
                <w:sz w:val="14"/>
                <w:szCs w:val="14"/>
                <w:color w:val="auto"/>
              </w:rPr>
              <w:t>Potential Payments upon Termination or Change</w:t>
            </w:r>
          </w:p>
        </w:tc>
        <w:tc>
          <w:tcPr>
            <w:tcW w:w="410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in Control</w:t>
            </w: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49</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60" w:type="dxa"/>
            <w:vAlign w:val="bottom"/>
            <w:tcBorders>
              <w:top w:val="single" w:sz="8" w:color="0000EE"/>
            </w:tcBorders>
            <w:gridSpan w:val="58"/>
          </w:tcPr>
          <w:p>
            <w:pPr>
              <w:spacing w:after="0" w:line="142" w:lineRule="exact"/>
              <w:rPr>
                <w:sz w:val="20"/>
                <w:szCs w:val="20"/>
                <w:color w:val="auto"/>
              </w:rPr>
            </w:pPr>
            <w:r>
              <w:rPr>
                <w:rFonts w:ascii="Arial" w:cs="Arial" w:eastAsia="Arial" w:hAnsi="Arial"/>
                <w:sz w:val="14"/>
                <w:szCs w:val="14"/>
                <w:color w:val="auto"/>
              </w:rPr>
              <w:t>CEO Pay Ratio</w:t>
            </w:r>
          </w:p>
        </w:tc>
        <w:tc>
          <w:tcPr>
            <w:tcW w:w="3460" w:type="dxa"/>
            <w:vAlign w:val="bottom"/>
            <w:gridSpan w:val="3"/>
          </w:tcPr>
          <w:p>
            <w:pPr>
              <w:spacing w:after="0"/>
              <w:rPr>
                <w:sz w:val="12"/>
                <w:szCs w:val="12"/>
                <w:color w:val="auto"/>
              </w:rPr>
            </w:pP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52</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Borders>
              <w:top w:val="single" w:sz="8" w:color="0000EE"/>
            </w:tcBorders>
            <w:gridSpan w:val="6"/>
          </w:tcPr>
          <w:p>
            <w:pPr>
              <w:spacing w:after="0" w:line="142" w:lineRule="exact"/>
              <w:rPr>
                <w:sz w:val="20"/>
                <w:szCs w:val="20"/>
                <w:color w:val="auto"/>
              </w:rPr>
            </w:pPr>
            <w:r>
              <w:rPr>
                <w:rFonts w:ascii="Arial" w:cs="Arial" w:eastAsia="Arial" w:hAnsi="Arial"/>
                <w:sz w:val="14"/>
                <w:szCs w:val="14"/>
                <w:color w:val="auto"/>
              </w:rPr>
              <w:t>Pay Versus</w:t>
            </w:r>
          </w:p>
        </w:tc>
        <w:tc>
          <w:tcPr>
            <w:tcW w:w="6240" w:type="dxa"/>
            <w:vAlign w:val="bottom"/>
            <w:gridSpan w:val="55"/>
          </w:tcPr>
          <w:p>
            <w:pPr>
              <w:spacing w:after="0" w:line="142" w:lineRule="exact"/>
              <w:rPr>
                <w:sz w:val="20"/>
                <w:szCs w:val="20"/>
                <w:color w:val="auto"/>
              </w:rPr>
            </w:pPr>
            <w:r>
              <w:rPr>
                <w:rFonts w:ascii="Arial" w:cs="Arial" w:eastAsia="Arial" w:hAnsi="Arial"/>
                <w:sz w:val="14"/>
                <w:szCs w:val="14"/>
                <w:color w:val="auto"/>
              </w:rPr>
              <w:t>Performance Disclosures</w:t>
            </w: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54</w:t>
            </w:r>
          </w:p>
        </w:tc>
      </w:tr>
      <w:tr>
        <w:trPr>
          <w:trHeight w:val="20"/>
        </w:trPr>
        <w:tc>
          <w:tcPr>
            <w:tcW w:w="4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140" w:type="dxa"/>
            <w:vAlign w:val="bottom"/>
            <w:gridSpan w:val="8"/>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9"/>
            <w:shd w:val="clear" w:color="auto" w:fill="0000EE"/>
          </w:tcPr>
          <w:p>
            <w:pPr>
              <w:spacing w:after="0" w:line="20" w:lineRule="exact"/>
              <w:rPr>
                <w:sz w:val="1"/>
                <w:szCs w:val="1"/>
                <w:color w:val="auto"/>
              </w:rPr>
            </w:pPr>
          </w:p>
        </w:tc>
        <w:tc>
          <w:tcPr>
            <w:tcW w:w="480" w:type="dxa"/>
            <w:vAlign w:val="bottom"/>
            <w:gridSpan w:val="10"/>
            <w:shd w:val="clear" w:color="auto" w:fill="0000EE"/>
          </w:tcPr>
          <w:p>
            <w:pPr>
              <w:spacing w:after="0" w:line="20" w:lineRule="exact"/>
              <w:rPr>
                <w:sz w:val="1"/>
                <w:szCs w:val="1"/>
                <w:color w:val="auto"/>
              </w:rPr>
            </w:pPr>
          </w:p>
        </w:tc>
        <w:tc>
          <w:tcPr>
            <w:tcW w:w="360" w:type="dxa"/>
            <w:vAlign w:val="bottom"/>
            <w:gridSpan w:val="9"/>
            <w:shd w:val="clear" w:color="auto" w:fill="0000EE"/>
          </w:tcPr>
          <w:p>
            <w:pPr>
              <w:spacing w:after="0" w:line="20" w:lineRule="exact"/>
              <w:rPr>
                <w:sz w:val="1"/>
                <w:szCs w:val="1"/>
                <w:color w:val="auto"/>
              </w:rPr>
            </w:pPr>
          </w:p>
        </w:tc>
        <w:tc>
          <w:tcPr>
            <w:tcW w:w="4840" w:type="dxa"/>
            <w:vAlign w:val="bottom"/>
            <w:gridSpan w:val="24"/>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1720" w:type="dxa"/>
            <w:vAlign w:val="bottom"/>
            <w:tcBorders>
              <w:bottom w:val="single" w:sz="8" w:color="0000EE"/>
            </w:tcBorders>
            <w:gridSpan w:val="21"/>
          </w:tcPr>
          <w:p>
            <w:pPr>
              <w:spacing w:after="0"/>
              <w:rPr>
                <w:sz w:val="20"/>
                <w:szCs w:val="20"/>
                <w:color w:val="auto"/>
              </w:rPr>
            </w:pPr>
            <w:r>
              <w:rPr>
                <w:rFonts w:ascii="Arial" w:cs="Arial" w:eastAsia="Arial" w:hAnsi="Arial"/>
                <w:sz w:val="16"/>
                <w:szCs w:val="16"/>
                <w:color w:val="0075C9"/>
              </w:rPr>
              <w:t>Director Compensation</w:t>
            </w:r>
          </w:p>
        </w:tc>
        <w:tc>
          <w:tcPr>
            <w:tcW w:w="5680" w:type="dxa"/>
            <w:vAlign w:val="bottom"/>
            <w:gridSpan w:val="43"/>
          </w:tcPr>
          <w:p>
            <w:pPr>
              <w:spacing w:after="0"/>
              <w:rPr>
                <w:sz w:val="21"/>
                <w:szCs w:val="21"/>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0075C9"/>
              </w:rPr>
              <w:t>58</w:t>
            </w:r>
          </w:p>
        </w:tc>
      </w:tr>
      <w:tr>
        <w:trPr>
          <w:trHeight w:val="156"/>
        </w:trPr>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80" w:type="dxa"/>
            <w:vAlign w:val="bottom"/>
            <w:gridSpan w:val="63"/>
          </w:tcPr>
          <w:p>
            <w:pPr>
              <w:spacing w:after="0" w:line="155" w:lineRule="exact"/>
              <w:rPr>
                <w:sz w:val="20"/>
                <w:szCs w:val="20"/>
                <w:color w:val="auto"/>
              </w:rPr>
            </w:pPr>
            <w:r>
              <w:rPr>
                <w:rFonts w:ascii="Arial" w:cs="Arial" w:eastAsia="Arial" w:hAnsi="Arial"/>
                <w:sz w:val="14"/>
                <w:szCs w:val="14"/>
                <w:color w:val="auto"/>
              </w:rPr>
              <w:t>Program Objectives</w:t>
            </w:r>
          </w:p>
        </w:tc>
        <w:tc>
          <w:tcPr>
            <w:tcW w:w="342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58</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Borders>
              <w:top w:val="single" w:sz="8" w:color="0000EE"/>
            </w:tcBorders>
            <w:gridSpan w:val="11"/>
          </w:tcPr>
          <w:p>
            <w:pPr>
              <w:spacing w:after="0" w:line="142" w:lineRule="exact"/>
              <w:rPr>
                <w:sz w:val="20"/>
                <w:szCs w:val="20"/>
                <w:color w:val="auto"/>
              </w:rPr>
            </w:pPr>
            <w:r>
              <w:rPr>
                <w:rFonts w:ascii="Arial" w:cs="Arial" w:eastAsia="Arial" w:hAnsi="Arial"/>
                <w:sz w:val="14"/>
                <w:szCs w:val="14"/>
                <w:color w:val="auto"/>
              </w:rPr>
              <w:t>Program Elements</w:t>
            </w:r>
          </w:p>
        </w:tc>
        <w:tc>
          <w:tcPr>
            <w:tcW w:w="800" w:type="dxa"/>
            <w:vAlign w:val="bottom"/>
            <w:gridSpan w:val="19"/>
          </w:tcPr>
          <w:p>
            <w:pPr>
              <w:spacing w:after="0"/>
              <w:rPr>
                <w:sz w:val="12"/>
                <w:szCs w:val="12"/>
                <w:color w:val="auto"/>
              </w:rPr>
            </w:pPr>
          </w:p>
        </w:tc>
        <w:tc>
          <w:tcPr>
            <w:tcW w:w="5200" w:type="dxa"/>
            <w:vAlign w:val="bottom"/>
            <w:gridSpan w:val="33"/>
          </w:tcPr>
          <w:p>
            <w:pPr>
              <w:spacing w:after="0"/>
              <w:rPr>
                <w:sz w:val="12"/>
                <w:szCs w:val="12"/>
                <w:color w:val="auto"/>
              </w:rPr>
            </w:pP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58</w:t>
            </w: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Borders>
              <w:top w:val="single" w:sz="8" w:color="0000EE"/>
              <w:bottom w:val="single" w:sz="8" w:color="0000EE"/>
            </w:tcBorders>
            <w:gridSpan w:val="10"/>
          </w:tcPr>
          <w:p>
            <w:pPr>
              <w:spacing w:after="0" w:line="142" w:lineRule="exact"/>
              <w:rPr>
                <w:sz w:val="20"/>
                <w:szCs w:val="20"/>
                <w:color w:val="auto"/>
              </w:rPr>
            </w:pPr>
            <w:r>
              <w:rPr>
                <w:rFonts w:ascii="Arial" w:cs="Arial" w:eastAsia="Arial" w:hAnsi="Arial"/>
                <w:sz w:val="14"/>
                <w:szCs w:val="14"/>
                <w:color w:val="auto"/>
                <w:w w:val="94"/>
              </w:rPr>
              <w:t>2024 Compensation</w:t>
            </w:r>
          </w:p>
        </w:tc>
        <w:tc>
          <w:tcPr>
            <w:tcW w:w="880" w:type="dxa"/>
            <w:vAlign w:val="bottom"/>
            <w:tcBorders>
              <w:bottom w:val="single" w:sz="8" w:color="0000EE"/>
            </w:tcBorders>
            <w:gridSpan w:val="20"/>
          </w:tcPr>
          <w:p>
            <w:pPr>
              <w:ind w:left="140"/>
              <w:spacing w:after="0" w:line="142" w:lineRule="exact"/>
              <w:rPr>
                <w:sz w:val="20"/>
                <w:szCs w:val="20"/>
                <w:color w:val="auto"/>
              </w:rPr>
            </w:pPr>
            <w:r>
              <w:rPr>
                <w:rFonts w:ascii="Arial" w:cs="Arial" w:eastAsia="Arial" w:hAnsi="Arial"/>
                <w:sz w:val="14"/>
                <w:szCs w:val="14"/>
                <w:color w:val="auto"/>
              </w:rPr>
              <w:t>of Directors</w:t>
            </w:r>
          </w:p>
        </w:tc>
        <w:tc>
          <w:tcPr>
            <w:tcW w:w="5200" w:type="dxa"/>
            <w:vAlign w:val="bottom"/>
            <w:gridSpan w:val="33"/>
          </w:tcPr>
          <w:p>
            <w:pPr>
              <w:spacing w:after="0"/>
              <w:rPr>
                <w:sz w:val="12"/>
                <w:szCs w:val="12"/>
                <w:color w:val="auto"/>
              </w:rPr>
            </w:pPr>
          </w:p>
        </w:tc>
        <w:tc>
          <w:tcPr>
            <w:tcW w:w="342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59</w:t>
            </w:r>
          </w:p>
        </w:tc>
      </w:tr>
    </w:tbl>
    <w:p>
      <w:pPr>
        <w:spacing w:after="0" w:line="251"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8"/>
          <w:szCs w:val="18"/>
          <w:color w:val="auto"/>
        </w:rPr>
        <w:t>CALIFORNIA RESOURCES CORPORATION</w:t>
        <w:tab/>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91"/>
        </w:trPr>
        <w:tc>
          <w:tcPr>
            <w:tcW w:w="420" w:type="dxa"/>
            <w:vAlign w:val="bottom"/>
            <w:tcBorders>
              <w:bottom w:val="single" w:sz="8" w:color="0075C9"/>
            </w:tcBorders>
            <w:shd w:val="clear" w:color="auto" w:fill="0075C9"/>
          </w:tcPr>
          <w:p>
            <w:pPr>
              <w:spacing w:after="0"/>
              <w:rPr>
                <w:sz w:val="24"/>
                <w:szCs w:val="24"/>
                <w:color w:val="auto"/>
              </w:rPr>
            </w:pPr>
          </w:p>
        </w:tc>
        <w:tc>
          <w:tcPr>
            <w:tcW w:w="12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120" w:type="dxa"/>
            <w:vAlign w:val="bottom"/>
            <w:tcBorders>
              <w:bottom w:val="single" w:sz="8" w:color="0075C9"/>
            </w:tcBorders>
            <w:shd w:val="clear" w:color="auto" w:fill="0075C9"/>
          </w:tcPr>
          <w:p>
            <w:pPr>
              <w:spacing w:after="0"/>
              <w:rPr>
                <w:sz w:val="24"/>
                <w:szCs w:val="24"/>
                <w:color w:val="auto"/>
              </w:rPr>
            </w:pPr>
          </w:p>
        </w:tc>
        <w:tc>
          <w:tcPr>
            <w:tcW w:w="800" w:type="dxa"/>
            <w:vAlign w:val="bottom"/>
            <w:tcBorders>
              <w:bottom w:val="single" w:sz="8" w:color="0075C9"/>
            </w:tcBorders>
            <w:shd w:val="clear" w:color="auto" w:fill="0075C9"/>
          </w:tcPr>
          <w:p>
            <w:pPr>
              <w:spacing w:after="0"/>
              <w:rPr>
                <w:sz w:val="24"/>
                <w:szCs w:val="24"/>
                <w:color w:val="auto"/>
              </w:rPr>
            </w:pPr>
          </w:p>
        </w:tc>
        <w:tc>
          <w:tcPr>
            <w:tcW w:w="260" w:type="dxa"/>
            <w:vAlign w:val="bottom"/>
            <w:tcBorders>
              <w:bottom w:val="single" w:sz="8" w:color="0075C9"/>
            </w:tcBorders>
            <w:shd w:val="clear" w:color="auto" w:fill="0075C9"/>
          </w:tcPr>
          <w:p>
            <w:pPr>
              <w:spacing w:after="0"/>
              <w:rPr>
                <w:sz w:val="24"/>
                <w:szCs w:val="24"/>
                <w:color w:val="auto"/>
              </w:rPr>
            </w:pPr>
          </w:p>
        </w:tc>
        <w:tc>
          <w:tcPr>
            <w:tcW w:w="10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640" w:type="dxa"/>
            <w:vAlign w:val="bottom"/>
            <w:tcBorders>
              <w:bottom w:val="single" w:sz="8" w:color="0075C9"/>
            </w:tcBorders>
            <w:shd w:val="clear" w:color="auto" w:fill="0075C9"/>
          </w:tcPr>
          <w:p>
            <w:pPr>
              <w:spacing w:after="0"/>
              <w:rPr>
                <w:sz w:val="24"/>
                <w:szCs w:val="24"/>
                <w:color w:val="auto"/>
              </w:rPr>
            </w:pPr>
          </w:p>
        </w:tc>
        <w:tc>
          <w:tcPr>
            <w:tcW w:w="8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280" w:type="dxa"/>
            <w:vAlign w:val="bottom"/>
            <w:tcBorders>
              <w:bottom w:val="single" w:sz="8" w:color="0075C9"/>
            </w:tcBorders>
            <w:shd w:val="clear" w:color="auto" w:fill="0075C9"/>
          </w:tcPr>
          <w:p>
            <w:pPr>
              <w:spacing w:after="0"/>
              <w:rPr>
                <w:sz w:val="24"/>
                <w:szCs w:val="24"/>
                <w:color w:val="auto"/>
              </w:rPr>
            </w:pPr>
          </w:p>
        </w:tc>
        <w:tc>
          <w:tcPr>
            <w:tcW w:w="220" w:type="dxa"/>
            <w:vAlign w:val="bottom"/>
            <w:tcBorders>
              <w:bottom w:val="single" w:sz="8" w:color="0075C9"/>
            </w:tcBorders>
            <w:shd w:val="clear" w:color="auto" w:fill="0075C9"/>
          </w:tcPr>
          <w:p>
            <w:pPr>
              <w:spacing w:after="0"/>
              <w:rPr>
                <w:sz w:val="24"/>
                <w:szCs w:val="24"/>
                <w:color w:val="auto"/>
              </w:rPr>
            </w:pPr>
          </w:p>
        </w:tc>
        <w:tc>
          <w:tcPr>
            <w:tcW w:w="200" w:type="dxa"/>
            <w:vAlign w:val="bottom"/>
            <w:tcBorders>
              <w:bottom w:val="single" w:sz="8" w:color="0075C9"/>
            </w:tcBorders>
            <w:shd w:val="clear" w:color="auto" w:fill="0075C9"/>
          </w:tcPr>
          <w:p>
            <w:pPr>
              <w:spacing w:after="0"/>
              <w:rPr>
                <w:sz w:val="24"/>
                <w:szCs w:val="24"/>
                <w:color w:val="auto"/>
              </w:rPr>
            </w:pPr>
          </w:p>
        </w:tc>
        <w:tc>
          <w:tcPr>
            <w:tcW w:w="200" w:type="dxa"/>
            <w:vAlign w:val="bottom"/>
            <w:tcBorders>
              <w:bottom w:val="single" w:sz="8" w:color="0075C9"/>
            </w:tcBorders>
            <w:shd w:val="clear" w:color="auto" w:fill="0075C9"/>
          </w:tcPr>
          <w:p>
            <w:pPr>
              <w:spacing w:after="0"/>
              <w:rPr>
                <w:sz w:val="24"/>
                <w:szCs w:val="24"/>
                <w:color w:val="auto"/>
              </w:rPr>
            </w:pPr>
          </w:p>
        </w:tc>
        <w:tc>
          <w:tcPr>
            <w:tcW w:w="40" w:type="dxa"/>
            <w:vAlign w:val="bottom"/>
            <w:tcBorders>
              <w:bottom w:val="single" w:sz="8" w:color="0075C9"/>
            </w:tcBorders>
            <w:shd w:val="clear" w:color="auto" w:fill="0075C9"/>
          </w:tcPr>
          <w:p>
            <w:pPr>
              <w:spacing w:after="0"/>
              <w:rPr>
                <w:sz w:val="24"/>
                <w:szCs w:val="24"/>
                <w:color w:val="auto"/>
              </w:rPr>
            </w:pPr>
          </w:p>
        </w:tc>
        <w:tc>
          <w:tcPr>
            <w:tcW w:w="60" w:type="dxa"/>
            <w:vAlign w:val="bottom"/>
            <w:tcBorders>
              <w:bottom w:val="single" w:sz="8" w:color="0075C9"/>
            </w:tcBorders>
            <w:shd w:val="clear" w:color="auto" w:fill="0075C9"/>
          </w:tcPr>
          <w:p>
            <w:pPr>
              <w:spacing w:after="0"/>
              <w:rPr>
                <w:sz w:val="24"/>
                <w:szCs w:val="24"/>
                <w:color w:val="auto"/>
              </w:rPr>
            </w:pPr>
          </w:p>
        </w:tc>
        <w:tc>
          <w:tcPr>
            <w:tcW w:w="320" w:type="dxa"/>
            <w:vAlign w:val="bottom"/>
            <w:tcBorders>
              <w:bottom w:val="single" w:sz="8" w:color="0075C9"/>
              <w:right w:val="single" w:sz="8" w:color="0075C9"/>
            </w:tcBorders>
            <w:shd w:val="clear" w:color="auto" w:fill="0075C9"/>
          </w:tcPr>
          <w:p>
            <w:pPr>
              <w:spacing w:after="0"/>
              <w:rPr>
                <w:sz w:val="24"/>
                <w:szCs w:val="24"/>
                <w:color w:val="auto"/>
              </w:rPr>
            </w:pPr>
          </w:p>
        </w:tc>
        <w:tc>
          <w:tcPr>
            <w:tcW w:w="1480" w:type="dxa"/>
            <w:vAlign w:val="bottom"/>
            <w:tcBorders>
              <w:bottom w:val="single" w:sz="8" w:color="0075C9"/>
            </w:tcBorders>
            <w:shd w:val="clear" w:color="auto" w:fill="0075C9"/>
          </w:tcPr>
          <w:p>
            <w:pPr>
              <w:spacing w:after="0"/>
              <w:rPr>
                <w:sz w:val="24"/>
                <w:szCs w:val="24"/>
                <w:color w:val="auto"/>
              </w:rPr>
            </w:pPr>
          </w:p>
        </w:tc>
        <w:tc>
          <w:tcPr>
            <w:tcW w:w="60" w:type="dxa"/>
            <w:vAlign w:val="bottom"/>
            <w:tcBorders>
              <w:bottom w:val="single" w:sz="8" w:color="0075C9"/>
            </w:tcBorders>
            <w:shd w:val="clear" w:color="auto" w:fill="0075C9"/>
          </w:tcPr>
          <w:p>
            <w:pPr>
              <w:spacing w:after="0"/>
              <w:rPr>
                <w:sz w:val="24"/>
                <w:szCs w:val="24"/>
                <w:color w:val="auto"/>
              </w:rPr>
            </w:pPr>
          </w:p>
        </w:tc>
        <w:tc>
          <w:tcPr>
            <w:tcW w:w="1220" w:type="dxa"/>
            <w:vAlign w:val="bottom"/>
            <w:tcBorders>
              <w:bottom w:val="single" w:sz="8" w:color="0075C9"/>
            </w:tcBorders>
            <w:shd w:val="clear" w:color="auto" w:fill="0075C9"/>
          </w:tcPr>
          <w:p>
            <w:pPr>
              <w:spacing w:after="0"/>
              <w:rPr>
                <w:sz w:val="24"/>
                <w:szCs w:val="24"/>
                <w:color w:val="auto"/>
              </w:rPr>
            </w:pPr>
          </w:p>
        </w:tc>
        <w:tc>
          <w:tcPr>
            <w:tcW w:w="1100" w:type="dxa"/>
            <w:vAlign w:val="bottom"/>
            <w:tcBorders>
              <w:bottom w:val="single" w:sz="8" w:color="0075C9"/>
            </w:tcBorders>
            <w:shd w:val="clear" w:color="auto" w:fill="0075C9"/>
          </w:tcPr>
          <w:p>
            <w:pPr>
              <w:spacing w:after="0"/>
              <w:rPr>
                <w:sz w:val="24"/>
                <w:szCs w:val="24"/>
                <w:color w:val="auto"/>
              </w:rPr>
            </w:pPr>
          </w:p>
        </w:tc>
        <w:tc>
          <w:tcPr>
            <w:tcW w:w="3380" w:type="dxa"/>
            <w:vAlign w:val="bottom"/>
            <w:tcBorders>
              <w:bottom w:val="single" w:sz="8" w:color="0075C9"/>
            </w:tcBorders>
            <w:shd w:val="clear" w:color="auto" w:fill="0075C9"/>
          </w:tcPr>
          <w:p>
            <w:pPr>
              <w:jc w:val="right"/>
              <w:spacing w:after="0"/>
              <w:rPr>
                <w:sz w:val="20"/>
                <w:szCs w:val="20"/>
                <w:color w:val="auto"/>
              </w:rPr>
            </w:pPr>
            <w:r>
              <w:rPr>
                <w:rFonts w:ascii="Arial" w:cs="Arial" w:eastAsia="Arial" w:hAnsi="Arial"/>
                <w:sz w:val="18"/>
                <w:szCs w:val="18"/>
                <w:b w:val="1"/>
                <w:bCs w:val="1"/>
                <w:color w:val="FFFFFF"/>
              </w:rPr>
              <w:t>2025 PROXY STATEMENT</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380" w:type="dxa"/>
            <w:vAlign w:val="bottom"/>
          </w:tcPr>
          <w:p>
            <w:pPr>
              <w:jc w:val="right"/>
              <w:spacing w:after="0"/>
              <w:rPr>
                <w:sz w:val="20"/>
                <w:szCs w:val="20"/>
                <w:color w:val="auto"/>
              </w:rPr>
            </w:pPr>
            <w:r>
              <w:rPr>
                <w:rFonts w:ascii="Arial" w:cs="Arial" w:eastAsia="Arial" w:hAnsi="Arial"/>
                <w:sz w:val="14"/>
                <w:szCs w:val="14"/>
                <w:color w:val="auto"/>
              </w:rPr>
              <w:t>Table Of Contents</w:t>
            </w:r>
          </w:p>
        </w:tc>
        <w:tc>
          <w:tcPr>
            <w:tcW w:w="0" w:type="dxa"/>
            <w:vAlign w:val="bottom"/>
          </w:tcPr>
          <w:p>
            <w:pPr>
              <w:spacing w:after="0"/>
              <w:rPr>
                <w:sz w:val="1"/>
                <w:szCs w:val="1"/>
                <w:color w:val="auto"/>
              </w:rPr>
            </w:pPr>
          </w:p>
        </w:tc>
      </w:tr>
      <w:tr>
        <w:trPr>
          <w:trHeight w:val="453"/>
        </w:trPr>
        <w:tc>
          <w:tcPr>
            <w:tcW w:w="420" w:type="dxa"/>
            <w:vAlign w:val="bottom"/>
          </w:tcPr>
          <w:p>
            <w:pPr>
              <w:spacing w:after="0"/>
              <w:rPr>
                <w:sz w:val="24"/>
                <w:szCs w:val="24"/>
                <w:color w:val="auto"/>
              </w:rPr>
            </w:pPr>
          </w:p>
        </w:tc>
        <w:tc>
          <w:tcPr>
            <w:tcW w:w="208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color w:val="0075C9"/>
              </w:rPr>
              <w:t>Stock Ownership Information</w:t>
            </w:r>
          </w:p>
        </w:tc>
        <w:tc>
          <w:tcPr>
            <w:tcW w:w="5360" w:type="dxa"/>
            <w:vAlign w:val="bottom"/>
            <w:gridSpan w:val="17"/>
          </w:tcPr>
          <w:p>
            <w:pPr>
              <w:spacing w:after="0"/>
              <w:rPr>
                <w:sz w:val="24"/>
                <w:szCs w:val="24"/>
                <w:color w:val="auto"/>
              </w:rPr>
            </w:pPr>
          </w:p>
        </w:tc>
        <w:tc>
          <w:tcPr>
            <w:tcW w:w="3380" w:type="dxa"/>
            <w:vAlign w:val="bottom"/>
          </w:tcPr>
          <w:p>
            <w:pPr>
              <w:jc w:val="right"/>
              <w:ind w:right="347"/>
              <w:spacing w:after="0"/>
              <w:rPr>
                <w:sz w:val="20"/>
                <w:szCs w:val="20"/>
                <w:color w:val="auto"/>
              </w:rPr>
            </w:pPr>
            <w:r>
              <w:rPr>
                <w:rFonts w:ascii="Arial" w:cs="Arial" w:eastAsia="Arial" w:hAnsi="Arial"/>
                <w:sz w:val="14"/>
                <w:szCs w:val="14"/>
                <w:color w:val="0075C9"/>
              </w:rPr>
              <w:t>60</w:t>
            </w: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940" w:type="dxa"/>
            <w:vAlign w:val="bottom"/>
            <w:tcBorders>
              <w:bottom w:val="single" w:sz="8" w:color="0000EE"/>
            </w:tcBorders>
            <w:gridSpan w:val="21"/>
          </w:tcPr>
          <w:p>
            <w:pPr>
              <w:spacing w:after="0" w:line="155" w:lineRule="exact"/>
              <w:rPr>
                <w:sz w:val="20"/>
                <w:szCs w:val="20"/>
                <w:color w:val="auto"/>
              </w:rPr>
            </w:pPr>
            <w:r>
              <w:rPr>
                <w:rFonts w:ascii="Arial" w:cs="Arial" w:eastAsia="Arial" w:hAnsi="Arial"/>
                <w:sz w:val="14"/>
                <w:szCs w:val="14"/>
                <w:color w:val="auto"/>
              </w:rPr>
              <w:t>Security Ownership of Directors, Management and Certain Beneficial Holders</w:t>
            </w:r>
          </w:p>
        </w:tc>
        <w:tc>
          <w:tcPr>
            <w:tcW w:w="2380" w:type="dxa"/>
            <w:vAlign w:val="bottom"/>
            <w:gridSpan w:val="3"/>
          </w:tcPr>
          <w:p>
            <w:pPr>
              <w:spacing w:after="0"/>
              <w:rPr>
                <w:sz w:val="13"/>
                <w:szCs w:val="13"/>
                <w:color w:val="auto"/>
              </w:rPr>
            </w:pPr>
          </w:p>
        </w:tc>
        <w:tc>
          <w:tcPr>
            <w:tcW w:w="3380" w:type="dxa"/>
            <w:vAlign w:val="bottom"/>
          </w:tcPr>
          <w:p>
            <w:pPr>
              <w:jc w:val="right"/>
              <w:ind w:right="347"/>
              <w:spacing w:after="0" w:line="155"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2260" w:type="dxa"/>
            <w:vAlign w:val="bottom"/>
            <w:tcBorders>
              <w:bottom w:val="single" w:sz="8" w:color="0000EE"/>
            </w:tcBorders>
            <w:gridSpan w:val="14"/>
          </w:tcPr>
          <w:p>
            <w:pPr>
              <w:spacing w:after="0"/>
              <w:rPr>
                <w:sz w:val="20"/>
                <w:szCs w:val="20"/>
                <w:color w:val="auto"/>
              </w:rPr>
            </w:pPr>
            <w:r>
              <w:rPr>
                <w:rFonts w:ascii="Arial" w:cs="Arial" w:eastAsia="Arial" w:hAnsi="Arial"/>
                <w:sz w:val="16"/>
                <w:szCs w:val="16"/>
                <w:color w:val="0075C9"/>
              </w:rPr>
              <w:t>Proposals Requiring Your Vote</w:t>
            </w:r>
          </w:p>
        </w:tc>
        <w:tc>
          <w:tcPr>
            <w:tcW w:w="5180" w:type="dxa"/>
            <w:vAlign w:val="bottom"/>
            <w:gridSpan w:val="11"/>
          </w:tcPr>
          <w:p>
            <w:pPr>
              <w:spacing w:after="0"/>
              <w:rPr>
                <w:sz w:val="21"/>
                <w:szCs w:val="21"/>
                <w:color w:val="auto"/>
              </w:rPr>
            </w:pPr>
          </w:p>
        </w:tc>
        <w:tc>
          <w:tcPr>
            <w:tcW w:w="3380" w:type="dxa"/>
            <w:vAlign w:val="bottom"/>
          </w:tcPr>
          <w:p>
            <w:pPr>
              <w:jc w:val="right"/>
              <w:ind w:right="347"/>
              <w:spacing w:after="0"/>
              <w:rPr>
                <w:sz w:val="20"/>
                <w:szCs w:val="20"/>
                <w:color w:val="auto"/>
              </w:rPr>
            </w:pPr>
            <w:r>
              <w:rPr>
                <w:rFonts w:ascii="Arial" w:cs="Arial" w:eastAsia="Arial" w:hAnsi="Arial"/>
                <w:sz w:val="14"/>
                <w:szCs w:val="14"/>
                <w:color w:val="0075C9"/>
              </w:rPr>
              <w:t>62</w:t>
            </w: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320" w:type="dxa"/>
            <w:vAlign w:val="bottom"/>
            <w:gridSpan w:val="24"/>
          </w:tcPr>
          <w:p>
            <w:pPr>
              <w:spacing w:after="0" w:line="155" w:lineRule="exact"/>
              <w:rPr>
                <w:sz w:val="20"/>
                <w:szCs w:val="20"/>
                <w:color w:val="auto"/>
              </w:rPr>
            </w:pPr>
            <w:r>
              <w:rPr>
                <w:rFonts w:ascii="Arial" w:cs="Arial" w:eastAsia="Arial" w:hAnsi="Arial"/>
                <w:sz w:val="14"/>
                <w:szCs w:val="14"/>
                <w:color w:val="auto"/>
              </w:rPr>
              <w:t>Proposal 1: Election of Directors</w:t>
            </w:r>
          </w:p>
        </w:tc>
        <w:tc>
          <w:tcPr>
            <w:tcW w:w="3380" w:type="dxa"/>
            <w:vAlign w:val="bottom"/>
          </w:tcPr>
          <w:p>
            <w:pPr>
              <w:jc w:val="right"/>
              <w:ind w:right="347"/>
              <w:spacing w:after="0" w:line="155"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Borders>
              <w:top w:val="single" w:sz="8" w:color="0000EE"/>
            </w:tcBorders>
            <w:gridSpan w:val="9"/>
          </w:tcPr>
          <w:p>
            <w:pPr>
              <w:spacing w:after="0" w:line="142" w:lineRule="exact"/>
              <w:rPr>
                <w:sz w:val="20"/>
                <w:szCs w:val="20"/>
                <w:color w:val="auto"/>
              </w:rPr>
            </w:pPr>
            <w:r>
              <w:rPr>
                <w:rFonts w:ascii="Arial" w:cs="Arial" w:eastAsia="Arial" w:hAnsi="Arial"/>
                <w:sz w:val="14"/>
                <w:szCs w:val="14"/>
                <w:color w:val="auto"/>
              </w:rPr>
              <w:t>Proposal 2: Ratification of the</w:t>
            </w:r>
          </w:p>
        </w:tc>
        <w:tc>
          <w:tcPr>
            <w:tcW w:w="5260" w:type="dxa"/>
            <w:vAlign w:val="bottom"/>
            <w:gridSpan w:val="15"/>
          </w:tcPr>
          <w:p>
            <w:pPr>
              <w:spacing w:after="0" w:line="142" w:lineRule="exact"/>
              <w:rPr>
                <w:sz w:val="20"/>
                <w:szCs w:val="20"/>
                <w:color w:val="auto"/>
              </w:rPr>
            </w:pPr>
            <w:r>
              <w:rPr>
                <w:rFonts w:ascii="Arial" w:cs="Arial" w:eastAsia="Arial" w:hAnsi="Arial"/>
                <w:sz w:val="14"/>
                <w:szCs w:val="14"/>
                <w:color w:val="auto"/>
              </w:rPr>
              <w:t>Appointment of the Independent Registered Public Accounting Firm</w:t>
            </w:r>
          </w:p>
        </w:tc>
        <w:tc>
          <w:tcPr>
            <w:tcW w:w="3380" w:type="dxa"/>
            <w:vAlign w:val="bottom"/>
          </w:tcPr>
          <w:p>
            <w:pPr>
              <w:jc w:val="right"/>
              <w:ind w:right="347"/>
              <w:spacing w:after="0" w:line="142"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0" w:type="dxa"/>
            <w:vAlign w:val="bottom"/>
            <w:tcBorders>
              <w:top w:val="single" w:sz="8" w:color="0000EE"/>
              <w:bottom w:val="single" w:sz="8" w:color="0000EE"/>
            </w:tcBorders>
            <w:gridSpan w:val="22"/>
          </w:tcPr>
          <w:p>
            <w:pPr>
              <w:spacing w:after="0" w:line="142" w:lineRule="exact"/>
              <w:rPr>
                <w:sz w:val="20"/>
                <w:szCs w:val="20"/>
                <w:color w:val="auto"/>
              </w:rPr>
            </w:pPr>
            <w:r>
              <w:rPr>
                <w:rFonts w:ascii="Arial" w:cs="Arial" w:eastAsia="Arial" w:hAnsi="Arial"/>
                <w:sz w:val="14"/>
                <w:szCs w:val="14"/>
                <w:color w:val="auto"/>
              </w:rPr>
              <w:t>Proposal 3: Advisory Vote to Approve Named Executive Officer Compensation</w:t>
            </w:r>
          </w:p>
        </w:tc>
        <w:tc>
          <w:tcPr>
            <w:tcW w:w="1220" w:type="dxa"/>
            <w:vAlign w:val="bottom"/>
            <w:tcBorders>
              <w:top w:val="single" w:sz="8" w:color="0000EE"/>
            </w:tcBorders>
          </w:tcPr>
          <w:p>
            <w:pPr>
              <w:spacing w:after="0"/>
              <w:rPr>
                <w:sz w:val="12"/>
                <w:szCs w:val="12"/>
                <w:color w:val="auto"/>
              </w:rPr>
            </w:pPr>
          </w:p>
        </w:tc>
        <w:tc>
          <w:tcPr>
            <w:tcW w:w="1100" w:type="dxa"/>
            <w:vAlign w:val="bottom"/>
          </w:tcPr>
          <w:p>
            <w:pPr>
              <w:spacing w:after="0"/>
              <w:rPr>
                <w:sz w:val="12"/>
                <w:szCs w:val="12"/>
                <w:color w:val="auto"/>
              </w:rPr>
            </w:pPr>
          </w:p>
        </w:tc>
        <w:tc>
          <w:tcPr>
            <w:tcW w:w="3380" w:type="dxa"/>
            <w:vAlign w:val="bottom"/>
          </w:tcPr>
          <w:p>
            <w:pPr>
              <w:jc w:val="right"/>
              <w:ind w:right="347"/>
              <w:spacing w:after="0" w:line="142"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44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75C9"/>
              </w:rPr>
              <w:t>General Information</w:t>
            </w:r>
          </w:p>
        </w:tc>
        <w:tc>
          <w:tcPr>
            <w:tcW w:w="6000" w:type="dxa"/>
            <w:vAlign w:val="bottom"/>
            <w:gridSpan w:val="18"/>
          </w:tcPr>
          <w:p>
            <w:pPr>
              <w:spacing w:after="0"/>
              <w:rPr>
                <w:sz w:val="21"/>
                <w:szCs w:val="21"/>
                <w:color w:val="auto"/>
              </w:rPr>
            </w:pPr>
          </w:p>
        </w:tc>
        <w:tc>
          <w:tcPr>
            <w:tcW w:w="3380" w:type="dxa"/>
            <w:vAlign w:val="bottom"/>
          </w:tcPr>
          <w:p>
            <w:pPr>
              <w:jc w:val="right"/>
              <w:ind w:right="347"/>
              <w:spacing w:after="0"/>
              <w:rPr>
                <w:sz w:val="20"/>
                <w:szCs w:val="20"/>
                <w:color w:val="auto"/>
              </w:rPr>
            </w:pPr>
            <w:r>
              <w:rPr>
                <w:rFonts w:ascii="Arial" w:cs="Arial" w:eastAsia="Arial" w:hAnsi="Arial"/>
                <w:sz w:val="14"/>
                <w:szCs w:val="14"/>
                <w:color w:val="0075C9"/>
              </w:rPr>
              <w:t>64</w:t>
            </w: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320" w:type="dxa"/>
            <w:vAlign w:val="bottom"/>
            <w:gridSpan w:val="24"/>
          </w:tcPr>
          <w:p>
            <w:pPr>
              <w:spacing w:after="0" w:line="155" w:lineRule="exact"/>
              <w:rPr>
                <w:sz w:val="20"/>
                <w:szCs w:val="20"/>
                <w:color w:val="auto"/>
              </w:rPr>
            </w:pPr>
            <w:r>
              <w:rPr>
                <w:rFonts w:ascii="Arial" w:cs="Arial" w:eastAsia="Arial" w:hAnsi="Arial"/>
                <w:sz w:val="14"/>
                <w:szCs w:val="14"/>
                <w:color w:val="auto"/>
              </w:rPr>
              <w:t>Voting Procedures</w:t>
            </w:r>
          </w:p>
        </w:tc>
        <w:tc>
          <w:tcPr>
            <w:tcW w:w="3380" w:type="dxa"/>
            <w:vAlign w:val="bottom"/>
          </w:tcPr>
          <w:p>
            <w:pPr>
              <w:jc w:val="right"/>
              <w:ind w:right="347"/>
              <w:spacing w:after="0" w:line="155"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060" w:type="dxa"/>
            <w:vAlign w:val="bottom"/>
            <w:tcBorders>
              <w:top w:val="single" w:sz="8" w:color="0000EE"/>
            </w:tcBorders>
            <w:gridSpan w:val="2"/>
          </w:tcPr>
          <w:p>
            <w:pPr>
              <w:spacing w:after="0" w:line="142" w:lineRule="exact"/>
              <w:rPr>
                <w:sz w:val="20"/>
                <w:szCs w:val="20"/>
                <w:color w:val="auto"/>
              </w:rPr>
            </w:pPr>
            <w:r>
              <w:rPr>
                <w:rFonts w:ascii="Arial" w:cs="Arial" w:eastAsia="Arial" w:hAnsi="Arial"/>
                <w:sz w:val="14"/>
                <w:szCs w:val="14"/>
                <w:color w:val="auto"/>
              </w:rPr>
              <w:t>Record Date</w:t>
            </w:r>
          </w:p>
        </w:tc>
        <w:tc>
          <w:tcPr>
            <w:tcW w:w="100" w:type="dxa"/>
            <w:vAlign w:val="bottom"/>
          </w:tcPr>
          <w:p>
            <w:pPr>
              <w:spacing w:after="0"/>
              <w:rPr>
                <w:sz w:val="12"/>
                <w:szCs w:val="12"/>
                <w:color w:val="auto"/>
              </w:rPr>
            </w:pPr>
          </w:p>
        </w:tc>
        <w:tc>
          <w:tcPr>
            <w:tcW w:w="74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60" w:type="dxa"/>
            <w:vAlign w:val="bottom"/>
            <w:gridSpan w:val="4"/>
          </w:tcPr>
          <w:p>
            <w:pPr>
              <w:spacing w:after="0"/>
              <w:rPr>
                <w:sz w:val="12"/>
                <w:szCs w:val="12"/>
                <w:color w:val="auto"/>
              </w:rPr>
            </w:pPr>
          </w:p>
        </w:tc>
        <w:tc>
          <w:tcPr>
            <w:tcW w:w="3380" w:type="dxa"/>
            <w:vAlign w:val="bottom"/>
          </w:tcPr>
          <w:p>
            <w:pPr>
              <w:jc w:val="right"/>
              <w:ind w:right="347"/>
              <w:spacing w:after="0" w:line="142"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0000EE"/>
            </w:tcBorders>
          </w:tcPr>
          <w:p>
            <w:pPr>
              <w:spacing w:after="0" w:line="142" w:lineRule="exact"/>
              <w:rPr>
                <w:sz w:val="20"/>
                <w:szCs w:val="20"/>
                <w:color w:val="auto"/>
              </w:rPr>
            </w:pPr>
            <w:r>
              <w:rPr>
                <w:rFonts w:ascii="Arial" w:cs="Arial" w:eastAsia="Arial" w:hAnsi="Arial"/>
                <w:sz w:val="14"/>
                <w:szCs w:val="14"/>
                <w:color w:val="auto"/>
                <w:w w:val="99"/>
              </w:rPr>
              <w:t>Appointment</w:t>
            </w:r>
          </w:p>
        </w:tc>
        <w:tc>
          <w:tcPr>
            <w:tcW w:w="6380" w:type="dxa"/>
            <w:vAlign w:val="bottom"/>
            <w:gridSpan w:val="21"/>
          </w:tcPr>
          <w:p>
            <w:pPr>
              <w:ind w:left="40"/>
              <w:spacing w:after="0" w:line="142" w:lineRule="exact"/>
              <w:rPr>
                <w:sz w:val="20"/>
                <w:szCs w:val="20"/>
                <w:color w:val="auto"/>
              </w:rPr>
            </w:pPr>
            <w:r>
              <w:rPr>
                <w:rFonts w:ascii="Arial" w:cs="Arial" w:eastAsia="Arial" w:hAnsi="Arial"/>
                <w:sz w:val="14"/>
                <w:szCs w:val="14"/>
                <w:color w:val="auto"/>
              </w:rPr>
              <w:t>of Proxy Holders</w:t>
            </w:r>
          </w:p>
        </w:tc>
        <w:tc>
          <w:tcPr>
            <w:tcW w:w="3380" w:type="dxa"/>
            <w:vAlign w:val="bottom"/>
          </w:tcPr>
          <w:p>
            <w:pPr>
              <w:jc w:val="right"/>
              <w:ind w:right="347"/>
              <w:spacing w:after="0" w:line="142"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3380" w:type="dxa"/>
            <w:vAlign w:val="bottom"/>
            <w:vMerge w:val="restart"/>
          </w:tcPr>
          <w:p>
            <w:pPr>
              <w:jc w:val="right"/>
              <w:ind w:right="347"/>
              <w:spacing w:after="0"/>
              <w:rPr>
                <w:sz w:val="20"/>
                <w:szCs w:val="20"/>
                <w:color w:val="auto"/>
              </w:rPr>
            </w:pPr>
            <w:r>
              <w:rPr>
                <w:rFonts w:ascii="Arial" w:cs="Arial" w:eastAsia="Arial" w:hAnsi="Arial"/>
                <w:sz w:val="14"/>
                <w:szCs w:val="14"/>
                <w:color w:val="auto"/>
              </w:rPr>
              <w:t>64</w:t>
            </w:r>
          </w:p>
        </w:tc>
        <w:tc>
          <w:tcPr>
            <w:tcW w:w="0" w:type="dxa"/>
            <w:vAlign w:val="bottom"/>
          </w:tcPr>
          <w:p>
            <w:pPr>
              <w:spacing w:after="0" w:line="20" w:lineRule="exact"/>
              <w:rPr>
                <w:sz w:val="1"/>
                <w:szCs w:val="1"/>
                <w:color w:val="auto"/>
              </w:rPr>
            </w:pP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180" w:type="dxa"/>
            <w:vAlign w:val="bottom"/>
            <w:gridSpan w:val="22"/>
          </w:tcPr>
          <w:p>
            <w:pPr>
              <w:spacing w:after="0" w:line="142" w:lineRule="exact"/>
              <w:rPr>
                <w:sz w:val="20"/>
                <w:szCs w:val="20"/>
                <w:color w:val="auto"/>
              </w:rPr>
            </w:pPr>
            <w:r>
              <w:rPr>
                <w:rFonts w:ascii="Arial" w:cs="Arial" w:eastAsia="Arial" w:hAnsi="Arial"/>
                <w:sz w:val="14"/>
                <w:szCs w:val="14"/>
                <w:color w:val="auto"/>
              </w:rPr>
              <w:t>Quorum and Discretionary Authority</w:t>
            </w:r>
          </w:p>
        </w:tc>
        <w:tc>
          <w:tcPr>
            <w:tcW w:w="3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3380" w:type="dxa"/>
            <w:vAlign w:val="bottom"/>
            <w:vMerge w:val="restart"/>
          </w:tcPr>
          <w:p>
            <w:pPr>
              <w:jc w:val="right"/>
              <w:ind w:right="347"/>
              <w:spacing w:after="0"/>
              <w:rPr>
                <w:sz w:val="20"/>
                <w:szCs w:val="20"/>
                <w:color w:val="auto"/>
              </w:rPr>
            </w:pPr>
            <w:r>
              <w:rPr>
                <w:rFonts w:ascii="Arial" w:cs="Arial" w:eastAsia="Arial" w:hAnsi="Arial"/>
                <w:sz w:val="14"/>
                <w:szCs w:val="14"/>
                <w:color w:val="auto"/>
              </w:rPr>
              <w:t>65</w:t>
            </w:r>
          </w:p>
        </w:tc>
        <w:tc>
          <w:tcPr>
            <w:tcW w:w="0" w:type="dxa"/>
            <w:vAlign w:val="bottom"/>
          </w:tcPr>
          <w:p>
            <w:pPr>
              <w:spacing w:after="0" w:line="20" w:lineRule="exact"/>
              <w:rPr>
                <w:sz w:val="1"/>
                <w:szCs w:val="1"/>
                <w:color w:val="auto"/>
              </w:rPr>
            </w:pP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180" w:type="dxa"/>
            <w:vAlign w:val="bottom"/>
            <w:gridSpan w:val="22"/>
          </w:tcPr>
          <w:p>
            <w:pPr>
              <w:spacing w:after="0" w:line="142" w:lineRule="exact"/>
              <w:rPr>
                <w:sz w:val="20"/>
                <w:szCs w:val="20"/>
                <w:color w:val="auto"/>
              </w:rPr>
            </w:pPr>
            <w:r>
              <w:rPr>
                <w:rFonts w:ascii="Arial" w:cs="Arial" w:eastAsia="Arial" w:hAnsi="Arial"/>
                <w:sz w:val="14"/>
                <w:szCs w:val="14"/>
                <w:color w:val="auto"/>
              </w:rPr>
              <w:t>How to Vote Shares Registered in Your Name</w:t>
            </w:r>
          </w:p>
        </w:tc>
        <w:tc>
          <w:tcPr>
            <w:tcW w:w="3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Borders>
              <w:top w:val="single" w:sz="8" w:color="0000EE"/>
            </w:tcBorders>
            <w:gridSpan w:val="16"/>
          </w:tcPr>
          <w:p>
            <w:pPr>
              <w:spacing w:after="0" w:line="142" w:lineRule="exact"/>
              <w:rPr>
                <w:sz w:val="20"/>
                <w:szCs w:val="20"/>
                <w:color w:val="auto"/>
              </w:rPr>
            </w:pPr>
            <w:r>
              <w:rPr>
                <w:rFonts w:ascii="Arial" w:cs="Arial" w:eastAsia="Arial" w:hAnsi="Arial"/>
                <w:sz w:val="14"/>
                <w:szCs w:val="14"/>
                <w:color w:val="auto"/>
              </w:rPr>
              <w:t>How to Vote Shares Held in “Street Name”</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60" w:type="dxa"/>
            <w:vAlign w:val="bottom"/>
            <w:gridSpan w:val="4"/>
          </w:tcPr>
          <w:p>
            <w:pPr>
              <w:spacing w:after="0"/>
              <w:rPr>
                <w:sz w:val="12"/>
                <w:szCs w:val="12"/>
                <w:color w:val="auto"/>
              </w:rPr>
            </w:pPr>
          </w:p>
        </w:tc>
        <w:tc>
          <w:tcPr>
            <w:tcW w:w="3380" w:type="dxa"/>
            <w:vAlign w:val="bottom"/>
          </w:tcPr>
          <w:p>
            <w:pPr>
              <w:jc w:val="right"/>
              <w:ind w:right="347"/>
              <w:spacing w:after="0" w:line="142"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tcBorders>
              <w:top w:val="single" w:sz="8" w:color="0000EE"/>
            </w:tcBorders>
            <w:gridSpan w:val="14"/>
          </w:tcPr>
          <w:p>
            <w:pPr>
              <w:spacing w:after="0" w:line="142" w:lineRule="exact"/>
              <w:rPr>
                <w:sz w:val="20"/>
                <w:szCs w:val="20"/>
                <w:color w:val="auto"/>
              </w:rPr>
            </w:pPr>
            <w:r>
              <w:rPr>
                <w:rFonts w:ascii="Arial" w:cs="Arial" w:eastAsia="Arial" w:hAnsi="Arial"/>
                <w:sz w:val="14"/>
                <w:szCs w:val="14"/>
                <w:color w:val="auto"/>
              </w:rPr>
              <w:t>Revoking or Changing a Proxy</w:t>
            </w:r>
          </w:p>
        </w:tc>
        <w:tc>
          <w:tcPr>
            <w:tcW w:w="20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320" w:type="dxa"/>
            <w:vAlign w:val="bottom"/>
          </w:tcPr>
          <w:p>
            <w:pPr>
              <w:spacing w:after="0"/>
              <w:rPr>
                <w:sz w:val="12"/>
                <w:szCs w:val="12"/>
                <w:color w:val="auto"/>
              </w:rPr>
            </w:pPr>
          </w:p>
        </w:tc>
        <w:tc>
          <w:tcPr>
            <w:tcW w:w="3860" w:type="dxa"/>
            <w:vAlign w:val="bottom"/>
            <w:gridSpan w:val="4"/>
          </w:tcPr>
          <w:p>
            <w:pPr>
              <w:spacing w:after="0"/>
              <w:rPr>
                <w:sz w:val="12"/>
                <w:szCs w:val="12"/>
                <w:color w:val="auto"/>
              </w:rPr>
            </w:pPr>
          </w:p>
        </w:tc>
        <w:tc>
          <w:tcPr>
            <w:tcW w:w="3380" w:type="dxa"/>
            <w:vAlign w:val="bottom"/>
          </w:tcPr>
          <w:p>
            <w:pPr>
              <w:jc w:val="right"/>
              <w:ind w:right="347"/>
              <w:spacing w:after="0" w:line="142"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Borders>
              <w:top w:val="single" w:sz="8" w:color="0000EE"/>
              <w:bottom w:val="single" w:sz="8" w:color="0000EE"/>
            </w:tcBorders>
            <w:gridSpan w:val="9"/>
          </w:tcPr>
          <w:p>
            <w:pPr>
              <w:spacing w:after="0" w:line="142" w:lineRule="exact"/>
              <w:rPr>
                <w:sz w:val="20"/>
                <w:szCs w:val="20"/>
                <w:color w:val="auto"/>
              </w:rPr>
            </w:pPr>
            <w:r>
              <w:rPr>
                <w:rFonts w:ascii="Arial" w:cs="Arial" w:eastAsia="Arial" w:hAnsi="Arial"/>
                <w:sz w:val="14"/>
                <w:szCs w:val="14"/>
                <w:color w:val="auto"/>
              </w:rPr>
              <w:t>Required Vote and Method of</w:t>
            </w:r>
          </w:p>
        </w:tc>
        <w:tc>
          <w:tcPr>
            <w:tcW w:w="540" w:type="dxa"/>
            <w:vAlign w:val="bottom"/>
            <w:tcBorders>
              <w:bottom w:val="single" w:sz="8" w:color="0000EE"/>
            </w:tcBorders>
            <w:gridSpan w:val="4"/>
          </w:tcPr>
          <w:p>
            <w:pPr>
              <w:spacing w:after="0" w:line="142" w:lineRule="exact"/>
              <w:rPr>
                <w:sz w:val="20"/>
                <w:szCs w:val="20"/>
                <w:color w:val="auto"/>
              </w:rPr>
            </w:pPr>
            <w:r>
              <w:rPr>
                <w:rFonts w:ascii="Arial" w:cs="Arial" w:eastAsia="Arial" w:hAnsi="Arial"/>
                <w:sz w:val="14"/>
                <w:szCs w:val="14"/>
                <w:color w:val="auto"/>
                <w:w w:val="92"/>
              </w:rPr>
              <w:t>Counting</w:t>
            </w:r>
          </w:p>
        </w:tc>
        <w:tc>
          <w:tcPr>
            <w:tcW w:w="4680" w:type="dxa"/>
            <w:vAlign w:val="bottom"/>
            <w:gridSpan w:val="9"/>
          </w:tcPr>
          <w:p>
            <w:pPr>
              <w:spacing w:after="0"/>
              <w:rPr>
                <w:sz w:val="12"/>
                <w:szCs w:val="12"/>
                <w:color w:val="auto"/>
              </w:rPr>
            </w:pPr>
          </w:p>
        </w:tc>
        <w:tc>
          <w:tcPr>
            <w:tcW w:w="3380" w:type="dxa"/>
            <w:vAlign w:val="bottom"/>
          </w:tcPr>
          <w:p>
            <w:pPr>
              <w:jc w:val="right"/>
              <w:ind w:right="347"/>
              <w:spacing w:after="0" w:line="142"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180" w:type="dxa"/>
            <w:vAlign w:val="bottom"/>
            <w:gridSpan w:val="22"/>
          </w:tcPr>
          <w:p>
            <w:pPr>
              <w:spacing w:after="0" w:line="142" w:lineRule="exact"/>
              <w:rPr>
                <w:sz w:val="20"/>
                <w:szCs w:val="20"/>
                <w:color w:val="auto"/>
              </w:rPr>
            </w:pPr>
            <w:r>
              <w:rPr>
                <w:rFonts w:ascii="Arial" w:cs="Arial" w:eastAsia="Arial" w:hAnsi="Arial"/>
                <w:sz w:val="14"/>
                <w:szCs w:val="14"/>
                <w:color w:val="auto"/>
              </w:rPr>
              <w:t>Method and Cost of Soliciting and Tabulating Votes</w:t>
            </w:r>
          </w:p>
        </w:tc>
        <w:tc>
          <w:tcPr>
            <w:tcW w:w="3380" w:type="dxa"/>
            <w:vAlign w:val="bottom"/>
          </w:tcPr>
          <w:p>
            <w:pPr>
              <w:jc w:val="right"/>
              <w:ind w:right="347"/>
              <w:spacing w:after="0" w:line="142"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Borders>
              <w:top w:val="single" w:sz="8" w:color="0000EE"/>
              <w:bottom w:val="single" w:sz="8" w:color="0000EE"/>
            </w:tcBorders>
            <w:gridSpan w:val="8"/>
          </w:tcPr>
          <w:p>
            <w:pPr>
              <w:spacing w:after="0" w:line="142" w:lineRule="exact"/>
              <w:rPr>
                <w:sz w:val="20"/>
                <w:szCs w:val="20"/>
                <w:color w:val="auto"/>
              </w:rPr>
            </w:pPr>
            <w:r>
              <w:rPr>
                <w:rFonts w:ascii="Arial" w:cs="Arial" w:eastAsia="Arial" w:hAnsi="Arial"/>
                <w:sz w:val="14"/>
                <w:szCs w:val="14"/>
                <w:color w:val="auto"/>
              </w:rPr>
              <w:t>Attending the Annual Meeting</w:t>
            </w:r>
          </w:p>
        </w:tc>
        <w:tc>
          <w:tcPr>
            <w:tcW w:w="1380" w:type="dxa"/>
            <w:vAlign w:val="bottom"/>
            <w:tcBorders>
              <w:top w:val="single" w:sz="8" w:color="0000EE"/>
            </w:tcBorders>
            <w:gridSpan w:val="10"/>
          </w:tcPr>
          <w:p>
            <w:pPr>
              <w:spacing w:after="0"/>
              <w:rPr>
                <w:sz w:val="12"/>
                <w:szCs w:val="12"/>
                <w:color w:val="auto"/>
              </w:rPr>
            </w:pPr>
          </w:p>
        </w:tc>
        <w:tc>
          <w:tcPr>
            <w:tcW w:w="3860" w:type="dxa"/>
            <w:vAlign w:val="bottom"/>
            <w:gridSpan w:val="4"/>
          </w:tcPr>
          <w:p>
            <w:pPr>
              <w:spacing w:after="0"/>
              <w:rPr>
                <w:sz w:val="12"/>
                <w:szCs w:val="12"/>
                <w:color w:val="auto"/>
              </w:rPr>
            </w:pPr>
          </w:p>
        </w:tc>
        <w:tc>
          <w:tcPr>
            <w:tcW w:w="3380" w:type="dxa"/>
            <w:vAlign w:val="bottom"/>
          </w:tcPr>
          <w:p>
            <w:pPr>
              <w:jc w:val="right"/>
              <w:ind w:right="347"/>
              <w:spacing w:after="0" w:line="142"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60" w:type="dxa"/>
            <w:vAlign w:val="bottom"/>
            <w:gridSpan w:val="9"/>
          </w:tcPr>
          <w:p>
            <w:pPr>
              <w:spacing w:after="0" w:line="142" w:lineRule="exact"/>
              <w:rPr>
                <w:sz w:val="20"/>
                <w:szCs w:val="20"/>
                <w:color w:val="auto"/>
              </w:rPr>
            </w:pPr>
            <w:r>
              <w:rPr>
                <w:rFonts w:ascii="Arial" w:cs="Arial" w:eastAsia="Arial" w:hAnsi="Arial"/>
                <w:sz w:val="14"/>
                <w:szCs w:val="14"/>
                <w:color w:val="auto"/>
              </w:rPr>
              <w:t>Notice of Internet Availability of</w:t>
            </w:r>
          </w:p>
        </w:tc>
        <w:tc>
          <w:tcPr>
            <w:tcW w:w="5240" w:type="dxa"/>
            <w:vAlign w:val="bottom"/>
            <w:gridSpan w:val="14"/>
          </w:tcPr>
          <w:p>
            <w:pPr>
              <w:spacing w:after="0" w:line="142" w:lineRule="exact"/>
              <w:rPr>
                <w:sz w:val="20"/>
                <w:szCs w:val="20"/>
                <w:color w:val="auto"/>
              </w:rPr>
            </w:pPr>
            <w:r>
              <w:rPr>
                <w:rFonts w:ascii="Arial" w:cs="Arial" w:eastAsia="Arial" w:hAnsi="Arial"/>
                <w:sz w:val="14"/>
                <w:szCs w:val="14"/>
                <w:color w:val="auto"/>
              </w:rPr>
              <w:t>Proxy Materials</w:t>
            </w:r>
          </w:p>
        </w:tc>
        <w:tc>
          <w:tcPr>
            <w:tcW w:w="3380" w:type="dxa"/>
            <w:vAlign w:val="bottom"/>
          </w:tcPr>
          <w:p>
            <w:pPr>
              <w:jc w:val="right"/>
              <w:ind w:right="347"/>
              <w:spacing w:after="0" w:line="142"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20" w:type="dxa"/>
            <w:vAlign w:val="bottom"/>
            <w:tcBorders>
              <w:top w:val="single" w:sz="8" w:color="0000EE"/>
              <w:bottom w:val="single" w:sz="8" w:color="0000EE"/>
            </w:tcBorders>
            <w:gridSpan w:val="16"/>
          </w:tcPr>
          <w:p>
            <w:pPr>
              <w:spacing w:after="0" w:line="142" w:lineRule="exact"/>
              <w:rPr>
                <w:sz w:val="20"/>
                <w:szCs w:val="20"/>
                <w:color w:val="auto"/>
              </w:rPr>
            </w:pPr>
            <w:r>
              <w:rPr>
                <w:rFonts w:ascii="Arial" w:cs="Arial" w:eastAsia="Arial" w:hAnsi="Arial"/>
                <w:sz w:val="14"/>
                <w:szCs w:val="14"/>
                <w:color w:val="auto"/>
                <w:w w:val="99"/>
              </w:rPr>
              <w:t>Stockholder Proposals and Director Nominations</w:t>
            </w:r>
          </w:p>
        </w:tc>
        <w:tc>
          <w:tcPr>
            <w:tcW w:w="100" w:type="dxa"/>
            <w:vAlign w:val="bottom"/>
            <w:tcBorders>
              <w:bottom w:val="single" w:sz="8" w:color="0000EE"/>
            </w:tcBorders>
            <w:gridSpan w:val="2"/>
          </w:tcPr>
          <w:p>
            <w:pPr>
              <w:spacing w:after="0"/>
              <w:rPr>
                <w:sz w:val="12"/>
                <w:szCs w:val="12"/>
                <w:color w:val="auto"/>
              </w:rPr>
            </w:pPr>
          </w:p>
        </w:tc>
        <w:tc>
          <w:tcPr>
            <w:tcW w:w="320" w:type="dxa"/>
            <w:vAlign w:val="bottom"/>
          </w:tcPr>
          <w:p>
            <w:pPr>
              <w:spacing w:after="0"/>
              <w:rPr>
                <w:sz w:val="12"/>
                <w:szCs w:val="12"/>
                <w:color w:val="auto"/>
              </w:rPr>
            </w:pPr>
          </w:p>
        </w:tc>
        <w:tc>
          <w:tcPr>
            <w:tcW w:w="3860" w:type="dxa"/>
            <w:vAlign w:val="bottom"/>
            <w:gridSpan w:val="4"/>
          </w:tcPr>
          <w:p>
            <w:pPr>
              <w:spacing w:after="0"/>
              <w:rPr>
                <w:sz w:val="12"/>
                <w:szCs w:val="12"/>
                <w:color w:val="auto"/>
              </w:rPr>
            </w:pPr>
          </w:p>
        </w:tc>
        <w:tc>
          <w:tcPr>
            <w:tcW w:w="3380" w:type="dxa"/>
            <w:vAlign w:val="bottom"/>
          </w:tcPr>
          <w:p>
            <w:pPr>
              <w:jc w:val="right"/>
              <w:ind w:right="347"/>
              <w:spacing w:after="0" w:line="142"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20" w:type="dxa"/>
            <w:vAlign w:val="bottom"/>
            <w:gridSpan w:val="18"/>
          </w:tcPr>
          <w:p>
            <w:pPr>
              <w:spacing w:after="0" w:line="142" w:lineRule="exact"/>
              <w:rPr>
                <w:sz w:val="20"/>
                <w:szCs w:val="20"/>
                <w:color w:val="auto"/>
              </w:rPr>
            </w:pPr>
            <w:r>
              <w:rPr>
                <w:rFonts w:ascii="Arial" w:cs="Arial" w:eastAsia="Arial" w:hAnsi="Arial"/>
                <w:sz w:val="14"/>
                <w:szCs w:val="14"/>
                <w:color w:val="auto"/>
              </w:rPr>
              <w:t>Householding of Proxy Materials</w:t>
            </w:r>
          </w:p>
        </w:tc>
        <w:tc>
          <w:tcPr>
            <w:tcW w:w="320" w:type="dxa"/>
            <w:vAlign w:val="bottom"/>
          </w:tcPr>
          <w:p>
            <w:pPr>
              <w:spacing w:after="0"/>
              <w:rPr>
                <w:sz w:val="12"/>
                <w:szCs w:val="12"/>
                <w:color w:val="auto"/>
              </w:rPr>
            </w:pPr>
          </w:p>
        </w:tc>
        <w:tc>
          <w:tcPr>
            <w:tcW w:w="3860" w:type="dxa"/>
            <w:vAlign w:val="bottom"/>
            <w:gridSpan w:val="4"/>
          </w:tcPr>
          <w:p>
            <w:pPr>
              <w:spacing w:after="0"/>
              <w:rPr>
                <w:sz w:val="12"/>
                <w:szCs w:val="12"/>
                <w:color w:val="auto"/>
              </w:rPr>
            </w:pPr>
          </w:p>
        </w:tc>
        <w:tc>
          <w:tcPr>
            <w:tcW w:w="3380" w:type="dxa"/>
            <w:vAlign w:val="bottom"/>
          </w:tcPr>
          <w:p>
            <w:pPr>
              <w:jc w:val="right"/>
              <w:ind w:right="347"/>
              <w:spacing w:after="0" w:line="142"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0" w:type="dxa"/>
            <w:vAlign w:val="bottom"/>
            <w:tcBorders>
              <w:top w:val="single" w:sz="8" w:color="0000EE"/>
            </w:tcBorders>
            <w:gridSpan w:val="11"/>
          </w:tcPr>
          <w:p>
            <w:pPr>
              <w:spacing w:after="0" w:line="142" w:lineRule="exact"/>
              <w:rPr>
                <w:sz w:val="20"/>
                <w:szCs w:val="20"/>
                <w:color w:val="auto"/>
              </w:rPr>
            </w:pPr>
            <w:r>
              <w:rPr>
                <w:rFonts w:ascii="Arial" w:cs="Arial" w:eastAsia="Arial" w:hAnsi="Arial"/>
                <w:sz w:val="14"/>
                <w:szCs w:val="14"/>
                <w:color w:val="auto"/>
              </w:rPr>
              <w:t>2024 Annual Report</w:t>
            </w:r>
          </w:p>
        </w:tc>
        <w:tc>
          <w:tcPr>
            <w:tcW w:w="1340" w:type="dxa"/>
            <w:vAlign w:val="bottom"/>
            <w:gridSpan w:val="8"/>
          </w:tcPr>
          <w:p>
            <w:pPr>
              <w:spacing w:after="0"/>
              <w:rPr>
                <w:sz w:val="12"/>
                <w:szCs w:val="12"/>
                <w:color w:val="auto"/>
              </w:rPr>
            </w:pPr>
          </w:p>
        </w:tc>
        <w:tc>
          <w:tcPr>
            <w:tcW w:w="3860" w:type="dxa"/>
            <w:vAlign w:val="bottom"/>
            <w:gridSpan w:val="4"/>
          </w:tcPr>
          <w:p>
            <w:pPr>
              <w:spacing w:after="0"/>
              <w:rPr>
                <w:sz w:val="12"/>
                <w:szCs w:val="12"/>
                <w:color w:val="auto"/>
              </w:rPr>
            </w:pPr>
          </w:p>
        </w:tc>
        <w:tc>
          <w:tcPr>
            <w:tcW w:w="3380" w:type="dxa"/>
            <w:vAlign w:val="bottom"/>
          </w:tcPr>
          <w:p>
            <w:pPr>
              <w:jc w:val="right"/>
              <w:ind w:right="347"/>
              <w:spacing w:after="0" w:line="142"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160" w:type="dxa"/>
            <w:vAlign w:val="bottom"/>
            <w:gridSpan w:val="15"/>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7440" w:type="dxa"/>
            <w:vAlign w:val="bottom"/>
            <w:gridSpan w:val="25"/>
          </w:tcPr>
          <w:p>
            <w:pPr>
              <w:spacing w:after="0"/>
              <w:rPr>
                <w:sz w:val="20"/>
                <w:szCs w:val="20"/>
                <w:color w:val="auto"/>
              </w:rPr>
            </w:pPr>
            <w:r>
              <w:rPr>
                <w:rFonts w:ascii="Arial" w:cs="Arial" w:eastAsia="Arial" w:hAnsi="Arial"/>
                <w:sz w:val="16"/>
                <w:szCs w:val="16"/>
                <w:color w:val="0075C9"/>
              </w:rPr>
              <w:t>Annex A – Reconciliation of Non-GAAP Measures</w:t>
            </w:r>
          </w:p>
        </w:tc>
        <w:tc>
          <w:tcPr>
            <w:tcW w:w="3380" w:type="dxa"/>
            <w:vAlign w:val="bottom"/>
          </w:tcPr>
          <w:p>
            <w:pPr>
              <w:jc w:val="right"/>
              <w:ind w:right="347"/>
              <w:spacing w:after="0"/>
              <w:rPr>
                <w:sz w:val="20"/>
                <w:szCs w:val="20"/>
                <w:color w:val="auto"/>
              </w:rPr>
            </w:pPr>
            <w:r>
              <w:rPr>
                <w:rFonts w:ascii="Arial" w:cs="Arial" w:eastAsia="Arial" w:hAnsi="Arial"/>
                <w:sz w:val="16"/>
                <w:szCs w:val="16"/>
                <w:color w:val="0075C9"/>
              </w:rPr>
              <w:t>A-1</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8"/>
          <w:szCs w:val="18"/>
          <w:color w:val="auto"/>
        </w:rPr>
        <w:t>CALIFORNIA RESOURCES CORPORATION</w:t>
        <w:tab/>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 w:name="page10"/>
    <w:bookmarkEnd w:id="9"/>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542925</wp:posOffset>
            </wp:positionV>
            <wp:extent cx="7132320" cy="197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73"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Proxy Statement Summary</w:t>
      </w:r>
    </w:p>
    <w:p>
      <w:pPr>
        <w:spacing w:after="0" w:line="131" w:lineRule="exact"/>
        <w:rPr>
          <w:sz w:val="20"/>
          <w:szCs w:val="20"/>
          <w:color w:val="auto"/>
        </w:rPr>
      </w:pPr>
    </w:p>
    <w:p>
      <w:pPr>
        <w:spacing w:after="0"/>
        <w:rPr>
          <w:sz w:val="20"/>
          <w:szCs w:val="20"/>
          <w:color w:val="auto"/>
        </w:rPr>
      </w:pPr>
      <w:r>
        <w:rPr>
          <w:rFonts w:ascii="Arial" w:cs="Arial" w:eastAsia="Arial" w:hAnsi="Arial"/>
          <w:sz w:val="32"/>
          <w:szCs w:val="32"/>
          <w:color w:val="0075C9"/>
        </w:rPr>
        <w:t>Proxy Statement Summary</w:t>
      </w:r>
    </w:p>
    <w:p>
      <w:pPr>
        <w:spacing w:after="0" w:line="127"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This summary highlights information contained in the proxy statement. This summary does not contain all of the information you should consider, and you should read the entire proxy statement carefully before voting. California Resources Corporation, together with its subsidiaries, is referred to herein as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our</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CRC</w:t>
      </w:r>
      <w:r>
        <w:rPr>
          <w:rFonts w:ascii="Arial" w:cs="Arial" w:eastAsia="Arial" w:hAnsi="Arial"/>
          <w:sz w:val="18"/>
          <w:szCs w:val="18"/>
          <w:color w:val="auto"/>
        </w:rPr>
        <w:t>.” The 2025 annual meeting of stockholders described below is referred to herein as the “</w:t>
      </w:r>
      <w:r>
        <w:rPr>
          <w:rFonts w:ascii="Arial" w:cs="Arial" w:eastAsia="Arial" w:hAnsi="Arial"/>
          <w:sz w:val="18"/>
          <w:szCs w:val="18"/>
          <w:b w:val="1"/>
          <w:bCs w:val="1"/>
          <w:color w:val="auto"/>
        </w:rPr>
        <w:t>Annual Meeting</w:t>
      </w:r>
      <w:r>
        <w:rPr>
          <w:rFonts w:ascii="Arial" w:cs="Arial" w:eastAsia="Arial" w:hAnsi="Arial"/>
          <w:sz w:val="18"/>
          <w:szCs w:val="18"/>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color w:val="0075C9"/>
        </w:rPr>
        <w:t>2025 Annual Meeting of Stockholders</w:t>
      </w:r>
    </w:p>
    <w:p>
      <w:pPr>
        <w:spacing w:after="0" w:line="241" w:lineRule="exact"/>
        <w:rPr>
          <w:sz w:val="20"/>
          <w:szCs w:val="20"/>
          <w:color w:val="auto"/>
        </w:rPr>
      </w:pPr>
    </w:p>
    <w:p>
      <w:pPr>
        <w:ind w:left="20"/>
        <w:spacing w:after="0"/>
        <w:tabs>
          <w:tab w:leader="none" w:pos="1740" w:val="left"/>
        </w:tabs>
        <w:rPr>
          <w:sz w:val="20"/>
          <w:szCs w:val="20"/>
          <w:color w:val="auto"/>
        </w:rPr>
      </w:pPr>
      <w:r>
        <w:rPr>
          <w:rFonts w:ascii="Arial" w:cs="Arial" w:eastAsia="Arial" w:hAnsi="Arial"/>
          <w:sz w:val="18"/>
          <w:szCs w:val="18"/>
          <w:color w:val="0075C9"/>
        </w:rPr>
        <w:t>Date:</w:t>
      </w:r>
      <w:r>
        <w:rPr>
          <w:sz w:val="20"/>
          <w:szCs w:val="20"/>
          <w:color w:val="auto"/>
        </w:rPr>
        <w:tab/>
      </w:r>
      <w:r>
        <w:rPr>
          <w:rFonts w:ascii="Arial" w:cs="Arial" w:eastAsia="Arial" w:hAnsi="Arial"/>
          <w:sz w:val="18"/>
          <w:szCs w:val="18"/>
          <w:color w:val="auto"/>
        </w:rPr>
        <w:t>May 2, 2025</w:t>
      </w:r>
    </w:p>
    <w:p>
      <w:pPr>
        <w:spacing w:after="0" w:line="117" w:lineRule="exact"/>
        <w:rPr>
          <w:sz w:val="20"/>
          <w:szCs w:val="20"/>
          <w:color w:val="auto"/>
        </w:rPr>
      </w:pPr>
    </w:p>
    <w:p>
      <w:pPr>
        <w:ind w:left="20"/>
        <w:spacing w:after="0"/>
        <w:tabs>
          <w:tab w:leader="none" w:pos="1740" w:val="left"/>
        </w:tabs>
        <w:rPr>
          <w:sz w:val="20"/>
          <w:szCs w:val="20"/>
          <w:color w:val="auto"/>
        </w:rPr>
      </w:pPr>
      <w:r>
        <w:rPr>
          <w:rFonts w:ascii="Arial" w:cs="Arial" w:eastAsia="Arial" w:hAnsi="Arial"/>
          <w:sz w:val="18"/>
          <w:szCs w:val="18"/>
          <w:color w:val="0075C9"/>
        </w:rPr>
        <w:t>Time:</w:t>
      </w:r>
      <w:r>
        <w:rPr>
          <w:sz w:val="20"/>
          <w:szCs w:val="20"/>
          <w:color w:val="auto"/>
        </w:rPr>
        <w:tab/>
      </w:r>
      <w:r>
        <w:rPr>
          <w:rFonts w:ascii="Arial" w:cs="Arial" w:eastAsia="Arial" w:hAnsi="Arial"/>
          <w:sz w:val="18"/>
          <w:szCs w:val="18"/>
          <w:color w:val="auto"/>
        </w:rPr>
        <w:t>11:00 a.m., Pacific Time</w:t>
      </w:r>
    </w:p>
    <w:p>
      <w:pPr>
        <w:spacing w:after="0" w:line="117" w:lineRule="exact"/>
        <w:rPr>
          <w:sz w:val="20"/>
          <w:szCs w:val="20"/>
          <w:color w:val="auto"/>
        </w:rPr>
      </w:pPr>
    </w:p>
    <w:p>
      <w:pPr>
        <w:ind w:left="20"/>
        <w:spacing w:after="0"/>
        <w:tabs>
          <w:tab w:leader="none" w:pos="1740" w:val="left"/>
        </w:tabs>
        <w:rPr>
          <w:sz w:val="20"/>
          <w:szCs w:val="20"/>
          <w:color w:val="auto"/>
        </w:rPr>
      </w:pPr>
      <w:r>
        <w:rPr>
          <w:rFonts w:ascii="Arial" w:cs="Arial" w:eastAsia="Arial" w:hAnsi="Arial"/>
          <w:sz w:val="18"/>
          <w:szCs w:val="18"/>
          <w:color w:val="0075C9"/>
        </w:rPr>
        <w:t>Place:</w:t>
      </w:r>
      <w:r>
        <w:rPr>
          <w:sz w:val="20"/>
          <w:szCs w:val="20"/>
          <w:color w:val="auto"/>
        </w:rPr>
        <w:tab/>
      </w:r>
      <w:r>
        <w:rPr>
          <w:rFonts w:ascii="Arial" w:cs="Arial" w:eastAsia="Arial" w:hAnsi="Arial"/>
          <w:sz w:val="18"/>
          <w:szCs w:val="18"/>
          <w:color w:val="auto"/>
        </w:rPr>
        <w:t>Virtual meeting at https://www.virtualshareholdermeeting.com/CRC2025</w:t>
      </w:r>
    </w:p>
    <w:p>
      <w:pPr>
        <w:spacing w:after="0" w:line="117" w:lineRule="exact"/>
        <w:rPr>
          <w:sz w:val="20"/>
          <w:szCs w:val="20"/>
          <w:color w:val="auto"/>
        </w:rPr>
      </w:pPr>
    </w:p>
    <w:p>
      <w:pPr>
        <w:ind w:left="20"/>
        <w:spacing w:after="0"/>
        <w:tabs>
          <w:tab w:leader="none" w:pos="1740" w:val="left"/>
        </w:tabs>
        <w:rPr>
          <w:sz w:val="20"/>
          <w:szCs w:val="20"/>
          <w:color w:val="auto"/>
        </w:rPr>
      </w:pPr>
      <w:r>
        <w:rPr>
          <w:rFonts w:ascii="Arial" w:cs="Arial" w:eastAsia="Arial" w:hAnsi="Arial"/>
          <w:sz w:val="18"/>
          <w:szCs w:val="18"/>
          <w:color w:val="0075C9"/>
        </w:rPr>
        <w:t>Record Date:</w:t>
      </w:r>
      <w:r>
        <w:rPr>
          <w:sz w:val="20"/>
          <w:szCs w:val="20"/>
          <w:color w:val="auto"/>
        </w:rPr>
        <w:tab/>
      </w:r>
      <w:r>
        <w:rPr>
          <w:rFonts w:ascii="Arial" w:cs="Arial" w:eastAsia="Arial" w:hAnsi="Arial"/>
          <w:sz w:val="18"/>
          <w:szCs w:val="18"/>
          <w:color w:val="auto"/>
        </w:rPr>
        <w:t>March 10, 2025</w:t>
      </w:r>
    </w:p>
    <w:p>
      <w:pPr>
        <w:spacing w:after="0" w:line="239" w:lineRule="exact"/>
        <w:rPr>
          <w:sz w:val="20"/>
          <w:szCs w:val="20"/>
          <w:color w:val="auto"/>
        </w:rPr>
      </w:pPr>
    </w:p>
    <w:p>
      <w:pPr>
        <w:jc w:val="both"/>
        <w:ind w:right="380"/>
        <w:spacing w:after="0" w:line="253" w:lineRule="auto"/>
        <w:rPr>
          <w:sz w:val="20"/>
          <w:szCs w:val="20"/>
          <w:color w:val="auto"/>
        </w:rPr>
      </w:pPr>
      <w:r>
        <w:rPr>
          <w:rFonts w:ascii="Arial" w:cs="Arial" w:eastAsia="Arial" w:hAnsi="Arial"/>
          <w:sz w:val="18"/>
          <w:szCs w:val="18"/>
          <w:color w:val="auto"/>
        </w:rPr>
        <w:t>The Annual Meeting will be held in a virtual meeting format only at https://www.virtualshareholdermeeting.com/CRC2025. You will not be able to attend the Annual Meeting in person. If you wish to attend the Annual Meeting, you must follow the instructions under “Attending the Annual Meeting” below.</w:t>
      </w:r>
    </w:p>
    <w:p>
      <w:pPr>
        <w:spacing w:after="0" w:line="61" w:lineRule="exact"/>
        <w:rPr>
          <w:sz w:val="20"/>
          <w:szCs w:val="20"/>
          <w:color w:val="auto"/>
        </w:rPr>
      </w:pPr>
    </w:p>
    <w:p>
      <w:pPr>
        <w:jc w:val="both"/>
        <w:ind w:right="280"/>
        <w:spacing w:after="0" w:line="271" w:lineRule="auto"/>
        <w:rPr>
          <w:sz w:val="20"/>
          <w:szCs w:val="20"/>
          <w:color w:val="auto"/>
        </w:rPr>
      </w:pPr>
      <w:r>
        <w:rPr>
          <w:rFonts w:ascii="Arial" w:cs="Arial" w:eastAsia="Arial" w:hAnsi="Arial"/>
          <w:sz w:val="18"/>
          <w:szCs w:val="18"/>
          <w:color w:val="auto"/>
        </w:rPr>
        <w:t>A Notice of Internet Availability of Proxy Materials, which contains instructions on how to access the proxy statement and vote online, was mailed to our stockholders beginning on March 19, 2025, and also made available to our stockholders over the Internet on the same date.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0075C9"/>
        </w:rPr>
        <w:t>Agenda and the Board’s Recommendation on Voting Matters</w:t>
      </w:r>
    </w:p>
    <w:p>
      <w:pPr>
        <w:spacing w:after="0" w:line="106" w:lineRule="exact"/>
        <w:rPr>
          <w:sz w:val="20"/>
          <w:szCs w:val="20"/>
          <w:color w:val="auto"/>
        </w:rPr>
      </w:pPr>
    </w:p>
    <w:p>
      <w:pPr>
        <w:ind w:right="1000"/>
        <w:spacing w:after="0" w:line="271" w:lineRule="auto"/>
        <w:rPr>
          <w:sz w:val="20"/>
          <w:szCs w:val="20"/>
          <w:color w:val="auto"/>
        </w:rPr>
      </w:pPr>
      <w:r>
        <w:rPr>
          <w:rFonts w:ascii="Arial" w:cs="Arial" w:eastAsia="Arial" w:hAnsi="Arial"/>
          <w:sz w:val="18"/>
          <w:szCs w:val="18"/>
          <w:color w:val="auto"/>
        </w:rPr>
        <w:t>The following table summarizes the items that will be brought for a vote of our stockholders at the Annual Meeting, along with the recommendation of our Board of Directors as to how stockholders should vote on each item.</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80" w:type="dxa"/>
            <w:vAlign w:val="bottom"/>
          </w:tcPr>
          <w:p>
            <w:pPr>
              <w:jc w:val="center"/>
              <w:ind w:right="1859"/>
              <w:spacing w:after="0"/>
              <w:rPr>
                <w:sz w:val="20"/>
                <w:szCs w:val="20"/>
                <w:color w:val="auto"/>
              </w:rPr>
            </w:pPr>
            <w:r>
              <w:rPr>
                <w:rFonts w:ascii="Arial" w:cs="Arial" w:eastAsia="Arial" w:hAnsi="Arial"/>
                <w:sz w:val="16"/>
                <w:szCs w:val="16"/>
                <w:b w:val="1"/>
                <w:bCs w:val="1"/>
                <w:color w:val="0075C9"/>
                <w:w w:val="98"/>
              </w:rPr>
              <w:t>Agenda</w:t>
            </w:r>
          </w:p>
        </w:tc>
        <w:tc>
          <w:tcPr>
            <w:tcW w:w="4760" w:type="dxa"/>
            <w:vAlign w:val="bottom"/>
          </w:tcPr>
          <w:p>
            <w:pPr>
              <w:spacing w:after="0"/>
              <w:rPr>
                <w:sz w:val="16"/>
                <w:szCs w:val="16"/>
                <w:color w:val="auto"/>
              </w:rPr>
            </w:pPr>
          </w:p>
        </w:tc>
        <w:tc>
          <w:tcPr>
            <w:tcW w:w="3200" w:type="dxa"/>
            <w:vAlign w:val="bottom"/>
          </w:tcPr>
          <w:p>
            <w:pPr>
              <w:jc w:val="center"/>
              <w:ind w:left="1239"/>
              <w:spacing w:after="0"/>
              <w:rPr>
                <w:sz w:val="20"/>
                <w:szCs w:val="20"/>
                <w:color w:val="auto"/>
              </w:rPr>
            </w:pPr>
            <w:r>
              <w:rPr>
                <w:rFonts w:ascii="Arial" w:cs="Arial" w:eastAsia="Arial" w:hAnsi="Arial"/>
                <w:sz w:val="16"/>
                <w:szCs w:val="16"/>
                <w:b w:val="1"/>
                <w:bCs w:val="1"/>
                <w:color w:val="0075C9"/>
              </w:rPr>
              <w:t>Board’s</w:t>
            </w:r>
          </w:p>
        </w:tc>
      </w:tr>
      <w:tr>
        <w:trPr>
          <w:trHeight w:val="203"/>
        </w:trPr>
        <w:tc>
          <w:tcPr>
            <w:tcW w:w="3280" w:type="dxa"/>
            <w:vAlign w:val="bottom"/>
            <w:tcBorders>
              <w:bottom w:val="single" w:sz="8" w:color="0075C9"/>
            </w:tcBorders>
          </w:tcPr>
          <w:p>
            <w:pPr>
              <w:jc w:val="center"/>
              <w:ind w:right="1819"/>
              <w:spacing w:after="0"/>
              <w:rPr>
                <w:sz w:val="20"/>
                <w:szCs w:val="20"/>
                <w:color w:val="auto"/>
              </w:rPr>
            </w:pPr>
            <w:r>
              <w:rPr>
                <w:rFonts w:ascii="Arial" w:cs="Arial" w:eastAsia="Arial" w:hAnsi="Arial"/>
                <w:sz w:val="16"/>
                <w:szCs w:val="16"/>
                <w:b w:val="1"/>
                <w:bCs w:val="1"/>
                <w:color w:val="0075C9"/>
              </w:rPr>
              <w:t>Item</w:t>
            </w:r>
          </w:p>
        </w:tc>
        <w:tc>
          <w:tcPr>
            <w:tcW w:w="4760" w:type="dxa"/>
            <w:vAlign w:val="bottom"/>
            <w:tcBorders>
              <w:bottom w:val="single" w:sz="8" w:color="0075C9"/>
            </w:tcBorders>
          </w:tcPr>
          <w:p>
            <w:pPr>
              <w:ind w:left="2300"/>
              <w:spacing w:after="0"/>
              <w:rPr>
                <w:sz w:val="20"/>
                <w:szCs w:val="20"/>
                <w:color w:val="auto"/>
              </w:rPr>
            </w:pPr>
            <w:r>
              <w:rPr>
                <w:rFonts w:ascii="Arial" w:cs="Arial" w:eastAsia="Arial" w:hAnsi="Arial"/>
                <w:sz w:val="16"/>
                <w:szCs w:val="16"/>
                <w:b w:val="1"/>
                <w:bCs w:val="1"/>
                <w:color w:val="0075C9"/>
              </w:rPr>
              <w:t>Description</w:t>
            </w:r>
          </w:p>
        </w:tc>
        <w:tc>
          <w:tcPr>
            <w:tcW w:w="3200" w:type="dxa"/>
            <w:vAlign w:val="bottom"/>
            <w:tcBorders>
              <w:bottom w:val="single" w:sz="8" w:color="0075C9"/>
            </w:tcBorders>
          </w:tcPr>
          <w:p>
            <w:pPr>
              <w:jc w:val="center"/>
              <w:ind w:left="1239"/>
              <w:spacing w:after="0"/>
              <w:rPr>
                <w:sz w:val="20"/>
                <w:szCs w:val="20"/>
                <w:color w:val="auto"/>
              </w:rPr>
            </w:pPr>
            <w:r>
              <w:rPr>
                <w:rFonts w:ascii="Arial" w:cs="Arial" w:eastAsia="Arial" w:hAnsi="Arial"/>
                <w:sz w:val="16"/>
                <w:szCs w:val="16"/>
                <w:b w:val="1"/>
                <w:bCs w:val="1"/>
                <w:color w:val="0075C9"/>
              </w:rPr>
              <w:t>Recommendation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0</wp:posOffset>
            </wp:positionV>
            <wp:extent cx="1268730" cy="10026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68730" cy="100266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1.</w:t>
            </w:r>
          </w:p>
        </w:tc>
        <w:tc>
          <w:tcPr>
            <w:tcW w:w="1580" w:type="dxa"/>
            <w:vAlign w:val="bottom"/>
          </w:tcPr>
          <w:p>
            <w:pPr>
              <w:ind w:left="360"/>
              <w:spacing w:after="0"/>
              <w:rPr>
                <w:sz w:val="20"/>
                <w:szCs w:val="20"/>
                <w:color w:val="auto"/>
              </w:rPr>
            </w:pPr>
            <w:r>
              <w:rPr>
                <w:rFonts w:ascii="Arial" w:cs="Arial" w:eastAsia="Arial" w:hAnsi="Arial"/>
                <w:sz w:val="18"/>
                <w:szCs w:val="18"/>
                <w:color w:val="auto"/>
              </w:rPr>
              <w:t>Proposal 1</w:t>
            </w:r>
          </w:p>
        </w:tc>
        <w:tc>
          <w:tcPr>
            <w:tcW w:w="6640" w:type="dxa"/>
            <w:vAlign w:val="bottom"/>
          </w:tcPr>
          <w:p>
            <w:pPr>
              <w:ind w:left="360"/>
              <w:spacing w:after="0"/>
              <w:rPr>
                <w:sz w:val="20"/>
                <w:szCs w:val="20"/>
                <w:color w:val="auto"/>
              </w:rPr>
            </w:pPr>
            <w:r>
              <w:rPr>
                <w:rFonts w:ascii="Arial" w:cs="Arial" w:eastAsia="Arial" w:hAnsi="Arial"/>
                <w:sz w:val="18"/>
                <w:szCs w:val="18"/>
                <w:color w:val="auto"/>
              </w:rPr>
              <w:t>Election of the ten director nominees named in this proxy statement, each for</w:t>
            </w:r>
          </w:p>
        </w:tc>
      </w:tr>
      <w:tr>
        <w:trPr>
          <w:trHeight w:val="239"/>
        </w:trPr>
        <w:tc>
          <w:tcPr>
            <w:tcW w:w="10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640" w:type="dxa"/>
            <w:vAlign w:val="bottom"/>
          </w:tcPr>
          <w:p>
            <w:pPr>
              <w:ind w:left="360"/>
              <w:spacing w:after="0"/>
              <w:rPr>
                <w:sz w:val="20"/>
                <w:szCs w:val="20"/>
                <w:color w:val="auto"/>
              </w:rPr>
            </w:pPr>
            <w:r>
              <w:rPr>
                <w:rFonts w:ascii="Arial" w:cs="Arial" w:eastAsia="Arial" w:hAnsi="Arial"/>
                <w:sz w:val="18"/>
                <w:szCs w:val="18"/>
                <w:color w:val="auto"/>
              </w:rPr>
              <w:t>a one-year term</w:t>
            </w:r>
          </w:p>
        </w:tc>
      </w:tr>
      <w:tr>
        <w:trPr>
          <w:trHeight w:val="64"/>
        </w:trPr>
        <w:tc>
          <w:tcPr>
            <w:tcW w:w="1020" w:type="dxa"/>
            <w:vAlign w:val="bottom"/>
            <w:tcBorders>
              <w:bottom w:val="single" w:sz="8" w:color="EBEBEC"/>
            </w:tcBorders>
          </w:tcPr>
          <w:p>
            <w:pPr>
              <w:spacing w:after="0"/>
              <w:rPr>
                <w:sz w:val="5"/>
                <w:szCs w:val="5"/>
                <w:color w:val="auto"/>
              </w:rPr>
            </w:pPr>
          </w:p>
        </w:tc>
        <w:tc>
          <w:tcPr>
            <w:tcW w:w="1580" w:type="dxa"/>
            <w:vAlign w:val="bottom"/>
            <w:tcBorders>
              <w:bottom w:val="single" w:sz="8" w:color="EBEBEC"/>
            </w:tcBorders>
          </w:tcPr>
          <w:p>
            <w:pPr>
              <w:spacing w:after="0"/>
              <w:rPr>
                <w:sz w:val="5"/>
                <w:szCs w:val="5"/>
                <w:color w:val="auto"/>
              </w:rPr>
            </w:pPr>
          </w:p>
        </w:tc>
        <w:tc>
          <w:tcPr>
            <w:tcW w:w="6640" w:type="dxa"/>
            <w:vAlign w:val="bottom"/>
            <w:tcBorders>
              <w:bottom w:val="single" w:sz="8" w:color="EBEBEC"/>
            </w:tcBorders>
          </w:tcPr>
          <w:p>
            <w:pPr>
              <w:spacing w:after="0"/>
              <w:rPr>
                <w:sz w:val="5"/>
                <w:szCs w:val="5"/>
                <w:color w:val="auto"/>
              </w:rPr>
            </w:pPr>
          </w:p>
        </w:tc>
      </w:tr>
      <w:tr>
        <w:trPr>
          <w:trHeight w:val="272"/>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2.</w:t>
            </w:r>
          </w:p>
        </w:tc>
        <w:tc>
          <w:tcPr>
            <w:tcW w:w="1580" w:type="dxa"/>
            <w:vAlign w:val="bottom"/>
          </w:tcPr>
          <w:p>
            <w:pPr>
              <w:ind w:left="360"/>
              <w:spacing w:after="0"/>
              <w:rPr>
                <w:sz w:val="20"/>
                <w:szCs w:val="20"/>
                <w:color w:val="auto"/>
              </w:rPr>
            </w:pPr>
            <w:r>
              <w:rPr>
                <w:rFonts w:ascii="Arial" w:cs="Arial" w:eastAsia="Arial" w:hAnsi="Arial"/>
                <w:sz w:val="18"/>
                <w:szCs w:val="18"/>
                <w:color w:val="auto"/>
              </w:rPr>
              <w:t>Proposal 2</w:t>
            </w:r>
          </w:p>
        </w:tc>
        <w:tc>
          <w:tcPr>
            <w:tcW w:w="6640" w:type="dxa"/>
            <w:vAlign w:val="bottom"/>
          </w:tcPr>
          <w:p>
            <w:pPr>
              <w:ind w:left="360"/>
              <w:spacing w:after="0"/>
              <w:rPr>
                <w:sz w:val="20"/>
                <w:szCs w:val="20"/>
                <w:color w:val="auto"/>
              </w:rPr>
            </w:pPr>
            <w:r>
              <w:rPr>
                <w:rFonts w:ascii="Arial" w:cs="Arial" w:eastAsia="Arial" w:hAnsi="Arial"/>
                <w:sz w:val="18"/>
                <w:szCs w:val="18"/>
                <w:color w:val="auto"/>
              </w:rPr>
              <w:t>Ratification of the appointment of KPMG LLP as our independent registered</w:t>
            </w:r>
          </w:p>
        </w:tc>
      </w:tr>
      <w:tr>
        <w:trPr>
          <w:trHeight w:val="239"/>
        </w:trPr>
        <w:tc>
          <w:tcPr>
            <w:tcW w:w="10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640" w:type="dxa"/>
            <w:vAlign w:val="bottom"/>
          </w:tcPr>
          <w:p>
            <w:pPr>
              <w:ind w:left="360"/>
              <w:spacing w:after="0"/>
              <w:rPr>
                <w:sz w:val="20"/>
                <w:szCs w:val="20"/>
                <w:color w:val="auto"/>
              </w:rPr>
            </w:pPr>
            <w:r>
              <w:rPr>
                <w:rFonts w:ascii="Arial" w:cs="Arial" w:eastAsia="Arial" w:hAnsi="Arial"/>
                <w:sz w:val="18"/>
                <w:szCs w:val="18"/>
                <w:color w:val="auto"/>
              </w:rPr>
              <w:t>public accounting firm for 2025</w:t>
            </w:r>
          </w:p>
        </w:tc>
      </w:tr>
      <w:tr>
        <w:trPr>
          <w:trHeight w:val="63"/>
        </w:trPr>
        <w:tc>
          <w:tcPr>
            <w:tcW w:w="1020" w:type="dxa"/>
            <w:vAlign w:val="bottom"/>
            <w:tcBorders>
              <w:bottom w:val="single" w:sz="8" w:color="EBEBEC"/>
            </w:tcBorders>
          </w:tcPr>
          <w:p>
            <w:pPr>
              <w:spacing w:after="0"/>
              <w:rPr>
                <w:sz w:val="5"/>
                <w:szCs w:val="5"/>
                <w:color w:val="auto"/>
              </w:rPr>
            </w:pPr>
          </w:p>
        </w:tc>
        <w:tc>
          <w:tcPr>
            <w:tcW w:w="1580" w:type="dxa"/>
            <w:vAlign w:val="bottom"/>
            <w:tcBorders>
              <w:bottom w:val="single" w:sz="8" w:color="EBEBEC"/>
            </w:tcBorders>
          </w:tcPr>
          <w:p>
            <w:pPr>
              <w:spacing w:after="0"/>
              <w:rPr>
                <w:sz w:val="5"/>
                <w:szCs w:val="5"/>
                <w:color w:val="auto"/>
              </w:rPr>
            </w:pPr>
          </w:p>
        </w:tc>
        <w:tc>
          <w:tcPr>
            <w:tcW w:w="6640" w:type="dxa"/>
            <w:vAlign w:val="bottom"/>
            <w:tcBorders>
              <w:bottom w:val="single" w:sz="8" w:color="EBEBEC"/>
            </w:tcBorders>
          </w:tcPr>
          <w:p>
            <w:pPr>
              <w:spacing w:after="0"/>
              <w:rPr>
                <w:sz w:val="5"/>
                <w:szCs w:val="5"/>
                <w:color w:val="auto"/>
              </w:rPr>
            </w:pPr>
          </w:p>
        </w:tc>
      </w:tr>
      <w:tr>
        <w:trPr>
          <w:trHeight w:val="308"/>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3.</w:t>
            </w:r>
          </w:p>
        </w:tc>
        <w:tc>
          <w:tcPr>
            <w:tcW w:w="1580" w:type="dxa"/>
            <w:vAlign w:val="bottom"/>
          </w:tcPr>
          <w:p>
            <w:pPr>
              <w:ind w:left="360"/>
              <w:spacing w:after="0"/>
              <w:rPr>
                <w:sz w:val="20"/>
                <w:szCs w:val="20"/>
                <w:color w:val="auto"/>
              </w:rPr>
            </w:pPr>
            <w:r>
              <w:rPr>
                <w:rFonts w:ascii="Arial" w:cs="Arial" w:eastAsia="Arial" w:hAnsi="Arial"/>
                <w:sz w:val="18"/>
                <w:szCs w:val="18"/>
                <w:color w:val="auto"/>
              </w:rPr>
              <w:t>Proposal 3</w:t>
            </w:r>
          </w:p>
        </w:tc>
        <w:tc>
          <w:tcPr>
            <w:tcW w:w="6640" w:type="dxa"/>
            <w:vAlign w:val="bottom"/>
          </w:tcPr>
          <w:p>
            <w:pPr>
              <w:ind w:left="360"/>
              <w:spacing w:after="0"/>
              <w:rPr>
                <w:sz w:val="20"/>
                <w:szCs w:val="20"/>
                <w:color w:val="auto"/>
              </w:rPr>
            </w:pPr>
            <w:r>
              <w:rPr>
                <w:rFonts w:ascii="Arial" w:cs="Arial" w:eastAsia="Arial" w:hAnsi="Arial"/>
                <w:sz w:val="18"/>
                <w:szCs w:val="18"/>
                <w:color w:val="auto"/>
              </w:rPr>
              <w:t>Advisory vote to approve named executive officer compensation</w:t>
            </w:r>
          </w:p>
        </w:tc>
      </w:tr>
      <w:tr>
        <w:trPr>
          <w:trHeight w:val="64"/>
        </w:trPr>
        <w:tc>
          <w:tcPr>
            <w:tcW w:w="1020" w:type="dxa"/>
            <w:vAlign w:val="bottom"/>
            <w:tcBorders>
              <w:bottom w:val="single" w:sz="8" w:color="EBEBEC"/>
            </w:tcBorders>
          </w:tcPr>
          <w:p>
            <w:pPr>
              <w:spacing w:after="0"/>
              <w:rPr>
                <w:sz w:val="5"/>
                <w:szCs w:val="5"/>
                <w:color w:val="auto"/>
              </w:rPr>
            </w:pPr>
          </w:p>
        </w:tc>
        <w:tc>
          <w:tcPr>
            <w:tcW w:w="1580" w:type="dxa"/>
            <w:vAlign w:val="bottom"/>
            <w:tcBorders>
              <w:bottom w:val="single" w:sz="8" w:color="EBEBEC"/>
            </w:tcBorders>
          </w:tcPr>
          <w:p>
            <w:pPr>
              <w:spacing w:after="0"/>
              <w:rPr>
                <w:sz w:val="5"/>
                <w:szCs w:val="5"/>
                <w:color w:val="auto"/>
              </w:rPr>
            </w:pPr>
          </w:p>
        </w:tc>
        <w:tc>
          <w:tcPr>
            <w:tcW w:w="6640" w:type="dxa"/>
            <w:vAlign w:val="bottom"/>
            <w:tcBorders>
              <w:bottom w:val="single" w:sz="8" w:color="EBEBEC"/>
            </w:tcBorders>
          </w:tcPr>
          <w:p>
            <w:pPr>
              <w:spacing w:after="0"/>
              <w:rPr>
                <w:sz w:val="5"/>
                <w:szCs w:val="5"/>
                <w:color w:val="auto"/>
              </w:rPr>
            </w:pPr>
          </w:p>
        </w:tc>
      </w:tr>
    </w:tbl>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0075C9"/>
        </w:rPr>
        <w:t>FOR EACH NOMINEE</w:t>
      </w:r>
    </w:p>
    <w:p>
      <w:pPr>
        <w:spacing w:after="0" w:line="399" w:lineRule="exact"/>
        <w:rPr>
          <w:sz w:val="20"/>
          <w:szCs w:val="20"/>
          <w:color w:val="auto"/>
        </w:rPr>
      </w:pPr>
    </w:p>
    <w:p>
      <w:pPr>
        <w:ind w:left="720"/>
        <w:spacing w:after="0"/>
        <w:rPr>
          <w:sz w:val="20"/>
          <w:szCs w:val="20"/>
          <w:color w:val="auto"/>
        </w:rPr>
      </w:pPr>
      <w:r>
        <w:rPr>
          <w:rFonts w:ascii="Arial" w:cs="Arial" w:eastAsia="Arial" w:hAnsi="Arial"/>
          <w:sz w:val="18"/>
          <w:szCs w:val="18"/>
          <w:color w:val="0075C9"/>
        </w:rPr>
        <w:t>FOR</w:t>
      </w:r>
    </w:p>
    <w:p>
      <w:pPr>
        <w:spacing w:after="0" w:line="387" w:lineRule="exact"/>
        <w:rPr>
          <w:sz w:val="20"/>
          <w:szCs w:val="20"/>
          <w:color w:val="auto"/>
        </w:rPr>
      </w:pPr>
    </w:p>
    <w:p>
      <w:pPr>
        <w:ind w:left="720"/>
        <w:spacing w:after="0"/>
        <w:rPr>
          <w:sz w:val="20"/>
          <w:szCs w:val="20"/>
          <w:color w:val="auto"/>
        </w:rPr>
      </w:pPr>
      <w:r>
        <w:rPr>
          <w:rFonts w:ascii="Arial" w:cs="Arial" w:eastAsia="Arial" w:hAnsi="Arial"/>
          <w:sz w:val="18"/>
          <w:szCs w:val="18"/>
          <w:color w:val="0075C9"/>
        </w:rPr>
        <w:t>FOR</w:t>
      </w:r>
    </w:p>
    <w:p>
      <w:pPr>
        <w:spacing w:after="0" w:line="308" w:lineRule="exact"/>
        <w:rPr>
          <w:sz w:val="20"/>
          <w:szCs w:val="20"/>
          <w:color w:val="auto"/>
        </w:rPr>
      </w:pPr>
    </w:p>
    <w:p>
      <w:pPr>
        <w:sectPr>
          <w:pgSz w:w="11900" w:h="16838" w:orient="portrait"/>
          <w:cols w:equalWidth="0" w:num="2">
            <w:col w:w="9240" w:space="140"/>
            <w:col w:w="1860"/>
          </w:cols>
          <w:pgMar w:left="320" w:top="890" w:right="339" w:bottom="1440" w:gutter="0" w:footer="0" w:header="0"/>
          <w:type w:val="continuous"/>
        </w:sectPr>
      </w:pPr>
    </w:p>
    <w:p>
      <w:pPr>
        <w:spacing w:after="0" w:line="24"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0075C9"/>
        </w:rPr>
        <w:t xml:space="preserve">Voting: </w:t>
      </w:r>
      <w:r>
        <w:rPr>
          <w:rFonts w:ascii="Arial" w:cs="Arial" w:eastAsia="Arial" w:hAnsi="Arial"/>
          <w:sz w:val="18"/>
          <w:szCs w:val="18"/>
          <w:color w:val="000000"/>
        </w:rPr>
        <w:t>Stockholders as of the record date are entitled to vote. Each share of common stock entitles its holder to one vote for each director</w:t>
      </w:r>
      <w:r>
        <w:rPr>
          <w:rFonts w:ascii="Arial" w:cs="Arial" w:eastAsia="Arial" w:hAnsi="Arial"/>
          <w:sz w:val="18"/>
          <w:szCs w:val="18"/>
          <w:color w:val="0075C9"/>
        </w:rPr>
        <w:t xml:space="preserve"> </w:t>
      </w:r>
      <w:r>
        <w:rPr>
          <w:rFonts w:ascii="Arial" w:cs="Arial" w:eastAsia="Arial" w:hAnsi="Arial"/>
          <w:sz w:val="18"/>
          <w:szCs w:val="18"/>
          <w:color w:val="000000"/>
        </w:rPr>
        <w:t>nominee and one vote for each of the proposals to be voted on.</w:t>
      </w:r>
    </w:p>
    <w:p>
      <w:pPr>
        <w:spacing w:after="0" w:line="208"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10" w:name="page11"/>
    <w:bookmarkEnd w:id="10"/>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6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2025 PROXY STATEMENT</w:t>
      </w:r>
    </w:p>
    <w:p>
      <w:pPr>
        <w:spacing w:after="0" w:line="73" w:lineRule="exact"/>
        <w:rPr>
          <w:sz w:val="20"/>
          <w:szCs w:val="20"/>
          <w:color w:val="auto"/>
        </w:rPr>
      </w:pPr>
    </w:p>
    <w:p>
      <w:pPr>
        <w:ind w:left="9480"/>
        <w:spacing w:after="0"/>
        <w:rPr>
          <w:sz w:val="20"/>
          <w:szCs w:val="20"/>
          <w:color w:val="auto"/>
        </w:rPr>
      </w:pPr>
      <w:r>
        <w:rPr>
          <w:rFonts w:ascii="Arial" w:cs="Arial" w:eastAsia="Arial" w:hAnsi="Arial"/>
          <w:sz w:val="14"/>
          <w:szCs w:val="14"/>
          <w:color w:val="auto"/>
        </w:rPr>
        <w:t>Proxy Statement Summary</w:t>
      </w: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color w:val="0075C9"/>
        </w:rPr>
        <w:t>Directors</w:t>
      </w:r>
    </w:p>
    <w:p>
      <w:pPr>
        <w:spacing w:after="0" w:line="106"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Board of Directors is currently comprised of eight independent directors, plus Mr. McFarland and Mr. Leon. Each of our directors will stand for re-election at our Annual Meeting. Assuming each of our nominees is elected, the Board of Directors will continue to be comprised of eight independent directors, plus Mr. McFarland and Mr. Leon, following the Annual Meeting. The following table provides summary information about each of our current directors and director nominees and whether the Board of Directors considers each of them to be independent under the New York Stock Exchange’s (“</w:t>
      </w:r>
      <w:r>
        <w:rPr>
          <w:rFonts w:ascii="Arial" w:cs="Arial" w:eastAsia="Arial" w:hAnsi="Arial"/>
          <w:sz w:val="18"/>
          <w:szCs w:val="18"/>
          <w:b w:val="1"/>
          <w:bCs w:val="1"/>
          <w:color w:val="auto"/>
        </w:rPr>
        <w:t>NYSE</w:t>
      </w:r>
      <w:r>
        <w:rPr>
          <w:rFonts w:ascii="Arial" w:cs="Arial" w:eastAsia="Arial" w:hAnsi="Arial"/>
          <w:sz w:val="18"/>
          <w:szCs w:val="18"/>
          <w:color w:val="auto"/>
        </w:rPr>
        <w:t>”) independence standards.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b w:val="1"/>
                <w:bCs w:val="1"/>
                <w:color w:val="0075C9"/>
                <w:w w:val="96"/>
              </w:rPr>
              <w:t>Director</w:t>
            </w:r>
          </w:p>
        </w:tc>
        <w:tc>
          <w:tcPr>
            <w:tcW w:w="780" w:type="dxa"/>
            <w:vAlign w:val="bottom"/>
            <w:shd w:val="clear" w:color="auto" w:fill="0075C9"/>
          </w:tcPr>
          <w:p>
            <w:pPr>
              <w:spacing w:after="0"/>
              <w:rPr>
                <w:sz w:val="13"/>
                <w:szCs w:val="13"/>
                <w:color w:val="auto"/>
              </w:rPr>
            </w:pPr>
          </w:p>
        </w:tc>
        <w:tc>
          <w:tcPr>
            <w:tcW w:w="1240" w:type="dxa"/>
            <w:vAlign w:val="bottom"/>
            <w:shd w:val="clear" w:color="auto" w:fill="0075C9"/>
          </w:tcPr>
          <w:p>
            <w:pPr>
              <w:spacing w:after="0"/>
              <w:rPr>
                <w:sz w:val="13"/>
                <w:szCs w:val="13"/>
                <w:color w:val="auto"/>
              </w:rPr>
            </w:pPr>
          </w:p>
        </w:tc>
        <w:tc>
          <w:tcPr>
            <w:tcW w:w="900" w:type="dxa"/>
            <w:vAlign w:val="bottom"/>
            <w:shd w:val="clear" w:color="auto" w:fill="0075C9"/>
          </w:tcPr>
          <w:p>
            <w:pPr>
              <w:ind w:left="160"/>
              <w:spacing w:after="0"/>
              <w:rPr>
                <w:sz w:val="20"/>
                <w:szCs w:val="20"/>
                <w:color w:val="auto"/>
              </w:rPr>
            </w:pPr>
            <w:r>
              <w:rPr>
                <w:rFonts w:ascii="Arial" w:cs="Arial" w:eastAsia="Arial" w:hAnsi="Arial"/>
                <w:sz w:val="13"/>
                <w:szCs w:val="13"/>
                <w:b w:val="1"/>
                <w:bCs w:val="1"/>
                <w:color w:val="FFFFFF"/>
                <w:w w:val="96"/>
              </w:rPr>
              <w:t>Committees</w:t>
            </w:r>
          </w:p>
        </w:tc>
        <w:tc>
          <w:tcPr>
            <w:tcW w:w="1000" w:type="dxa"/>
            <w:vAlign w:val="bottom"/>
            <w:shd w:val="clear" w:color="auto" w:fill="0075C9"/>
          </w:tcPr>
          <w:p>
            <w:pPr>
              <w:spacing w:after="0"/>
              <w:rPr>
                <w:sz w:val="13"/>
                <w:szCs w:val="13"/>
                <w:color w:val="auto"/>
              </w:rPr>
            </w:pPr>
          </w:p>
        </w:tc>
        <w:tc>
          <w:tcPr>
            <w:tcW w:w="1160" w:type="dxa"/>
            <w:vAlign w:val="bottom"/>
            <w:shd w:val="clear" w:color="auto" w:fill="0075C9"/>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80" w:type="dxa"/>
            <w:vAlign w:val="bottom"/>
            <w:vMerge w:val="restart"/>
          </w:tcPr>
          <w:p>
            <w:pPr>
              <w:ind w:left="20"/>
              <w:spacing w:after="0"/>
              <w:rPr>
                <w:sz w:val="20"/>
                <w:szCs w:val="20"/>
                <w:color w:val="auto"/>
              </w:rPr>
            </w:pPr>
            <w:r>
              <w:rPr>
                <w:rFonts w:ascii="Arial" w:cs="Arial" w:eastAsia="Arial" w:hAnsi="Arial"/>
                <w:sz w:val="13"/>
                <w:szCs w:val="13"/>
                <w:b w:val="1"/>
                <w:bCs w:val="1"/>
                <w:color w:val="0075C9"/>
              </w:rPr>
              <w:t>Director/Director Nominees</w:t>
            </w:r>
          </w:p>
        </w:tc>
        <w:tc>
          <w:tcPr>
            <w:tcW w:w="1460" w:type="dxa"/>
            <w:vAlign w:val="bottom"/>
            <w:vMerge w:val="restart"/>
          </w:tcPr>
          <w:p>
            <w:pPr>
              <w:ind w:left="440"/>
              <w:spacing w:after="0"/>
              <w:rPr>
                <w:sz w:val="20"/>
                <w:szCs w:val="20"/>
                <w:color w:val="auto"/>
              </w:rPr>
            </w:pPr>
            <w:r>
              <w:rPr>
                <w:rFonts w:ascii="Arial" w:cs="Arial" w:eastAsia="Arial" w:hAnsi="Arial"/>
                <w:sz w:val="13"/>
                <w:szCs w:val="13"/>
                <w:b w:val="1"/>
                <w:bCs w:val="1"/>
                <w:color w:val="0075C9"/>
              </w:rPr>
              <w:t>Positions</w:t>
            </w:r>
          </w:p>
        </w:tc>
        <w:tc>
          <w:tcPr>
            <w:tcW w:w="560" w:type="dxa"/>
            <w:vAlign w:val="bottom"/>
            <w:vMerge w:val="restart"/>
          </w:tcPr>
          <w:p>
            <w:pPr>
              <w:jc w:val="center"/>
              <w:spacing w:after="0"/>
              <w:rPr>
                <w:sz w:val="20"/>
                <w:szCs w:val="20"/>
                <w:color w:val="auto"/>
              </w:rPr>
            </w:pPr>
            <w:r>
              <w:rPr>
                <w:rFonts w:ascii="Arial" w:cs="Arial" w:eastAsia="Arial" w:hAnsi="Arial"/>
                <w:sz w:val="13"/>
                <w:szCs w:val="13"/>
                <w:b w:val="1"/>
                <w:bCs w:val="1"/>
                <w:color w:val="0075C9"/>
                <w:w w:val="97"/>
              </w:rPr>
              <w:t>Age</w:t>
            </w: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0075C9"/>
                <w:w w:val="95"/>
              </w:rPr>
              <w:t>Independent</w:t>
            </w:r>
          </w:p>
        </w:tc>
        <w:tc>
          <w:tcPr>
            <w:tcW w:w="680" w:type="dxa"/>
            <w:vAlign w:val="bottom"/>
            <w:vMerge w:val="continue"/>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0075C9"/>
                <w:w w:val="96"/>
              </w:rPr>
              <w:t>Audit</w:t>
            </w:r>
          </w:p>
        </w:tc>
        <w:tc>
          <w:tcPr>
            <w:tcW w:w="1240" w:type="dxa"/>
            <w:vAlign w:val="bottom"/>
            <w:vMerge w:val="restart"/>
          </w:tcPr>
          <w:p>
            <w:pPr>
              <w:jc w:val="center"/>
              <w:spacing w:after="0"/>
              <w:rPr>
                <w:sz w:val="20"/>
                <w:szCs w:val="20"/>
                <w:color w:val="auto"/>
              </w:rPr>
            </w:pPr>
            <w:r>
              <w:rPr>
                <w:rFonts w:ascii="Arial" w:cs="Arial" w:eastAsia="Arial" w:hAnsi="Arial"/>
                <w:sz w:val="13"/>
                <w:szCs w:val="13"/>
                <w:b w:val="1"/>
                <w:bCs w:val="1"/>
                <w:color w:val="0075C9"/>
                <w:w w:val="97"/>
              </w:rPr>
              <w:t>Compensation</w:t>
            </w:r>
          </w:p>
        </w:tc>
        <w:tc>
          <w:tcPr>
            <w:tcW w:w="900" w:type="dxa"/>
            <w:vAlign w:val="bottom"/>
            <w:vMerge w:val="restart"/>
          </w:tcPr>
          <w:p>
            <w:pPr>
              <w:jc w:val="center"/>
              <w:ind w:right="74"/>
              <w:spacing w:after="0"/>
              <w:rPr>
                <w:sz w:val="20"/>
                <w:szCs w:val="20"/>
                <w:color w:val="auto"/>
              </w:rPr>
            </w:pPr>
            <w:r>
              <w:rPr>
                <w:rFonts w:ascii="Arial" w:cs="Arial" w:eastAsia="Arial" w:hAnsi="Arial"/>
                <w:sz w:val="13"/>
                <w:szCs w:val="13"/>
                <w:b w:val="1"/>
                <w:bCs w:val="1"/>
                <w:color w:val="0075C9"/>
                <w:w w:val="97"/>
              </w:rPr>
              <w:t>Finance</w:t>
            </w:r>
          </w:p>
        </w:tc>
        <w:tc>
          <w:tcPr>
            <w:tcW w:w="1000" w:type="dxa"/>
            <w:vAlign w:val="bottom"/>
          </w:tcPr>
          <w:p>
            <w:pPr>
              <w:jc w:val="center"/>
              <w:ind w:right="74"/>
              <w:spacing w:after="0" w:line="117" w:lineRule="exact"/>
              <w:rPr>
                <w:sz w:val="20"/>
                <w:szCs w:val="20"/>
                <w:color w:val="auto"/>
              </w:rPr>
            </w:pPr>
            <w:r>
              <w:rPr>
                <w:rFonts w:ascii="Arial" w:cs="Arial" w:eastAsia="Arial" w:hAnsi="Arial"/>
                <w:sz w:val="13"/>
                <w:szCs w:val="13"/>
                <w:b w:val="1"/>
                <w:bCs w:val="1"/>
                <w:color w:val="0075C9"/>
                <w:w w:val="96"/>
              </w:rPr>
              <w:t>Nominating &amp;</w:t>
            </w:r>
          </w:p>
        </w:tc>
        <w:tc>
          <w:tcPr>
            <w:tcW w:w="1160" w:type="dxa"/>
            <w:vAlign w:val="bottom"/>
            <w:vMerge w:val="restart"/>
          </w:tcPr>
          <w:p>
            <w:pPr>
              <w:jc w:val="center"/>
              <w:spacing w:after="0"/>
              <w:rPr>
                <w:sz w:val="20"/>
                <w:szCs w:val="20"/>
                <w:color w:val="auto"/>
              </w:rPr>
            </w:pPr>
            <w:r>
              <w:rPr>
                <w:rFonts w:ascii="Arial" w:cs="Arial" w:eastAsia="Arial" w:hAnsi="Arial"/>
                <w:sz w:val="13"/>
                <w:szCs w:val="13"/>
                <w:b w:val="1"/>
                <w:bCs w:val="1"/>
                <w:color w:val="0075C9"/>
                <w:w w:val="94"/>
              </w:rPr>
              <w:t>Sustainability</w:t>
            </w:r>
          </w:p>
        </w:tc>
        <w:tc>
          <w:tcPr>
            <w:tcW w:w="0" w:type="dxa"/>
            <w:vAlign w:val="bottom"/>
          </w:tcPr>
          <w:p>
            <w:pPr>
              <w:spacing w:after="0"/>
              <w:rPr>
                <w:sz w:val="1"/>
                <w:szCs w:val="1"/>
                <w:color w:val="auto"/>
              </w:rPr>
            </w:pPr>
          </w:p>
        </w:tc>
      </w:tr>
      <w:tr>
        <w:trPr>
          <w:trHeight w:val="153"/>
        </w:trPr>
        <w:tc>
          <w:tcPr>
            <w:tcW w:w="2380" w:type="dxa"/>
            <w:vAlign w:val="bottom"/>
            <w:tcBorders>
              <w:bottom w:val="single" w:sz="8" w:color="0075C9"/>
            </w:tcBorders>
            <w:vMerge w:val="continue"/>
          </w:tcPr>
          <w:p>
            <w:pPr>
              <w:spacing w:after="0"/>
              <w:rPr>
                <w:sz w:val="13"/>
                <w:szCs w:val="13"/>
                <w:color w:val="auto"/>
              </w:rPr>
            </w:pPr>
          </w:p>
        </w:tc>
        <w:tc>
          <w:tcPr>
            <w:tcW w:w="1460" w:type="dxa"/>
            <w:vAlign w:val="bottom"/>
            <w:tcBorders>
              <w:bottom w:val="single" w:sz="8" w:color="0075C9"/>
            </w:tcBorders>
            <w:vMerge w:val="continue"/>
          </w:tcPr>
          <w:p>
            <w:pPr>
              <w:spacing w:after="0"/>
              <w:rPr>
                <w:sz w:val="13"/>
                <w:szCs w:val="13"/>
                <w:color w:val="auto"/>
              </w:rPr>
            </w:pPr>
          </w:p>
        </w:tc>
        <w:tc>
          <w:tcPr>
            <w:tcW w:w="560" w:type="dxa"/>
            <w:vAlign w:val="bottom"/>
            <w:tcBorders>
              <w:bottom w:val="single" w:sz="8" w:color="0075C9"/>
            </w:tcBorders>
            <w:vMerge w:val="continue"/>
          </w:tcPr>
          <w:p>
            <w:pPr>
              <w:spacing w:after="0"/>
              <w:rPr>
                <w:sz w:val="13"/>
                <w:szCs w:val="13"/>
                <w:color w:val="auto"/>
              </w:rPr>
            </w:pPr>
          </w:p>
        </w:tc>
        <w:tc>
          <w:tcPr>
            <w:tcW w:w="1080" w:type="dxa"/>
            <w:vAlign w:val="bottom"/>
            <w:tcBorders>
              <w:bottom w:val="single" w:sz="8" w:color="0075C9"/>
            </w:tcBorders>
            <w:vMerge w:val="continue"/>
          </w:tcPr>
          <w:p>
            <w:pPr>
              <w:spacing w:after="0"/>
              <w:rPr>
                <w:sz w:val="13"/>
                <w:szCs w:val="13"/>
                <w:color w:val="auto"/>
              </w:rPr>
            </w:pPr>
          </w:p>
        </w:tc>
        <w:tc>
          <w:tcPr>
            <w:tcW w:w="68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7"/>
              </w:rPr>
              <w:t>Since</w:t>
            </w:r>
          </w:p>
        </w:tc>
        <w:tc>
          <w:tcPr>
            <w:tcW w:w="780" w:type="dxa"/>
            <w:vAlign w:val="bottom"/>
            <w:tcBorders>
              <w:bottom w:val="single" w:sz="8" w:color="0075C9"/>
            </w:tcBorders>
            <w:vMerge w:val="continue"/>
          </w:tcPr>
          <w:p>
            <w:pPr>
              <w:spacing w:after="0"/>
              <w:rPr>
                <w:sz w:val="13"/>
                <w:szCs w:val="13"/>
                <w:color w:val="auto"/>
              </w:rPr>
            </w:pPr>
          </w:p>
        </w:tc>
        <w:tc>
          <w:tcPr>
            <w:tcW w:w="1240" w:type="dxa"/>
            <w:vAlign w:val="bottom"/>
            <w:tcBorders>
              <w:bottom w:val="single" w:sz="8" w:color="0075C9"/>
            </w:tcBorders>
            <w:vMerge w:val="continue"/>
          </w:tcPr>
          <w:p>
            <w:pPr>
              <w:spacing w:after="0"/>
              <w:rPr>
                <w:sz w:val="13"/>
                <w:szCs w:val="13"/>
                <w:color w:val="auto"/>
              </w:rPr>
            </w:pPr>
          </w:p>
        </w:tc>
        <w:tc>
          <w:tcPr>
            <w:tcW w:w="900" w:type="dxa"/>
            <w:vAlign w:val="bottom"/>
            <w:tcBorders>
              <w:bottom w:val="single" w:sz="8" w:color="0075C9"/>
            </w:tcBorders>
            <w:vMerge w:val="continue"/>
          </w:tcPr>
          <w:p>
            <w:pPr>
              <w:spacing w:after="0"/>
              <w:rPr>
                <w:sz w:val="13"/>
                <w:szCs w:val="13"/>
                <w:color w:val="auto"/>
              </w:rPr>
            </w:pPr>
          </w:p>
        </w:tc>
        <w:tc>
          <w:tcPr>
            <w:tcW w:w="1000" w:type="dxa"/>
            <w:vAlign w:val="bottom"/>
            <w:tcBorders>
              <w:bottom w:val="single" w:sz="8" w:color="0075C9"/>
            </w:tcBorders>
          </w:tcPr>
          <w:p>
            <w:pPr>
              <w:jc w:val="center"/>
              <w:ind w:right="54"/>
              <w:spacing w:after="0"/>
              <w:rPr>
                <w:sz w:val="20"/>
                <w:szCs w:val="20"/>
                <w:color w:val="auto"/>
              </w:rPr>
            </w:pPr>
            <w:r>
              <w:rPr>
                <w:rFonts w:ascii="Arial" w:cs="Arial" w:eastAsia="Arial" w:hAnsi="Arial"/>
                <w:sz w:val="13"/>
                <w:szCs w:val="13"/>
                <w:b w:val="1"/>
                <w:bCs w:val="1"/>
                <w:color w:val="0075C9"/>
                <w:w w:val="95"/>
              </w:rPr>
              <w:t>Governance</w:t>
            </w:r>
          </w:p>
        </w:tc>
        <w:tc>
          <w:tcPr>
            <w:tcW w:w="1160" w:type="dxa"/>
            <w:vAlign w:val="bottom"/>
            <w:tcBorders>
              <w:bottom w:val="single" w:sz="8" w:color="0075C9"/>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380" w:type="dxa"/>
            <w:vAlign w:val="bottom"/>
            <w:shd w:val="clear" w:color="auto" w:fill="EBEBEC"/>
          </w:tcPr>
          <w:p>
            <w:pPr>
              <w:ind w:left="20"/>
              <w:spacing w:after="0" w:line="129" w:lineRule="exact"/>
              <w:rPr>
                <w:sz w:val="20"/>
                <w:szCs w:val="20"/>
                <w:color w:val="auto"/>
              </w:rPr>
            </w:pPr>
            <w:r>
              <w:rPr>
                <w:rFonts w:ascii="Arial" w:cs="Arial" w:eastAsia="Arial" w:hAnsi="Arial"/>
                <w:sz w:val="13"/>
                <w:szCs w:val="13"/>
                <w:color w:val="auto"/>
              </w:rPr>
              <w:t>Andrew B. Bremner</w:t>
            </w:r>
          </w:p>
        </w:tc>
        <w:tc>
          <w:tcPr>
            <w:tcW w:w="1460" w:type="dxa"/>
            <w:vAlign w:val="bottom"/>
            <w:shd w:val="clear" w:color="auto" w:fill="EBEBEC"/>
          </w:tcPr>
          <w:p>
            <w:pPr>
              <w:spacing w:after="0"/>
              <w:rPr>
                <w:sz w:val="11"/>
                <w:szCs w:val="11"/>
                <w:color w:val="auto"/>
              </w:rPr>
            </w:pPr>
          </w:p>
        </w:tc>
        <w:tc>
          <w:tcPr>
            <w:tcW w:w="560" w:type="dxa"/>
            <w:vAlign w:val="bottom"/>
            <w:shd w:val="clear" w:color="auto" w:fill="EBEBEC"/>
          </w:tcPr>
          <w:p>
            <w:pPr>
              <w:jc w:val="center"/>
              <w:spacing w:after="0" w:line="129" w:lineRule="exact"/>
              <w:rPr>
                <w:sz w:val="20"/>
                <w:szCs w:val="20"/>
                <w:color w:val="auto"/>
              </w:rPr>
            </w:pPr>
            <w:r>
              <w:rPr>
                <w:rFonts w:ascii="Arial" w:cs="Arial" w:eastAsia="Arial" w:hAnsi="Arial"/>
                <w:sz w:val="13"/>
                <w:szCs w:val="13"/>
                <w:color w:val="auto"/>
                <w:w w:val="96"/>
              </w:rPr>
              <w:t>34</w:t>
            </w:r>
          </w:p>
        </w:tc>
        <w:tc>
          <w:tcPr>
            <w:tcW w:w="1080" w:type="dxa"/>
            <w:vAlign w:val="bottom"/>
            <w:shd w:val="clear" w:color="auto" w:fill="EBEBEC"/>
          </w:tcPr>
          <w:p>
            <w:pPr>
              <w:jc w:val="center"/>
              <w:spacing w:after="0" w:line="129" w:lineRule="exact"/>
              <w:rPr>
                <w:sz w:val="20"/>
                <w:szCs w:val="20"/>
                <w:color w:val="auto"/>
              </w:rPr>
            </w:pPr>
            <w:r>
              <w:rPr>
                <w:rFonts w:ascii="Arial" w:cs="Arial" w:eastAsia="Arial" w:hAnsi="Arial"/>
                <w:sz w:val="13"/>
                <w:szCs w:val="13"/>
                <w:color w:val="auto"/>
                <w:w w:val="97"/>
              </w:rPr>
              <w:t>Yes</w:t>
            </w:r>
          </w:p>
        </w:tc>
        <w:tc>
          <w:tcPr>
            <w:tcW w:w="680" w:type="dxa"/>
            <w:vAlign w:val="bottom"/>
            <w:shd w:val="clear" w:color="auto" w:fill="EBEBEC"/>
          </w:tcPr>
          <w:p>
            <w:pPr>
              <w:jc w:val="center"/>
              <w:spacing w:after="0" w:line="129" w:lineRule="exact"/>
              <w:rPr>
                <w:sz w:val="20"/>
                <w:szCs w:val="20"/>
                <w:color w:val="auto"/>
              </w:rPr>
            </w:pPr>
            <w:r>
              <w:rPr>
                <w:rFonts w:ascii="Arial" w:cs="Arial" w:eastAsia="Arial" w:hAnsi="Arial"/>
                <w:sz w:val="13"/>
                <w:szCs w:val="13"/>
                <w:color w:val="auto"/>
              </w:rPr>
              <w:t>2021</w:t>
            </w:r>
          </w:p>
        </w:tc>
        <w:tc>
          <w:tcPr>
            <w:tcW w:w="780" w:type="dxa"/>
            <w:vAlign w:val="bottom"/>
            <w:shd w:val="clear" w:color="auto" w:fill="EBEBEC"/>
          </w:tcPr>
          <w:p>
            <w:pPr>
              <w:spacing w:after="0"/>
              <w:rPr>
                <w:sz w:val="11"/>
                <w:szCs w:val="11"/>
                <w:color w:val="auto"/>
              </w:rPr>
            </w:pPr>
          </w:p>
        </w:tc>
        <w:tc>
          <w:tcPr>
            <w:tcW w:w="1240" w:type="dxa"/>
            <w:vAlign w:val="bottom"/>
            <w:shd w:val="clear" w:color="auto" w:fill="EBEBEC"/>
          </w:tcPr>
          <w:p>
            <w:pPr>
              <w:jc w:val="center"/>
              <w:spacing w:after="0" w:line="129" w:lineRule="exact"/>
              <w:rPr>
                <w:sz w:val="20"/>
                <w:szCs w:val="20"/>
                <w:color w:val="auto"/>
              </w:rPr>
            </w:pPr>
            <w:r>
              <w:rPr>
                <w:rFonts w:ascii="Arial" w:cs="Arial" w:eastAsia="Arial" w:hAnsi="Arial"/>
                <w:sz w:val="13"/>
                <w:szCs w:val="13"/>
                <w:color w:val="auto"/>
              </w:rPr>
              <w:t>●</w:t>
            </w:r>
          </w:p>
        </w:tc>
        <w:tc>
          <w:tcPr>
            <w:tcW w:w="900" w:type="dxa"/>
            <w:vAlign w:val="bottom"/>
            <w:shd w:val="clear" w:color="auto" w:fill="EBEBEC"/>
          </w:tcPr>
          <w:p>
            <w:pPr>
              <w:jc w:val="center"/>
              <w:ind w:right="74"/>
              <w:spacing w:after="0" w:line="129" w:lineRule="exact"/>
              <w:rPr>
                <w:sz w:val="20"/>
                <w:szCs w:val="20"/>
                <w:color w:val="auto"/>
              </w:rPr>
            </w:pPr>
            <w:r>
              <w:rPr>
                <w:rFonts w:ascii="Arial" w:cs="Arial" w:eastAsia="Arial" w:hAnsi="Arial"/>
                <w:sz w:val="13"/>
                <w:szCs w:val="13"/>
                <w:color w:val="auto"/>
              </w:rPr>
              <w:t>●</w:t>
            </w:r>
          </w:p>
        </w:tc>
        <w:tc>
          <w:tcPr>
            <w:tcW w:w="1000" w:type="dxa"/>
            <w:vAlign w:val="bottom"/>
            <w:shd w:val="clear" w:color="auto" w:fill="EBEBEC"/>
          </w:tcPr>
          <w:p>
            <w:pPr>
              <w:spacing w:after="0"/>
              <w:rPr>
                <w:sz w:val="11"/>
                <w:szCs w:val="11"/>
                <w:color w:val="auto"/>
              </w:rPr>
            </w:pPr>
          </w:p>
        </w:tc>
        <w:tc>
          <w:tcPr>
            <w:tcW w:w="1160" w:type="dxa"/>
            <w:vAlign w:val="bottom"/>
            <w:shd w:val="clear" w:color="auto" w:fill="EBEBEC"/>
          </w:tcPr>
          <w:p>
            <w:pPr>
              <w:jc w:val="center"/>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380" w:type="dxa"/>
            <w:vAlign w:val="bottom"/>
            <w:shd w:val="clear" w:color="auto" w:fill="EBEBEC"/>
          </w:tcPr>
          <w:p>
            <w:pPr>
              <w:ind w:left="20"/>
              <w:spacing w:after="0"/>
              <w:rPr>
                <w:sz w:val="20"/>
                <w:szCs w:val="20"/>
                <w:color w:val="auto"/>
              </w:rPr>
            </w:pPr>
            <w:r>
              <w:rPr>
                <w:rFonts w:ascii="Arial" w:cs="Arial" w:eastAsia="Arial" w:hAnsi="Arial"/>
                <w:sz w:val="13"/>
                <w:szCs w:val="13"/>
                <w:color w:val="auto"/>
              </w:rPr>
              <w:t>Tiffany (TJ) Thom Cepak</w:t>
            </w:r>
          </w:p>
        </w:tc>
        <w:tc>
          <w:tcPr>
            <w:tcW w:w="1460" w:type="dxa"/>
            <w:vAlign w:val="bottom"/>
            <w:shd w:val="clear" w:color="auto" w:fill="EBEBEC"/>
          </w:tcPr>
          <w:p>
            <w:pPr>
              <w:spacing w:after="0"/>
              <w:rPr>
                <w:sz w:val="20"/>
                <w:szCs w:val="20"/>
                <w:color w:val="auto"/>
              </w:rPr>
            </w:pPr>
            <w:r>
              <w:rPr>
                <w:rFonts w:ascii="Arial" w:cs="Arial" w:eastAsia="Arial" w:hAnsi="Arial"/>
                <w:sz w:val="13"/>
                <w:szCs w:val="13"/>
                <w:color w:val="auto"/>
              </w:rPr>
              <w:t>Chair</w:t>
            </w: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6"/>
              </w:rPr>
              <w:t>52</w:t>
            </w:r>
          </w:p>
        </w:tc>
        <w:tc>
          <w:tcPr>
            <w:tcW w:w="108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68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780" w:type="dxa"/>
            <w:vAlign w:val="bottom"/>
            <w:shd w:val="clear" w:color="auto" w:fill="EBEBEC"/>
          </w:tcPr>
          <w:p>
            <w:pPr>
              <w:spacing w:after="0"/>
              <w:rPr>
                <w:sz w:val="12"/>
                <w:szCs w:val="12"/>
                <w:color w:val="auto"/>
              </w:rPr>
            </w:pPr>
          </w:p>
        </w:tc>
        <w:tc>
          <w:tcPr>
            <w:tcW w:w="1240" w:type="dxa"/>
            <w:vAlign w:val="bottom"/>
            <w:shd w:val="clear" w:color="auto" w:fill="EBEBEC"/>
          </w:tcPr>
          <w:p>
            <w:pPr>
              <w:spacing w:after="0"/>
              <w:rPr>
                <w:sz w:val="12"/>
                <w:szCs w:val="12"/>
                <w:color w:val="auto"/>
              </w:rPr>
            </w:pPr>
          </w:p>
        </w:tc>
        <w:tc>
          <w:tcPr>
            <w:tcW w:w="900" w:type="dxa"/>
            <w:vAlign w:val="bottom"/>
            <w:shd w:val="clear" w:color="auto" w:fill="EBEBEC"/>
          </w:tcPr>
          <w:p>
            <w:pPr>
              <w:jc w:val="center"/>
              <w:ind w:right="74"/>
              <w:spacing w:after="0"/>
              <w:rPr>
                <w:sz w:val="20"/>
                <w:szCs w:val="20"/>
                <w:color w:val="auto"/>
              </w:rPr>
            </w:pPr>
            <w:r>
              <w:rPr>
                <w:rFonts w:ascii="Arial" w:cs="Arial" w:eastAsia="Arial" w:hAnsi="Arial"/>
                <w:sz w:val="13"/>
                <w:szCs w:val="13"/>
                <w:color w:val="auto"/>
              </w:rPr>
              <w:t>●</w:t>
            </w:r>
          </w:p>
        </w:tc>
        <w:tc>
          <w:tcPr>
            <w:tcW w:w="1000" w:type="dxa"/>
            <w:vAlign w:val="bottom"/>
            <w:shd w:val="clear" w:color="auto" w:fill="EBEBEC"/>
          </w:tcPr>
          <w:p>
            <w:pPr>
              <w:spacing w:after="0"/>
              <w:rPr>
                <w:sz w:val="12"/>
                <w:szCs w:val="12"/>
                <w:color w:val="auto"/>
              </w:rPr>
            </w:pPr>
          </w:p>
        </w:tc>
        <w:tc>
          <w:tcPr>
            <w:tcW w:w="116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EBEBEC"/>
          </w:tcPr>
          <w:p>
            <w:pPr>
              <w:ind w:left="20"/>
              <w:spacing w:after="0"/>
              <w:rPr>
                <w:sz w:val="20"/>
                <w:szCs w:val="20"/>
                <w:color w:val="auto"/>
              </w:rPr>
            </w:pPr>
            <w:r>
              <w:rPr>
                <w:rFonts w:ascii="Arial" w:cs="Arial" w:eastAsia="Arial" w:hAnsi="Arial"/>
                <w:sz w:val="13"/>
                <w:szCs w:val="13"/>
                <w:color w:val="auto"/>
              </w:rPr>
              <w:t>James N. Chapman</w:t>
            </w:r>
          </w:p>
        </w:tc>
        <w:tc>
          <w:tcPr>
            <w:tcW w:w="1460" w:type="dxa"/>
            <w:vAlign w:val="bottom"/>
            <w:shd w:val="clear" w:color="auto" w:fill="EBEBEC"/>
          </w:tcPr>
          <w:p>
            <w:pPr>
              <w:spacing w:after="0"/>
              <w:rPr>
                <w:sz w:val="12"/>
                <w:szCs w:val="12"/>
                <w:color w:val="auto"/>
              </w:rPr>
            </w:pP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6"/>
              </w:rPr>
              <w:t>62</w:t>
            </w:r>
          </w:p>
        </w:tc>
        <w:tc>
          <w:tcPr>
            <w:tcW w:w="108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68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780" w:type="dxa"/>
            <w:vAlign w:val="bottom"/>
            <w:shd w:val="clear" w:color="auto" w:fill="EBEBEC"/>
          </w:tcPr>
          <w:p>
            <w:pPr>
              <w:spacing w:after="0"/>
              <w:rPr>
                <w:sz w:val="12"/>
                <w:szCs w:val="12"/>
                <w:color w:val="auto"/>
              </w:rPr>
            </w:pPr>
          </w:p>
        </w:tc>
        <w:tc>
          <w:tcPr>
            <w:tcW w:w="124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Chair</w:t>
            </w:r>
          </w:p>
        </w:tc>
        <w:tc>
          <w:tcPr>
            <w:tcW w:w="900" w:type="dxa"/>
            <w:vAlign w:val="bottom"/>
            <w:shd w:val="clear" w:color="auto" w:fill="EBEBEC"/>
          </w:tcPr>
          <w:p>
            <w:pPr>
              <w:jc w:val="center"/>
              <w:ind w:right="74"/>
              <w:spacing w:after="0"/>
              <w:rPr>
                <w:sz w:val="20"/>
                <w:szCs w:val="20"/>
                <w:color w:val="auto"/>
              </w:rPr>
            </w:pPr>
            <w:r>
              <w:rPr>
                <w:rFonts w:ascii="Arial" w:cs="Arial" w:eastAsia="Arial" w:hAnsi="Arial"/>
                <w:sz w:val="13"/>
                <w:szCs w:val="13"/>
                <w:color w:val="auto"/>
              </w:rPr>
              <w:t>Chair</w:t>
            </w:r>
          </w:p>
        </w:tc>
        <w:tc>
          <w:tcPr>
            <w:tcW w:w="1000" w:type="dxa"/>
            <w:vAlign w:val="bottom"/>
            <w:shd w:val="clear" w:color="auto" w:fill="EBEBEC"/>
          </w:tcPr>
          <w:p>
            <w:pPr>
              <w:spacing w:after="0"/>
              <w:rPr>
                <w:sz w:val="12"/>
                <w:szCs w:val="12"/>
                <w:color w:val="auto"/>
              </w:rPr>
            </w:pPr>
          </w:p>
        </w:tc>
        <w:tc>
          <w:tcPr>
            <w:tcW w:w="116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EBEBEC"/>
          </w:tcPr>
          <w:p>
            <w:pPr>
              <w:ind w:left="20"/>
              <w:spacing w:after="0"/>
              <w:rPr>
                <w:sz w:val="20"/>
                <w:szCs w:val="20"/>
                <w:color w:val="auto"/>
              </w:rPr>
            </w:pPr>
            <w:r>
              <w:rPr>
                <w:rFonts w:ascii="Arial" w:cs="Arial" w:eastAsia="Arial" w:hAnsi="Arial"/>
                <w:sz w:val="13"/>
                <w:szCs w:val="13"/>
                <w:color w:val="auto"/>
              </w:rPr>
              <w:t>James R. Jackson</w:t>
            </w:r>
          </w:p>
        </w:tc>
        <w:tc>
          <w:tcPr>
            <w:tcW w:w="1460" w:type="dxa"/>
            <w:vAlign w:val="bottom"/>
            <w:shd w:val="clear" w:color="auto" w:fill="EBEBEC"/>
          </w:tcPr>
          <w:p>
            <w:pPr>
              <w:spacing w:after="0"/>
              <w:rPr>
                <w:sz w:val="12"/>
                <w:szCs w:val="12"/>
                <w:color w:val="auto"/>
              </w:rPr>
            </w:pP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6"/>
              </w:rPr>
              <w:t>48</w:t>
            </w:r>
          </w:p>
        </w:tc>
        <w:tc>
          <w:tcPr>
            <w:tcW w:w="108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68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2024</w:t>
            </w:r>
          </w:p>
        </w:tc>
        <w:tc>
          <w:tcPr>
            <w:tcW w:w="780" w:type="dxa"/>
            <w:vAlign w:val="bottom"/>
            <w:shd w:val="clear" w:color="auto" w:fill="EBEBEC"/>
          </w:tcPr>
          <w:p>
            <w:pPr>
              <w:spacing w:after="0"/>
              <w:rPr>
                <w:sz w:val="12"/>
                <w:szCs w:val="12"/>
                <w:color w:val="auto"/>
              </w:rPr>
            </w:pPr>
          </w:p>
        </w:tc>
        <w:tc>
          <w:tcPr>
            <w:tcW w:w="124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0" w:type="dxa"/>
            <w:vAlign w:val="bottom"/>
            <w:shd w:val="clear" w:color="auto" w:fill="EBEBEC"/>
          </w:tcPr>
          <w:p>
            <w:pPr>
              <w:spacing w:after="0"/>
              <w:rPr>
                <w:sz w:val="12"/>
                <w:szCs w:val="12"/>
                <w:color w:val="auto"/>
              </w:rPr>
            </w:pPr>
          </w:p>
        </w:tc>
        <w:tc>
          <w:tcPr>
            <w:tcW w:w="11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380" w:type="dxa"/>
            <w:vAlign w:val="bottom"/>
            <w:shd w:val="clear" w:color="auto" w:fill="EBEBEC"/>
          </w:tcPr>
          <w:p>
            <w:pPr>
              <w:ind w:left="20"/>
              <w:spacing w:after="0"/>
              <w:rPr>
                <w:sz w:val="20"/>
                <w:szCs w:val="20"/>
                <w:color w:val="auto"/>
              </w:rPr>
            </w:pPr>
            <w:r>
              <w:rPr>
                <w:rFonts w:ascii="Arial" w:cs="Arial" w:eastAsia="Arial" w:hAnsi="Arial"/>
                <w:sz w:val="13"/>
                <w:szCs w:val="13"/>
                <w:color w:val="auto"/>
              </w:rPr>
              <w:t>Christian S. Kendall</w:t>
            </w:r>
          </w:p>
        </w:tc>
        <w:tc>
          <w:tcPr>
            <w:tcW w:w="1460" w:type="dxa"/>
            <w:vAlign w:val="bottom"/>
            <w:shd w:val="clear" w:color="auto" w:fill="EBEBEC"/>
          </w:tcPr>
          <w:p>
            <w:pPr>
              <w:spacing w:after="0"/>
              <w:rPr>
                <w:sz w:val="12"/>
                <w:szCs w:val="12"/>
                <w:color w:val="auto"/>
              </w:rPr>
            </w:pP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6"/>
              </w:rPr>
              <w:t>58</w:t>
            </w:r>
          </w:p>
        </w:tc>
        <w:tc>
          <w:tcPr>
            <w:tcW w:w="108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68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2024</w:t>
            </w:r>
          </w:p>
        </w:tc>
        <w:tc>
          <w:tcPr>
            <w:tcW w:w="78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24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0" w:type="dxa"/>
            <w:vAlign w:val="bottom"/>
            <w:shd w:val="clear" w:color="auto" w:fill="EBEBEC"/>
          </w:tcPr>
          <w:p>
            <w:pPr>
              <w:jc w:val="center"/>
              <w:ind w:right="54"/>
              <w:spacing w:after="0"/>
              <w:rPr>
                <w:sz w:val="20"/>
                <w:szCs w:val="20"/>
                <w:color w:val="auto"/>
              </w:rPr>
            </w:pPr>
            <w:r>
              <w:rPr>
                <w:rFonts w:ascii="Arial" w:cs="Arial" w:eastAsia="Arial" w:hAnsi="Arial"/>
                <w:sz w:val="13"/>
                <w:szCs w:val="13"/>
                <w:color w:val="auto"/>
              </w:rPr>
              <w:t>Chair</w:t>
            </w:r>
          </w:p>
        </w:tc>
        <w:tc>
          <w:tcPr>
            <w:tcW w:w="116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EBEBEC"/>
          </w:tcPr>
          <w:p>
            <w:pPr>
              <w:ind w:left="20"/>
              <w:spacing w:after="0"/>
              <w:rPr>
                <w:sz w:val="20"/>
                <w:szCs w:val="20"/>
                <w:color w:val="auto"/>
              </w:rPr>
            </w:pPr>
            <w:r>
              <w:rPr>
                <w:rFonts w:ascii="Arial" w:cs="Arial" w:eastAsia="Arial" w:hAnsi="Arial"/>
                <w:sz w:val="13"/>
                <w:szCs w:val="13"/>
                <w:color w:val="auto"/>
              </w:rPr>
              <w:t>Francisco J. Leon</w:t>
            </w:r>
          </w:p>
        </w:tc>
        <w:tc>
          <w:tcPr>
            <w:tcW w:w="1460" w:type="dxa"/>
            <w:vAlign w:val="bottom"/>
            <w:shd w:val="clear" w:color="auto" w:fill="EBEBEC"/>
          </w:tcPr>
          <w:p>
            <w:pPr>
              <w:spacing w:after="0"/>
              <w:rPr>
                <w:sz w:val="20"/>
                <w:szCs w:val="20"/>
                <w:color w:val="auto"/>
              </w:rPr>
            </w:pPr>
            <w:r>
              <w:rPr>
                <w:rFonts w:ascii="Arial" w:cs="Arial" w:eastAsia="Arial" w:hAnsi="Arial"/>
                <w:sz w:val="13"/>
                <w:szCs w:val="13"/>
                <w:color w:val="auto"/>
              </w:rPr>
              <w:t>President &amp; CEO</w:t>
            </w: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6"/>
              </w:rPr>
              <w:t>48</w:t>
            </w:r>
          </w:p>
        </w:tc>
        <w:tc>
          <w:tcPr>
            <w:tcW w:w="108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No</w:t>
            </w:r>
          </w:p>
        </w:tc>
        <w:tc>
          <w:tcPr>
            <w:tcW w:w="68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2023</w:t>
            </w:r>
          </w:p>
        </w:tc>
        <w:tc>
          <w:tcPr>
            <w:tcW w:w="780" w:type="dxa"/>
            <w:vAlign w:val="bottom"/>
            <w:shd w:val="clear" w:color="auto" w:fill="EBEBEC"/>
          </w:tcPr>
          <w:p>
            <w:pPr>
              <w:spacing w:after="0"/>
              <w:rPr>
                <w:sz w:val="12"/>
                <w:szCs w:val="12"/>
                <w:color w:val="auto"/>
              </w:rPr>
            </w:pPr>
          </w:p>
        </w:tc>
        <w:tc>
          <w:tcPr>
            <w:tcW w:w="124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0" w:type="dxa"/>
            <w:vAlign w:val="bottom"/>
            <w:shd w:val="clear" w:color="auto" w:fill="EBEBEC"/>
          </w:tcPr>
          <w:p>
            <w:pPr>
              <w:spacing w:after="0"/>
              <w:rPr>
                <w:sz w:val="12"/>
                <w:szCs w:val="12"/>
                <w:color w:val="auto"/>
              </w:rPr>
            </w:pPr>
          </w:p>
        </w:tc>
        <w:tc>
          <w:tcPr>
            <w:tcW w:w="116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EBEBEC"/>
          </w:tcPr>
          <w:p>
            <w:pPr>
              <w:ind w:left="20"/>
              <w:spacing w:after="0"/>
              <w:rPr>
                <w:sz w:val="20"/>
                <w:szCs w:val="20"/>
                <w:color w:val="auto"/>
              </w:rPr>
            </w:pPr>
            <w:r>
              <w:rPr>
                <w:rFonts w:ascii="Arial" w:cs="Arial" w:eastAsia="Arial" w:hAnsi="Arial"/>
                <w:sz w:val="13"/>
                <w:szCs w:val="13"/>
                <w:color w:val="auto"/>
              </w:rPr>
              <w:t>Mark A. (Mac) McFarland</w:t>
            </w:r>
          </w:p>
        </w:tc>
        <w:tc>
          <w:tcPr>
            <w:tcW w:w="1460" w:type="dxa"/>
            <w:vAlign w:val="bottom"/>
            <w:shd w:val="clear" w:color="auto" w:fill="EBEBEC"/>
          </w:tcPr>
          <w:p>
            <w:pPr>
              <w:spacing w:after="0"/>
              <w:rPr>
                <w:sz w:val="12"/>
                <w:szCs w:val="12"/>
                <w:color w:val="auto"/>
              </w:rPr>
            </w:pP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6"/>
              </w:rPr>
              <w:t>55</w:t>
            </w:r>
          </w:p>
        </w:tc>
        <w:tc>
          <w:tcPr>
            <w:tcW w:w="108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No</w:t>
            </w:r>
          </w:p>
        </w:tc>
        <w:tc>
          <w:tcPr>
            <w:tcW w:w="68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780" w:type="dxa"/>
            <w:vAlign w:val="bottom"/>
            <w:shd w:val="clear" w:color="auto" w:fill="EBEBEC"/>
          </w:tcPr>
          <w:p>
            <w:pPr>
              <w:spacing w:after="0"/>
              <w:rPr>
                <w:sz w:val="12"/>
                <w:szCs w:val="12"/>
                <w:color w:val="auto"/>
              </w:rPr>
            </w:pPr>
          </w:p>
        </w:tc>
        <w:tc>
          <w:tcPr>
            <w:tcW w:w="124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0" w:type="dxa"/>
            <w:vAlign w:val="bottom"/>
            <w:shd w:val="clear" w:color="auto" w:fill="EBEBEC"/>
          </w:tcPr>
          <w:p>
            <w:pPr>
              <w:spacing w:after="0"/>
              <w:rPr>
                <w:sz w:val="12"/>
                <w:szCs w:val="12"/>
                <w:color w:val="auto"/>
              </w:rPr>
            </w:pPr>
          </w:p>
        </w:tc>
        <w:tc>
          <w:tcPr>
            <w:tcW w:w="116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EBEBEC"/>
          </w:tcPr>
          <w:p>
            <w:pPr>
              <w:ind w:left="20"/>
              <w:spacing w:after="0"/>
              <w:rPr>
                <w:sz w:val="20"/>
                <w:szCs w:val="20"/>
                <w:color w:val="auto"/>
              </w:rPr>
            </w:pPr>
            <w:r>
              <w:rPr>
                <w:rFonts w:ascii="Arial" w:cs="Arial" w:eastAsia="Arial" w:hAnsi="Arial"/>
                <w:sz w:val="13"/>
                <w:szCs w:val="13"/>
                <w:color w:val="auto"/>
              </w:rPr>
              <w:t>William B. Roby</w:t>
            </w:r>
          </w:p>
        </w:tc>
        <w:tc>
          <w:tcPr>
            <w:tcW w:w="1460" w:type="dxa"/>
            <w:vAlign w:val="bottom"/>
            <w:shd w:val="clear" w:color="auto" w:fill="EBEBEC"/>
          </w:tcPr>
          <w:p>
            <w:pPr>
              <w:spacing w:after="0"/>
              <w:rPr>
                <w:sz w:val="12"/>
                <w:szCs w:val="12"/>
                <w:color w:val="auto"/>
              </w:rPr>
            </w:pP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6"/>
              </w:rPr>
              <w:t>65</w:t>
            </w:r>
          </w:p>
        </w:tc>
        <w:tc>
          <w:tcPr>
            <w:tcW w:w="108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68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78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24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900" w:type="dxa"/>
            <w:vAlign w:val="bottom"/>
            <w:shd w:val="clear" w:color="auto" w:fill="EBEBEC"/>
          </w:tcPr>
          <w:p>
            <w:pPr>
              <w:spacing w:after="0"/>
              <w:rPr>
                <w:sz w:val="12"/>
                <w:szCs w:val="12"/>
                <w:color w:val="auto"/>
              </w:rPr>
            </w:pPr>
          </w:p>
        </w:tc>
        <w:tc>
          <w:tcPr>
            <w:tcW w:w="1000" w:type="dxa"/>
            <w:vAlign w:val="bottom"/>
            <w:shd w:val="clear" w:color="auto" w:fill="EBEBEC"/>
          </w:tcPr>
          <w:p>
            <w:pPr>
              <w:jc w:val="center"/>
              <w:ind w:right="54"/>
              <w:spacing w:after="0"/>
              <w:rPr>
                <w:sz w:val="20"/>
                <w:szCs w:val="20"/>
                <w:color w:val="auto"/>
              </w:rPr>
            </w:pPr>
            <w:r>
              <w:rPr>
                <w:rFonts w:ascii="Arial" w:cs="Arial" w:eastAsia="Arial" w:hAnsi="Arial"/>
                <w:sz w:val="13"/>
                <w:szCs w:val="13"/>
                <w:color w:val="auto"/>
              </w:rPr>
              <w:t>●</w:t>
            </w:r>
          </w:p>
        </w:tc>
        <w:tc>
          <w:tcPr>
            <w:tcW w:w="11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Chair</w:t>
            </w:r>
          </w:p>
        </w:tc>
        <w:tc>
          <w:tcPr>
            <w:tcW w:w="0" w:type="dxa"/>
            <w:vAlign w:val="bottom"/>
          </w:tcPr>
          <w:p>
            <w:pPr>
              <w:spacing w:after="0"/>
              <w:rPr>
                <w:sz w:val="1"/>
                <w:szCs w:val="1"/>
                <w:color w:val="auto"/>
              </w:rPr>
            </w:pPr>
          </w:p>
        </w:tc>
      </w:tr>
      <w:tr>
        <w:trPr>
          <w:trHeight w:val="148"/>
        </w:trPr>
        <w:tc>
          <w:tcPr>
            <w:tcW w:w="2380" w:type="dxa"/>
            <w:vAlign w:val="bottom"/>
            <w:shd w:val="clear" w:color="auto" w:fill="EBEBEC"/>
          </w:tcPr>
          <w:p>
            <w:pPr>
              <w:ind w:left="20"/>
              <w:spacing w:after="0"/>
              <w:rPr>
                <w:sz w:val="20"/>
                <w:szCs w:val="20"/>
                <w:color w:val="auto"/>
              </w:rPr>
            </w:pPr>
            <w:r>
              <w:rPr>
                <w:rFonts w:ascii="Arial" w:cs="Arial" w:eastAsia="Arial" w:hAnsi="Arial"/>
                <w:sz w:val="13"/>
                <w:szCs w:val="13"/>
                <w:color w:val="auto"/>
              </w:rPr>
              <w:t>Bobby Saadati</w:t>
            </w:r>
          </w:p>
        </w:tc>
        <w:tc>
          <w:tcPr>
            <w:tcW w:w="1460" w:type="dxa"/>
            <w:vAlign w:val="bottom"/>
            <w:shd w:val="clear" w:color="auto" w:fill="EBEBEC"/>
          </w:tcPr>
          <w:p>
            <w:pPr>
              <w:spacing w:after="0"/>
              <w:rPr>
                <w:sz w:val="12"/>
                <w:szCs w:val="12"/>
                <w:color w:val="auto"/>
              </w:rPr>
            </w:pP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6"/>
              </w:rPr>
              <w:t>45</w:t>
            </w:r>
          </w:p>
        </w:tc>
        <w:tc>
          <w:tcPr>
            <w:tcW w:w="108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68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2024</w:t>
            </w:r>
          </w:p>
        </w:tc>
        <w:tc>
          <w:tcPr>
            <w:tcW w:w="780" w:type="dxa"/>
            <w:vAlign w:val="bottom"/>
            <w:shd w:val="clear" w:color="auto" w:fill="EBEBEC"/>
          </w:tcPr>
          <w:p>
            <w:pPr>
              <w:spacing w:after="0"/>
              <w:rPr>
                <w:sz w:val="12"/>
                <w:szCs w:val="12"/>
                <w:color w:val="auto"/>
              </w:rPr>
            </w:pPr>
          </w:p>
        </w:tc>
        <w:tc>
          <w:tcPr>
            <w:tcW w:w="1240" w:type="dxa"/>
            <w:vAlign w:val="bottom"/>
            <w:shd w:val="clear" w:color="auto" w:fill="EBEBEC"/>
          </w:tcPr>
          <w:p>
            <w:pPr>
              <w:spacing w:after="0"/>
              <w:rPr>
                <w:sz w:val="12"/>
                <w:szCs w:val="12"/>
                <w:color w:val="auto"/>
              </w:rPr>
            </w:pPr>
          </w:p>
        </w:tc>
        <w:tc>
          <w:tcPr>
            <w:tcW w:w="900" w:type="dxa"/>
            <w:vAlign w:val="bottom"/>
            <w:shd w:val="clear" w:color="auto" w:fill="EBEBEC"/>
          </w:tcPr>
          <w:p>
            <w:pPr>
              <w:jc w:val="center"/>
              <w:ind w:right="74"/>
              <w:spacing w:after="0"/>
              <w:rPr>
                <w:sz w:val="20"/>
                <w:szCs w:val="20"/>
                <w:color w:val="auto"/>
              </w:rPr>
            </w:pPr>
            <w:r>
              <w:rPr>
                <w:rFonts w:ascii="Arial" w:cs="Arial" w:eastAsia="Arial" w:hAnsi="Arial"/>
                <w:sz w:val="13"/>
                <w:szCs w:val="13"/>
                <w:color w:val="auto"/>
              </w:rPr>
              <w:t>●</w:t>
            </w:r>
          </w:p>
        </w:tc>
        <w:tc>
          <w:tcPr>
            <w:tcW w:w="1000" w:type="dxa"/>
            <w:vAlign w:val="bottom"/>
            <w:shd w:val="clear" w:color="auto" w:fill="EBEBEC"/>
          </w:tcPr>
          <w:p>
            <w:pPr>
              <w:spacing w:after="0"/>
              <w:rPr>
                <w:sz w:val="12"/>
                <w:szCs w:val="12"/>
                <w:color w:val="auto"/>
              </w:rPr>
            </w:pPr>
          </w:p>
        </w:tc>
        <w:tc>
          <w:tcPr>
            <w:tcW w:w="116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EBEBEC"/>
          </w:tcPr>
          <w:p>
            <w:pPr>
              <w:ind w:left="20"/>
              <w:spacing w:after="0"/>
              <w:rPr>
                <w:sz w:val="20"/>
                <w:szCs w:val="20"/>
                <w:color w:val="auto"/>
              </w:rPr>
            </w:pPr>
            <w:r>
              <w:rPr>
                <w:rFonts w:ascii="Arial" w:cs="Arial" w:eastAsia="Arial" w:hAnsi="Arial"/>
                <w:sz w:val="13"/>
                <w:szCs w:val="13"/>
                <w:color w:val="auto"/>
              </w:rPr>
              <w:t>Alejandra (Ale) Veltmann</w:t>
            </w:r>
          </w:p>
        </w:tc>
        <w:tc>
          <w:tcPr>
            <w:tcW w:w="1460" w:type="dxa"/>
            <w:vAlign w:val="bottom"/>
            <w:shd w:val="clear" w:color="auto" w:fill="EBEBEC"/>
          </w:tcPr>
          <w:p>
            <w:pPr>
              <w:spacing w:after="0"/>
              <w:rPr>
                <w:sz w:val="15"/>
                <w:szCs w:val="15"/>
                <w:color w:val="auto"/>
              </w:rPr>
            </w:pP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6"/>
              </w:rPr>
              <w:t>56</w:t>
            </w:r>
          </w:p>
        </w:tc>
        <w:tc>
          <w:tcPr>
            <w:tcW w:w="108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68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2021</w:t>
            </w:r>
          </w:p>
        </w:tc>
        <w:tc>
          <w:tcPr>
            <w:tcW w:w="78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Chair</w:t>
            </w:r>
          </w:p>
        </w:tc>
        <w:tc>
          <w:tcPr>
            <w:tcW w:w="1240" w:type="dxa"/>
            <w:vAlign w:val="bottom"/>
            <w:shd w:val="clear" w:color="auto" w:fill="EBEBEC"/>
          </w:tcPr>
          <w:p>
            <w:pPr>
              <w:spacing w:after="0"/>
              <w:rPr>
                <w:sz w:val="15"/>
                <w:szCs w:val="15"/>
                <w:color w:val="auto"/>
              </w:rPr>
            </w:pPr>
          </w:p>
        </w:tc>
        <w:tc>
          <w:tcPr>
            <w:tcW w:w="900" w:type="dxa"/>
            <w:vAlign w:val="bottom"/>
            <w:shd w:val="clear" w:color="auto" w:fill="EBEBEC"/>
          </w:tcPr>
          <w:p>
            <w:pPr>
              <w:spacing w:after="0"/>
              <w:rPr>
                <w:sz w:val="15"/>
                <w:szCs w:val="15"/>
                <w:color w:val="auto"/>
              </w:rPr>
            </w:pPr>
          </w:p>
        </w:tc>
        <w:tc>
          <w:tcPr>
            <w:tcW w:w="1000" w:type="dxa"/>
            <w:vAlign w:val="bottom"/>
            <w:shd w:val="clear" w:color="auto" w:fill="EBEBEC"/>
          </w:tcPr>
          <w:p>
            <w:pPr>
              <w:jc w:val="center"/>
              <w:ind w:right="54"/>
              <w:spacing w:after="0"/>
              <w:rPr>
                <w:sz w:val="20"/>
                <w:szCs w:val="20"/>
                <w:color w:val="auto"/>
              </w:rPr>
            </w:pPr>
            <w:r>
              <w:rPr>
                <w:rFonts w:ascii="Arial" w:cs="Arial" w:eastAsia="Arial" w:hAnsi="Arial"/>
                <w:sz w:val="13"/>
                <w:szCs w:val="13"/>
                <w:color w:val="auto"/>
              </w:rPr>
              <w:t>●</w:t>
            </w:r>
          </w:p>
        </w:tc>
        <w:tc>
          <w:tcPr>
            <w:tcW w:w="116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color w:val="0075C9"/>
        </w:rPr>
        <w:t>Corporate Governance Highlights</w:t>
      </w:r>
    </w:p>
    <w:p>
      <w:pPr>
        <w:spacing w:after="0" w:line="119" w:lineRule="exact"/>
        <w:rPr>
          <w:sz w:val="20"/>
          <w:szCs w:val="20"/>
          <w:color w:val="auto"/>
        </w:rPr>
      </w:pPr>
    </w:p>
    <w:p>
      <w:pPr>
        <w:ind w:left="640" w:right="420"/>
        <w:spacing w:after="0" w:line="271" w:lineRule="auto"/>
        <w:rPr>
          <w:sz w:val="20"/>
          <w:szCs w:val="20"/>
          <w:color w:val="auto"/>
        </w:rPr>
      </w:pPr>
      <w:r>
        <w:rPr>
          <w:rFonts w:ascii="Arial" w:cs="Arial" w:eastAsia="Arial" w:hAnsi="Arial"/>
          <w:sz w:val="18"/>
          <w:szCs w:val="18"/>
          <w:b w:val="1"/>
          <w:bCs w:val="1"/>
          <w:color w:val="auto"/>
        </w:rPr>
        <w:t xml:space="preserve">Majority voting. </w:t>
      </w:r>
      <w:r>
        <w:rPr>
          <w:rFonts w:ascii="Arial" w:cs="Arial" w:eastAsia="Arial" w:hAnsi="Arial"/>
          <w:sz w:val="18"/>
          <w:szCs w:val="18"/>
          <w:color w:val="auto"/>
        </w:rPr>
        <w:t>In 2022, the Board submitted for approval, and the stockholders approved, proposals to amend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to reduce the prior supermajority voting thresholds to majority thresholds.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-284480</wp:posOffset>
            </wp:positionV>
            <wp:extent cx="85725" cy="857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39" w:lineRule="exact"/>
        <w:rPr>
          <w:sz w:val="20"/>
          <w:szCs w:val="20"/>
          <w:color w:val="auto"/>
        </w:rPr>
      </w:pPr>
    </w:p>
    <w:p>
      <w:pPr>
        <w:ind w:left="640" w:right="480"/>
        <w:spacing w:after="0" w:line="271" w:lineRule="auto"/>
        <w:rPr>
          <w:sz w:val="20"/>
          <w:szCs w:val="20"/>
          <w:color w:val="auto"/>
        </w:rPr>
      </w:pPr>
      <w:r>
        <w:rPr>
          <w:rFonts w:ascii="Arial" w:cs="Arial" w:eastAsia="Arial" w:hAnsi="Arial"/>
          <w:sz w:val="18"/>
          <w:szCs w:val="18"/>
          <w:b w:val="1"/>
          <w:bCs w:val="1"/>
          <w:color w:val="auto"/>
        </w:rPr>
        <w:t xml:space="preserve">8 out of 10 Board members are independent. </w:t>
      </w:r>
      <w:r>
        <w:rPr>
          <w:rFonts w:ascii="Arial" w:cs="Arial" w:eastAsia="Arial" w:hAnsi="Arial"/>
          <w:sz w:val="18"/>
          <w:szCs w:val="18"/>
          <w:color w:val="auto"/>
        </w:rPr>
        <w:t>The Board has determined 8 out of 10 current Board members, and 8 out of 10</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nominees, are independent within the meaning of NYSE listing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-284480</wp:posOffset>
            </wp:positionV>
            <wp:extent cx="85725" cy="85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3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Anti-Hedging and Anti-Pledging Policy. </w:t>
      </w:r>
      <w:r>
        <w:rPr>
          <w:rFonts w:ascii="Arial" w:cs="Arial" w:eastAsia="Arial" w:hAnsi="Arial"/>
          <w:sz w:val="18"/>
          <w:szCs w:val="18"/>
          <w:color w:val="auto"/>
        </w:rPr>
        <w:t>Our Insider Trading Policy specifically prohibits the hedging or pledging of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-118745</wp:posOffset>
            </wp:positionV>
            <wp:extent cx="85725" cy="857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111" w:lineRule="exact"/>
        <w:rPr>
          <w:sz w:val="20"/>
          <w:szCs w:val="20"/>
          <w:color w:val="auto"/>
        </w:rPr>
      </w:pPr>
    </w:p>
    <w:p>
      <w:pPr>
        <w:ind w:left="640" w:right="580"/>
        <w:spacing w:after="0" w:line="271" w:lineRule="auto"/>
        <w:rPr>
          <w:sz w:val="20"/>
          <w:szCs w:val="20"/>
          <w:color w:val="auto"/>
        </w:rPr>
      </w:pPr>
      <w:r>
        <w:rPr>
          <w:rFonts w:ascii="Arial" w:cs="Arial" w:eastAsia="Arial" w:hAnsi="Arial"/>
          <w:sz w:val="18"/>
          <w:szCs w:val="18"/>
          <w:b w:val="1"/>
          <w:bCs w:val="1"/>
          <w:color w:val="auto"/>
        </w:rPr>
        <w:t xml:space="preserve">Overboarding Policy. </w:t>
      </w:r>
      <w:r>
        <w:rPr>
          <w:rFonts w:ascii="Arial" w:cs="Arial" w:eastAsia="Arial" w:hAnsi="Arial"/>
          <w:sz w:val="18"/>
          <w:szCs w:val="18"/>
          <w:color w:val="auto"/>
        </w:rPr>
        <w:t>We maintain a policy to restrict directors from serving on more than three other public company boards</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-284480</wp:posOffset>
            </wp:positionV>
            <wp:extent cx="85725" cy="857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39" w:lineRule="exact"/>
        <w:rPr>
          <w:sz w:val="20"/>
          <w:szCs w:val="20"/>
          <w:color w:val="auto"/>
        </w:rPr>
      </w:pPr>
    </w:p>
    <w:p>
      <w:pPr>
        <w:ind w:left="640" w:right="160"/>
        <w:spacing w:after="0" w:line="271" w:lineRule="auto"/>
        <w:rPr>
          <w:sz w:val="20"/>
          <w:szCs w:val="20"/>
          <w:color w:val="auto"/>
        </w:rPr>
      </w:pPr>
      <w:r>
        <w:rPr>
          <w:rFonts w:ascii="Arial" w:cs="Arial" w:eastAsia="Arial" w:hAnsi="Arial"/>
          <w:sz w:val="18"/>
          <w:szCs w:val="18"/>
          <w:b w:val="1"/>
          <w:bCs w:val="1"/>
          <w:color w:val="auto"/>
        </w:rPr>
        <w:t xml:space="preserve">Clawback Policy. </w:t>
      </w:r>
      <w:r>
        <w:rPr>
          <w:rFonts w:ascii="Arial" w:cs="Arial" w:eastAsia="Arial" w:hAnsi="Arial"/>
          <w:sz w:val="18"/>
          <w:szCs w:val="18"/>
          <w:color w:val="auto"/>
        </w:rPr>
        <w:t>We maintain a comprehensive, standalone policy that covers cash, equity, equity-based and other awards under</w:t>
      </w:r>
      <w:r>
        <w:rPr>
          <w:rFonts w:ascii="Arial" w:cs="Arial" w:eastAsia="Arial" w:hAnsi="Arial"/>
          <w:sz w:val="18"/>
          <w:szCs w:val="18"/>
          <w:b w:val="1"/>
          <w:bCs w:val="1"/>
          <w:color w:val="auto"/>
        </w:rPr>
        <w:t xml:space="preserve"> </w:t>
      </w:r>
      <w:r>
        <w:rPr>
          <w:rFonts w:ascii="Arial" w:cs="Arial" w:eastAsia="Arial" w:hAnsi="Arial"/>
          <w:sz w:val="18"/>
          <w:szCs w:val="18"/>
          <w:color w:val="auto"/>
        </w:rPr>
        <w:t>our incentive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-284480</wp:posOffset>
            </wp:positionV>
            <wp:extent cx="85725" cy="857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3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Board is not classified. </w:t>
      </w:r>
      <w:r>
        <w:rPr>
          <w:rFonts w:ascii="Arial" w:cs="Arial" w:eastAsia="Arial" w:hAnsi="Arial"/>
          <w:sz w:val="18"/>
          <w:szCs w:val="18"/>
          <w:color w:val="auto"/>
        </w:rPr>
        <w:t>Our directors are elected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-118745</wp:posOffset>
            </wp:positionV>
            <wp:extent cx="85725" cy="857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111" w:lineRule="exact"/>
        <w:rPr>
          <w:sz w:val="20"/>
          <w:szCs w:val="20"/>
          <w:color w:val="auto"/>
        </w:rPr>
      </w:pPr>
    </w:p>
    <w:p>
      <w:pPr>
        <w:ind w:left="640" w:right="660"/>
        <w:spacing w:after="0" w:line="301" w:lineRule="auto"/>
        <w:rPr>
          <w:sz w:val="20"/>
          <w:szCs w:val="20"/>
          <w:color w:val="auto"/>
        </w:rPr>
      </w:pPr>
      <w:r>
        <w:rPr>
          <w:rFonts w:ascii="Arial" w:cs="Arial" w:eastAsia="Arial" w:hAnsi="Arial"/>
          <w:sz w:val="17"/>
          <w:szCs w:val="17"/>
          <w:b w:val="1"/>
          <w:bCs w:val="1"/>
          <w:color w:val="auto"/>
        </w:rPr>
        <w:t xml:space="preserve">Independent Board committees. </w:t>
      </w:r>
      <w:r>
        <w:rPr>
          <w:rFonts w:ascii="Arial" w:cs="Arial" w:eastAsia="Arial" w:hAnsi="Arial"/>
          <w:sz w:val="17"/>
          <w:szCs w:val="17"/>
          <w:color w:val="auto"/>
        </w:rPr>
        <w:t>Our standing committees are made up of independent directors. Each standing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operates under a written charter that has been approved by the Board and is available to stockholders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-298450</wp:posOffset>
            </wp:positionV>
            <wp:extent cx="85725" cy="857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Each committee has the authority to retain independent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-118745</wp:posOffset>
            </wp:positionV>
            <wp:extent cx="85725" cy="857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111" w:lineRule="exact"/>
        <w:rPr>
          <w:sz w:val="20"/>
          <w:szCs w:val="20"/>
          <w:color w:val="auto"/>
        </w:rPr>
      </w:pPr>
    </w:p>
    <w:p>
      <w:pPr>
        <w:ind w:left="640" w:right="200"/>
        <w:spacing w:after="0" w:line="271" w:lineRule="auto"/>
        <w:rPr>
          <w:sz w:val="20"/>
          <w:szCs w:val="20"/>
          <w:color w:val="auto"/>
        </w:rPr>
      </w:pPr>
      <w:r>
        <w:rPr>
          <w:rFonts w:ascii="Arial" w:cs="Arial" w:eastAsia="Arial" w:hAnsi="Arial"/>
          <w:sz w:val="18"/>
          <w:szCs w:val="18"/>
          <w:b w:val="1"/>
          <w:bCs w:val="1"/>
          <w:color w:val="auto"/>
        </w:rPr>
        <w:t xml:space="preserve">Frequent executive sessions of independent directors. </w:t>
      </w:r>
      <w:r>
        <w:rPr>
          <w:rFonts w:ascii="Arial" w:cs="Arial" w:eastAsia="Arial" w:hAnsi="Arial"/>
          <w:sz w:val="18"/>
          <w:szCs w:val="18"/>
          <w:color w:val="auto"/>
        </w:rPr>
        <w:t>In 2024, the independent directors held executive sessions on a regular</w:t>
      </w:r>
      <w:r>
        <w:rPr>
          <w:rFonts w:ascii="Arial" w:cs="Arial" w:eastAsia="Arial" w:hAnsi="Arial"/>
          <w:sz w:val="18"/>
          <w:szCs w:val="18"/>
          <w:b w:val="1"/>
          <w:bCs w:val="1"/>
          <w:color w:val="auto"/>
        </w:rPr>
        <w:t xml:space="preserve"> </w:t>
      </w:r>
      <w:r>
        <w:rPr>
          <w:rFonts w:ascii="Arial" w:cs="Arial" w:eastAsia="Arial" w:hAnsi="Arial"/>
          <w:sz w:val="18"/>
          <w:szCs w:val="18"/>
          <w:color w:val="auto"/>
        </w:rPr>
        <w:t>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-284480</wp:posOffset>
            </wp:positionV>
            <wp:extent cx="85725" cy="857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3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No stockholder rights plan (“poison pill”)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-118745</wp:posOffset>
            </wp:positionV>
            <wp:extent cx="85725" cy="857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111" w:lineRule="exact"/>
        <w:rPr>
          <w:sz w:val="20"/>
          <w:szCs w:val="20"/>
          <w:color w:val="auto"/>
        </w:rPr>
      </w:pPr>
    </w:p>
    <w:p>
      <w:pPr>
        <w:ind w:left="640" w:right="200"/>
        <w:spacing w:after="0" w:line="253" w:lineRule="auto"/>
        <w:rPr>
          <w:sz w:val="20"/>
          <w:szCs w:val="20"/>
          <w:color w:val="auto"/>
        </w:rPr>
      </w:pPr>
      <w:r>
        <w:rPr>
          <w:rFonts w:ascii="Arial" w:cs="Arial" w:eastAsia="Arial" w:hAnsi="Arial"/>
          <w:sz w:val="18"/>
          <w:szCs w:val="18"/>
          <w:b w:val="1"/>
          <w:bCs w:val="1"/>
          <w:color w:val="auto"/>
        </w:rPr>
        <w:t xml:space="preserve">Whistleblower reports. </w:t>
      </w:r>
      <w:r>
        <w:rPr>
          <w:rFonts w:ascii="Arial" w:cs="Arial" w:eastAsia="Arial" w:hAnsi="Arial"/>
          <w:sz w:val="18"/>
          <w:szCs w:val="18"/>
          <w:color w:val="auto"/>
        </w:rPr>
        <w:t>Our VP Internal Audit informs the Audit Committee about whistleblower reports and other communications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received on our anonymous compliance hotline or through other channels. The Audit Committee Chair also has direct access to such whistleblower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-403225</wp:posOffset>
            </wp:positionV>
            <wp:extent cx="85725" cy="857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54" w:lineRule="exact"/>
        <w:rPr>
          <w:sz w:val="20"/>
          <w:szCs w:val="20"/>
          <w:color w:val="auto"/>
        </w:rPr>
      </w:pPr>
    </w:p>
    <w:p>
      <w:pPr>
        <w:ind w:left="640" w:right="920"/>
        <w:spacing w:after="0" w:line="271" w:lineRule="auto"/>
        <w:rPr>
          <w:sz w:val="20"/>
          <w:szCs w:val="20"/>
          <w:color w:val="auto"/>
        </w:rPr>
      </w:pPr>
      <w:r>
        <w:rPr>
          <w:rFonts w:ascii="Arial" w:cs="Arial" w:eastAsia="Arial" w:hAnsi="Arial"/>
          <w:sz w:val="18"/>
          <w:szCs w:val="18"/>
          <w:b w:val="1"/>
          <w:bCs w:val="1"/>
          <w:color w:val="auto"/>
        </w:rPr>
        <w:t xml:space="preserve">Director evaluation process. </w:t>
      </w:r>
      <w:r>
        <w:rPr>
          <w:rFonts w:ascii="Arial" w:cs="Arial" w:eastAsia="Arial" w:hAnsi="Arial"/>
          <w:sz w:val="18"/>
          <w:szCs w:val="18"/>
          <w:color w:val="auto"/>
        </w:rPr>
        <w:t>Each year, each of the Board committees and the full Board of Directors undertakes a self-assessment of its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-284480</wp:posOffset>
            </wp:positionV>
            <wp:extent cx="85725" cy="857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39" w:lineRule="exact"/>
        <w:rPr>
          <w:sz w:val="20"/>
          <w:szCs w:val="20"/>
          <w:color w:val="auto"/>
        </w:rPr>
      </w:pPr>
    </w:p>
    <w:p>
      <w:pPr>
        <w:ind w:left="640" w:right="500"/>
        <w:spacing w:after="0" w:line="271" w:lineRule="auto"/>
        <w:rPr>
          <w:sz w:val="20"/>
          <w:szCs w:val="20"/>
          <w:color w:val="auto"/>
        </w:rPr>
      </w:pPr>
      <w:r>
        <w:rPr>
          <w:rFonts w:ascii="Arial" w:cs="Arial" w:eastAsia="Arial" w:hAnsi="Arial"/>
          <w:sz w:val="18"/>
          <w:szCs w:val="18"/>
          <w:b w:val="1"/>
          <w:bCs w:val="1"/>
          <w:color w:val="auto"/>
        </w:rPr>
        <w:t xml:space="preserve">CEO and management evaluation process. </w:t>
      </w:r>
      <w:r>
        <w:rPr>
          <w:rFonts w:ascii="Arial" w:cs="Arial" w:eastAsia="Arial" w:hAnsi="Arial"/>
          <w:sz w:val="18"/>
          <w:szCs w:val="18"/>
          <w:color w:val="auto"/>
        </w:rPr>
        <w:t>The Board of Directors conducts an annual performance review of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CEO, and regularly reviews succession planning for the CEO and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-284480</wp:posOffset>
            </wp:positionV>
            <wp:extent cx="85725" cy="857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 w:name="page12"/>
    <w:bookmarkEnd w:id="11"/>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6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2025 PROXY STATEMENT</w:t>
      </w:r>
    </w:p>
    <w:p>
      <w:pPr>
        <w:spacing w:after="0" w:line="73" w:lineRule="exact"/>
        <w:rPr>
          <w:sz w:val="20"/>
          <w:szCs w:val="20"/>
          <w:color w:val="auto"/>
        </w:rPr>
      </w:pPr>
    </w:p>
    <w:p>
      <w:pPr>
        <w:ind w:left="9480"/>
        <w:spacing w:after="0"/>
        <w:rPr>
          <w:sz w:val="20"/>
          <w:szCs w:val="20"/>
          <w:color w:val="auto"/>
        </w:rPr>
      </w:pPr>
      <w:r>
        <w:rPr>
          <w:rFonts w:ascii="Arial" w:cs="Arial" w:eastAsia="Arial" w:hAnsi="Arial"/>
          <w:sz w:val="14"/>
          <w:szCs w:val="14"/>
          <w:color w:val="auto"/>
        </w:rPr>
        <w:t>Proxy Statement Summary</w:t>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color w:val="0075C9"/>
        </w:rPr>
        <w:t>Compensation Program Highlights</w:t>
      </w:r>
    </w:p>
    <w:p>
      <w:pPr>
        <w:spacing w:after="0" w:line="106"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Our 2024 compensation program further aligns our executives' interests with those of our stockholders by allocating 60% of the long-term incentives to performance-based stock awards and 40% to time-vested stock awards. The performance-based awards use both cumulative total shareholder returns and total shareholder returns compared to the companies in the XOP Index as the basis for payouts, linking the realizable value for a majority of executives' compensation to both the stock price and shareholder returns.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0075C9"/>
        </w:rPr>
        <w:t>Compensation Program Practices</w:t>
      </w:r>
    </w:p>
    <w:p>
      <w:pPr>
        <w:spacing w:after="0" w:line="10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executive compensation program is designed to motivate our executives to take actions that are aligned with our short- and long-term strategic objectives, appropriately balancing risk versus potential reward. It is designed to incorporate compensation best practices and is governed by our Compensation Committee. Our annual incentive awards and long-term incentive plans are performance-based and intended to align with the long-term best interests of stockholders and to retain our management team.</w:t>
      </w:r>
    </w:p>
    <w:p>
      <w:pPr>
        <w:spacing w:after="0" w:line="66"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The Compensation Committee has engaged in best practices to align executive pay with Company performance and to ensure good governance in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109220</wp:posOffset>
            </wp:positionV>
            <wp:extent cx="5572125" cy="383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72125" cy="383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 w:name="page13"/>
    <w:bookmarkEnd w:id="12"/>
    <w:p>
      <w:pPr>
        <w:ind w:left="782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74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73" w:lineRule="exact"/>
        <w:rPr>
          <w:sz w:val="20"/>
          <w:szCs w:val="20"/>
          <w:color w:val="auto"/>
        </w:rPr>
      </w:pPr>
    </w:p>
    <w:p>
      <w:pPr>
        <w:ind w:left="8360"/>
        <w:spacing w:after="0"/>
        <w:rPr>
          <w:sz w:val="20"/>
          <w:szCs w:val="20"/>
          <w:color w:val="auto"/>
        </w:rPr>
      </w:pPr>
      <w:r>
        <w:rPr>
          <w:rFonts w:ascii="Arial" w:cs="Arial" w:eastAsia="Arial" w:hAnsi="Arial"/>
          <w:sz w:val="14"/>
          <w:szCs w:val="14"/>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100965</wp:posOffset>
            </wp:positionV>
            <wp:extent cx="5520690" cy="1808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2069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160"/>
        <w:spacing w:after="0"/>
        <w:tabs>
          <w:tab w:leader="none" w:pos="100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476250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890" w:right="339" w:bottom="1440" w:gutter="0" w:footer="0" w:header="0"/>
        </w:sectPr>
      </w:pPr>
    </w:p>
    <w:bookmarkStart w:id="13" w:name="page14"/>
    <w:bookmarkEnd w:id="13"/>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74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Board of Directors and Corporate Governance</w:t>
      </w:r>
    </w:p>
    <w:p>
      <w:pPr>
        <w:spacing w:after="0" w:line="144" w:lineRule="exact"/>
        <w:rPr>
          <w:sz w:val="20"/>
          <w:szCs w:val="20"/>
          <w:color w:val="auto"/>
        </w:rPr>
      </w:pPr>
    </w:p>
    <w:p>
      <w:pPr>
        <w:spacing w:after="0"/>
        <w:rPr>
          <w:sz w:val="20"/>
          <w:szCs w:val="20"/>
          <w:color w:val="auto"/>
        </w:rPr>
      </w:pPr>
      <w:r>
        <w:rPr>
          <w:rFonts w:ascii="Arial" w:cs="Arial" w:eastAsia="Arial" w:hAnsi="Arial"/>
          <w:sz w:val="32"/>
          <w:szCs w:val="32"/>
          <w:color w:val="0075C9"/>
        </w:rPr>
        <w:t>Board of Directors and Corporate Governance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0075C9"/>
        </w:rPr>
        <w:t>Our Board of Directors and Director Nominees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Board values and exhibits an effective mix of backgrounds, perspective, skills and experience.</w:t>
      </w:r>
    </w:p>
    <w:p>
      <w:pPr>
        <w:spacing w:after="0" w:line="17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Set forth below is a chart that summarizes the specific experience, qualifications, attributes and skills of our directors and director nominees and biographical information regarding each of our directors and director nominees. Each of the individuals below is standing for reelection at the Annual Meeting. There are no family relationships between any of our directors, director nominees and executive officers. Pursuant to the Stockholder Agreements (as defined below), IKAV Energy, Inc. (“</w:t>
      </w:r>
      <w:r>
        <w:rPr>
          <w:rFonts w:ascii="Arial" w:cs="Arial" w:eastAsia="Arial" w:hAnsi="Arial"/>
          <w:sz w:val="18"/>
          <w:szCs w:val="18"/>
          <w:b w:val="1"/>
          <w:bCs w:val="1"/>
          <w:color w:val="auto"/>
        </w:rPr>
        <w:t>IKAV</w:t>
      </w:r>
      <w:r>
        <w:rPr>
          <w:rFonts w:ascii="Arial" w:cs="Arial" w:eastAsia="Arial" w:hAnsi="Arial"/>
          <w:sz w:val="18"/>
          <w:szCs w:val="18"/>
          <w:color w:val="auto"/>
        </w:rPr>
        <w:t>”) has nominated Bobby Saadati and Canada Pension Plan Investment Board (“</w:t>
      </w:r>
      <w:r>
        <w:rPr>
          <w:rFonts w:ascii="Arial" w:cs="Arial" w:eastAsia="Arial" w:hAnsi="Arial"/>
          <w:sz w:val="18"/>
          <w:szCs w:val="18"/>
          <w:b w:val="1"/>
          <w:bCs w:val="1"/>
          <w:color w:val="auto"/>
        </w:rPr>
        <w:t>CCPIB</w:t>
      </w:r>
      <w:r>
        <w:rPr>
          <w:rFonts w:ascii="Arial" w:cs="Arial" w:eastAsia="Arial" w:hAnsi="Arial"/>
          <w:sz w:val="18"/>
          <w:szCs w:val="18"/>
          <w:color w:val="auto"/>
        </w:rPr>
        <w:t>”) has nominated James R. Jackson for election at the annual meeting. See “Certain Relationships and Related Transactions—Stockholder Agreements” for more information. With respect to our other directors or director nominees, there are no ongoing arrangements or understandings between any of our executive officers, directors or director nominees and any other person pursuant to which any person will be selected as a director or an executive 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Director and Director Nominee 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146050</wp:posOffset>
            </wp:positionV>
            <wp:extent cx="5572125" cy="4474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72125" cy="4474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 w:name="page15"/>
    <w:bookmarkEnd w:id="14"/>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74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59"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817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0075C9"/>
        </w:rPr>
        <w:t>Andrew B. Bremner</w:t>
      </w:r>
    </w:p>
    <w:p>
      <w:pPr>
        <w:spacing w:after="0" w:line="104" w:lineRule="exact"/>
        <w:rPr>
          <w:sz w:val="20"/>
          <w:szCs w:val="20"/>
          <w:color w:val="auto"/>
        </w:rPr>
      </w:pPr>
    </w:p>
    <w:p>
      <w:pPr>
        <w:ind w:left="3420"/>
        <w:spacing w:after="0"/>
        <w:rPr>
          <w:sz w:val="20"/>
          <w:szCs w:val="20"/>
          <w:color w:val="auto"/>
        </w:rPr>
      </w:pPr>
      <w:r>
        <w:rPr>
          <w:rFonts w:ascii="Arial" w:cs="Arial" w:eastAsia="Arial" w:hAnsi="Arial"/>
          <w:sz w:val="18"/>
          <w:szCs w:val="18"/>
          <w:color w:val="0075C9"/>
        </w:rPr>
        <w:t>Director since: 2021</w:t>
      </w:r>
    </w:p>
    <w:p>
      <w:pPr>
        <w:spacing w:after="0" w:line="14" w:lineRule="exact"/>
        <w:rPr>
          <w:sz w:val="20"/>
          <w:szCs w:val="20"/>
          <w:color w:val="auto"/>
        </w:rPr>
      </w:pPr>
    </w:p>
    <w:p>
      <w:pPr>
        <w:ind w:left="3420"/>
        <w:spacing w:after="0"/>
        <w:rPr>
          <w:sz w:val="20"/>
          <w:szCs w:val="20"/>
          <w:color w:val="auto"/>
        </w:rPr>
      </w:pPr>
      <w:r>
        <w:rPr>
          <w:rFonts w:ascii="Arial" w:cs="Arial" w:eastAsia="Arial" w:hAnsi="Arial"/>
          <w:sz w:val="18"/>
          <w:szCs w:val="18"/>
          <w:color w:val="0075C9"/>
        </w:rPr>
        <w:t>Age: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60" w:hanging="207"/>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13" w:lineRule="exact"/>
        <w:rPr>
          <w:rFonts w:ascii="Arial" w:cs="Arial" w:eastAsia="Arial" w:hAnsi="Arial"/>
          <w:sz w:val="18"/>
          <w:szCs w:val="18"/>
          <w:color w:val="auto"/>
        </w:rPr>
      </w:pPr>
    </w:p>
    <w:p>
      <w:pPr>
        <w:ind w:left="260" w:hanging="207"/>
        <w:spacing w:after="0" w:line="234" w:lineRule="auto"/>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Member of the Finance Committee</w:t>
      </w:r>
    </w:p>
    <w:p>
      <w:pPr>
        <w:ind w:left="260" w:hanging="207"/>
        <w:spacing w:after="0" w:line="234" w:lineRule="auto"/>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Member of the Sustainability Committee</w:t>
      </w:r>
    </w:p>
    <w:p>
      <w:pPr>
        <w:ind w:left="260" w:hanging="207"/>
        <w:spacing w:after="0"/>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Member of the Board of Directors of Carbon Terravault Holdings,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56" w:hanging="156"/>
        <w:spacing w:after="0"/>
        <w:tabs>
          <w:tab w:leader="none" w:pos="156" w:val="left"/>
        </w:tabs>
        <w:numPr>
          <w:ilvl w:val="0"/>
          <w:numId w:val="6"/>
        </w:numPr>
        <w:rPr>
          <w:rFonts w:ascii="Arial" w:cs="Arial" w:eastAsia="Arial" w:hAnsi="Arial"/>
          <w:sz w:val="18"/>
          <w:szCs w:val="18"/>
          <w:color w:val="FFFFFF"/>
        </w:rPr>
      </w:pPr>
      <w:r>
        <w:rPr>
          <w:rFonts w:ascii="Arial" w:cs="Arial" w:eastAsia="Arial" w:hAnsi="Arial"/>
          <w:sz w:val="18"/>
          <w:szCs w:val="18"/>
          <w:color w:val="FFFFFF"/>
        </w:rPr>
        <w:t>Partner of JB Energy Partners, LP</w:t>
      </w:r>
    </w:p>
    <w:p>
      <w:pPr>
        <w:spacing w:after="0" w:line="13" w:lineRule="exact"/>
        <w:rPr>
          <w:rFonts w:ascii="Arial" w:cs="Arial" w:eastAsia="Arial" w:hAnsi="Arial"/>
          <w:sz w:val="18"/>
          <w:szCs w:val="18"/>
          <w:color w:val="FFFFFF"/>
        </w:rPr>
      </w:pPr>
    </w:p>
    <w:p>
      <w:pPr>
        <w:ind w:left="156" w:hanging="156"/>
        <w:spacing w:after="0" w:line="234" w:lineRule="auto"/>
        <w:tabs>
          <w:tab w:leader="none" w:pos="156" w:val="left"/>
        </w:tabs>
        <w:numPr>
          <w:ilvl w:val="0"/>
          <w:numId w:val="6"/>
        </w:numPr>
        <w:rPr>
          <w:rFonts w:ascii="Arial" w:cs="Arial" w:eastAsia="Arial" w:hAnsi="Arial"/>
          <w:sz w:val="18"/>
          <w:szCs w:val="18"/>
          <w:color w:val="FFFFFF"/>
        </w:rPr>
      </w:pPr>
      <w:r>
        <w:rPr>
          <w:rFonts w:ascii="Arial" w:cs="Arial" w:eastAsia="Arial" w:hAnsi="Arial"/>
          <w:sz w:val="18"/>
          <w:szCs w:val="18"/>
          <w:color w:val="FFFFFF"/>
        </w:rPr>
        <w:t>VP, Oil &amp; Gas of Jaco Oil Company</w:t>
      </w:r>
    </w:p>
    <w:p>
      <w:pPr>
        <w:ind w:left="156" w:right="1580" w:hanging="156"/>
        <w:spacing w:after="0" w:line="279" w:lineRule="auto"/>
        <w:tabs>
          <w:tab w:leader="none" w:pos="169" w:val="left"/>
        </w:tabs>
        <w:numPr>
          <w:ilvl w:val="0"/>
          <w:numId w:val="6"/>
        </w:numPr>
        <w:rPr>
          <w:rFonts w:ascii="Arial" w:cs="Arial" w:eastAsia="Arial" w:hAnsi="Arial"/>
          <w:sz w:val="17"/>
          <w:szCs w:val="17"/>
          <w:color w:val="FFFFFF"/>
        </w:rPr>
      </w:pPr>
      <w:r>
        <w:rPr>
          <w:rFonts w:ascii="Arial" w:cs="Arial" w:eastAsia="Arial" w:hAnsi="Arial"/>
          <w:sz w:val="17"/>
          <w:szCs w:val="17"/>
          <w:color w:val="FFFFFF"/>
        </w:rPr>
        <w:t>Formerly Portfolio Management &amp; Strategic Planning for California Resources Corporation</w:t>
      </w:r>
    </w:p>
    <w:p>
      <w:pPr>
        <w:spacing w:after="0" w:line="2114" w:lineRule="exact"/>
        <w:rPr>
          <w:sz w:val="20"/>
          <w:szCs w:val="20"/>
          <w:color w:val="auto"/>
        </w:rPr>
      </w:pPr>
    </w:p>
    <w:p>
      <w:pPr>
        <w:sectPr>
          <w:pgSz w:w="11900" w:h="16838" w:orient="portrait"/>
          <w:cols w:equalWidth="0" w:num="2">
            <w:col w:w="5800" w:space="44"/>
            <w:col w:w="5396"/>
          </w:cols>
          <w:pgMar w:left="320" w:top="890" w:right="339" w:bottom="1440" w:gutter="0" w:footer="0" w:header="0"/>
          <w:type w:val="continuous"/>
        </w:sectPr>
      </w:pPr>
    </w:p>
    <w:p>
      <w:pPr>
        <w:spacing w:after="0" w:line="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Mr. Bremner, 34, has served as a member of California Resources Corporation's Board of Directors since May 2021. Since 2019, Mr. Bremner has served as a partner of JB Energy Partners, LP (JBEP) and is the Vice President of Oil &amp; Gas for Jaco Oil Company. In these roles, Mr. Bremner leads the acquisition and management of a substantial portfolio of energy and alternative assets. From 2013 to 2019, Mr. Bremner worked for California Resources Corporation in various engineering roles, and most recently in Portfolio Management &amp; Strategic Planning. Mr. Bremner earned his M.B.A. from the University of California, Los Angeles, and has a Bachelor of Science degree in Mechanical Engineering from California Polytechnic State University San Luis Obispo.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808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80848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3420" w:type="dxa"/>
        <w:tblCellMar>
          <w:top w:w="0" w:type="dxa"/>
          <w:left w:w="0" w:type="dxa"/>
          <w:bottom w:w="0" w:type="dxa"/>
          <w:right w:w="0" w:type="dxa"/>
        </w:tblCellMar>
      </w:tblPr>
      <w:tr>
        <w:trPr>
          <w:trHeight w:val="940"/>
        </w:trPr>
        <w:tc>
          <w:tcPr>
            <w:tcW w:w="2240" w:type="dxa"/>
            <w:vAlign w:val="bottom"/>
          </w:tcPr>
          <w:p>
            <w:pPr>
              <w:spacing w:after="0"/>
              <w:rPr>
                <w:sz w:val="20"/>
                <w:szCs w:val="20"/>
                <w:color w:val="auto"/>
              </w:rPr>
            </w:pPr>
            <w:r>
              <w:rPr>
                <w:rFonts w:ascii="Arial" w:cs="Arial" w:eastAsia="Arial" w:hAnsi="Arial"/>
                <w:sz w:val="18"/>
                <w:szCs w:val="18"/>
                <w:b w:val="1"/>
                <w:bCs w:val="1"/>
                <w:color w:val="0075C9"/>
              </w:rPr>
              <w:t>Tiffany (TJ)</w:t>
            </w:r>
          </w:p>
        </w:tc>
        <w:tc>
          <w:tcPr>
            <w:tcW w:w="280" w:type="dxa"/>
            <w:vAlign w:val="bottom"/>
            <w:vMerge w:val="restart"/>
            <w:shd w:val="clear" w:color="auto" w:fill="0075C9"/>
          </w:tcPr>
          <w:p>
            <w:pPr>
              <w:ind w:left="160"/>
              <w:spacing w:after="0"/>
              <w:rPr>
                <w:sz w:val="20"/>
                <w:szCs w:val="20"/>
                <w:color w:val="auto"/>
              </w:rPr>
            </w:pPr>
            <w:r>
              <w:rPr>
                <w:rFonts w:ascii="Arial" w:cs="Arial" w:eastAsia="Arial" w:hAnsi="Arial"/>
                <w:sz w:val="18"/>
                <w:szCs w:val="18"/>
                <w:color w:val="FFFFFF"/>
              </w:rPr>
              <w:t>•</w:t>
            </w:r>
          </w:p>
        </w:tc>
        <w:tc>
          <w:tcPr>
            <w:tcW w:w="5300" w:type="dxa"/>
            <w:vAlign w:val="bottom"/>
            <w:vMerge w:val="restart"/>
            <w:shd w:val="clear" w:color="auto" w:fill="0075C9"/>
          </w:tcPr>
          <w:p>
            <w:pPr>
              <w:ind w:left="40"/>
              <w:spacing w:after="0"/>
              <w:rPr>
                <w:sz w:val="20"/>
                <w:szCs w:val="20"/>
                <w:color w:val="auto"/>
              </w:rPr>
            </w:pPr>
            <w:r>
              <w:rPr>
                <w:rFonts w:ascii="Arial" w:cs="Arial" w:eastAsia="Arial" w:hAnsi="Arial"/>
                <w:sz w:val="18"/>
                <w:szCs w:val="18"/>
                <w:color w:val="FFFFFF"/>
              </w:rPr>
              <w:t>Director of Patterson-UTI and Baytex Energy Corp.</w:t>
            </w:r>
          </w:p>
        </w:tc>
        <w:tc>
          <w:tcPr>
            <w:tcW w:w="0" w:type="dxa"/>
            <w:vAlign w:val="bottom"/>
          </w:tcPr>
          <w:p>
            <w:pPr>
              <w:spacing w:after="0"/>
              <w:rPr>
                <w:sz w:val="1"/>
                <w:szCs w:val="1"/>
                <w:color w:val="auto"/>
              </w:rPr>
            </w:pPr>
          </w:p>
        </w:tc>
      </w:tr>
      <w:tr>
        <w:trPr>
          <w:trHeight w:val="95"/>
        </w:trPr>
        <w:tc>
          <w:tcPr>
            <w:tcW w:w="2240" w:type="dxa"/>
            <w:vAlign w:val="bottom"/>
            <w:vMerge w:val="restart"/>
          </w:tcPr>
          <w:p>
            <w:pPr>
              <w:spacing w:after="0"/>
              <w:rPr>
                <w:sz w:val="20"/>
                <w:szCs w:val="20"/>
                <w:color w:val="auto"/>
              </w:rPr>
            </w:pPr>
            <w:r>
              <w:rPr>
                <w:rFonts w:ascii="Arial" w:cs="Arial" w:eastAsia="Arial" w:hAnsi="Arial"/>
                <w:sz w:val="18"/>
                <w:szCs w:val="18"/>
                <w:b w:val="1"/>
                <w:bCs w:val="1"/>
                <w:color w:val="0075C9"/>
              </w:rPr>
              <w:t>Thom Cepak</w:t>
            </w:r>
          </w:p>
        </w:tc>
        <w:tc>
          <w:tcPr>
            <w:tcW w:w="280" w:type="dxa"/>
            <w:vAlign w:val="bottom"/>
            <w:vMerge w:val="continue"/>
            <w:shd w:val="clear" w:color="auto" w:fill="0075C9"/>
          </w:tcPr>
          <w:p>
            <w:pPr>
              <w:spacing w:after="0"/>
              <w:rPr>
                <w:sz w:val="8"/>
                <w:szCs w:val="8"/>
                <w:color w:val="auto"/>
              </w:rPr>
            </w:pPr>
          </w:p>
        </w:tc>
        <w:tc>
          <w:tcPr>
            <w:tcW w:w="5300" w:type="dxa"/>
            <w:vAlign w:val="bottom"/>
            <w:vMerge w:val="continue"/>
            <w:shd w:val="clear" w:color="auto" w:fill="0075C9"/>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2240" w:type="dxa"/>
            <w:vAlign w:val="bottom"/>
            <w:vMerge w:val="continue"/>
          </w:tcPr>
          <w:p>
            <w:pPr>
              <w:spacing w:after="0"/>
              <w:rPr>
                <w:sz w:val="13"/>
                <w:szCs w:val="13"/>
                <w:color w:val="auto"/>
              </w:rPr>
            </w:pPr>
          </w:p>
        </w:tc>
        <w:tc>
          <w:tcPr>
            <w:tcW w:w="5580" w:type="dxa"/>
            <w:vAlign w:val="bottom"/>
            <w:gridSpan w:val="2"/>
            <w:vMerge w:val="restart"/>
            <w:shd w:val="clear" w:color="auto" w:fill="0075C9"/>
          </w:tcPr>
          <w:p>
            <w:pPr>
              <w:ind w:left="180"/>
              <w:spacing w:after="0" w:line="202" w:lineRule="exact"/>
              <w:rPr>
                <w:sz w:val="20"/>
                <w:szCs w:val="20"/>
                <w:color w:val="auto"/>
              </w:rPr>
            </w:pPr>
            <w:r>
              <w:rPr>
                <w:rFonts w:ascii="Arial" w:cs="Arial" w:eastAsia="Arial" w:hAnsi="Arial"/>
                <w:sz w:val="18"/>
                <w:szCs w:val="18"/>
                <w:color w:val="FFFFFF"/>
              </w:rPr>
              <w:t>• Former CFO of Energy XXI Gulf Coast Inc., KLR Energy and</w:t>
            </w:r>
          </w:p>
        </w:tc>
        <w:tc>
          <w:tcPr>
            <w:tcW w:w="0" w:type="dxa"/>
            <w:vAlign w:val="bottom"/>
          </w:tcPr>
          <w:p>
            <w:pPr>
              <w:spacing w:after="0"/>
              <w:rPr>
                <w:sz w:val="1"/>
                <w:szCs w:val="1"/>
                <w:color w:val="auto"/>
              </w:rPr>
            </w:pPr>
          </w:p>
        </w:tc>
      </w:tr>
      <w:tr>
        <w:trPr>
          <w:trHeight w:val="50"/>
        </w:trPr>
        <w:tc>
          <w:tcPr>
            <w:tcW w:w="2240" w:type="dxa"/>
            <w:vAlign w:val="bottom"/>
          </w:tcPr>
          <w:p>
            <w:pPr>
              <w:spacing w:after="0"/>
              <w:rPr>
                <w:sz w:val="4"/>
                <w:szCs w:val="4"/>
                <w:color w:val="auto"/>
              </w:rPr>
            </w:pPr>
          </w:p>
        </w:tc>
        <w:tc>
          <w:tcPr>
            <w:tcW w:w="5580" w:type="dxa"/>
            <w:vAlign w:val="bottom"/>
            <w:gridSpan w:val="2"/>
            <w:vMerge w:val="continue"/>
            <w:shd w:val="clear" w:color="auto" w:fill="0075C9"/>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line="202" w:lineRule="exact"/>
              <w:rPr>
                <w:sz w:val="20"/>
                <w:szCs w:val="20"/>
                <w:color w:val="auto"/>
              </w:rPr>
            </w:pPr>
            <w:r>
              <w:rPr>
                <w:rFonts w:ascii="Arial" w:cs="Arial" w:eastAsia="Arial" w:hAnsi="Arial"/>
                <w:sz w:val="18"/>
                <w:szCs w:val="18"/>
                <w:color w:val="0075C9"/>
              </w:rPr>
              <w:t>Independent Board Chair</w:t>
            </w:r>
          </w:p>
        </w:tc>
        <w:tc>
          <w:tcPr>
            <w:tcW w:w="280" w:type="dxa"/>
            <w:vAlign w:val="bottom"/>
            <w:shd w:val="clear" w:color="auto" w:fill="0075C9"/>
          </w:tcPr>
          <w:p>
            <w:pPr>
              <w:spacing w:after="0"/>
              <w:rPr>
                <w:sz w:val="17"/>
                <w:szCs w:val="17"/>
                <w:color w:val="auto"/>
              </w:rPr>
            </w:pPr>
          </w:p>
        </w:tc>
        <w:tc>
          <w:tcPr>
            <w:tcW w:w="5300" w:type="dxa"/>
            <w:vAlign w:val="bottom"/>
            <w:shd w:val="clear" w:color="auto" w:fill="0075C9"/>
          </w:tcPr>
          <w:p>
            <w:pPr>
              <w:ind w:left="40"/>
              <w:spacing w:after="0" w:line="202" w:lineRule="exact"/>
              <w:rPr>
                <w:sz w:val="20"/>
                <w:szCs w:val="20"/>
                <w:color w:val="auto"/>
              </w:rPr>
            </w:pPr>
            <w:r>
              <w:rPr>
                <w:rFonts w:ascii="Arial" w:cs="Arial" w:eastAsia="Arial" w:hAnsi="Arial"/>
                <w:sz w:val="18"/>
                <w:szCs w:val="18"/>
                <w:color w:val="FFFFFF"/>
              </w:rPr>
              <w:t>EPL Oil &amp; Gas, Inc.</w:t>
            </w:r>
          </w:p>
        </w:tc>
        <w:tc>
          <w:tcPr>
            <w:tcW w:w="0" w:type="dxa"/>
            <w:vAlign w:val="bottom"/>
          </w:tcPr>
          <w:p>
            <w:pPr>
              <w:spacing w:after="0"/>
              <w:rPr>
                <w:sz w:val="1"/>
                <w:szCs w:val="1"/>
                <w:color w:val="auto"/>
              </w:rPr>
            </w:pPr>
          </w:p>
        </w:tc>
      </w:tr>
      <w:tr>
        <w:trPr>
          <w:trHeight w:val="203"/>
        </w:trPr>
        <w:tc>
          <w:tcPr>
            <w:tcW w:w="2240" w:type="dxa"/>
            <w:vAlign w:val="bottom"/>
          </w:tcPr>
          <w:p>
            <w:pPr>
              <w:spacing w:after="0" w:line="202" w:lineRule="exact"/>
              <w:rPr>
                <w:sz w:val="20"/>
                <w:szCs w:val="20"/>
                <w:color w:val="auto"/>
              </w:rPr>
            </w:pPr>
            <w:r>
              <w:rPr>
                <w:rFonts w:ascii="Arial" w:cs="Arial" w:eastAsia="Arial" w:hAnsi="Arial"/>
                <w:sz w:val="18"/>
                <w:szCs w:val="18"/>
                <w:color w:val="0075C9"/>
              </w:rPr>
              <w:t>Director since: 2020</w:t>
            </w:r>
          </w:p>
        </w:tc>
        <w:tc>
          <w:tcPr>
            <w:tcW w:w="280" w:type="dxa"/>
            <w:vAlign w:val="bottom"/>
            <w:shd w:val="clear" w:color="auto" w:fill="0075C9"/>
          </w:tcPr>
          <w:p>
            <w:pPr>
              <w:ind w:left="180"/>
              <w:spacing w:after="0" w:line="202" w:lineRule="exact"/>
              <w:rPr>
                <w:sz w:val="20"/>
                <w:szCs w:val="20"/>
                <w:color w:val="auto"/>
              </w:rPr>
            </w:pPr>
            <w:r>
              <w:rPr>
                <w:rFonts w:ascii="Arial" w:cs="Arial" w:eastAsia="Arial" w:hAnsi="Arial"/>
                <w:sz w:val="18"/>
                <w:szCs w:val="18"/>
                <w:color w:val="FFFFFF"/>
              </w:rPr>
              <w:t>•</w:t>
            </w:r>
          </w:p>
        </w:tc>
        <w:tc>
          <w:tcPr>
            <w:tcW w:w="5300" w:type="dxa"/>
            <w:vAlign w:val="bottom"/>
            <w:shd w:val="clear" w:color="auto" w:fill="0075C9"/>
          </w:tcPr>
          <w:p>
            <w:pPr>
              <w:ind w:left="60"/>
              <w:spacing w:after="0" w:line="202" w:lineRule="exact"/>
              <w:rPr>
                <w:sz w:val="20"/>
                <w:szCs w:val="20"/>
                <w:color w:val="auto"/>
              </w:rPr>
            </w:pPr>
            <w:r>
              <w:rPr>
                <w:rFonts w:ascii="Arial" w:cs="Arial" w:eastAsia="Arial" w:hAnsi="Arial"/>
                <w:sz w:val="18"/>
                <w:szCs w:val="18"/>
                <w:color w:val="FFFFFF"/>
              </w:rPr>
              <w:t>Former Director of EnLink Midstream, LLC and</w:t>
            </w:r>
          </w:p>
        </w:tc>
        <w:tc>
          <w:tcPr>
            <w:tcW w:w="0" w:type="dxa"/>
            <w:vAlign w:val="bottom"/>
          </w:tcPr>
          <w:p>
            <w:pPr>
              <w:spacing w:after="0"/>
              <w:rPr>
                <w:sz w:val="1"/>
                <w:szCs w:val="1"/>
                <w:color w:val="auto"/>
              </w:rPr>
            </w:pPr>
          </w:p>
        </w:tc>
      </w:tr>
      <w:tr>
        <w:trPr>
          <w:trHeight w:val="252"/>
        </w:trPr>
        <w:tc>
          <w:tcPr>
            <w:tcW w:w="2240" w:type="dxa"/>
            <w:vAlign w:val="bottom"/>
          </w:tcPr>
          <w:p>
            <w:pPr>
              <w:spacing w:after="0"/>
              <w:rPr>
                <w:sz w:val="20"/>
                <w:szCs w:val="20"/>
                <w:color w:val="auto"/>
              </w:rPr>
            </w:pPr>
            <w:r>
              <w:rPr>
                <w:rFonts w:ascii="Arial" w:cs="Arial" w:eastAsia="Arial" w:hAnsi="Arial"/>
                <w:sz w:val="18"/>
                <w:szCs w:val="18"/>
                <w:color w:val="0075C9"/>
              </w:rPr>
              <w:t>Age: 52</w:t>
            </w:r>
          </w:p>
        </w:tc>
        <w:tc>
          <w:tcPr>
            <w:tcW w:w="280" w:type="dxa"/>
            <w:vAlign w:val="bottom"/>
            <w:shd w:val="clear" w:color="auto" w:fill="0075C9"/>
          </w:tcPr>
          <w:p>
            <w:pPr>
              <w:spacing w:after="0"/>
              <w:rPr>
                <w:sz w:val="21"/>
                <w:szCs w:val="21"/>
                <w:color w:val="auto"/>
              </w:rPr>
            </w:pPr>
          </w:p>
        </w:tc>
        <w:tc>
          <w:tcPr>
            <w:tcW w:w="530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Yates Petroleum Corporation</w:t>
            </w:r>
          </w:p>
        </w:tc>
        <w:tc>
          <w:tcPr>
            <w:tcW w:w="0" w:type="dxa"/>
            <w:vAlign w:val="bottom"/>
          </w:tcPr>
          <w:p>
            <w:pPr>
              <w:spacing w:after="0"/>
              <w:rPr>
                <w:sz w:val="1"/>
                <w:szCs w:val="1"/>
                <w:color w:val="auto"/>
              </w:rPr>
            </w:pPr>
          </w:p>
        </w:tc>
      </w:tr>
      <w:tr>
        <w:trPr>
          <w:trHeight w:val="738"/>
        </w:trPr>
        <w:tc>
          <w:tcPr>
            <w:tcW w:w="2240" w:type="dxa"/>
            <w:vAlign w:val="bottom"/>
          </w:tcPr>
          <w:p>
            <w:pPr>
              <w:spacing w:after="0"/>
              <w:rPr>
                <w:sz w:val="24"/>
                <w:szCs w:val="24"/>
                <w:color w:val="auto"/>
              </w:rPr>
            </w:pPr>
          </w:p>
        </w:tc>
        <w:tc>
          <w:tcPr>
            <w:tcW w:w="280" w:type="dxa"/>
            <w:vAlign w:val="bottom"/>
            <w:shd w:val="clear" w:color="auto" w:fill="0075C9"/>
          </w:tcPr>
          <w:p>
            <w:pPr>
              <w:spacing w:after="0"/>
              <w:rPr>
                <w:sz w:val="24"/>
                <w:szCs w:val="24"/>
                <w:color w:val="auto"/>
              </w:rPr>
            </w:pPr>
          </w:p>
        </w:tc>
        <w:tc>
          <w:tcPr>
            <w:tcW w:w="530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260" w:hanging="207"/>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Chair of the Board</w:t>
      </w:r>
    </w:p>
    <w:p>
      <w:pPr>
        <w:spacing w:after="0" w:line="13" w:lineRule="exact"/>
        <w:rPr>
          <w:rFonts w:ascii="Arial" w:cs="Arial" w:eastAsia="Arial" w:hAnsi="Arial"/>
          <w:sz w:val="18"/>
          <w:szCs w:val="18"/>
          <w:color w:val="auto"/>
        </w:rPr>
      </w:pPr>
    </w:p>
    <w:p>
      <w:pPr>
        <w:ind w:left="260" w:hanging="207"/>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Member of the Finance Committee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Ms. Cepak, 52, is the Independent Chair of California Resources Corporation’s Board of Directors and has served as a member since October 2020. Ms. Cepak has 29 years of energy industry experience, including both financial and operational appointments. She has served as a director of Patterson-UTI, a company that provides land drilling and pressure pumping services, directional drilling, rental equipment and technology, since August 2014 and as a director of Baytex Energy Corp., an independent oil and gas company, since June 2023. She had served as a director of Baytex’s predecessor, Ranger Oil Corporation, from September 2019 until its merger with Baytex. In addition, Ms. Cepak was a member of the Board of Directors of EnLink Midstream, LLC, from December 2021 until its acquisition by ONEOK, Inc. in January 2025. Ms. Cepak served</w:t>
      </w:r>
    </w:p>
    <w:p>
      <w:pPr>
        <w:spacing w:after="0" w:line="239"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15" w:name="page16"/>
    <w:bookmarkEnd w:id="15"/>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74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Board of Directors and Corporate Governance</w:t>
      </w:r>
    </w:p>
    <w:p>
      <w:pPr>
        <w:spacing w:after="0" w:line="36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as the Chief Financial Officer of Energy XXI Gulf Coast Inc. from August 2017 to October 2018. Ms. Cepak served as the Chief Financial Officer of KLR Energy (and, subsequent to its business combination, Rosehill Resources Inc.) from January 2015 to June 2017. Ms. Cepak served as a director of Yates Petroleum Corporation from October 2015 to October 2016. Ms. Cepak served four years as the Chief Financial Officer of EPL Oil &amp; Gas, Inc., and was further appointed Executive Vice President in January 2014, and she served in those roles until June 2014, when EPL was sold. Ms. Cepak originally joined EPL as a Senior Asset Management Engineer, a position she held until she was appointed Director of Corporate Reserves in September 2001. Ms. Cepak was named EPL’s Director of Investor Relations in April 2006 and Vice President, Treasurer and Investor Relations in July 2008. In July 2009, Ms. Cepak was designated as EPL’s Principal Financial Officer and, in September 2009, she was appointed Senior Vice President. Prior to joining EPL, she was a Senior Reservoir Engineer with Exxon Production Company and ExxonMobil Company with operational roles including reservoir engineering and subsurface completion engineering for numerous offshore Gulf of Mexico properties. Ms. Cepak holds a B.S. in Engineering from the University of Illinois and an M.B.A. in Management with a concentration in Finance from Tulane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817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3420" w:type="dxa"/>
        <w:tblCellMar>
          <w:top w:w="0" w:type="dxa"/>
          <w:left w:w="0" w:type="dxa"/>
          <w:bottom w:w="0" w:type="dxa"/>
          <w:right w:w="0" w:type="dxa"/>
        </w:tblCellMar>
      </w:tblPr>
      <w:tr>
        <w:trPr>
          <w:trHeight w:val="899"/>
        </w:trPr>
        <w:tc>
          <w:tcPr>
            <w:tcW w:w="2240" w:type="dxa"/>
            <w:vAlign w:val="bottom"/>
          </w:tcPr>
          <w:p>
            <w:pPr>
              <w:spacing w:after="0"/>
              <w:rPr>
                <w:sz w:val="24"/>
                <w:szCs w:val="24"/>
                <w:color w:val="auto"/>
              </w:rPr>
            </w:pP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28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Advisory Director of SkyWorks Capital, LLC</w:t>
            </w:r>
          </w:p>
        </w:tc>
        <w:tc>
          <w:tcPr>
            <w:tcW w:w="0" w:type="dxa"/>
            <w:vAlign w:val="bottom"/>
          </w:tcPr>
          <w:p>
            <w:pPr>
              <w:spacing w:after="0"/>
              <w:rPr>
                <w:sz w:val="1"/>
                <w:szCs w:val="1"/>
                <w:color w:val="auto"/>
              </w:rPr>
            </w:pPr>
          </w:p>
        </w:tc>
      </w:tr>
      <w:tr>
        <w:trPr>
          <w:trHeight w:val="221"/>
        </w:trPr>
        <w:tc>
          <w:tcPr>
            <w:tcW w:w="2240" w:type="dxa"/>
            <w:vAlign w:val="bottom"/>
          </w:tcPr>
          <w:p>
            <w:pPr>
              <w:spacing w:after="0"/>
              <w:rPr>
                <w:sz w:val="20"/>
                <w:szCs w:val="20"/>
                <w:color w:val="auto"/>
              </w:rPr>
            </w:pPr>
            <w:r>
              <w:rPr>
                <w:rFonts w:ascii="Arial" w:cs="Arial" w:eastAsia="Arial" w:hAnsi="Arial"/>
                <w:sz w:val="18"/>
                <w:szCs w:val="18"/>
                <w:b w:val="1"/>
                <w:bCs w:val="1"/>
                <w:color w:val="0075C9"/>
              </w:rPr>
              <w:t>James N. Chapman</w:t>
            </w:r>
          </w:p>
        </w:tc>
        <w:tc>
          <w:tcPr>
            <w:tcW w:w="5580" w:type="dxa"/>
            <w:vAlign w:val="bottom"/>
            <w:gridSpan w:val="2"/>
            <w:shd w:val="clear" w:color="auto" w:fill="0075C9"/>
          </w:tcPr>
          <w:p>
            <w:pPr>
              <w:ind w:left="180"/>
              <w:spacing w:after="0"/>
              <w:rPr>
                <w:sz w:val="20"/>
                <w:szCs w:val="20"/>
                <w:color w:val="auto"/>
              </w:rPr>
            </w:pPr>
            <w:r>
              <w:rPr>
                <w:rFonts w:ascii="Arial" w:cs="Arial" w:eastAsia="Arial" w:hAnsi="Arial"/>
                <w:sz w:val="18"/>
                <w:szCs w:val="18"/>
                <w:color w:val="FFFFFF"/>
              </w:rPr>
              <w:t>• Former Chairman and Lead Independent Director of Arch</w:t>
            </w:r>
          </w:p>
        </w:tc>
        <w:tc>
          <w:tcPr>
            <w:tcW w:w="0" w:type="dxa"/>
            <w:vAlign w:val="bottom"/>
          </w:tcPr>
          <w:p>
            <w:pPr>
              <w:spacing w:after="0"/>
              <w:rPr>
                <w:sz w:val="1"/>
                <w:szCs w:val="1"/>
                <w:color w:val="auto"/>
              </w:rPr>
            </w:pPr>
          </w:p>
        </w:tc>
      </w:tr>
      <w:tr>
        <w:trPr>
          <w:trHeight w:val="184"/>
        </w:trPr>
        <w:tc>
          <w:tcPr>
            <w:tcW w:w="2240" w:type="dxa"/>
            <w:vAlign w:val="bottom"/>
            <w:vMerge w:val="restart"/>
          </w:tcPr>
          <w:p>
            <w:pPr>
              <w:spacing w:after="0"/>
              <w:rPr>
                <w:sz w:val="20"/>
                <w:szCs w:val="20"/>
                <w:color w:val="auto"/>
              </w:rPr>
            </w:pPr>
            <w:r>
              <w:rPr>
                <w:rFonts w:ascii="Arial" w:cs="Arial" w:eastAsia="Arial" w:hAnsi="Arial"/>
                <w:sz w:val="18"/>
                <w:szCs w:val="18"/>
                <w:color w:val="0075C9"/>
              </w:rPr>
              <w:t>Director since: 2020</w:t>
            </w:r>
          </w:p>
        </w:tc>
        <w:tc>
          <w:tcPr>
            <w:tcW w:w="5580" w:type="dxa"/>
            <w:vAlign w:val="bottom"/>
            <w:gridSpan w:val="2"/>
            <w:shd w:val="clear" w:color="auto" w:fill="0075C9"/>
          </w:tcPr>
          <w:p>
            <w:pPr>
              <w:ind w:left="180"/>
              <w:spacing w:after="0" w:line="183" w:lineRule="exact"/>
              <w:rPr>
                <w:sz w:val="20"/>
                <w:szCs w:val="20"/>
                <w:color w:val="auto"/>
              </w:rPr>
            </w:pPr>
            <w:r>
              <w:rPr>
                <w:rFonts w:ascii="Arial" w:cs="Arial" w:eastAsia="Arial" w:hAnsi="Arial"/>
                <w:sz w:val="18"/>
                <w:szCs w:val="18"/>
                <w:color w:val="FFFFFF"/>
              </w:rPr>
              <w:t>Resources, Inc.</w:t>
            </w:r>
          </w:p>
        </w:tc>
        <w:tc>
          <w:tcPr>
            <w:tcW w:w="0" w:type="dxa"/>
            <w:vAlign w:val="bottom"/>
          </w:tcPr>
          <w:p>
            <w:pPr>
              <w:spacing w:after="0"/>
              <w:rPr>
                <w:sz w:val="1"/>
                <w:szCs w:val="1"/>
                <w:color w:val="auto"/>
              </w:rPr>
            </w:pPr>
          </w:p>
        </w:tc>
      </w:tr>
      <w:tr>
        <w:trPr>
          <w:trHeight w:val="181"/>
        </w:trPr>
        <w:tc>
          <w:tcPr>
            <w:tcW w:w="2240" w:type="dxa"/>
            <w:vAlign w:val="bottom"/>
            <w:vMerge w:val="continue"/>
          </w:tcPr>
          <w:p>
            <w:pPr>
              <w:spacing w:after="0"/>
              <w:rPr>
                <w:sz w:val="15"/>
                <w:szCs w:val="15"/>
                <w:color w:val="auto"/>
              </w:rPr>
            </w:pPr>
          </w:p>
        </w:tc>
        <w:tc>
          <w:tcPr>
            <w:tcW w:w="300" w:type="dxa"/>
            <w:vAlign w:val="bottom"/>
            <w:shd w:val="clear" w:color="auto" w:fill="0075C9"/>
          </w:tcPr>
          <w:p>
            <w:pPr>
              <w:ind w:left="180"/>
              <w:spacing w:after="0" w:line="181" w:lineRule="exact"/>
              <w:rPr>
                <w:sz w:val="20"/>
                <w:szCs w:val="20"/>
                <w:color w:val="auto"/>
              </w:rPr>
            </w:pPr>
            <w:r>
              <w:rPr>
                <w:rFonts w:ascii="Arial" w:cs="Arial" w:eastAsia="Arial" w:hAnsi="Arial"/>
                <w:sz w:val="18"/>
                <w:szCs w:val="18"/>
                <w:color w:val="FFFFFF"/>
              </w:rPr>
              <w:t>•</w:t>
            </w:r>
          </w:p>
        </w:tc>
        <w:tc>
          <w:tcPr>
            <w:tcW w:w="5280" w:type="dxa"/>
            <w:vAlign w:val="bottom"/>
            <w:shd w:val="clear" w:color="auto" w:fill="0075C9"/>
          </w:tcPr>
          <w:p>
            <w:pPr>
              <w:ind w:left="40"/>
              <w:spacing w:after="0" w:line="181" w:lineRule="exact"/>
              <w:rPr>
                <w:sz w:val="20"/>
                <w:szCs w:val="20"/>
                <w:color w:val="auto"/>
              </w:rPr>
            </w:pPr>
            <w:r>
              <w:rPr>
                <w:rFonts w:ascii="Arial" w:cs="Arial" w:eastAsia="Arial" w:hAnsi="Arial"/>
                <w:sz w:val="18"/>
                <w:szCs w:val="18"/>
                <w:color w:val="FFFFFF"/>
              </w:rPr>
              <w:t>Former Director of Denbury, Inc.</w:t>
            </w:r>
          </w:p>
        </w:tc>
        <w:tc>
          <w:tcPr>
            <w:tcW w:w="0" w:type="dxa"/>
            <w:vAlign w:val="bottom"/>
          </w:tcPr>
          <w:p>
            <w:pPr>
              <w:spacing w:after="0"/>
              <w:rPr>
                <w:sz w:val="1"/>
                <w:szCs w:val="1"/>
                <w:color w:val="auto"/>
              </w:rPr>
            </w:pPr>
          </w:p>
        </w:tc>
      </w:tr>
      <w:tr>
        <w:trPr>
          <w:trHeight w:val="261"/>
        </w:trPr>
        <w:tc>
          <w:tcPr>
            <w:tcW w:w="2240" w:type="dxa"/>
            <w:vAlign w:val="bottom"/>
          </w:tcPr>
          <w:p>
            <w:pPr>
              <w:spacing w:after="0"/>
              <w:rPr>
                <w:sz w:val="20"/>
                <w:szCs w:val="20"/>
                <w:color w:val="auto"/>
              </w:rPr>
            </w:pPr>
            <w:r>
              <w:rPr>
                <w:rFonts w:ascii="Arial" w:cs="Arial" w:eastAsia="Arial" w:hAnsi="Arial"/>
                <w:sz w:val="18"/>
                <w:szCs w:val="18"/>
                <w:color w:val="0075C9"/>
              </w:rPr>
              <w:t>Age: 62</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28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Over 39 years of investment banking experience</w:t>
            </w:r>
          </w:p>
        </w:tc>
        <w:tc>
          <w:tcPr>
            <w:tcW w:w="0" w:type="dxa"/>
            <w:vAlign w:val="bottom"/>
          </w:tcPr>
          <w:p>
            <w:pPr>
              <w:spacing w:after="0"/>
              <w:rPr>
                <w:sz w:val="1"/>
                <w:szCs w:val="1"/>
                <w:color w:val="auto"/>
              </w:rPr>
            </w:pPr>
          </w:p>
        </w:tc>
      </w:tr>
      <w:tr>
        <w:trPr>
          <w:trHeight w:val="900"/>
        </w:trPr>
        <w:tc>
          <w:tcPr>
            <w:tcW w:w="224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28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60" w:hanging="210"/>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Chair of the Compensation Committee</w:t>
      </w:r>
    </w:p>
    <w:p>
      <w:pPr>
        <w:spacing w:after="0" w:line="13" w:lineRule="exact"/>
        <w:rPr>
          <w:rFonts w:ascii="Arial" w:cs="Arial" w:eastAsia="Arial" w:hAnsi="Arial"/>
          <w:sz w:val="18"/>
          <w:szCs w:val="18"/>
          <w:color w:val="auto"/>
        </w:rPr>
      </w:pPr>
    </w:p>
    <w:p>
      <w:pPr>
        <w:ind w:left="260" w:hanging="210"/>
        <w:spacing w:after="0" w:line="234" w:lineRule="auto"/>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Chair of the Finance Committee</w:t>
      </w:r>
    </w:p>
    <w:p>
      <w:pPr>
        <w:ind w:left="260" w:hanging="210"/>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 of the Board of Directors of Carbon TerraVault Holdings, LLC</w:t>
      </w:r>
    </w:p>
    <w:p>
      <w:pPr>
        <w:spacing w:after="0" w:line="19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Mr. Chapman, 62, has served as a member of California Resources Corporation’s Board of Directors since October 2020. Mr. Chapman serves as a non-executive Advisory Director of SkyWorks Capital, LLC, an aviation and aerospace management consulting services company based in Greenwich, Connecticut, which he joined in December 2004. Prior to SkyWorks, he was associated with Regiment Capital Advisors, LP, an investment advisor based in Boston specializing in high yield investments, which he joined in January 2003. Prior to Regiment, Mr. Chapman acted as a capital markets and strategic planning consultant with private and public companies, as well as investment advisers and hedge funds (including Regiment), across a range of industries. Prior to establishing an independent consulting practice, Mr. Chapman worked for The Renco Group, Inc. (a multi-billion dollar private corporation with diverse investment holdings located throughout the world) from December 1996 to December 2001. Prior to Renco, he was a founding principal of Fieldstone Private Capital Group, Inc. in August 1990 where he headed the Corporate Finance and High Yield Finance Groups. Prior to joining Fieldstone, Mr. Chapman worked for Bankers Trust Company from July 1985 to August 1990, most recently in the BT Securities capital markets area. Mr. Chapman has over 39 years of investment banking experience in a wide range of industries including aviation/airlines, metals/mining, natural resources/energy, automotive/general manufacturing, financial services, real estate and healthcare. Mr. Chapman served on the Board of Directors of Denbury, Inc. from September 2020 until its acquisition in November 2023. In addition, Mr. Chapman served on the Board of Directors of Arch Resources, Inc. from 2016 until May 2024, including as its Chairman from 2016 through April 2020 and Lead Independent Director from April 2020 until May 2024. Mr. Chapman received an M.B.A. degree with distinction from Dartmouth College in 1985 and was elected an Edward Tuck Scholar. He received his BA degree, with distinction, magna cum laude, at Dartmouth College in 1984 and was elected to Phi Beta Kappa, in addition to being a Rufus Choate Scholar.</w:t>
      </w:r>
    </w:p>
    <w:p>
      <w:pPr>
        <w:spacing w:after="0" w:line="238"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6" w:name="page17"/>
    <w:bookmarkEnd w:id="16"/>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74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8256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3420" w:type="dxa"/>
        <w:tblCellMar>
          <w:top w:w="0" w:type="dxa"/>
          <w:left w:w="0" w:type="dxa"/>
          <w:bottom w:w="0" w:type="dxa"/>
          <w:right w:w="0" w:type="dxa"/>
        </w:tblCellMar>
      </w:tblPr>
      <w:tr>
        <w:trPr>
          <w:trHeight w:val="1007"/>
        </w:trPr>
        <w:tc>
          <w:tcPr>
            <w:tcW w:w="2240" w:type="dxa"/>
            <w:vAlign w:val="bottom"/>
            <w:vMerge w:val="restart"/>
          </w:tcPr>
          <w:p>
            <w:pPr>
              <w:spacing w:after="0"/>
              <w:rPr>
                <w:sz w:val="20"/>
                <w:szCs w:val="20"/>
                <w:color w:val="auto"/>
              </w:rPr>
            </w:pPr>
            <w:r>
              <w:rPr>
                <w:rFonts w:ascii="Arial" w:cs="Arial" w:eastAsia="Arial" w:hAnsi="Arial"/>
                <w:sz w:val="18"/>
                <w:szCs w:val="18"/>
                <w:b w:val="1"/>
                <w:bCs w:val="1"/>
                <w:color w:val="0075C9"/>
              </w:rPr>
              <w:t>James R. Jackson</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28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Managing Director Sustainable Energies Group of</w:t>
            </w:r>
          </w:p>
        </w:tc>
        <w:tc>
          <w:tcPr>
            <w:tcW w:w="0" w:type="dxa"/>
            <w:vAlign w:val="bottom"/>
          </w:tcPr>
          <w:p>
            <w:pPr>
              <w:spacing w:after="0"/>
              <w:rPr>
                <w:sz w:val="1"/>
                <w:szCs w:val="1"/>
                <w:color w:val="auto"/>
              </w:rPr>
            </w:pPr>
          </w:p>
        </w:tc>
      </w:tr>
      <w:tr>
        <w:trPr>
          <w:trHeight w:val="203"/>
        </w:trPr>
        <w:tc>
          <w:tcPr>
            <w:tcW w:w="2240" w:type="dxa"/>
            <w:vAlign w:val="bottom"/>
            <w:vMerge w:val="continue"/>
          </w:tcPr>
          <w:p>
            <w:pPr>
              <w:spacing w:after="0"/>
              <w:rPr>
                <w:sz w:val="17"/>
                <w:szCs w:val="17"/>
                <w:color w:val="auto"/>
              </w:rPr>
            </w:pPr>
          </w:p>
        </w:tc>
        <w:tc>
          <w:tcPr>
            <w:tcW w:w="300" w:type="dxa"/>
            <w:vAlign w:val="bottom"/>
            <w:shd w:val="clear" w:color="auto" w:fill="0075C9"/>
          </w:tcPr>
          <w:p>
            <w:pPr>
              <w:spacing w:after="0"/>
              <w:rPr>
                <w:sz w:val="17"/>
                <w:szCs w:val="17"/>
                <w:color w:val="auto"/>
              </w:rPr>
            </w:pPr>
          </w:p>
        </w:tc>
        <w:tc>
          <w:tcPr>
            <w:tcW w:w="5280" w:type="dxa"/>
            <w:vAlign w:val="bottom"/>
            <w:shd w:val="clear" w:color="auto" w:fill="0075C9"/>
          </w:tcPr>
          <w:p>
            <w:pPr>
              <w:ind w:left="40"/>
              <w:spacing w:after="0" w:line="202" w:lineRule="exact"/>
              <w:rPr>
                <w:sz w:val="20"/>
                <w:szCs w:val="20"/>
                <w:color w:val="auto"/>
              </w:rPr>
            </w:pPr>
            <w:r>
              <w:rPr>
                <w:rFonts w:ascii="Arial" w:cs="Arial" w:eastAsia="Arial" w:hAnsi="Arial"/>
                <w:sz w:val="18"/>
                <w:szCs w:val="18"/>
                <w:color w:val="FFFFFF"/>
              </w:rPr>
              <w:t>CPP Investments</w:t>
            </w:r>
          </w:p>
        </w:tc>
        <w:tc>
          <w:tcPr>
            <w:tcW w:w="0" w:type="dxa"/>
            <w:vAlign w:val="bottom"/>
          </w:tcPr>
          <w:p>
            <w:pPr>
              <w:spacing w:after="0"/>
              <w:rPr>
                <w:sz w:val="1"/>
                <w:szCs w:val="1"/>
                <w:color w:val="auto"/>
              </w:rPr>
            </w:pPr>
          </w:p>
        </w:tc>
      </w:tr>
      <w:tr>
        <w:trPr>
          <w:trHeight w:val="235"/>
        </w:trPr>
        <w:tc>
          <w:tcPr>
            <w:tcW w:w="2240" w:type="dxa"/>
            <w:vAlign w:val="bottom"/>
          </w:tcPr>
          <w:p>
            <w:pPr>
              <w:spacing w:after="0"/>
              <w:rPr>
                <w:sz w:val="20"/>
                <w:szCs w:val="20"/>
                <w:color w:val="auto"/>
              </w:rPr>
            </w:pPr>
            <w:r>
              <w:rPr>
                <w:rFonts w:ascii="Arial" w:cs="Arial" w:eastAsia="Arial" w:hAnsi="Arial"/>
                <w:sz w:val="18"/>
                <w:szCs w:val="18"/>
                <w:color w:val="0075C9"/>
              </w:rPr>
              <w:t>Director since: 2024</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28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Director of Encino Acquisition Partners, LLC</w:t>
            </w:r>
          </w:p>
        </w:tc>
        <w:tc>
          <w:tcPr>
            <w:tcW w:w="0" w:type="dxa"/>
            <w:vAlign w:val="bottom"/>
          </w:tcPr>
          <w:p>
            <w:pPr>
              <w:spacing w:after="0"/>
              <w:rPr>
                <w:sz w:val="1"/>
                <w:szCs w:val="1"/>
                <w:color w:val="auto"/>
              </w:rPr>
            </w:pPr>
          </w:p>
        </w:tc>
      </w:tr>
      <w:tr>
        <w:trPr>
          <w:trHeight w:val="203"/>
        </w:trPr>
        <w:tc>
          <w:tcPr>
            <w:tcW w:w="2240" w:type="dxa"/>
            <w:vAlign w:val="bottom"/>
          </w:tcPr>
          <w:p>
            <w:pPr>
              <w:spacing w:after="0" w:line="202" w:lineRule="exact"/>
              <w:rPr>
                <w:sz w:val="20"/>
                <w:szCs w:val="20"/>
                <w:color w:val="auto"/>
              </w:rPr>
            </w:pPr>
            <w:r>
              <w:rPr>
                <w:rFonts w:ascii="Arial" w:cs="Arial" w:eastAsia="Arial" w:hAnsi="Arial"/>
                <w:sz w:val="18"/>
                <w:szCs w:val="18"/>
                <w:color w:val="0075C9"/>
              </w:rPr>
              <w:t>Age: 48</w:t>
            </w:r>
          </w:p>
        </w:tc>
        <w:tc>
          <w:tcPr>
            <w:tcW w:w="300" w:type="dxa"/>
            <w:vAlign w:val="bottom"/>
            <w:shd w:val="clear" w:color="auto" w:fill="0075C9"/>
          </w:tcPr>
          <w:p>
            <w:pPr>
              <w:ind w:left="180"/>
              <w:spacing w:after="0" w:line="202" w:lineRule="exact"/>
              <w:rPr>
                <w:sz w:val="20"/>
                <w:szCs w:val="20"/>
                <w:color w:val="auto"/>
              </w:rPr>
            </w:pPr>
            <w:r>
              <w:rPr>
                <w:rFonts w:ascii="Arial" w:cs="Arial" w:eastAsia="Arial" w:hAnsi="Arial"/>
                <w:sz w:val="18"/>
                <w:szCs w:val="18"/>
                <w:color w:val="FFFFFF"/>
              </w:rPr>
              <w:t>•</w:t>
            </w:r>
          </w:p>
        </w:tc>
        <w:tc>
          <w:tcPr>
            <w:tcW w:w="5280" w:type="dxa"/>
            <w:vAlign w:val="bottom"/>
            <w:shd w:val="clear" w:color="auto" w:fill="0075C9"/>
          </w:tcPr>
          <w:p>
            <w:pPr>
              <w:ind w:left="40"/>
              <w:spacing w:after="0" w:line="202" w:lineRule="exact"/>
              <w:rPr>
                <w:sz w:val="20"/>
                <w:szCs w:val="20"/>
                <w:color w:val="auto"/>
              </w:rPr>
            </w:pPr>
            <w:r>
              <w:rPr>
                <w:rFonts w:ascii="Arial" w:cs="Arial" w:eastAsia="Arial" w:hAnsi="Arial"/>
                <w:sz w:val="18"/>
                <w:szCs w:val="18"/>
                <w:color w:val="FFFFFF"/>
              </w:rPr>
              <w:t>Director of VoltaGrid LLC</w:t>
            </w:r>
          </w:p>
        </w:tc>
        <w:tc>
          <w:tcPr>
            <w:tcW w:w="0" w:type="dxa"/>
            <w:vAlign w:val="bottom"/>
          </w:tcPr>
          <w:p>
            <w:pPr>
              <w:spacing w:after="0"/>
              <w:rPr>
                <w:sz w:val="1"/>
                <w:szCs w:val="1"/>
                <w:color w:val="auto"/>
              </w:rPr>
            </w:pPr>
          </w:p>
        </w:tc>
      </w:tr>
      <w:tr>
        <w:trPr>
          <w:trHeight w:val="239"/>
        </w:trPr>
        <w:tc>
          <w:tcPr>
            <w:tcW w:w="2240" w:type="dxa"/>
            <w:vAlign w:val="bottom"/>
          </w:tcPr>
          <w:p>
            <w:pPr>
              <w:spacing w:after="0"/>
              <w:rPr>
                <w:sz w:val="20"/>
                <w:szCs w:val="20"/>
                <w:color w:val="auto"/>
              </w:rPr>
            </w:pP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28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Former Director of Aera Energy LLC</w:t>
            </w:r>
          </w:p>
        </w:tc>
        <w:tc>
          <w:tcPr>
            <w:tcW w:w="0" w:type="dxa"/>
            <w:vAlign w:val="bottom"/>
          </w:tcPr>
          <w:p>
            <w:pPr>
              <w:spacing w:after="0"/>
              <w:rPr>
                <w:sz w:val="1"/>
                <w:szCs w:val="1"/>
                <w:color w:val="auto"/>
              </w:rPr>
            </w:pPr>
          </w:p>
        </w:tc>
      </w:tr>
      <w:tr>
        <w:trPr>
          <w:trHeight w:val="774"/>
        </w:trPr>
        <w:tc>
          <w:tcPr>
            <w:tcW w:w="224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28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8"/>
          <w:szCs w:val="18"/>
          <w:color w:val="auto"/>
        </w:rPr>
        <w:t>•</w:t>
        <w:tab/>
        <w:t>Member of the Sustainability Committee</w:t>
      </w:r>
    </w:p>
    <w:p>
      <w:pPr>
        <w:spacing w:after="0" w:line="212"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Mr. Jackson, 48, has served as a member of California Resources Corporation’s Board of Directors since July 2024. Mr. Jackson is a Managing Director of the Sustainable Energies Group of CPPIB located in Toronto. Mr. Jackson originates, executes, and manages investments in the upstream and energy transition sectors. Mr. Jackson joined CPPIB in 2017 and prior to that was employed in the energy sector for 18 years in various technical and executive capacities at several small to large cap, public and private E&amp;P companies. Mr. Jackson is on the boards of Encino Acquisition Partners, LLC and VoltaGrid, LLC along with holding a seat on the Limited Partner Advisory Committee of the Quantum Capital Partners fund investments. Mr. Jackson previously served on the board of directors of Aera Energy LLC (“</w:t>
      </w:r>
      <w:r>
        <w:rPr>
          <w:rFonts w:ascii="Arial" w:cs="Arial" w:eastAsia="Arial" w:hAnsi="Arial"/>
          <w:sz w:val="18"/>
          <w:szCs w:val="18"/>
          <w:b w:val="1"/>
          <w:bCs w:val="1"/>
          <w:color w:val="auto"/>
        </w:rPr>
        <w:t>Aera</w:t>
      </w:r>
      <w:r>
        <w:rPr>
          <w:rFonts w:ascii="Arial" w:cs="Arial" w:eastAsia="Arial" w:hAnsi="Arial"/>
          <w:sz w:val="18"/>
          <w:szCs w:val="18"/>
          <w:color w:val="auto"/>
        </w:rPr>
        <w:t>”) until its merger with CRC in July 2024. Mr. Jackson holds a Bachelor of Science degree in Chemical and Petroleum Engineering (Distinction) from the University of Calgary, is a licensed professional engineer and is a CFA Charterholder.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3400" w:type="dxa"/>
        <w:tblCellMar>
          <w:top w:w="0" w:type="dxa"/>
          <w:left w:w="0" w:type="dxa"/>
          <w:bottom w:w="0" w:type="dxa"/>
          <w:right w:w="0" w:type="dxa"/>
        </w:tblCellMar>
      </w:tblPr>
      <w:tr>
        <w:trPr>
          <w:trHeight w:val="1093"/>
        </w:trPr>
        <w:tc>
          <w:tcPr>
            <w:tcW w:w="2260" w:type="dxa"/>
            <w:vAlign w:val="bottom"/>
          </w:tcPr>
          <w:p>
            <w:pPr>
              <w:spacing w:after="0"/>
              <w:rPr>
                <w:sz w:val="20"/>
                <w:szCs w:val="20"/>
                <w:color w:val="auto"/>
              </w:rPr>
            </w:pPr>
            <w:r>
              <w:rPr>
                <w:rFonts w:ascii="Arial" w:cs="Arial" w:eastAsia="Arial" w:hAnsi="Arial"/>
                <w:sz w:val="18"/>
                <w:szCs w:val="18"/>
                <w:b w:val="1"/>
                <w:bCs w:val="1"/>
                <w:color w:val="0075C9"/>
              </w:rPr>
              <w:t>Christian S. Kendall</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28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Former President &amp; CEO and Director</w:t>
            </w:r>
          </w:p>
        </w:tc>
        <w:tc>
          <w:tcPr>
            <w:tcW w:w="0" w:type="dxa"/>
            <w:vAlign w:val="bottom"/>
          </w:tcPr>
          <w:p>
            <w:pPr>
              <w:spacing w:after="0"/>
              <w:rPr>
                <w:sz w:val="1"/>
                <w:szCs w:val="1"/>
                <w:color w:val="auto"/>
              </w:rPr>
            </w:pPr>
          </w:p>
        </w:tc>
      </w:tr>
      <w:tr>
        <w:trPr>
          <w:trHeight w:val="184"/>
        </w:trPr>
        <w:tc>
          <w:tcPr>
            <w:tcW w:w="2260" w:type="dxa"/>
            <w:vAlign w:val="bottom"/>
            <w:vMerge w:val="restart"/>
          </w:tcPr>
          <w:p>
            <w:pPr>
              <w:spacing w:after="0"/>
              <w:rPr>
                <w:sz w:val="20"/>
                <w:szCs w:val="20"/>
                <w:color w:val="auto"/>
              </w:rPr>
            </w:pPr>
            <w:r>
              <w:rPr>
                <w:rFonts w:ascii="Arial" w:cs="Arial" w:eastAsia="Arial" w:hAnsi="Arial"/>
                <w:sz w:val="18"/>
                <w:szCs w:val="18"/>
                <w:color w:val="0075C9"/>
              </w:rPr>
              <w:t>Director since: 2024</w:t>
            </w:r>
          </w:p>
        </w:tc>
        <w:tc>
          <w:tcPr>
            <w:tcW w:w="300" w:type="dxa"/>
            <w:vAlign w:val="bottom"/>
            <w:shd w:val="clear" w:color="auto" w:fill="0075C9"/>
          </w:tcPr>
          <w:p>
            <w:pPr>
              <w:spacing w:after="0"/>
              <w:rPr>
                <w:sz w:val="15"/>
                <w:szCs w:val="15"/>
                <w:color w:val="auto"/>
              </w:rPr>
            </w:pPr>
          </w:p>
        </w:tc>
        <w:tc>
          <w:tcPr>
            <w:tcW w:w="5280" w:type="dxa"/>
            <w:vAlign w:val="bottom"/>
            <w:shd w:val="clear" w:color="auto" w:fill="0075C9"/>
          </w:tcPr>
          <w:p>
            <w:pPr>
              <w:ind w:left="60"/>
              <w:spacing w:after="0" w:line="183" w:lineRule="exact"/>
              <w:rPr>
                <w:sz w:val="20"/>
                <w:szCs w:val="20"/>
                <w:color w:val="auto"/>
              </w:rPr>
            </w:pPr>
            <w:r>
              <w:rPr>
                <w:rFonts w:ascii="Arial" w:cs="Arial" w:eastAsia="Arial" w:hAnsi="Arial"/>
                <w:sz w:val="18"/>
                <w:szCs w:val="18"/>
                <w:color w:val="FFFFFF"/>
              </w:rPr>
              <w:t>of Denbury Inc.</w:t>
            </w:r>
          </w:p>
        </w:tc>
        <w:tc>
          <w:tcPr>
            <w:tcW w:w="0" w:type="dxa"/>
            <w:vAlign w:val="bottom"/>
          </w:tcPr>
          <w:p>
            <w:pPr>
              <w:spacing w:after="0"/>
              <w:rPr>
                <w:sz w:val="1"/>
                <w:szCs w:val="1"/>
                <w:color w:val="auto"/>
              </w:rPr>
            </w:pPr>
          </w:p>
        </w:tc>
      </w:tr>
      <w:tr>
        <w:trPr>
          <w:trHeight w:val="181"/>
        </w:trPr>
        <w:tc>
          <w:tcPr>
            <w:tcW w:w="2260" w:type="dxa"/>
            <w:vAlign w:val="bottom"/>
            <w:vMerge w:val="continue"/>
          </w:tcPr>
          <w:p>
            <w:pPr>
              <w:spacing w:after="0"/>
              <w:rPr>
                <w:sz w:val="15"/>
                <w:szCs w:val="15"/>
                <w:color w:val="auto"/>
              </w:rPr>
            </w:pPr>
          </w:p>
        </w:tc>
        <w:tc>
          <w:tcPr>
            <w:tcW w:w="300" w:type="dxa"/>
            <w:vAlign w:val="bottom"/>
            <w:shd w:val="clear" w:color="auto" w:fill="0075C9"/>
          </w:tcPr>
          <w:p>
            <w:pPr>
              <w:ind w:left="180"/>
              <w:spacing w:after="0" w:line="181" w:lineRule="exact"/>
              <w:rPr>
                <w:sz w:val="20"/>
                <w:szCs w:val="20"/>
                <w:color w:val="auto"/>
              </w:rPr>
            </w:pPr>
            <w:r>
              <w:rPr>
                <w:rFonts w:ascii="Arial" w:cs="Arial" w:eastAsia="Arial" w:hAnsi="Arial"/>
                <w:sz w:val="18"/>
                <w:szCs w:val="18"/>
                <w:color w:val="FFFFFF"/>
              </w:rPr>
              <w:t>•</w:t>
            </w:r>
          </w:p>
        </w:tc>
        <w:tc>
          <w:tcPr>
            <w:tcW w:w="5280" w:type="dxa"/>
            <w:vAlign w:val="bottom"/>
            <w:shd w:val="clear" w:color="auto" w:fill="0075C9"/>
          </w:tcPr>
          <w:p>
            <w:pPr>
              <w:ind w:left="40"/>
              <w:spacing w:after="0" w:line="181" w:lineRule="exact"/>
              <w:rPr>
                <w:sz w:val="20"/>
                <w:szCs w:val="20"/>
                <w:color w:val="auto"/>
              </w:rPr>
            </w:pPr>
            <w:r>
              <w:rPr>
                <w:rFonts w:ascii="Arial" w:cs="Arial" w:eastAsia="Arial" w:hAnsi="Arial"/>
                <w:sz w:val="18"/>
                <w:szCs w:val="18"/>
                <w:color w:val="FFFFFF"/>
              </w:rPr>
              <w:t>Former Senior VP Global Operations Services of</w:t>
            </w:r>
          </w:p>
        </w:tc>
        <w:tc>
          <w:tcPr>
            <w:tcW w:w="0" w:type="dxa"/>
            <w:vAlign w:val="bottom"/>
          </w:tcPr>
          <w:p>
            <w:pPr>
              <w:spacing w:after="0"/>
              <w:rPr>
                <w:sz w:val="1"/>
                <w:szCs w:val="1"/>
                <w:color w:val="auto"/>
              </w:rPr>
            </w:pPr>
          </w:p>
        </w:tc>
      </w:tr>
      <w:tr>
        <w:trPr>
          <w:trHeight w:val="260"/>
        </w:trPr>
        <w:tc>
          <w:tcPr>
            <w:tcW w:w="2260" w:type="dxa"/>
            <w:vAlign w:val="bottom"/>
          </w:tcPr>
          <w:p>
            <w:pPr>
              <w:spacing w:after="0"/>
              <w:rPr>
                <w:sz w:val="20"/>
                <w:szCs w:val="20"/>
                <w:color w:val="auto"/>
              </w:rPr>
            </w:pPr>
            <w:r>
              <w:rPr>
                <w:rFonts w:ascii="Arial" w:cs="Arial" w:eastAsia="Arial" w:hAnsi="Arial"/>
                <w:sz w:val="18"/>
                <w:szCs w:val="18"/>
                <w:color w:val="0075C9"/>
              </w:rPr>
              <w:t>Age: 58</w:t>
            </w:r>
          </w:p>
        </w:tc>
        <w:tc>
          <w:tcPr>
            <w:tcW w:w="300" w:type="dxa"/>
            <w:vAlign w:val="bottom"/>
            <w:shd w:val="clear" w:color="auto" w:fill="0075C9"/>
          </w:tcPr>
          <w:p>
            <w:pPr>
              <w:spacing w:after="0"/>
              <w:rPr>
                <w:sz w:val="22"/>
                <w:szCs w:val="22"/>
                <w:color w:val="auto"/>
              </w:rPr>
            </w:pPr>
          </w:p>
        </w:tc>
        <w:tc>
          <w:tcPr>
            <w:tcW w:w="528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Noble Energy</w:t>
            </w:r>
          </w:p>
        </w:tc>
        <w:tc>
          <w:tcPr>
            <w:tcW w:w="0" w:type="dxa"/>
            <w:vAlign w:val="bottom"/>
          </w:tcPr>
          <w:p>
            <w:pPr>
              <w:spacing w:after="0"/>
              <w:rPr>
                <w:sz w:val="1"/>
                <w:szCs w:val="1"/>
                <w:color w:val="auto"/>
              </w:rPr>
            </w:pPr>
          </w:p>
        </w:tc>
      </w:tr>
      <w:tr>
        <w:trPr>
          <w:trHeight w:val="873"/>
        </w:trPr>
        <w:tc>
          <w:tcPr>
            <w:tcW w:w="226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28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-1645285</wp:posOffset>
            </wp:positionV>
            <wp:extent cx="1234440" cy="16459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34440" cy="1645920"/>
                    </a:xfrm>
                    <a:prstGeom prst="rect">
                      <a:avLst/>
                    </a:prstGeom>
                    <a:noFill/>
                  </pic:spPr>
                </pic:pic>
              </a:graphicData>
            </a:graphic>
          </wp:anchor>
        </w:drawing>
      </w:r>
    </w:p>
    <w:p>
      <w:pPr>
        <w:spacing w:after="0" w:line="177" w:lineRule="exact"/>
        <w:rPr>
          <w:sz w:val="20"/>
          <w:szCs w:val="20"/>
          <w:color w:val="auto"/>
        </w:rPr>
      </w:pPr>
    </w:p>
    <w:p>
      <w:pPr>
        <w:ind w:left="220" w:hanging="170"/>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Chair of the Nominating and Governance Committee</w:t>
      </w:r>
    </w:p>
    <w:p>
      <w:pPr>
        <w:spacing w:after="0" w:line="13" w:lineRule="exact"/>
        <w:rPr>
          <w:rFonts w:ascii="Arial" w:cs="Arial" w:eastAsia="Arial" w:hAnsi="Arial"/>
          <w:sz w:val="18"/>
          <w:szCs w:val="18"/>
          <w:color w:val="auto"/>
        </w:rPr>
      </w:pPr>
    </w:p>
    <w:p>
      <w:pPr>
        <w:ind w:left="220" w:hanging="170"/>
        <w:spacing w:after="0" w:line="234" w:lineRule="auto"/>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220" w:hanging="170"/>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the Board of Directors of Carbon TerraVault Holdings, LLC</w:t>
      </w:r>
    </w:p>
    <w:p>
      <w:pPr>
        <w:spacing w:after="0" w:line="194"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Mr. Kendall, 58, has served as a member of California Resources Corporation’s Board of Directors since May 2024. Mr. Kendall was the President and Chief Executive Officer of Denbury Inc., and a member of Denbury's Board of Directors, from July 2017, through its 2020 bankruptcy and emergence therefrom, until November 2023, when it was acquired by ExxonMobil Corporation. Mr. Kendall joined Denbury as Chief Operating Officer in September 2015 and was named President in October 2016. Prior to joining Denbury, Mr. Kendall was with Noble Energy, most recently serving as Senior Vice President, Global Operations Services. Over the course of his 14-year tenure at Noble Energy, he held a wide range of international and domestic leadership positions, primarily in the Eastern Mediterranean, Latin America and the Gulf of Mexico regions. Mr. Kendall</w:t>
      </w:r>
    </w:p>
    <w:p>
      <w:pPr>
        <w:spacing w:after="0" w:line="239"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7" w:name="page18"/>
    <w:bookmarkEnd w:id="17"/>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74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Board of Directors and Corporate Governance</w:t>
      </w:r>
    </w:p>
    <w:p>
      <w:pPr>
        <w:spacing w:after="0" w:line="369" w:lineRule="exact"/>
        <w:rPr>
          <w:sz w:val="20"/>
          <w:szCs w:val="20"/>
          <w:color w:val="auto"/>
        </w:rPr>
      </w:pPr>
    </w:p>
    <w:p>
      <w:pPr>
        <w:jc w:val="both"/>
        <w:ind w:right="280"/>
        <w:spacing w:after="0" w:line="253" w:lineRule="auto"/>
        <w:rPr>
          <w:sz w:val="20"/>
          <w:szCs w:val="20"/>
          <w:color w:val="auto"/>
        </w:rPr>
      </w:pPr>
      <w:r>
        <w:rPr>
          <w:rFonts w:ascii="Arial" w:cs="Arial" w:eastAsia="Arial" w:hAnsi="Arial"/>
          <w:sz w:val="18"/>
          <w:szCs w:val="18"/>
          <w:color w:val="auto"/>
        </w:rPr>
        <w:t>began his career at Mobil Oil Corporation in 1989. Mr. Kendall earned his Bachelor of Science degree in Engineering, Civil Specialty, from the Colorado School of Mines and is a graduate of the Advanced Management Program at the Harvard Business School. Mr. Kendall also serves on the board of the Lone Star Chapter of the Lupus Foundation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3420" w:type="dxa"/>
        <w:tblCellMar>
          <w:top w:w="0" w:type="dxa"/>
          <w:left w:w="0" w:type="dxa"/>
          <w:bottom w:w="0" w:type="dxa"/>
          <w:right w:w="0" w:type="dxa"/>
        </w:tblCellMar>
      </w:tblPr>
      <w:tr>
        <w:trPr>
          <w:trHeight w:val="899"/>
        </w:trPr>
        <w:tc>
          <w:tcPr>
            <w:tcW w:w="2240" w:type="dxa"/>
            <w:vAlign w:val="bottom"/>
            <w:vMerge w:val="restart"/>
          </w:tcPr>
          <w:p>
            <w:pPr>
              <w:spacing w:after="0"/>
              <w:rPr>
                <w:sz w:val="20"/>
                <w:szCs w:val="20"/>
                <w:color w:val="auto"/>
              </w:rPr>
            </w:pPr>
            <w:r>
              <w:rPr>
                <w:rFonts w:ascii="Arial" w:cs="Arial" w:eastAsia="Arial" w:hAnsi="Arial"/>
                <w:sz w:val="18"/>
                <w:szCs w:val="18"/>
                <w:b w:val="1"/>
                <w:bCs w:val="1"/>
                <w:color w:val="0075C9"/>
              </w:rPr>
              <w:t>Francisco J. Leon</w:t>
            </w:r>
          </w:p>
        </w:tc>
        <w:tc>
          <w:tcPr>
            <w:tcW w:w="28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30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President &amp; CEO of California Resources Corporation</w:t>
            </w:r>
          </w:p>
        </w:tc>
        <w:tc>
          <w:tcPr>
            <w:tcW w:w="0" w:type="dxa"/>
            <w:vAlign w:val="bottom"/>
          </w:tcPr>
          <w:p>
            <w:pPr>
              <w:spacing w:after="0"/>
              <w:rPr>
                <w:sz w:val="1"/>
                <w:szCs w:val="1"/>
                <w:color w:val="auto"/>
              </w:rPr>
            </w:pPr>
          </w:p>
        </w:tc>
      </w:tr>
      <w:tr>
        <w:trPr>
          <w:trHeight w:val="203"/>
        </w:trPr>
        <w:tc>
          <w:tcPr>
            <w:tcW w:w="2240" w:type="dxa"/>
            <w:vAlign w:val="bottom"/>
            <w:vMerge w:val="continue"/>
          </w:tcPr>
          <w:p>
            <w:pPr>
              <w:spacing w:after="0"/>
              <w:rPr>
                <w:sz w:val="17"/>
                <w:szCs w:val="17"/>
                <w:color w:val="auto"/>
              </w:rPr>
            </w:pPr>
          </w:p>
        </w:tc>
        <w:tc>
          <w:tcPr>
            <w:tcW w:w="5580" w:type="dxa"/>
            <w:vAlign w:val="bottom"/>
            <w:gridSpan w:val="2"/>
            <w:shd w:val="clear" w:color="auto" w:fill="0075C9"/>
          </w:tcPr>
          <w:p>
            <w:pPr>
              <w:ind w:left="180"/>
              <w:spacing w:after="0" w:line="202" w:lineRule="exact"/>
              <w:rPr>
                <w:sz w:val="20"/>
                <w:szCs w:val="20"/>
                <w:color w:val="auto"/>
              </w:rPr>
            </w:pPr>
            <w:r>
              <w:rPr>
                <w:rFonts w:ascii="Arial" w:cs="Arial" w:eastAsia="Arial" w:hAnsi="Arial"/>
                <w:sz w:val="18"/>
                <w:szCs w:val="18"/>
                <w:color w:val="FFFFFF"/>
              </w:rPr>
              <w:t>• Prior Executive Vice President and CFO of CRC</w:t>
            </w:r>
          </w:p>
        </w:tc>
        <w:tc>
          <w:tcPr>
            <w:tcW w:w="0" w:type="dxa"/>
            <w:vAlign w:val="bottom"/>
          </w:tcPr>
          <w:p>
            <w:pPr>
              <w:spacing w:after="0"/>
              <w:rPr>
                <w:sz w:val="1"/>
                <w:szCs w:val="1"/>
                <w:color w:val="auto"/>
              </w:rPr>
            </w:pPr>
          </w:p>
        </w:tc>
      </w:tr>
      <w:tr>
        <w:trPr>
          <w:trHeight w:val="235"/>
        </w:trPr>
        <w:tc>
          <w:tcPr>
            <w:tcW w:w="2240" w:type="dxa"/>
            <w:vAlign w:val="bottom"/>
          </w:tcPr>
          <w:p>
            <w:pPr>
              <w:spacing w:after="0"/>
              <w:rPr>
                <w:sz w:val="20"/>
                <w:szCs w:val="20"/>
                <w:color w:val="auto"/>
              </w:rPr>
            </w:pPr>
            <w:r>
              <w:rPr>
                <w:rFonts w:ascii="Arial" w:cs="Arial" w:eastAsia="Arial" w:hAnsi="Arial"/>
                <w:sz w:val="18"/>
                <w:szCs w:val="18"/>
                <w:color w:val="0075C9"/>
              </w:rPr>
              <w:t>President and CEO</w:t>
            </w:r>
          </w:p>
        </w:tc>
        <w:tc>
          <w:tcPr>
            <w:tcW w:w="28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30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Prior Executive Vice President, Corporate Development &amp;</w:t>
            </w:r>
          </w:p>
        </w:tc>
        <w:tc>
          <w:tcPr>
            <w:tcW w:w="0" w:type="dxa"/>
            <w:vAlign w:val="bottom"/>
          </w:tcPr>
          <w:p>
            <w:pPr>
              <w:spacing w:after="0"/>
              <w:rPr>
                <w:sz w:val="1"/>
                <w:szCs w:val="1"/>
                <w:color w:val="auto"/>
              </w:rPr>
            </w:pPr>
          </w:p>
        </w:tc>
      </w:tr>
      <w:tr>
        <w:trPr>
          <w:trHeight w:val="203"/>
        </w:trPr>
        <w:tc>
          <w:tcPr>
            <w:tcW w:w="2240" w:type="dxa"/>
            <w:vAlign w:val="bottom"/>
          </w:tcPr>
          <w:p>
            <w:pPr>
              <w:spacing w:after="0" w:line="202" w:lineRule="exact"/>
              <w:rPr>
                <w:sz w:val="20"/>
                <w:szCs w:val="20"/>
                <w:color w:val="auto"/>
              </w:rPr>
            </w:pPr>
            <w:r>
              <w:rPr>
                <w:rFonts w:ascii="Arial" w:cs="Arial" w:eastAsia="Arial" w:hAnsi="Arial"/>
                <w:sz w:val="18"/>
                <w:szCs w:val="18"/>
                <w:color w:val="0075C9"/>
              </w:rPr>
              <w:t>Director since: 2023</w:t>
            </w:r>
          </w:p>
        </w:tc>
        <w:tc>
          <w:tcPr>
            <w:tcW w:w="28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300" w:type="dxa"/>
            <w:vAlign w:val="bottom"/>
            <w:shd w:val="clear" w:color="auto" w:fill="0075C9"/>
          </w:tcPr>
          <w:p>
            <w:pPr>
              <w:ind w:left="80"/>
              <w:spacing w:after="0" w:line="202" w:lineRule="exact"/>
              <w:rPr>
                <w:sz w:val="20"/>
                <w:szCs w:val="20"/>
                <w:color w:val="auto"/>
              </w:rPr>
            </w:pPr>
            <w:r>
              <w:rPr>
                <w:rFonts w:ascii="Arial" w:cs="Arial" w:eastAsia="Arial" w:hAnsi="Arial"/>
                <w:sz w:val="18"/>
                <w:szCs w:val="18"/>
                <w:color w:val="FFFFFF"/>
              </w:rPr>
              <w:t>Strategic Planning of CRC</w:t>
            </w:r>
          </w:p>
        </w:tc>
        <w:tc>
          <w:tcPr>
            <w:tcW w:w="0" w:type="dxa"/>
            <w:vAlign w:val="bottom"/>
          </w:tcPr>
          <w:p>
            <w:pPr>
              <w:spacing w:after="0"/>
              <w:rPr>
                <w:sz w:val="1"/>
                <w:szCs w:val="1"/>
                <w:color w:val="auto"/>
              </w:rPr>
            </w:pPr>
          </w:p>
        </w:tc>
      </w:tr>
      <w:tr>
        <w:trPr>
          <w:trHeight w:val="188"/>
        </w:trPr>
        <w:tc>
          <w:tcPr>
            <w:tcW w:w="2240" w:type="dxa"/>
            <w:vAlign w:val="bottom"/>
          </w:tcPr>
          <w:p>
            <w:pPr>
              <w:spacing w:after="0" w:line="189" w:lineRule="exact"/>
              <w:rPr>
                <w:sz w:val="20"/>
                <w:szCs w:val="20"/>
                <w:color w:val="auto"/>
              </w:rPr>
            </w:pPr>
            <w:r>
              <w:rPr>
                <w:rFonts w:ascii="Arial" w:cs="Arial" w:eastAsia="Arial" w:hAnsi="Arial"/>
                <w:sz w:val="18"/>
                <w:szCs w:val="18"/>
                <w:color w:val="0075C9"/>
              </w:rPr>
              <w:t>Age: 48</w:t>
            </w:r>
          </w:p>
        </w:tc>
        <w:tc>
          <w:tcPr>
            <w:tcW w:w="280" w:type="dxa"/>
            <w:vAlign w:val="bottom"/>
            <w:vMerge w:val="continue"/>
            <w:shd w:val="clear" w:color="auto" w:fill="0075C9"/>
          </w:tcPr>
          <w:p>
            <w:pPr>
              <w:spacing w:after="0"/>
              <w:rPr>
                <w:sz w:val="16"/>
                <w:szCs w:val="16"/>
                <w:color w:val="auto"/>
              </w:rPr>
            </w:pPr>
          </w:p>
        </w:tc>
        <w:tc>
          <w:tcPr>
            <w:tcW w:w="5300" w:type="dxa"/>
            <w:vAlign w:val="bottom"/>
            <w:shd w:val="clear" w:color="auto" w:fill="0075C9"/>
          </w:tcPr>
          <w:p>
            <w:pPr>
              <w:ind w:left="60"/>
              <w:spacing w:after="0" w:line="189" w:lineRule="exact"/>
              <w:rPr>
                <w:sz w:val="20"/>
                <w:szCs w:val="20"/>
                <w:color w:val="auto"/>
              </w:rPr>
            </w:pPr>
            <w:r>
              <w:rPr>
                <w:rFonts w:ascii="Arial" w:cs="Arial" w:eastAsia="Arial" w:hAnsi="Arial"/>
                <w:sz w:val="18"/>
                <w:szCs w:val="18"/>
                <w:color w:val="FFFFFF"/>
              </w:rPr>
              <w:t>Prior Vice President – Portfolio Management and Strategic</w:t>
            </w:r>
          </w:p>
        </w:tc>
        <w:tc>
          <w:tcPr>
            <w:tcW w:w="0" w:type="dxa"/>
            <w:vAlign w:val="bottom"/>
          </w:tcPr>
          <w:p>
            <w:pPr>
              <w:spacing w:after="0"/>
              <w:rPr>
                <w:sz w:val="1"/>
                <w:szCs w:val="1"/>
                <w:color w:val="auto"/>
              </w:rPr>
            </w:pPr>
          </w:p>
        </w:tc>
      </w:tr>
      <w:tr>
        <w:trPr>
          <w:trHeight w:val="239"/>
        </w:trPr>
        <w:tc>
          <w:tcPr>
            <w:tcW w:w="2240" w:type="dxa"/>
            <w:vAlign w:val="bottom"/>
          </w:tcPr>
          <w:p>
            <w:pPr>
              <w:spacing w:after="0"/>
              <w:rPr>
                <w:sz w:val="20"/>
                <w:szCs w:val="20"/>
                <w:color w:val="auto"/>
              </w:rPr>
            </w:pPr>
          </w:p>
        </w:tc>
        <w:tc>
          <w:tcPr>
            <w:tcW w:w="280" w:type="dxa"/>
            <w:vAlign w:val="bottom"/>
            <w:shd w:val="clear" w:color="auto" w:fill="0075C9"/>
          </w:tcPr>
          <w:p>
            <w:pPr>
              <w:spacing w:after="0"/>
              <w:rPr>
                <w:sz w:val="20"/>
                <w:szCs w:val="20"/>
                <w:color w:val="auto"/>
              </w:rPr>
            </w:pPr>
          </w:p>
        </w:tc>
        <w:tc>
          <w:tcPr>
            <w:tcW w:w="530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Planning of CRC</w:t>
            </w:r>
          </w:p>
        </w:tc>
        <w:tc>
          <w:tcPr>
            <w:tcW w:w="0" w:type="dxa"/>
            <w:vAlign w:val="bottom"/>
          </w:tcPr>
          <w:p>
            <w:pPr>
              <w:spacing w:after="0"/>
              <w:rPr>
                <w:sz w:val="1"/>
                <w:szCs w:val="1"/>
                <w:color w:val="auto"/>
              </w:rPr>
            </w:pPr>
          </w:p>
        </w:tc>
      </w:tr>
      <w:tr>
        <w:trPr>
          <w:trHeight w:val="680"/>
        </w:trPr>
        <w:tc>
          <w:tcPr>
            <w:tcW w:w="2240" w:type="dxa"/>
            <w:vAlign w:val="bottom"/>
          </w:tcPr>
          <w:p>
            <w:pPr>
              <w:spacing w:after="0"/>
              <w:rPr>
                <w:sz w:val="24"/>
                <w:szCs w:val="24"/>
                <w:color w:val="auto"/>
              </w:rPr>
            </w:pPr>
          </w:p>
        </w:tc>
        <w:tc>
          <w:tcPr>
            <w:tcW w:w="280" w:type="dxa"/>
            <w:vAlign w:val="bottom"/>
            <w:shd w:val="clear" w:color="auto" w:fill="0075C9"/>
          </w:tcPr>
          <w:p>
            <w:pPr>
              <w:spacing w:after="0"/>
              <w:rPr>
                <w:sz w:val="24"/>
                <w:szCs w:val="24"/>
                <w:color w:val="auto"/>
              </w:rPr>
            </w:pPr>
          </w:p>
        </w:tc>
        <w:tc>
          <w:tcPr>
            <w:tcW w:w="530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-1679575</wp:posOffset>
            </wp:positionV>
            <wp:extent cx="1337310" cy="16802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37310" cy="1680210"/>
                    </a:xfrm>
                    <a:prstGeom prst="rect">
                      <a:avLst/>
                    </a:prstGeom>
                    <a:noFill/>
                  </pic:spPr>
                </pic:pic>
              </a:graphicData>
            </a:graphic>
          </wp:anchor>
        </w:drawing>
      </w:r>
    </w:p>
    <w:p>
      <w:pPr>
        <w:spacing w:after="0" w:line="17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Mr. Leon, 48, is the President and Chief Executive Officer of California Resources Corporation and has served on its Board of Directors since April 2023. He previously served as the Executive Vice President and Chief Financial Officer of CRC from August 2020 to April 2023. Mr. Leon originally joined CRC in 2014 during the spin-off from Occidental Petroleum as Vice President of Portfolio Management and Strategic Planning. In 2018, Mr. Leon was named Vice President of Corporate Development where he oversaw all acquisition and divestiture activities for the company. Prior to joining CRC, Mr. Leon worked at Occidental Petroleum Corporation where he held various roles in Finance, Planning and U.S. and International Business Development areas. Mr. Leon started his career with Petrie Parkman &amp; Co., Inc., an energy-focused boutique investment banking firm. Mr. Leon holds an M.B.A. from the University of Texas, Austin and a Bachelor of Arts in International Business from San Diego State University and CETYS Universidad in Mexico. From 2019 to 2022, he served on the Board of the Union Rescue Mission of Los Angeles which is one of the largest privately run homeless shelters in the U.S. Since the Fall of 2022, Mr. Leon serves on the Board of the American Red Cross - LA Chapter and on the Advisory Board of the McCombs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3420" w:type="dxa"/>
        <w:tblCellMar>
          <w:top w:w="0" w:type="dxa"/>
          <w:left w:w="0" w:type="dxa"/>
          <w:bottom w:w="0" w:type="dxa"/>
          <w:right w:w="0" w:type="dxa"/>
        </w:tblCellMar>
      </w:tblPr>
      <w:tr>
        <w:trPr>
          <w:trHeight w:val="791"/>
        </w:trPr>
        <w:tc>
          <w:tcPr>
            <w:tcW w:w="2240" w:type="dxa"/>
            <w:vAlign w:val="bottom"/>
          </w:tcPr>
          <w:p>
            <w:pPr>
              <w:spacing w:after="0"/>
              <w:rPr>
                <w:sz w:val="24"/>
                <w:szCs w:val="24"/>
                <w:color w:val="auto"/>
              </w:rPr>
            </w:pPr>
          </w:p>
        </w:tc>
        <w:tc>
          <w:tcPr>
            <w:tcW w:w="558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 Former President and CEO of CRC</w:t>
            </w:r>
          </w:p>
        </w:tc>
        <w:tc>
          <w:tcPr>
            <w:tcW w:w="0" w:type="dxa"/>
            <w:vAlign w:val="bottom"/>
          </w:tcPr>
          <w:p>
            <w:pPr>
              <w:spacing w:after="0"/>
              <w:rPr>
                <w:sz w:val="1"/>
                <w:szCs w:val="1"/>
                <w:color w:val="auto"/>
              </w:rPr>
            </w:pPr>
          </w:p>
        </w:tc>
      </w:tr>
      <w:tr>
        <w:trPr>
          <w:trHeight w:val="203"/>
        </w:trPr>
        <w:tc>
          <w:tcPr>
            <w:tcW w:w="2240" w:type="dxa"/>
            <w:vAlign w:val="bottom"/>
            <w:vMerge w:val="restart"/>
          </w:tcPr>
          <w:p>
            <w:pPr>
              <w:spacing w:after="0"/>
              <w:rPr>
                <w:sz w:val="20"/>
                <w:szCs w:val="20"/>
                <w:color w:val="auto"/>
              </w:rPr>
            </w:pPr>
            <w:r>
              <w:rPr>
                <w:rFonts w:ascii="Arial" w:cs="Arial" w:eastAsia="Arial" w:hAnsi="Arial"/>
                <w:sz w:val="18"/>
                <w:szCs w:val="18"/>
                <w:b w:val="1"/>
                <w:bCs w:val="1"/>
                <w:color w:val="0075C9"/>
              </w:rPr>
              <w:t>Mark A. (Mac) McFarland</w:t>
            </w:r>
          </w:p>
        </w:tc>
        <w:tc>
          <w:tcPr>
            <w:tcW w:w="5580" w:type="dxa"/>
            <w:vAlign w:val="bottom"/>
            <w:shd w:val="clear" w:color="auto" w:fill="0075C9"/>
          </w:tcPr>
          <w:p>
            <w:pPr>
              <w:ind w:left="180"/>
              <w:spacing w:after="0" w:line="202" w:lineRule="exact"/>
              <w:rPr>
                <w:sz w:val="20"/>
                <w:szCs w:val="20"/>
                <w:color w:val="auto"/>
              </w:rPr>
            </w:pPr>
            <w:r>
              <w:rPr>
                <w:rFonts w:ascii="Arial" w:cs="Arial" w:eastAsia="Arial" w:hAnsi="Arial"/>
                <w:sz w:val="18"/>
                <w:szCs w:val="18"/>
                <w:color w:val="FFFFFF"/>
              </w:rPr>
              <w:t>• President, CEO and Director of Talen Energy Corporation</w:t>
            </w:r>
          </w:p>
        </w:tc>
        <w:tc>
          <w:tcPr>
            <w:tcW w:w="0" w:type="dxa"/>
            <w:vAlign w:val="bottom"/>
          </w:tcPr>
          <w:p>
            <w:pPr>
              <w:spacing w:after="0"/>
              <w:rPr>
                <w:sz w:val="1"/>
                <w:szCs w:val="1"/>
                <w:color w:val="auto"/>
              </w:rPr>
            </w:pPr>
          </w:p>
        </w:tc>
      </w:tr>
      <w:tr>
        <w:trPr>
          <w:trHeight w:val="203"/>
        </w:trPr>
        <w:tc>
          <w:tcPr>
            <w:tcW w:w="2240" w:type="dxa"/>
            <w:vAlign w:val="bottom"/>
            <w:vMerge w:val="continue"/>
          </w:tcPr>
          <w:p>
            <w:pPr>
              <w:spacing w:after="0"/>
              <w:rPr>
                <w:sz w:val="17"/>
                <w:szCs w:val="17"/>
                <w:color w:val="auto"/>
              </w:rPr>
            </w:pPr>
          </w:p>
        </w:tc>
        <w:tc>
          <w:tcPr>
            <w:tcW w:w="5580" w:type="dxa"/>
            <w:vAlign w:val="bottom"/>
            <w:shd w:val="clear" w:color="auto" w:fill="0075C9"/>
          </w:tcPr>
          <w:p>
            <w:pPr>
              <w:ind w:left="180"/>
              <w:spacing w:after="0" w:line="202" w:lineRule="exact"/>
              <w:rPr>
                <w:sz w:val="20"/>
                <w:szCs w:val="20"/>
                <w:color w:val="auto"/>
              </w:rPr>
            </w:pPr>
            <w:r>
              <w:rPr>
                <w:rFonts w:ascii="Arial" w:cs="Arial" w:eastAsia="Arial" w:hAnsi="Arial"/>
                <w:sz w:val="18"/>
                <w:szCs w:val="18"/>
                <w:color w:val="FFFFFF"/>
              </w:rPr>
              <w:t>• Former Executive Chairman of GenOn Energy, Inc.</w:t>
            </w:r>
          </w:p>
        </w:tc>
        <w:tc>
          <w:tcPr>
            <w:tcW w:w="0" w:type="dxa"/>
            <w:vAlign w:val="bottom"/>
          </w:tcPr>
          <w:p>
            <w:pPr>
              <w:spacing w:after="0"/>
              <w:rPr>
                <w:sz w:val="1"/>
                <w:szCs w:val="1"/>
                <w:color w:val="auto"/>
              </w:rPr>
            </w:pPr>
          </w:p>
        </w:tc>
      </w:tr>
      <w:tr>
        <w:trPr>
          <w:trHeight w:val="235"/>
        </w:trPr>
        <w:tc>
          <w:tcPr>
            <w:tcW w:w="2240" w:type="dxa"/>
            <w:vAlign w:val="bottom"/>
          </w:tcPr>
          <w:p>
            <w:pPr>
              <w:spacing w:after="0"/>
              <w:rPr>
                <w:sz w:val="20"/>
                <w:szCs w:val="20"/>
                <w:color w:val="auto"/>
              </w:rPr>
            </w:pPr>
            <w:r>
              <w:rPr>
                <w:rFonts w:ascii="Arial" w:cs="Arial" w:eastAsia="Arial" w:hAnsi="Arial"/>
                <w:sz w:val="18"/>
                <w:szCs w:val="18"/>
                <w:color w:val="0075C9"/>
              </w:rPr>
              <w:t>Director since: 2020</w:t>
            </w:r>
          </w:p>
        </w:tc>
        <w:tc>
          <w:tcPr>
            <w:tcW w:w="558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 Former Director of Bruin E&amp;P Partners, LLC, TerraForm Power,</w:t>
            </w:r>
          </w:p>
        </w:tc>
        <w:tc>
          <w:tcPr>
            <w:tcW w:w="0" w:type="dxa"/>
            <w:vAlign w:val="bottom"/>
          </w:tcPr>
          <w:p>
            <w:pPr>
              <w:spacing w:after="0"/>
              <w:rPr>
                <w:sz w:val="1"/>
                <w:szCs w:val="1"/>
                <w:color w:val="auto"/>
              </w:rPr>
            </w:pPr>
          </w:p>
        </w:tc>
      </w:tr>
      <w:tr>
        <w:trPr>
          <w:trHeight w:val="203"/>
        </w:trPr>
        <w:tc>
          <w:tcPr>
            <w:tcW w:w="2240" w:type="dxa"/>
            <w:vAlign w:val="bottom"/>
          </w:tcPr>
          <w:p>
            <w:pPr>
              <w:spacing w:after="0" w:line="202" w:lineRule="exact"/>
              <w:rPr>
                <w:sz w:val="20"/>
                <w:szCs w:val="20"/>
                <w:color w:val="auto"/>
              </w:rPr>
            </w:pPr>
            <w:r>
              <w:rPr>
                <w:rFonts w:ascii="Arial" w:cs="Arial" w:eastAsia="Arial" w:hAnsi="Arial"/>
                <w:sz w:val="18"/>
                <w:szCs w:val="18"/>
                <w:color w:val="0075C9"/>
              </w:rPr>
              <w:t>Age: 55</w:t>
            </w:r>
          </w:p>
        </w:tc>
        <w:tc>
          <w:tcPr>
            <w:tcW w:w="5580" w:type="dxa"/>
            <w:vAlign w:val="bottom"/>
            <w:shd w:val="clear" w:color="auto" w:fill="0075C9"/>
          </w:tcPr>
          <w:p>
            <w:pPr>
              <w:ind w:left="320"/>
              <w:spacing w:after="0" w:line="202" w:lineRule="exact"/>
              <w:rPr>
                <w:sz w:val="20"/>
                <w:szCs w:val="20"/>
                <w:color w:val="auto"/>
              </w:rPr>
            </w:pPr>
            <w:r>
              <w:rPr>
                <w:rFonts w:ascii="Arial" w:cs="Arial" w:eastAsia="Arial" w:hAnsi="Arial"/>
                <w:sz w:val="18"/>
                <w:szCs w:val="18"/>
                <w:color w:val="FFFFFF"/>
              </w:rPr>
              <w:t>Inc. and Chaparral Energy, Inc.</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5580" w:type="dxa"/>
            <w:vAlign w:val="bottom"/>
            <w:shd w:val="clear" w:color="auto" w:fill="0075C9"/>
          </w:tcPr>
          <w:p>
            <w:pPr>
              <w:ind w:left="180"/>
              <w:spacing w:after="0" w:line="170" w:lineRule="exact"/>
              <w:rPr>
                <w:sz w:val="20"/>
                <w:szCs w:val="20"/>
                <w:color w:val="auto"/>
              </w:rPr>
            </w:pPr>
            <w:r>
              <w:rPr>
                <w:rFonts w:ascii="Arial" w:cs="Arial" w:eastAsia="Arial" w:hAnsi="Arial"/>
                <w:sz w:val="18"/>
                <w:szCs w:val="18"/>
                <w:color w:val="FFFFFF"/>
              </w:rPr>
              <w:t>• Former CEO of GenOn Energy, Inc. and Luminant Holding</w:t>
            </w:r>
          </w:p>
        </w:tc>
        <w:tc>
          <w:tcPr>
            <w:tcW w:w="0" w:type="dxa"/>
            <w:vAlign w:val="bottom"/>
          </w:tcPr>
          <w:p>
            <w:pPr>
              <w:spacing w:after="0"/>
              <w:rPr>
                <w:sz w:val="1"/>
                <w:szCs w:val="1"/>
                <w:color w:val="auto"/>
              </w:rPr>
            </w:pPr>
          </w:p>
        </w:tc>
      </w:tr>
      <w:tr>
        <w:trPr>
          <w:trHeight w:val="239"/>
        </w:trPr>
        <w:tc>
          <w:tcPr>
            <w:tcW w:w="2240" w:type="dxa"/>
            <w:vAlign w:val="bottom"/>
          </w:tcPr>
          <w:p>
            <w:pPr>
              <w:spacing w:after="0"/>
              <w:rPr>
                <w:sz w:val="20"/>
                <w:szCs w:val="20"/>
                <w:color w:val="auto"/>
              </w:rPr>
            </w:pPr>
          </w:p>
        </w:tc>
        <w:tc>
          <w:tcPr>
            <w:tcW w:w="5580" w:type="dxa"/>
            <w:vAlign w:val="bottom"/>
            <w:shd w:val="clear" w:color="auto" w:fill="0075C9"/>
          </w:tcPr>
          <w:p>
            <w:pPr>
              <w:ind w:left="320"/>
              <w:spacing w:after="0"/>
              <w:rPr>
                <w:sz w:val="20"/>
                <w:szCs w:val="20"/>
                <w:color w:val="auto"/>
              </w:rPr>
            </w:pPr>
            <w:r>
              <w:rPr>
                <w:rFonts w:ascii="Arial" w:cs="Arial" w:eastAsia="Arial" w:hAnsi="Arial"/>
                <w:sz w:val="18"/>
                <w:szCs w:val="18"/>
                <w:color w:val="FFFFFF"/>
              </w:rPr>
              <w:t>Company LLC</w:t>
            </w:r>
          </w:p>
        </w:tc>
        <w:tc>
          <w:tcPr>
            <w:tcW w:w="0" w:type="dxa"/>
            <w:vAlign w:val="bottom"/>
          </w:tcPr>
          <w:p>
            <w:pPr>
              <w:spacing w:after="0"/>
              <w:rPr>
                <w:sz w:val="1"/>
                <w:szCs w:val="1"/>
                <w:color w:val="auto"/>
              </w:rPr>
            </w:pPr>
          </w:p>
        </w:tc>
      </w:tr>
      <w:tr>
        <w:trPr>
          <w:trHeight w:val="603"/>
        </w:trPr>
        <w:tc>
          <w:tcPr>
            <w:tcW w:w="2240" w:type="dxa"/>
            <w:vAlign w:val="bottom"/>
          </w:tcPr>
          <w:p>
            <w:pPr>
              <w:spacing w:after="0"/>
              <w:rPr>
                <w:sz w:val="24"/>
                <w:szCs w:val="24"/>
                <w:color w:val="auto"/>
              </w:rPr>
            </w:pPr>
          </w:p>
        </w:tc>
        <w:tc>
          <w:tcPr>
            <w:tcW w:w="558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-1679575</wp:posOffset>
            </wp:positionV>
            <wp:extent cx="1337310" cy="16802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37310" cy="1680210"/>
                    </a:xfrm>
                    <a:prstGeom prst="rect">
                      <a:avLst/>
                    </a:prstGeom>
                    <a:noFill/>
                  </pic:spPr>
                </pic:pic>
              </a:graphicData>
            </a:graphic>
          </wp:anchor>
        </w:drawing>
      </w:r>
    </w:p>
    <w:p>
      <w:pPr>
        <w:spacing w:after="0" w:line="299"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8"/>
          <w:szCs w:val="18"/>
          <w:color w:val="auto"/>
        </w:rPr>
        <w:t>•</w:t>
        <w:tab/>
        <w:t>Chair of the Board of Directors of Carbon Terravault Holdings, LLC</w:t>
      </w:r>
    </w:p>
    <w:p>
      <w:pPr>
        <w:spacing w:after="0" w:line="212" w:lineRule="exact"/>
        <w:rPr>
          <w:sz w:val="20"/>
          <w:szCs w:val="20"/>
          <w:color w:val="auto"/>
        </w:rPr>
      </w:pPr>
    </w:p>
    <w:p>
      <w:pPr>
        <w:ind w:left="60" w:right="60"/>
        <w:spacing w:after="0" w:line="247" w:lineRule="auto"/>
        <w:rPr>
          <w:sz w:val="20"/>
          <w:szCs w:val="20"/>
          <w:color w:val="auto"/>
        </w:rPr>
      </w:pPr>
      <w:r>
        <w:rPr>
          <w:rFonts w:ascii="Arial" w:cs="Arial" w:eastAsia="Arial" w:hAnsi="Arial"/>
          <w:sz w:val="18"/>
          <w:szCs w:val="18"/>
          <w:color w:val="auto"/>
        </w:rPr>
        <w:t>Mr. McFarland, 55, has served on the Board of Directors of California Resources Corporation since October 2020 and previously served as its President and Chief Executive Officer from December 2020 until April 2023. Since May 2023, Mr. McFarland has served as the President and Chief Executive Officer and a member of the Board of Directors of Talen Energy Corporation. Mr. McFarland is the former Executive Chairman of GenOn Energy, an independent power producer. From April 2017 to December 2018, he was the President</w:t>
      </w:r>
    </w:p>
    <w:p>
      <w:pPr>
        <w:spacing w:after="0" w:line="228"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8" w:name="page19"/>
    <w:bookmarkEnd w:id="18"/>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74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59"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369" w:lineRule="exact"/>
        <w:rPr>
          <w:sz w:val="20"/>
          <w:szCs w:val="20"/>
          <w:color w:val="auto"/>
        </w:rPr>
      </w:pPr>
    </w:p>
    <w:p>
      <w:pPr>
        <w:ind w:left="60" w:right="120"/>
        <w:spacing w:after="0"/>
        <w:rPr>
          <w:sz w:val="20"/>
          <w:szCs w:val="20"/>
          <w:color w:val="auto"/>
        </w:rPr>
      </w:pPr>
      <w:r>
        <w:rPr>
          <w:rFonts w:ascii="Arial" w:cs="Arial" w:eastAsia="Arial" w:hAnsi="Arial"/>
          <w:sz w:val="18"/>
          <w:szCs w:val="18"/>
          <w:color w:val="auto"/>
        </w:rPr>
        <w:t>and Chief Executive Officer of GenOn and served on its Board until September 2022. From 2013 to 2016, he served as Chief Executive Officer of Luminant Holding Company LLC, a subsidiary of Energy Future Holdings Corporation, and a large independent power producer. From 2008 to 2013, he served as both Chief Commercial Officer of Luminant and Executive Vice President, Corporate Development and Strategy of Energy Future Holdings. From 1999 to 2008, Mr. McFarland served in various roles at Exelon Corporation, including as Senior Vice President, Corporate Development. He previously served on the Boards of Bruin E&amp;P Partners (an independent company), TerraForm Power, and Chaparral Energy. Mr. McFarland earned his Masters of Business Administration from the University of Delaware and a Bachelor of Science degree in Civil Engineering (Environmental Concentration) from Virginia Polytechnic Institute and State University. He received his professional engineer license in 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3420" w:type="dxa"/>
        <w:tblCellMar>
          <w:top w:w="0" w:type="dxa"/>
          <w:left w:w="0" w:type="dxa"/>
          <w:bottom w:w="0" w:type="dxa"/>
          <w:right w:w="0" w:type="dxa"/>
        </w:tblCellMar>
      </w:tblPr>
      <w:tr>
        <w:trPr>
          <w:trHeight w:val="1183"/>
        </w:trPr>
        <w:tc>
          <w:tcPr>
            <w:tcW w:w="2240" w:type="dxa"/>
            <w:vAlign w:val="bottom"/>
          </w:tcPr>
          <w:p>
            <w:pPr>
              <w:spacing w:after="0"/>
              <w:rPr>
                <w:sz w:val="20"/>
                <w:szCs w:val="20"/>
                <w:color w:val="auto"/>
              </w:rPr>
            </w:pPr>
            <w:r>
              <w:rPr>
                <w:rFonts w:ascii="Arial" w:cs="Arial" w:eastAsia="Arial" w:hAnsi="Arial"/>
                <w:sz w:val="18"/>
                <w:szCs w:val="18"/>
                <w:b w:val="1"/>
                <w:bCs w:val="1"/>
                <w:color w:val="0075C9"/>
              </w:rPr>
              <w:t>William B. Roby</w:t>
            </w:r>
          </w:p>
        </w:tc>
        <w:tc>
          <w:tcPr>
            <w:tcW w:w="5580" w:type="dxa"/>
            <w:vAlign w:val="bottom"/>
            <w:gridSpan w:val="2"/>
            <w:shd w:val="clear" w:color="auto" w:fill="0075C9"/>
          </w:tcPr>
          <w:p>
            <w:pPr>
              <w:ind w:left="180"/>
              <w:spacing w:after="0"/>
              <w:rPr>
                <w:sz w:val="20"/>
                <w:szCs w:val="20"/>
                <w:color w:val="auto"/>
              </w:rPr>
            </w:pPr>
            <w:r>
              <w:rPr>
                <w:rFonts w:ascii="Arial" w:cs="Arial" w:eastAsia="Arial" w:hAnsi="Arial"/>
                <w:sz w:val="18"/>
                <w:szCs w:val="18"/>
                <w:color w:val="FFFFFF"/>
              </w:rPr>
              <w:t>• CEO of Shepherd Energy, LLC</w:t>
            </w:r>
          </w:p>
        </w:tc>
      </w:tr>
      <w:tr>
        <w:trPr>
          <w:trHeight w:val="235"/>
        </w:trPr>
        <w:tc>
          <w:tcPr>
            <w:tcW w:w="2240" w:type="dxa"/>
            <w:vAlign w:val="bottom"/>
          </w:tcPr>
          <w:p>
            <w:pPr>
              <w:spacing w:after="0"/>
              <w:rPr>
                <w:sz w:val="20"/>
                <w:szCs w:val="20"/>
                <w:color w:val="auto"/>
              </w:rPr>
            </w:pPr>
            <w:r>
              <w:rPr>
                <w:rFonts w:ascii="Arial" w:cs="Arial" w:eastAsia="Arial" w:hAnsi="Arial"/>
                <w:sz w:val="18"/>
                <w:szCs w:val="18"/>
                <w:color w:val="0075C9"/>
              </w:rPr>
              <w:t>Director since: 2020</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28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Director of Vermilion Energy Inc.</w:t>
            </w:r>
          </w:p>
        </w:tc>
      </w:tr>
      <w:tr>
        <w:trPr>
          <w:trHeight w:val="261"/>
        </w:trPr>
        <w:tc>
          <w:tcPr>
            <w:tcW w:w="2240" w:type="dxa"/>
            <w:vAlign w:val="bottom"/>
          </w:tcPr>
          <w:p>
            <w:pPr>
              <w:spacing w:after="0"/>
              <w:rPr>
                <w:sz w:val="20"/>
                <w:szCs w:val="20"/>
                <w:color w:val="auto"/>
              </w:rPr>
            </w:pPr>
            <w:r>
              <w:rPr>
                <w:rFonts w:ascii="Arial" w:cs="Arial" w:eastAsia="Arial" w:hAnsi="Arial"/>
                <w:sz w:val="18"/>
                <w:szCs w:val="18"/>
                <w:color w:val="0075C9"/>
              </w:rPr>
              <w:t>Age: 65</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28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Extensive experience in the oil and gas industry</w:t>
            </w:r>
          </w:p>
        </w:tc>
      </w:tr>
      <w:tr>
        <w:trPr>
          <w:trHeight w:val="941"/>
        </w:trPr>
        <w:tc>
          <w:tcPr>
            <w:tcW w:w="224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280" w:type="dxa"/>
            <w:vAlign w:val="bottom"/>
            <w:shd w:val="clear" w:color="auto" w:fill="0075C9"/>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-1662430</wp:posOffset>
            </wp:positionV>
            <wp:extent cx="1337310" cy="16630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37310" cy="1663065"/>
                    </a:xfrm>
                    <a:prstGeom prst="rect">
                      <a:avLst/>
                    </a:prstGeom>
                    <a:noFill/>
                  </pic:spPr>
                </pic:pic>
              </a:graphicData>
            </a:graphic>
          </wp:anchor>
        </w:drawing>
      </w:r>
    </w:p>
    <w:p>
      <w:pPr>
        <w:spacing w:after="0" w:line="83" w:lineRule="exact"/>
        <w:rPr>
          <w:sz w:val="20"/>
          <w:szCs w:val="20"/>
          <w:color w:val="auto"/>
        </w:rPr>
      </w:pPr>
    </w:p>
    <w:p>
      <w:pPr>
        <w:ind w:left="260" w:hanging="210"/>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Chair of the Sustainability Committee</w:t>
      </w:r>
    </w:p>
    <w:p>
      <w:pPr>
        <w:spacing w:after="0" w:line="13" w:lineRule="exact"/>
        <w:rPr>
          <w:rFonts w:ascii="Arial" w:cs="Arial" w:eastAsia="Arial" w:hAnsi="Arial"/>
          <w:sz w:val="18"/>
          <w:szCs w:val="18"/>
          <w:color w:val="auto"/>
        </w:rPr>
      </w:pPr>
    </w:p>
    <w:p>
      <w:pPr>
        <w:ind w:left="260" w:hanging="210"/>
        <w:spacing w:after="0" w:line="234"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260" w:hanging="210"/>
        <w:spacing w:after="0" w:line="234"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ind w:left="260" w:hanging="210"/>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Member of the Nominating and Governance Committee</w:t>
      </w:r>
    </w:p>
    <w:p>
      <w:pPr>
        <w:spacing w:after="0" w:line="19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Mr. Roby, 65, has served as a member of California Resources Corporation’s Board of Directors since October 2020. Since 2015, Mr. Roby has served as the Chief Executive Officer of Shepherd Energy, LLC, Mr. Roby’s consulting company. From 2013 to 2014, he acted as Chief Operating Officer of Sheridan Production Company, LLC. From 2000 to 2013, he held a number of U.S. and international management positions with Occidental Petroleum Corporation, most recently as Senior Vice President, Worldwide Operations and Production/Facility Engineering. Prior to his work at Occidental, he was Vice President of Operations of Altura Energy Ltd., a joint venture between Shell Oil Company and Amoco Corporation in the Permian Basin, following 15 years of various managerial and engineering roles with Shell Oil. Mr. Roby has served as a member of the Board of Directors of the international E&amp;P firm Vermilion Energy Inc. since 2017. He has a bachelor’s degree in mechanical engineering from Louisiana State University.</w:t>
      </w:r>
    </w:p>
    <w:p>
      <w:pPr>
        <w:spacing w:after="0" w:line="23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9" w:name="page20"/>
    <w:bookmarkEnd w:id="19"/>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74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59"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18345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3420" w:type="dxa"/>
        <w:tblCellMar>
          <w:top w:w="0" w:type="dxa"/>
          <w:left w:w="0" w:type="dxa"/>
          <w:bottom w:w="0" w:type="dxa"/>
          <w:right w:w="0" w:type="dxa"/>
        </w:tblCellMar>
      </w:tblPr>
      <w:tr>
        <w:trPr>
          <w:trHeight w:val="1210"/>
        </w:trPr>
        <w:tc>
          <w:tcPr>
            <w:tcW w:w="2240" w:type="dxa"/>
            <w:vAlign w:val="bottom"/>
          </w:tcPr>
          <w:p>
            <w:pPr>
              <w:spacing w:after="0"/>
              <w:rPr>
                <w:sz w:val="20"/>
                <w:szCs w:val="20"/>
                <w:color w:val="auto"/>
              </w:rPr>
            </w:pPr>
            <w:r>
              <w:rPr>
                <w:rFonts w:ascii="Arial" w:cs="Arial" w:eastAsia="Arial" w:hAnsi="Arial"/>
                <w:sz w:val="18"/>
                <w:szCs w:val="18"/>
                <w:b w:val="1"/>
                <w:bCs w:val="1"/>
                <w:color w:val="0075C9"/>
              </w:rPr>
              <w:t>Bobby Saadati</w:t>
            </w:r>
          </w:p>
        </w:tc>
        <w:tc>
          <w:tcPr>
            <w:tcW w:w="5580" w:type="dxa"/>
            <w:vAlign w:val="bottom"/>
            <w:gridSpan w:val="2"/>
            <w:shd w:val="clear" w:color="auto" w:fill="0075C9"/>
          </w:tcPr>
          <w:p>
            <w:pPr>
              <w:ind w:left="180"/>
              <w:spacing w:after="0"/>
              <w:rPr>
                <w:sz w:val="20"/>
                <w:szCs w:val="20"/>
                <w:color w:val="auto"/>
              </w:rPr>
            </w:pPr>
            <w:r>
              <w:rPr>
                <w:rFonts w:ascii="Arial" w:cs="Arial" w:eastAsia="Arial" w:hAnsi="Arial"/>
                <w:sz w:val="18"/>
                <w:szCs w:val="18"/>
                <w:color w:val="FFFFFF"/>
              </w:rPr>
              <w:t>• CEO of IKAV USA</w:t>
            </w:r>
          </w:p>
        </w:tc>
      </w:tr>
      <w:tr>
        <w:trPr>
          <w:trHeight w:val="235"/>
        </w:trPr>
        <w:tc>
          <w:tcPr>
            <w:tcW w:w="2240" w:type="dxa"/>
            <w:vAlign w:val="bottom"/>
          </w:tcPr>
          <w:p>
            <w:pPr>
              <w:spacing w:after="0"/>
              <w:rPr>
                <w:sz w:val="20"/>
                <w:szCs w:val="20"/>
                <w:color w:val="auto"/>
              </w:rPr>
            </w:pPr>
            <w:r>
              <w:rPr>
                <w:rFonts w:ascii="Arial" w:cs="Arial" w:eastAsia="Arial" w:hAnsi="Arial"/>
                <w:sz w:val="18"/>
                <w:szCs w:val="18"/>
                <w:color w:val="0075C9"/>
              </w:rPr>
              <w:t>Director since: 2024</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28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Former Chairman of Aera Energy LLC</w:t>
            </w:r>
          </w:p>
        </w:tc>
      </w:tr>
      <w:tr>
        <w:trPr>
          <w:trHeight w:val="261"/>
        </w:trPr>
        <w:tc>
          <w:tcPr>
            <w:tcW w:w="2240" w:type="dxa"/>
            <w:vAlign w:val="bottom"/>
          </w:tcPr>
          <w:p>
            <w:pPr>
              <w:spacing w:after="0"/>
              <w:rPr>
                <w:sz w:val="20"/>
                <w:szCs w:val="20"/>
                <w:color w:val="auto"/>
              </w:rPr>
            </w:pPr>
            <w:r>
              <w:rPr>
                <w:rFonts w:ascii="Arial" w:cs="Arial" w:eastAsia="Arial" w:hAnsi="Arial"/>
                <w:sz w:val="18"/>
                <w:szCs w:val="18"/>
                <w:color w:val="0075C9"/>
              </w:rPr>
              <w:t>Age: 45</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28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Former VP Business Development at Devon Energy</w:t>
            </w:r>
          </w:p>
        </w:tc>
      </w:tr>
      <w:tr>
        <w:trPr>
          <w:trHeight w:val="968"/>
        </w:trPr>
        <w:tc>
          <w:tcPr>
            <w:tcW w:w="224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280" w:type="dxa"/>
            <w:vAlign w:val="bottom"/>
            <w:shd w:val="clear" w:color="auto" w:fill="0075C9"/>
          </w:tcPr>
          <w:p>
            <w:pPr>
              <w:spacing w:after="0"/>
              <w:rPr>
                <w:sz w:val="24"/>
                <w:szCs w:val="24"/>
                <w:color w:val="auto"/>
              </w:rPr>
            </w:pPr>
          </w:p>
        </w:tc>
      </w:tr>
    </w:tbl>
    <w:p>
      <w:pPr>
        <w:spacing w:after="0" w:line="305"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8"/>
          <w:szCs w:val="18"/>
          <w:color w:val="auto"/>
        </w:rPr>
        <w:t>•</w:t>
        <w:tab/>
        <w:t>Member of the Finance Committee</w:t>
      </w:r>
    </w:p>
    <w:p>
      <w:pPr>
        <w:spacing w:after="0" w:line="21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Mr. Saadati, 45, has served as a member of California Resources Corporation’s Board of Directors since July 2024. Mr. Saadati has served as the CEO of IKAV USA, an international asset management group, since 2020. He was the Chairman of the Board of Aera from 2023 until its acquisition by California Resources Corporation in July 2024. He served as a VP of Business Development at Devon Energy Corporation from 2017 to 2020, where he was responsible for leading all acquisitions, divestitures, joint ventures and other business development activities. Previous to Devon Energy, Mr. Saadati worked at Jefferies Energy Investment Bank. Mr. Saadati started out his career with BP serving in a variety of downstream, upstream, M&amp;A and corporate roles. He has a Bachelor of Arts degree in Political Science, with a minor in Economics, from the University of California San Diego, a J.D. from Trinity Law School and an M.B.A. from the University of Chicago Booth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817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3420" w:type="dxa"/>
        <w:tblCellMar>
          <w:top w:w="0" w:type="dxa"/>
          <w:left w:w="0" w:type="dxa"/>
          <w:bottom w:w="0" w:type="dxa"/>
          <w:right w:w="0" w:type="dxa"/>
        </w:tblCellMar>
      </w:tblPr>
      <w:tr>
        <w:trPr>
          <w:trHeight w:val="207"/>
        </w:trPr>
        <w:tc>
          <w:tcPr>
            <w:tcW w:w="2280" w:type="dxa"/>
            <w:vAlign w:val="bottom"/>
          </w:tcPr>
          <w:p>
            <w:pPr>
              <w:spacing w:after="0"/>
              <w:rPr>
                <w:sz w:val="18"/>
                <w:szCs w:val="18"/>
                <w:color w:val="auto"/>
              </w:rPr>
            </w:pPr>
          </w:p>
        </w:tc>
        <w:tc>
          <w:tcPr>
            <w:tcW w:w="240" w:type="dxa"/>
            <w:vAlign w:val="bottom"/>
          </w:tcPr>
          <w:p>
            <w:pPr>
              <w:ind w:left="140"/>
              <w:spacing w:after="0"/>
              <w:rPr>
                <w:sz w:val="20"/>
                <w:szCs w:val="20"/>
                <w:color w:val="auto"/>
              </w:rPr>
            </w:pPr>
            <w:r>
              <w:rPr>
                <w:rFonts w:ascii="Arial" w:cs="Arial" w:eastAsia="Arial" w:hAnsi="Arial"/>
                <w:sz w:val="18"/>
                <w:szCs w:val="18"/>
                <w:color w:val="FFFFFF"/>
              </w:rPr>
              <w:t>•</w:t>
            </w:r>
          </w:p>
        </w:tc>
        <w:tc>
          <w:tcPr>
            <w:tcW w:w="5240" w:type="dxa"/>
            <w:vAlign w:val="bottom"/>
          </w:tcPr>
          <w:p>
            <w:pPr>
              <w:ind w:left="60"/>
              <w:spacing w:after="0"/>
              <w:rPr>
                <w:sz w:val="20"/>
                <w:szCs w:val="20"/>
                <w:color w:val="auto"/>
              </w:rPr>
            </w:pPr>
            <w:r>
              <w:rPr>
                <w:rFonts w:ascii="Arial" w:cs="Arial" w:eastAsia="Arial" w:hAnsi="Arial"/>
                <w:sz w:val="18"/>
                <w:szCs w:val="18"/>
                <w:color w:val="FFFFFF"/>
              </w:rPr>
              <w:t>Director of NET Power, Inc.</w:t>
            </w:r>
          </w:p>
        </w:tc>
        <w:tc>
          <w:tcPr>
            <w:tcW w:w="0" w:type="dxa"/>
            <w:vAlign w:val="bottom"/>
          </w:tcPr>
          <w:p>
            <w:pPr>
              <w:spacing w:after="0"/>
              <w:rPr>
                <w:sz w:val="1"/>
                <w:szCs w:val="1"/>
                <w:color w:val="auto"/>
              </w:rPr>
            </w:pPr>
          </w:p>
        </w:tc>
      </w:tr>
      <w:tr>
        <w:trPr>
          <w:trHeight w:val="203"/>
        </w:trPr>
        <w:tc>
          <w:tcPr>
            <w:tcW w:w="2280" w:type="dxa"/>
            <w:vAlign w:val="bottom"/>
            <w:vMerge w:val="restart"/>
          </w:tcPr>
          <w:p>
            <w:pPr>
              <w:spacing w:after="0"/>
              <w:rPr>
                <w:sz w:val="20"/>
                <w:szCs w:val="20"/>
                <w:color w:val="auto"/>
              </w:rPr>
            </w:pPr>
            <w:r>
              <w:rPr>
                <w:rFonts w:ascii="Arial" w:cs="Arial" w:eastAsia="Arial" w:hAnsi="Arial"/>
                <w:sz w:val="18"/>
                <w:szCs w:val="18"/>
                <w:b w:val="1"/>
                <w:bCs w:val="1"/>
                <w:color w:val="0075C9"/>
              </w:rPr>
              <w:t>Alejandra (Ale) Veltmann</w:t>
            </w:r>
          </w:p>
        </w:tc>
        <w:tc>
          <w:tcPr>
            <w:tcW w:w="240" w:type="dxa"/>
            <w:vAlign w:val="bottom"/>
          </w:tcPr>
          <w:p>
            <w:pPr>
              <w:ind w:left="140"/>
              <w:spacing w:after="0" w:line="202" w:lineRule="exact"/>
              <w:rPr>
                <w:sz w:val="20"/>
                <w:szCs w:val="20"/>
                <w:color w:val="auto"/>
              </w:rPr>
            </w:pPr>
            <w:r>
              <w:rPr>
                <w:rFonts w:ascii="Arial" w:cs="Arial" w:eastAsia="Arial" w:hAnsi="Arial"/>
                <w:sz w:val="18"/>
                <w:szCs w:val="18"/>
                <w:color w:val="FFFFFF"/>
              </w:rPr>
              <w:t>•</w:t>
            </w:r>
          </w:p>
        </w:tc>
        <w:tc>
          <w:tcPr>
            <w:tcW w:w="5240" w:type="dxa"/>
            <w:vAlign w:val="bottom"/>
          </w:tcPr>
          <w:p>
            <w:pPr>
              <w:ind w:left="60"/>
              <w:spacing w:after="0" w:line="202" w:lineRule="exact"/>
              <w:rPr>
                <w:sz w:val="20"/>
                <w:szCs w:val="20"/>
                <w:color w:val="auto"/>
              </w:rPr>
            </w:pPr>
            <w:r>
              <w:rPr>
                <w:rFonts w:ascii="Arial" w:cs="Arial" w:eastAsia="Arial" w:hAnsi="Arial"/>
                <w:sz w:val="18"/>
                <w:szCs w:val="18"/>
                <w:color w:val="FFFFFF"/>
              </w:rPr>
              <w:t>Founder, Senior Advisor, former CEO and Director of ESG Lynk</w:t>
            </w:r>
          </w:p>
        </w:tc>
        <w:tc>
          <w:tcPr>
            <w:tcW w:w="0" w:type="dxa"/>
            <w:vAlign w:val="bottom"/>
          </w:tcPr>
          <w:p>
            <w:pPr>
              <w:spacing w:after="0"/>
              <w:rPr>
                <w:sz w:val="1"/>
                <w:szCs w:val="1"/>
                <w:color w:val="auto"/>
              </w:rPr>
            </w:pPr>
          </w:p>
        </w:tc>
      </w:tr>
      <w:tr>
        <w:trPr>
          <w:trHeight w:val="202"/>
        </w:trPr>
        <w:tc>
          <w:tcPr>
            <w:tcW w:w="2280" w:type="dxa"/>
            <w:vAlign w:val="bottom"/>
            <w:vMerge w:val="continue"/>
          </w:tcPr>
          <w:p>
            <w:pPr>
              <w:spacing w:after="0"/>
              <w:rPr>
                <w:sz w:val="17"/>
                <w:szCs w:val="17"/>
                <w:color w:val="auto"/>
              </w:rPr>
            </w:pPr>
          </w:p>
        </w:tc>
        <w:tc>
          <w:tcPr>
            <w:tcW w:w="240" w:type="dxa"/>
            <w:vAlign w:val="bottom"/>
          </w:tcPr>
          <w:p>
            <w:pPr>
              <w:ind w:left="140"/>
              <w:spacing w:after="0" w:line="202" w:lineRule="exact"/>
              <w:rPr>
                <w:sz w:val="20"/>
                <w:szCs w:val="20"/>
                <w:color w:val="auto"/>
              </w:rPr>
            </w:pPr>
            <w:r>
              <w:rPr>
                <w:rFonts w:ascii="Arial" w:cs="Arial" w:eastAsia="Arial" w:hAnsi="Arial"/>
                <w:sz w:val="18"/>
                <w:szCs w:val="18"/>
                <w:color w:val="FFFFFF"/>
              </w:rPr>
              <w:t>•</w:t>
            </w:r>
          </w:p>
        </w:tc>
        <w:tc>
          <w:tcPr>
            <w:tcW w:w="5240" w:type="dxa"/>
            <w:vAlign w:val="bottom"/>
          </w:tcPr>
          <w:p>
            <w:pPr>
              <w:ind w:left="60"/>
              <w:spacing w:after="0" w:line="202" w:lineRule="exact"/>
              <w:rPr>
                <w:sz w:val="20"/>
                <w:szCs w:val="20"/>
                <w:color w:val="auto"/>
              </w:rPr>
            </w:pPr>
            <w:r>
              <w:rPr>
                <w:rFonts w:ascii="Arial" w:cs="Arial" w:eastAsia="Arial" w:hAnsi="Arial"/>
                <w:sz w:val="18"/>
                <w:szCs w:val="18"/>
                <w:color w:val="FFFFFF"/>
              </w:rPr>
              <w:t>Former Board Member of Structural Integrity Associates</w:t>
            </w:r>
          </w:p>
        </w:tc>
        <w:tc>
          <w:tcPr>
            <w:tcW w:w="0" w:type="dxa"/>
            <w:vAlign w:val="bottom"/>
          </w:tcPr>
          <w:p>
            <w:pPr>
              <w:spacing w:after="0"/>
              <w:rPr>
                <w:sz w:val="1"/>
                <w:szCs w:val="1"/>
                <w:color w:val="auto"/>
              </w:rPr>
            </w:pPr>
          </w:p>
        </w:tc>
      </w:tr>
      <w:tr>
        <w:trPr>
          <w:trHeight w:val="235"/>
        </w:trPr>
        <w:tc>
          <w:tcPr>
            <w:tcW w:w="2280" w:type="dxa"/>
            <w:vAlign w:val="bottom"/>
          </w:tcPr>
          <w:p>
            <w:pPr>
              <w:spacing w:after="0"/>
              <w:rPr>
                <w:sz w:val="20"/>
                <w:szCs w:val="20"/>
                <w:color w:val="auto"/>
              </w:rPr>
            </w:pPr>
            <w:r>
              <w:rPr>
                <w:rFonts w:ascii="Arial" w:cs="Arial" w:eastAsia="Arial" w:hAnsi="Arial"/>
                <w:sz w:val="18"/>
                <w:szCs w:val="18"/>
                <w:color w:val="0075C9"/>
              </w:rPr>
              <w:t>Director since: 2021</w:t>
            </w:r>
          </w:p>
        </w:tc>
        <w:tc>
          <w:tcPr>
            <w:tcW w:w="240" w:type="dxa"/>
            <w:vAlign w:val="bottom"/>
          </w:tcPr>
          <w:p>
            <w:pPr>
              <w:ind w:left="140"/>
              <w:spacing w:after="0"/>
              <w:rPr>
                <w:sz w:val="20"/>
                <w:szCs w:val="20"/>
                <w:color w:val="auto"/>
              </w:rPr>
            </w:pPr>
            <w:r>
              <w:rPr>
                <w:rFonts w:ascii="Arial" w:cs="Arial" w:eastAsia="Arial" w:hAnsi="Arial"/>
                <w:sz w:val="18"/>
                <w:szCs w:val="18"/>
                <w:color w:val="FFFFFF"/>
              </w:rPr>
              <w:t>•</w:t>
            </w:r>
          </w:p>
        </w:tc>
        <w:tc>
          <w:tcPr>
            <w:tcW w:w="5240" w:type="dxa"/>
            <w:vAlign w:val="bottom"/>
          </w:tcPr>
          <w:p>
            <w:pPr>
              <w:ind w:left="60"/>
              <w:spacing w:after="0"/>
              <w:rPr>
                <w:sz w:val="20"/>
                <w:szCs w:val="20"/>
                <w:color w:val="auto"/>
              </w:rPr>
            </w:pPr>
            <w:r>
              <w:rPr>
                <w:rFonts w:ascii="Arial" w:cs="Arial" w:eastAsia="Arial" w:hAnsi="Arial"/>
                <w:sz w:val="18"/>
                <w:szCs w:val="18"/>
                <w:color w:val="FFFFFF"/>
                <w:w w:val="99"/>
              </w:rPr>
              <w:t>Former VP and Chief Accounting Officer of Paragon Offshore Plc</w:t>
            </w:r>
          </w:p>
        </w:tc>
        <w:tc>
          <w:tcPr>
            <w:tcW w:w="0" w:type="dxa"/>
            <w:vAlign w:val="bottom"/>
          </w:tcPr>
          <w:p>
            <w:pPr>
              <w:spacing w:after="0"/>
              <w:rPr>
                <w:sz w:val="1"/>
                <w:szCs w:val="1"/>
                <w:color w:val="auto"/>
              </w:rPr>
            </w:pPr>
          </w:p>
        </w:tc>
      </w:tr>
      <w:tr>
        <w:trPr>
          <w:trHeight w:val="188"/>
        </w:trPr>
        <w:tc>
          <w:tcPr>
            <w:tcW w:w="2280" w:type="dxa"/>
            <w:vAlign w:val="bottom"/>
          </w:tcPr>
          <w:p>
            <w:pPr>
              <w:spacing w:after="0" w:line="189" w:lineRule="exact"/>
              <w:rPr>
                <w:sz w:val="20"/>
                <w:szCs w:val="20"/>
                <w:color w:val="auto"/>
              </w:rPr>
            </w:pPr>
            <w:r>
              <w:rPr>
                <w:rFonts w:ascii="Arial" w:cs="Arial" w:eastAsia="Arial" w:hAnsi="Arial"/>
                <w:sz w:val="18"/>
                <w:szCs w:val="18"/>
                <w:color w:val="0075C9"/>
              </w:rPr>
              <w:t>Age: 56</w:t>
            </w:r>
          </w:p>
        </w:tc>
        <w:tc>
          <w:tcPr>
            <w:tcW w:w="240" w:type="dxa"/>
            <w:vAlign w:val="bottom"/>
          </w:tcPr>
          <w:p>
            <w:pPr>
              <w:ind w:left="140"/>
              <w:spacing w:after="0" w:line="189" w:lineRule="exact"/>
              <w:rPr>
                <w:sz w:val="20"/>
                <w:szCs w:val="20"/>
                <w:color w:val="auto"/>
              </w:rPr>
            </w:pPr>
            <w:r>
              <w:rPr>
                <w:rFonts w:ascii="Arial" w:cs="Arial" w:eastAsia="Arial" w:hAnsi="Arial"/>
                <w:sz w:val="18"/>
                <w:szCs w:val="18"/>
                <w:color w:val="FFFFFF"/>
              </w:rPr>
              <w:t>•</w:t>
            </w:r>
          </w:p>
        </w:tc>
        <w:tc>
          <w:tcPr>
            <w:tcW w:w="5240" w:type="dxa"/>
            <w:vAlign w:val="bottom"/>
          </w:tcPr>
          <w:p>
            <w:pPr>
              <w:ind w:left="60"/>
              <w:spacing w:after="0" w:line="189" w:lineRule="exact"/>
              <w:rPr>
                <w:sz w:val="20"/>
                <w:szCs w:val="20"/>
                <w:color w:val="auto"/>
              </w:rPr>
            </w:pPr>
            <w:r>
              <w:rPr>
                <w:rFonts w:ascii="Arial" w:cs="Arial" w:eastAsia="Arial" w:hAnsi="Arial"/>
                <w:sz w:val="18"/>
                <w:szCs w:val="18"/>
                <w:color w:val="FFFFFF"/>
              </w:rPr>
              <w:t>Former Controller, VP and Chief Accounting Officer</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40" w:type="dxa"/>
            <w:vAlign w:val="bottom"/>
          </w:tcPr>
          <w:p>
            <w:pPr>
              <w:ind w:left="40"/>
              <w:spacing w:after="0" w:line="202" w:lineRule="exact"/>
              <w:rPr>
                <w:sz w:val="20"/>
                <w:szCs w:val="20"/>
                <w:color w:val="auto"/>
              </w:rPr>
            </w:pPr>
            <w:r>
              <w:rPr>
                <w:rFonts w:ascii="Arial" w:cs="Arial" w:eastAsia="Arial" w:hAnsi="Arial"/>
                <w:sz w:val="18"/>
                <w:szCs w:val="18"/>
                <w:color w:val="FFFFFF"/>
              </w:rPr>
              <w:t>of Geokinetics, Inc.</w:t>
            </w:r>
          </w:p>
        </w:tc>
        <w:tc>
          <w:tcPr>
            <w:tcW w:w="0" w:type="dxa"/>
            <w:vAlign w:val="bottom"/>
          </w:tcPr>
          <w:p>
            <w:pPr>
              <w:spacing w:after="0"/>
              <w:rPr>
                <w:sz w:val="1"/>
                <w:szCs w:val="1"/>
                <w:color w:val="auto"/>
              </w:rPr>
            </w:pPr>
          </w:p>
        </w:tc>
      </w:tr>
    </w:tbl>
    <w:p>
      <w:pPr>
        <w:ind w:left="5840"/>
        <w:spacing w:after="0"/>
        <w:rPr>
          <w:sz w:val="20"/>
          <w:szCs w:val="20"/>
          <w:color w:val="auto"/>
        </w:rPr>
      </w:pPr>
      <w:r>
        <w:rPr>
          <w:rFonts w:ascii="Arial" w:cs="Arial" w:eastAsia="Arial" w:hAnsi="Arial"/>
          <w:sz w:val="18"/>
          <w:szCs w:val="18"/>
          <w:color w:val="FFFFFF"/>
        </w:rPr>
        <w:t>• Formerly with KPMG LLP and Arthur Andersen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60" w:hanging="207"/>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Chair of the Audit Committee</w:t>
      </w:r>
    </w:p>
    <w:p>
      <w:pPr>
        <w:spacing w:after="0" w:line="13" w:lineRule="exact"/>
        <w:rPr>
          <w:rFonts w:ascii="Arial" w:cs="Arial" w:eastAsia="Arial" w:hAnsi="Arial"/>
          <w:sz w:val="18"/>
          <w:szCs w:val="18"/>
          <w:color w:val="auto"/>
        </w:rPr>
      </w:pPr>
    </w:p>
    <w:p>
      <w:pPr>
        <w:ind w:left="260" w:hanging="207"/>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the Nominating and Governance Committee</w:t>
      </w:r>
    </w:p>
    <w:p>
      <w:pPr>
        <w:spacing w:after="0" w:line="194"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Ms. Veltmann, 56, has served as a member of California Resources Corporation's Board of Directors since December 2021. Ms. Veltmann has 32 years of experience that includes financial leadership of publicly-listed entities, private entrepreneurial companies and global auditing firms. She has served as a director of the Board of NET Power, Inc., a clean technology company dedicated to the development of clean, reliable, and low cost energy, since 2023. Ms. Veltmann also serves as Senior Advisor of ESG Lynk, a sustainability reporting company she founded and sold, and served as CEO from 2018 to 2023. From 2021 to its acquisition in 2022, Ms. Veltmann served as board member of Structural Integrity Associates, a specialty engineering and</w:t>
      </w:r>
    </w:p>
    <w:p>
      <w:pPr>
        <w:spacing w:after="0" w:line="23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0" w:name="page21"/>
    <w:bookmarkEnd w:id="20"/>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74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59"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36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services company providing services to the nuclear, fossil, renewables and critical infrastructure industries. From 2015 to 2018, she was Vice President and Chief Accounting Officer of Paragon Offshore Plc., an offshore drilling company. From 2010 to 2015, she worked in various roles including Corporate Controller and Vice President and Chief Accounting Officer at Geokinetics, Inc., formerly one of the world’s largest independent land and seafloor geophysical companies. She also worked in various auditor capacities at KPMG LLP from 1995 to 2002 and before that at Arthur Andersen LLP from 1992 to 1995. Ms. Veltmann is a certified public accountant and holds the FSA Credential from the Sustainability Accounting Standards Board (SASB) and the Director Certified credential from the National Association of Corporate Directors (NACD). She has a BBA degree in Accounting from The University of New Mexico and is an alumna of the Advanced Management Program at Harvard Business School.</w:t>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0075C9"/>
        </w:rPr>
        <w:t>Board Refreshment and Evaluation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Identifying and Evaluating 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Our Nominating and Governance Committee is responsible for leading the search for individuals qualified to serve as directors and for recommending to the Board nominees as directors to be presented for election at meetings of the stockholders or of the Board of Directors. Our Nominating and Governance Committee evaluates candidates for nomination to the Board of Directors, including those recommended by stockholders, and conducts appropriate inquiries into the backgrounds and qualifications of possible candidates. The Board values having unique and complementary backgrounds and perspectives in the boardroom and considers candidates who can provide varied perspectives and add unique value through skills highly relevant to our corporate strategy.</w:t>
      </w:r>
    </w:p>
    <w:p>
      <w:pPr>
        <w:spacing w:after="0" w:line="138"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Nominating and Governance Committee may retain outside consultants to assist in identifying director candidates in its sole discretion, but it did not engage any outside consultants in connection with selecting the nominees for election at the Annual Meeting.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Director Criteria, Qualifications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8" w:lineRule="exact"/>
        <w:rPr>
          <w:sz w:val="20"/>
          <w:szCs w:val="20"/>
          <w:color w:val="auto"/>
        </w:rPr>
      </w:pPr>
    </w:p>
    <w:p>
      <w:pPr>
        <w:ind w:right="600"/>
        <w:spacing w:after="0" w:line="253" w:lineRule="auto"/>
        <w:rPr>
          <w:sz w:val="20"/>
          <w:szCs w:val="20"/>
          <w:color w:val="auto"/>
        </w:rPr>
      </w:pPr>
      <w:r>
        <w:rPr>
          <w:rFonts w:ascii="Arial" w:cs="Arial" w:eastAsia="Arial" w:hAnsi="Arial"/>
          <w:sz w:val="18"/>
          <w:szCs w:val="18"/>
          <w:color w:val="auto"/>
        </w:rPr>
        <w:t>Our Corporate Governance Guidelines contain qualifications that apply to director nominees recommended by our Nominating and Governance Committee. In the event that a vacancy on the Board of Directors arises, the Nominating and Governance Committee will consider and review the candidate’s following qualifications, relevant skills and experience:</w:t>
      </w:r>
    </w:p>
    <w:p>
      <w:pPr>
        <w:spacing w:after="0" w:line="61" w:lineRule="exact"/>
        <w:rPr>
          <w:sz w:val="20"/>
          <w:szCs w:val="20"/>
          <w:color w:val="auto"/>
        </w:rPr>
      </w:pPr>
    </w:p>
    <w:p>
      <w:pPr>
        <w:ind w:left="540" w:hanging="322"/>
        <w:spacing w:after="0"/>
        <w:tabs>
          <w:tab w:leader="none" w:pos="5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independence under applicable standards;</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business judgment;</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service on boards of directors of other companies;</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personal and professional integrity, including commitment to the Company’s core values;</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willingness to commit the required time to serve as a Board of Directors member;</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familiarity with the Company, its industry and strategy; and</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such other matters as the committee deems appropriate.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Overboarding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Our Corporate Governance Guidelines also includes an overboarding policy with respect to our directors' service on other boards. Without approval of the Nominating and Governance Committee, no director may simultaneously serve on the board of directors of more than three other public companies. If a director is the chief executive officer of a public company, such director may not simultaneously serve on the board of directors of more than one other public company. When a director serves on multiple boards in the same fund complex or on the boards of two related public companies, such service will be counted as service on one board for purposes of this guideline unless the Nominating and Governance Committee determines that the boards should be considered separate. The Nominating and Governance Committee considers the director's</w:t>
      </w:r>
    </w:p>
    <w:p>
      <w:pPr>
        <w:spacing w:after="0" w:line="23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1" w:name="page22"/>
    <w:bookmarkEnd w:id="21"/>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74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59"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207" w:lineRule="exact"/>
        <w:rPr>
          <w:sz w:val="20"/>
          <w:szCs w:val="20"/>
          <w:color w:val="auto"/>
        </w:rPr>
      </w:pPr>
    </w:p>
    <w:p>
      <w:pPr>
        <w:ind w:right="580"/>
        <w:spacing w:after="0" w:line="253" w:lineRule="auto"/>
        <w:rPr>
          <w:sz w:val="20"/>
          <w:szCs w:val="20"/>
          <w:color w:val="auto"/>
        </w:rPr>
      </w:pPr>
      <w:r>
        <w:rPr>
          <w:rFonts w:ascii="Arial" w:cs="Arial" w:eastAsia="Arial" w:hAnsi="Arial"/>
          <w:sz w:val="18"/>
          <w:szCs w:val="18"/>
          <w:color w:val="auto"/>
        </w:rPr>
        <w:t>leadership positions (e.g., committee chair) on the other public company boards as part of such determinations. The Nominating and Governance Committee reviews potential overboarding issues as part of its process of considering director nominations for the annual shareholders meeting. All of the Company's directors are currently compliant with the Company's overboarding policy.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The Board recognizes the value of having directors from a wide variety of backgrounds who bring varied opinions, perspectives, skills, experiences, backgrounds and orientations to its discussions and its decision-making processes. A multi-faceted board enables a more balanced, wide-ranging discussion in the boardroom, and is also important to the Company’s stockholders, its management and employees. For these reasons, the Nominating and Governance Committee will consider the unique characteristics of, and the optimal enhancement of, the current mix of talent and experience on the Board of Directors.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Board Evaluations and Incumbent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Our Board believes that a robust annual evaluation process is an important part of its governance practices. For this reason, the Nominating and Governance Committee oversees an annual evaluation of the performance of the Board. The committee distributes written evaluation surveys to each director. The Chair shares the results of the surveys and interviews with the full Board for consideration with respect to director nominees, and Board and committee structure, composition and effectiveness.</w:t>
      </w:r>
    </w:p>
    <w:p>
      <w:pPr>
        <w:spacing w:after="0" w:line="174"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With respect to the reelection of an existing director, the Nominating and Governance Committee will consider the results of the evaluation process and review the director’s:</w:t>
      </w:r>
    </w:p>
    <w:p>
      <w:pPr>
        <w:spacing w:after="0" w:line="46" w:lineRule="exact"/>
        <w:rPr>
          <w:sz w:val="20"/>
          <w:szCs w:val="20"/>
          <w:color w:val="auto"/>
        </w:rPr>
      </w:pPr>
    </w:p>
    <w:p>
      <w:pPr>
        <w:ind w:left="540" w:hanging="322"/>
        <w:spacing w:after="0"/>
        <w:tabs>
          <w:tab w:leader="none" w:pos="5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past Board and committee meeting attendance and performance;</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length of Board service;</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personal and professional integrity, including commitment to the Company’s core values;</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relevant experience, skills, qualifications and contributions that the existing director brings to the Board;</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independence under applicable standards; and</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such other matters as the committee deems appropriate.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Board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4"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The Board of Directors engages in various activities to obtain additional insight into our business and industry, beneficial perspectives on the performance of the Company, the Board and our management, and on the Company’s strategic direction. From time to time, the full Board receives presentations from its committees, and internal and external advisors, regarding current topics of interest. The Company also makes resources available to individual directors, including access to director education from third party providers.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0075C9"/>
        </w:rPr>
        <w:t>Director Independence Determinations</w:t>
      </w:r>
    </w:p>
    <w:p>
      <w:pPr>
        <w:spacing w:after="0" w:line="227"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To qualify as “independent” under the NYSE listing standards, the Board of Directors must affirmatively determine that the director has no material relationship with us (either directly or as a partner, stockholder or officer of an organization that has a relationship with us) that would interfere with his or her exercise of independent judgment in carrying out his or her responsibilities as a director. The NYSE independent director criteria include, among other things, that the director not be our employee and not have engaged in various types of business dealings with us.</w:t>
      </w:r>
    </w:p>
    <w:p>
      <w:pPr>
        <w:spacing w:after="0" w:line="176"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The Board of Directors has reviewed all direct or indirect business relationships of which it is aware between each director (including his or her immediate family) and us, as well as each director’s relationships with charitable organizations, to assess director independence as defined in the listing standards of the NYSE. Based on this evaluation, the Board of Directors has determined that Messrs. Bremner, Chapman, Jackson, Kendall, Roby and Saadati and Mmes. Cepak and Veltmann are independent directors as that term is defined</w:t>
      </w:r>
    </w:p>
    <w:p>
      <w:pPr>
        <w:spacing w:after="0" w:line="22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2" w:name="page23"/>
    <w:bookmarkEnd w:id="22"/>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542925</wp:posOffset>
            </wp:positionV>
            <wp:extent cx="7132320" cy="1974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59"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369" w:lineRule="exact"/>
        <w:rPr>
          <w:sz w:val="20"/>
          <w:szCs w:val="20"/>
          <w:color w:val="auto"/>
        </w:rPr>
      </w:pPr>
    </w:p>
    <w:p>
      <w:pPr>
        <w:ind w:right="600"/>
        <w:spacing w:after="0" w:line="247" w:lineRule="auto"/>
        <w:rPr>
          <w:sz w:val="20"/>
          <w:szCs w:val="20"/>
          <w:color w:val="auto"/>
        </w:rPr>
      </w:pPr>
      <w:r>
        <w:rPr>
          <w:rFonts w:ascii="Arial" w:cs="Arial" w:eastAsia="Arial" w:hAnsi="Arial"/>
          <w:sz w:val="18"/>
          <w:szCs w:val="18"/>
          <w:color w:val="auto"/>
        </w:rPr>
        <w:t>in the listing standards of the NYSE. In its review of Mr. Bremner’s independence, the Board considered his prior employment with the Company and his association with entities that own real property interests in certain assets in which the Company owns interests. Mr. McFarland, our past President and Chief Executive Officer, and Mr. Leon, our current President and Chief Executive Officer, are not considered by the Board of Directors to be independent because of their current or former employment relationships with CRC.</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0075C9"/>
        </w:rPr>
        <w:t>Board Leadership Structure and Committees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Board of Directors’ leadership structure currently separates the CEO and Chair of the Board positions. Mr. Leon serves as our President and CEO, and Ms. Cepak serves as our independent Chair. Our Chair of the Board presides over all meetings of the Board, including executive sessions.</w:t>
      </w:r>
    </w:p>
    <w:p>
      <w:pPr>
        <w:spacing w:after="0" w:line="169"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Board of Directors believes that there is no single, generally accepted approach to providing board leadership and that each of the possible leadership structures for a board must be considered in the context of the individuals involved and the specific circumstances facing a company, as the right leadership structure may vary as circumstances change. The Board of Directors believes it is in the best interest of the Company and its stockholders at this time to have separate CEO and Chair positions. The Board of Directors has found that this structure enables the CEO to focus on operation of the Company’s business, while the Chair focuses on leading the Board of Directors in its oversight role.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Board Meetings and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8"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During 2024, the Board of Directors held 11 meetings. Each of the standing and special committees held the number of meetings included in the description of the committees set forth below in 2024. Each director attended at least 75% of the meetings of the Board of Directors and the committees on which he or she served that occurred during such directors’ terms in 2024.</w:t>
      </w:r>
    </w:p>
    <w:p>
      <w:pPr>
        <w:spacing w:after="0" w:line="169"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Pursuant to our Corporate Governance Guidelines, directors are encouraged to attend our annual meetings of stockholders. All of the directors of our Board serving in May 2024 attended the virtual annual meeting in May 2024.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Executive Sessions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Board of Directors holds meetings of independent directors in executive session without management present on a regular basis. In addition to regularly scheduled Board meetings, executive sessions may be called upon the request of any independent director. In 2024, the Board held 4 executive sessions.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As of the date of this proxy statement, our Board of Directors currently has five separately designated standing committees. The current membership and purposes of each of the standing committees are described below. Each of the standing committees operates under a written charter adopted by the Board. The Board of Directors and each committee has the power to hire independent legal, financial or other experts and advisors as it may deem necessary, without consulting or obtaining the approval of any officers of the Company in advance.</w:t>
      </w:r>
    </w:p>
    <w:p>
      <w:pPr>
        <w:spacing w:after="0" w:line="22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Standing 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333375</wp:posOffset>
            </wp:positionV>
            <wp:extent cx="2125980" cy="2443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25980" cy="244348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ind w:left="820"/>
        <w:spacing w:after="0"/>
        <w:rPr>
          <w:sz w:val="20"/>
          <w:szCs w:val="20"/>
          <w:color w:val="auto"/>
        </w:rPr>
      </w:pPr>
      <w:r>
        <w:rPr>
          <w:rFonts w:ascii="Arial" w:cs="Arial" w:eastAsia="Arial" w:hAnsi="Arial"/>
          <w:sz w:val="17"/>
          <w:szCs w:val="17"/>
          <w:b w:val="1"/>
          <w:bCs w:val="1"/>
          <w:color w:val="FFFFFF"/>
        </w:rPr>
        <w:t>Alejandra (Ale) Veltmann,</w:t>
      </w:r>
    </w:p>
    <w:p>
      <w:pPr>
        <w:spacing w:after="0" w:line="25" w:lineRule="exact"/>
        <w:rPr>
          <w:sz w:val="20"/>
          <w:szCs w:val="20"/>
          <w:color w:val="auto"/>
        </w:rPr>
      </w:pPr>
    </w:p>
    <w:p>
      <w:pPr>
        <w:jc w:val="center"/>
        <w:ind w:left="820"/>
        <w:spacing w:after="0"/>
        <w:rPr>
          <w:sz w:val="20"/>
          <w:szCs w:val="20"/>
          <w:color w:val="auto"/>
        </w:rPr>
      </w:pPr>
      <w:r>
        <w:rPr>
          <w:rFonts w:ascii="Arial" w:cs="Arial" w:eastAsia="Arial" w:hAnsi="Arial"/>
          <w:sz w:val="18"/>
          <w:szCs w:val="18"/>
          <w:b w:val="1"/>
          <w:bCs w:val="1"/>
          <w:color w:val="FFFFFF"/>
        </w:rPr>
        <w:t>Chair</w:t>
      </w:r>
    </w:p>
    <w:p>
      <w:pPr>
        <w:spacing w:after="0" w:line="180" w:lineRule="exact"/>
        <w:rPr>
          <w:sz w:val="20"/>
          <w:szCs w:val="20"/>
          <w:color w:val="auto"/>
        </w:rPr>
      </w:pPr>
    </w:p>
    <w:p>
      <w:pPr>
        <w:jc w:val="center"/>
        <w:ind w:left="820"/>
        <w:spacing w:after="0"/>
        <w:rPr>
          <w:sz w:val="20"/>
          <w:szCs w:val="20"/>
          <w:color w:val="auto"/>
        </w:rPr>
      </w:pPr>
      <w:r>
        <w:rPr>
          <w:rFonts w:ascii="Arial" w:cs="Arial" w:eastAsia="Arial" w:hAnsi="Arial"/>
          <w:sz w:val="18"/>
          <w:szCs w:val="18"/>
          <w:b w:val="1"/>
          <w:bCs w:val="1"/>
          <w:color w:val="FFFFFF"/>
        </w:rPr>
        <w:t>Christian S. Kendall</w:t>
      </w:r>
    </w:p>
    <w:p>
      <w:pPr>
        <w:spacing w:after="0" w:line="198" w:lineRule="exact"/>
        <w:rPr>
          <w:sz w:val="20"/>
          <w:szCs w:val="20"/>
          <w:color w:val="auto"/>
        </w:rPr>
      </w:pPr>
    </w:p>
    <w:p>
      <w:pPr>
        <w:jc w:val="center"/>
        <w:ind w:left="820"/>
        <w:spacing w:after="0"/>
        <w:rPr>
          <w:sz w:val="20"/>
          <w:szCs w:val="20"/>
          <w:color w:val="auto"/>
        </w:rPr>
      </w:pPr>
      <w:r>
        <w:rPr>
          <w:rFonts w:ascii="Arial" w:cs="Arial" w:eastAsia="Arial" w:hAnsi="Arial"/>
          <w:sz w:val="18"/>
          <w:szCs w:val="18"/>
          <w:b w:val="1"/>
          <w:bCs w:val="1"/>
          <w:color w:val="FFFFFF"/>
        </w:rPr>
        <w:t>William B. Roby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2520950</wp:posOffset>
            </wp:positionV>
            <wp:extent cx="2125980" cy="1671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25980"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820"/>
        <w:spacing w:after="0"/>
        <w:rPr>
          <w:sz w:val="20"/>
          <w:szCs w:val="20"/>
          <w:color w:val="auto"/>
        </w:rPr>
      </w:pPr>
      <w:r>
        <w:rPr>
          <w:rFonts w:ascii="Arial" w:cs="Arial" w:eastAsia="Arial" w:hAnsi="Arial"/>
          <w:sz w:val="18"/>
          <w:szCs w:val="18"/>
          <w:b w:val="1"/>
          <w:bCs w:val="1"/>
          <w:color w:val="FFFFFF"/>
        </w:rPr>
        <w:t>James N. Chapman,</w:t>
      </w:r>
    </w:p>
    <w:p>
      <w:pPr>
        <w:spacing w:after="0" w:line="14" w:lineRule="exact"/>
        <w:rPr>
          <w:sz w:val="20"/>
          <w:szCs w:val="20"/>
          <w:color w:val="auto"/>
        </w:rPr>
      </w:pPr>
    </w:p>
    <w:p>
      <w:pPr>
        <w:jc w:val="center"/>
        <w:ind w:left="820"/>
        <w:spacing w:after="0"/>
        <w:rPr>
          <w:sz w:val="20"/>
          <w:szCs w:val="20"/>
          <w:color w:val="auto"/>
        </w:rPr>
      </w:pPr>
      <w:r>
        <w:rPr>
          <w:rFonts w:ascii="Arial" w:cs="Arial" w:eastAsia="Arial" w:hAnsi="Arial"/>
          <w:sz w:val="18"/>
          <w:szCs w:val="18"/>
          <w:b w:val="1"/>
          <w:bCs w:val="1"/>
          <w:color w:val="FFFFFF"/>
        </w:rPr>
        <w:t>Chair</w:t>
      </w:r>
    </w:p>
    <w:p>
      <w:pPr>
        <w:spacing w:after="0" w:line="180" w:lineRule="exact"/>
        <w:rPr>
          <w:sz w:val="20"/>
          <w:szCs w:val="20"/>
          <w:color w:val="auto"/>
        </w:rPr>
      </w:pPr>
    </w:p>
    <w:p>
      <w:pPr>
        <w:jc w:val="center"/>
        <w:ind w:left="820"/>
        <w:spacing w:after="0"/>
        <w:rPr>
          <w:sz w:val="20"/>
          <w:szCs w:val="20"/>
          <w:color w:val="auto"/>
        </w:rPr>
      </w:pPr>
      <w:r>
        <w:rPr>
          <w:rFonts w:ascii="Arial" w:cs="Arial" w:eastAsia="Arial" w:hAnsi="Arial"/>
          <w:sz w:val="18"/>
          <w:szCs w:val="18"/>
          <w:b w:val="1"/>
          <w:bCs w:val="1"/>
          <w:color w:val="FFFFFF"/>
        </w:rPr>
        <w:t>Andrew B. Bremner</w:t>
      </w:r>
    </w:p>
    <w:p>
      <w:pPr>
        <w:spacing w:after="0" w:line="198" w:lineRule="exact"/>
        <w:rPr>
          <w:sz w:val="20"/>
          <w:szCs w:val="20"/>
          <w:color w:val="auto"/>
        </w:rPr>
      </w:pPr>
    </w:p>
    <w:p>
      <w:pPr>
        <w:jc w:val="center"/>
        <w:ind w:left="820"/>
        <w:spacing w:after="0"/>
        <w:rPr>
          <w:sz w:val="20"/>
          <w:szCs w:val="20"/>
          <w:color w:val="auto"/>
        </w:rPr>
      </w:pPr>
      <w:r>
        <w:rPr>
          <w:rFonts w:ascii="Arial" w:cs="Arial" w:eastAsia="Arial" w:hAnsi="Arial"/>
          <w:sz w:val="18"/>
          <w:szCs w:val="18"/>
          <w:b w:val="1"/>
          <w:bCs w:val="1"/>
          <w:color w:val="FFFFFF"/>
        </w:rPr>
        <w:t>William B. Roby</w:t>
      </w:r>
    </w:p>
    <w:p>
      <w:pPr>
        <w:spacing w:after="0" w:line="20" w:lineRule="exact"/>
        <w:rPr>
          <w:sz w:val="20"/>
          <w:szCs w:val="20"/>
          <w:color w:val="auto"/>
        </w:rPr>
      </w:pPr>
      <w:r>
        <w:rPr>
          <w:sz w:val="20"/>
          <w:szCs w:val="20"/>
          <w:color w:val="auto"/>
        </w:rPr>
        <w:br w:type="column"/>
      </w:r>
    </w:p>
    <w:p>
      <w:pPr>
        <w:ind w:left="5280"/>
        <w:spacing w:after="0"/>
        <w:rPr>
          <w:sz w:val="20"/>
          <w:szCs w:val="20"/>
          <w:color w:val="auto"/>
        </w:rPr>
      </w:pPr>
      <w:r>
        <w:rPr>
          <w:rFonts w:ascii="Arial" w:cs="Arial" w:eastAsia="Arial" w:hAnsi="Arial"/>
          <w:sz w:val="18"/>
          <w:szCs w:val="18"/>
          <w:b w:val="1"/>
          <w:bCs w:val="1"/>
          <w:color w:val="FFFFFF"/>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-153035</wp:posOffset>
            </wp:positionV>
            <wp:extent cx="7132320" cy="1974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39" w:lineRule="exact"/>
        <w:rPr>
          <w:sz w:val="20"/>
          <w:szCs w:val="20"/>
          <w:color w:val="auto"/>
        </w:rPr>
      </w:pPr>
    </w:p>
    <w:p>
      <w:pPr>
        <w:ind w:left="46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FFFFFF"/>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-118745</wp:posOffset>
            </wp:positionV>
            <wp:extent cx="7132320"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78"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Our Audit Committee is composed entirely of independent directors pursuant to the applicable standards, including the heightened standards applicable to audit committee members. In addition to regularly scheduled meetings, the committee meets separately in executive sessions with representatives of our independent auditor, our independent reserves audit firm and our internal audit personnel. The Audit Committee approves the appointment and services of the independent auditor and reviews the general scope of audit and audit-related services, matters relating to internal controls and other matters related to accounting and reporting functions. The Audit Committee monitors the integrity of the financial statements of CRC. The committee oversees the Company’s compliance with ethical standards, and reviews material related party transactions. The Audit Committee additionally reviews and discusses CRC’s guidelines and policies with respect to risk assessment and risk management regarding major financial and other risk exposures (including cybersecurity risks) and the actions management has taken to ensure appropriate processes are in place to identify, manage, monitor, and control such exposures. The Board of Directors determined that all of the members of the Audit Committee are financially literate and have accounting or financial management expertise, each as required by the applicable NYSE listing standards. The Board of Directors also determined that Ms. Veltmann qualifies as an audit committee financial expert under the applicable rules of the Securities Exchange Act of 1934, as amended.</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7 Meetings Held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-118745</wp:posOffset>
            </wp:positionV>
            <wp:extent cx="6814820" cy="128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14820" cy="12890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FFFFFF"/>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-118745</wp:posOffset>
            </wp:positionV>
            <wp:extent cx="7132320"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78"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Our Compensation Committee is composed entirely of independent directors pursuant to the applicable standards, including the heightened standards applicable to compensation committee members. The committee is responsible for (i) determining compensation for our Chief Executive Officer and other executive officers, (ii) overseeing and approving compensation and employee benefit policies, (iii) reviewing and discussing with our management the Compensation Discussion and Analysis and related disclosure included in our annual proxy statement, and (iv) overseeing the evaluation of the performance of our executives. The Compensation Committee may delegate to its Chairperson or any subcommittee it may form some or all of its responsibility and authority for any particular matter as it deems appropriate from time to time under the circumstances. The Compensation Committee also has the authority to retain, compensate, direct, oversee and terminate legal counsel, compensation consultants and other experts and advisors hired to assist the Compensation Committee.</w:t>
      </w:r>
    </w:p>
    <w:p>
      <w:pPr>
        <w:spacing w:after="0" w:line="167"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7 Meetings Held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-118745</wp:posOffset>
            </wp:positionV>
            <wp:extent cx="6831965" cy="1289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476250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000" w:space="660"/>
            <w:col w:w="7580"/>
          </w:cols>
          <w:pgMar w:left="320" w:top="890" w:right="3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353695</wp:posOffset>
            </wp:positionH>
            <wp:positionV relativeFrom="page">
              <wp:posOffset>1203325</wp:posOffset>
            </wp:positionV>
            <wp:extent cx="2125980" cy="1671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25980"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James N. Chapman,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Chair</w:t>
      </w:r>
    </w:p>
    <w:p>
      <w:pPr>
        <w:spacing w:after="0" w:line="180" w:lineRule="exact"/>
        <w:rPr>
          <w:sz w:val="20"/>
          <w:szCs w:val="20"/>
          <w:color w:val="auto"/>
        </w:rPr>
      </w:pPr>
    </w:p>
    <w:p>
      <w:pPr>
        <w:jc w:val="center"/>
        <w:spacing w:after="0" w:line="492" w:lineRule="auto"/>
        <w:rPr>
          <w:sz w:val="20"/>
          <w:szCs w:val="20"/>
          <w:color w:val="auto"/>
        </w:rPr>
      </w:pPr>
      <w:r>
        <w:rPr>
          <w:rFonts w:ascii="Arial" w:cs="Arial" w:eastAsia="Arial" w:hAnsi="Arial"/>
          <w:sz w:val="18"/>
          <w:szCs w:val="18"/>
          <w:b w:val="1"/>
          <w:bCs w:val="1"/>
          <w:color w:val="FFFFFF"/>
        </w:rPr>
        <w:t>Andrew B. Bremner Tiffany (TJ) Thom Cepak Bobby Saadati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1286510</wp:posOffset>
            </wp:positionV>
            <wp:extent cx="2125980" cy="14147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25980"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Christian S. Kendall,</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Chair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William B. Roby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Alejandra (Ale) Veltmann</w:t>
      </w:r>
    </w:p>
    <w:p>
      <w:pPr>
        <w:spacing w:after="0" w:line="20" w:lineRule="exact"/>
        <w:rPr>
          <w:sz w:val="20"/>
          <w:szCs w:val="20"/>
          <w:color w:val="auto"/>
        </w:rPr>
      </w:pPr>
      <w:r>
        <w:rPr>
          <w:sz w:val="20"/>
          <w:szCs w:val="20"/>
          <w:color w:val="auto"/>
        </w:rPr>
        <w:br w:type="column"/>
      </w:r>
    </w:p>
    <w:p>
      <w:pPr>
        <w:ind w:left="5280"/>
        <w:spacing w:after="0"/>
        <w:rPr>
          <w:sz w:val="20"/>
          <w:szCs w:val="20"/>
          <w:color w:val="auto"/>
        </w:rPr>
      </w:pPr>
      <w:r>
        <w:rPr>
          <w:rFonts w:ascii="Arial" w:cs="Arial" w:eastAsia="Arial" w:hAnsi="Arial"/>
          <w:sz w:val="18"/>
          <w:szCs w:val="18"/>
          <w:b w:val="1"/>
          <w:bCs w:val="1"/>
          <w:color w:val="FFFFFF"/>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-153035</wp:posOffset>
            </wp:positionV>
            <wp:extent cx="7132320" cy="1974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39" w:lineRule="exact"/>
        <w:rPr>
          <w:sz w:val="20"/>
          <w:szCs w:val="20"/>
          <w:color w:val="auto"/>
        </w:rPr>
      </w:pPr>
    </w:p>
    <w:p>
      <w:pPr>
        <w:ind w:left="4640"/>
        <w:spacing w:after="0"/>
        <w:rPr>
          <w:sz w:val="20"/>
          <w:szCs w:val="20"/>
          <w:color w:val="auto"/>
        </w:rPr>
      </w:pPr>
      <w:r>
        <w:rPr>
          <w:rFonts w:ascii="Arial" w:cs="Arial" w:eastAsia="Arial" w:hAnsi="Arial"/>
          <w:sz w:val="14"/>
          <w:szCs w:val="14"/>
          <w:color w:val="auto"/>
        </w:rPr>
        <w:t>Board of Directors and Corporate Governance</w:t>
      </w:r>
    </w:p>
    <w:p>
      <w:pPr>
        <w:spacing w:after="0" w:line="15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FFFFFF"/>
        </w:rPr>
        <w:t>Finance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-118745</wp:posOffset>
            </wp:positionV>
            <wp:extent cx="7132320" cy="1289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78"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The Finance Committee assists the Board in fulfilling its oversight responsibilities for matters relating to the Company’s financial strategy, capital allocation, liquidity position and financial policies and activities. The committee assists the Board in reviewing and overseeing finance-related matters of the Company and accelerating the Board's ability to perform those functions. The committee reviews, discusses with management and makes recommendations to the Board regarding (i) the Company's balance sheet, capital structure and related transactions; (ii) the Company's compliance with debt covenants and related matters, and the Company's relationship with lenders; (iii) in consultation with the Audit Committee, the Company's risk management strategy involving interest rate hedging strategies and programs; (iv) proposed mergers, combinations, acquisitions, offers to purchase significant assets, divestitures and other strategic investments; (v) any dividend or share repurchase programs of the Company; and (vi) decision effectiveness with respect to finance-related matters.</w:t>
      </w:r>
    </w:p>
    <w:p>
      <w:pPr>
        <w:spacing w:after="0" w:line="167"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6 Meetings Held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-118745</wp:posOffset>
            </wp:positionV>
            <wp:extent cx="6831965" cy="1289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12890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FFFFFF"/>
        </w:rPr>
        <w:t>Nominating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-118745</wp:posOffset>
            </wp:positionV>
            <wp:extent cx="7132320" cy="1289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78"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The Nominating and Governance Committee is composed entirely of independent directors. The committee makes proposals to the Board of Directors for candidates to be nominated by the Board of Directors to fill vacancies or for new directorship positions, if any, which may be created from time to time. The Nominating and Governance Committee develops and recommends a set of corporate governance guidelines to our Board of Directors and oversees the evaluation of our Board and its committees. Each year, the Nominating and Governance Committee determines which directors, if any, qualify as independent, disinterested or non-employee directors under applicable standards. The Nominating and Governance Committee periodically reviews the advisability or need for any changes in the Board committee structure, and recommends to the Board the composition of each Board committee.</w:t>
      </w:r>
    </w:p>
    <w:p>
      <w:pPr>
        <w:spacing w:after="0" w:line="172"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4 Meetings Held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-118745</wp:posOffset>
            </wp:positionV>
            <wp:extent cx="6831965"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476250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140" w:space="680"/>
            <w:col w:w="7580"/>
          </w:cols>
          <w:pgMar w:left="1160" w:top="890" w:right="339" w:bottom="1440" w:gutter="0" w:footer="0" w:header="0"/>
        </w:sectPr>
      </w:pPr>
    </w:p>
    <w:bookmarkStart w:id="25" w:name="page26"/>
    <w:bookmarkEnd w:id="25"/>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542925</wp:posOffset>
            </wp:positionV>
            <wp:extent cx="7132320" cy="1974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Board of Directors and Corporate Governance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Sustainability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p>
      <w:pPr>
        <w:spacing w:after="0" w:line="293" w:lineRule="exact"/>
        <w:rPr>
          <w:sz w:val="20"/>
          <w:szCs w:val="20"/>
          <w:color w:val="auto"/>
        </w:rPr>
      </w:pPr>
    </w:p>
    <w:p>
      <w:pPr>
        <w:jc w:val="center"/>
        <w:ind w:left="900"/>
        <w:spacing w:after="0"/>
        <w:rPr>
          <w:sz w:val="20"/>
          <w:szCs w:val="20"/>
          <w:color w:val="auto"/>
        </w:rPr>
      </w:pPr>
      <w:r>
        <w:rPr>
          <w:rFonts w:ascii="Arial" w:cs="Arial" w:eastAsia="Arial" w:hAnsi="Arial"/>
          <w:sz w:val="18"/>
          <w:szCs w:val="18"/>
          <w:b w:val="1"/>
          <w:bCs w:val="1"/>
          <w:color w:val="FFFFFF"/>
        </w:rPr>
        <w:t>William B. Roby,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-179070</wp:posOffset>
            </wp:positionV>
            <wp:extent cx="2125980" cy="19716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25980" cy="1971675"/>
                    </a:xfrm>
                    <a:prstGeom prst="rect">
                      <a:avLst/>
                    </a:prstGeom>
                    <a:noFill/>
                  </pic:spPr>
                </pic:pic>
              </a:graphicData>
            </a:graphic>
          </wp:anchor>
        </w:drawing>
      </w:r>
    </w:p>
    <w:p>
      <w:pPr>
        <w:jc w:val="center"/>
        <w:ind w:left="900"/>
        <w:spacing w:after="0"/>
        <w:rPr>
          <w:sz w:val="20"/>
          <w:szCs w:val="20"/>
          <w:color w:val="auto"/>
        </w:rPr>
      </w:pPr>
      <w:r>
        <w:rPr>
          <w:rFonts w:ascii="Arial" w:cs="Arial" w:eastAsia="Arial" w:hAnsi="Arial"/>
          <w:sz w:val="18"/>
          <w:szCs w:val="18"/>
          <w:b w:val="1"/>
          <w:bCs w:val="1"/>
          <w:color w:val="FFFFFF"/>
        </w:rPr>
        <w:t>Chair</w:t>
      </w:r>
    </w:p>
    <w:p>
      <w:pPr>
        <w:spacing w:after="0" w:line="180" w:lineRule="exact"/>
        <w:rPr>
          <w:sz w:val="20"/>
          <w:szCs w:val="20"/>
          <w:color w:val="auto"/>
        </w:rPr>
      </w:pPr>
    </w:p>
    <w:p>
      <w:pPr>
        <w:jc w:val="right"/>
        <w:ind w:right="180"/>
        <w:spacing w:after="0"/>
        <w:rPr>
          <w:sz w:val="20"/>
          <w:szCs w:val="20"/>
          <w:color w:val="auto"/>
        </w:rPr>
      </w:pPr>
      <w:r>
        <w:rPr>
          <w:rFonts w:ascii="Arial" w:cs="Arial" w:eastAsia="Arial" w:hAnsi="Arial"/>
          <w:sz w:val="18"/>
          <w:szCs w:val="18"/>
          <w:b w:val="1"/>
          <w:bCs w:val="1"/>
          <w:color w:val="FFFFFF"/>
        </w:rPr>
        <w:t>Andrew B. Bremner</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FFFFFF"/>
        </w:rPr>
        <w:t>James R. Jackson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CTV Board of Directors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Our Sustainability Committee is composed entirely of independent directors. The committee assists the Board in fulfilling its oversight responsibilities relating to sustainability for matters pertaining to the Company’s business, strategy, operations, performance or reputation. The committee reviews and discusses with management the status of strategies, objectives, issues, laws and regulations regarding matters relating to the Company’s operations; sustainability; and health, safety and environment (“HSE”). The committee reviews and discusses with management the Company’s programs on community engagement, equal employment opportunity, workplace culture, talent development and social responsibility. It also reviews our policies and programs designed to ensure (i) compliance with applicable laws and regulations, (ii) consistency with Company strategy, (iii) promotion of safe operations, sustainability and conservation of natural resources, and (iv) that timing requirements are set and achieved. The committee periodically reports to the Board of Directors with respect to operations, sustainability and HSE pertaining to the Company. The Sustainability Committee is responsible for reviewing and discussing the status of CRC’s sustainability goals.</w:t>
      </w:r>
    </w:p>
    <w:p>
      <w:pPr>
        <w:spacing w:after="0" w:line="242"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9 Meetings Held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-118745</wp:posOffset>
            </wp:positionV>
            <wp:extent cx="6831965" cy="1289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12890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755015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37" w:lineRule="exact"/>
        <w:rPr>
          <w:sz w:val="20"/>
          <w:szCs w:val="20"/>
          <w:color w:val="auto"/>
        </w:rPr>
      </w:pPr>
    </w:p>
    <w:p>
      <w:pPr>
        <w:sectPr>
          <w:pgSz w:w="11900" w:h="16838" w:orient="portrait"/>
          <w:cols w:equalWidth="0" w:num="2">
            <w:col w:w="2940" w:space="720"/>
            <w:col w:w="7580"/>
          </w:cols>
          <w:pgMar w:left="320" w:top="890" w:right="339" w:bottom="1440" w:gutter="0" w:footer="0" w:header="0"/>
          <w:type w:val="continuous"/>
        </w:sectPr>
      </w:pPr>
    </w:p>
    <w:p>
      <w:pPr>
        <w:ind w:right="100"/>
        <w:spacing w:after="0"/>
        <w:rPr>
          <w:sz w:val="20"/>
          <w:szCs w:val="20"/>
          <w:color w:val="auto"/>
        </w:rPr>
      </w:pPr>
      <w:r>
        <w:rPr>
          <w:rFonts w:ascii="Arial" w:cs="Arial" w:eastAsia="Arial" w:hAnsi="Arial"/>
          <w:sz w:val="18"/>
          <w:szCs w:val="18"/>
          <w:color w:val="auto"/>
        </w:rPr>
        <w:t>The Company's Board of Directors has delegated limited authority for certain activities to the board of directors (“</w:t>
      </w:r>
      <w:r>
        <w:rPr>
          <w:rFonts w:ascii="Arial" w:cs="Arial" w:eastAsia="Arial" w:hAnsi="Arial"/>
          <w:sz w:val="18"/>
          <w:szCs w:val="18"/>
          <w:b w:val="1"/>
          <w:bCs w:val="1"/>
          <w:color w:val="auto"/>
        </w:rPr>
        <w:t>CTV Board</w:t>
      </w:r>
      <w:r>
        <w:rPr>
          <w:rFonts w:ascii="Arial" w:cs="Arial" w:eastAsia="Arial" w:hAnsi="Arial"/>
          <w:sz w:val="18"/>
          <w:szCs w:val="18"/>
          <w:color w:val="auto"/>
        </w:rPr>
        <w:t>”) of its wholly owned subsidiary, Carbon TerraVault Holdings, LLC ("</w:t>
      </w:r>
      <w:r>
        <w:rPr>
          <w:rFonts w:ascii="Arial" w:cs="Arial" w:eastAsia="Arial" w:hAnsi="Arial"/>
          <w:sz w:val="18"/>
          <w:szCs w:val="18"/>
          <w:b w:val="1"/>
          <w:bCs w:val="1"/>
          <w:color w:val="auto"/>
        </w:rPr>
        <w:t>CTV</w:t>
      </w:r>
      <w:r>
        <w:rPr>
          <w:rFonts w:ascii="Arial" w:cs="Arial" w:eastAsia="Arial" w:hAnsi="Arial"/>
          <w:sz w:val="18"/>
          <w:szCs w:val="18"/>
          <w:color w:val="auto"/>
        </w:rPr>
        <w:t>"). The current members of the CTV Board are Mr. McFarland (its Chairman), Mr. Bremner, Mr. Chapman and Mr. Kendall. The CTV Board provides direction to and oversight of the carbon management business of CTV and its subsidiaries. The CTV Board is responsible for reviewing and discussing with management, among other things: (i) the budgets and development plans relating to the carbon management business and (ii) strategies, tactics, plans, goals, objectives, targets and metrics relating to the carbon management business and the performance of CTV and its subsidiaries with respect thereto. The CTV Board also reports to the Company's Board with respect to its activities, findings and recommendations. The CTV Board held five meetings in 2024.</w:t>
      </w:r>
    </w:p>
    <w:p>
      <w:pPr>
        <w:spacing w:after="0" w:line="23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26" w:name="page27"/>
    <w:bookmarkEnd w:id="26"/>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542925</wp:posOffset>
            </wp:positionV>
            <wp:extent cx="7132320" cy="1974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59"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0075C9"/>
        </w:rPr>
        <w:t>The Board’s Role in Risk Oversight</w:t>
      </w:r>
    </w:p>
    <w:p>
      <w:pPr>
        <w:spacing w:after="0" w:line="119"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While the Company’s management is responsible for the day-to-day risk management process, the Board has ultimate responsibility for the oversight of the Company’s risk management, shaping effective corporate governance, and setting the right tone for integrity, ethics and culture, for the benefit of the Company’s stakeholders, including shareholders, and employees. The Board exercises direct oversight of strategic risks to the Company and the risk management process to ensure that it is properly designed, well-functioning and consistent with our overall corporate strategy, and also delegates certain risk areas to each of the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184150</wp:posOffset>
            </wp:positionV>
            <wp:extent cx="5143500" cy="50660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5066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7" w:name="page28"/>
    <w:bookmarkEnd w:id="27"/>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542925</wp:posOffset>
            </wp:positionV>
            <wp:extent cx="7132320" cy="1974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59"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0075C9"/>
        </w:rPr>
        <w:t>Compensation Committee Interlocks and Insider Participation</w:t>
      </w:r>
    </w:p>
    <w:p>
      <w:pPr>
        <w:spacing w:after="0" w:line="106"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No member of our Compensation Committee is now, or at any time since the beginning of 2024 has been, employed by or served as an officer of CRC or any of its subsidiaries or had any business relationship requiring disclosure with CRC or any of its subsidiaries. None of our executive officers is now, or at any time has been, since the beginning of 2024, a member of the compensation committee or board of directors of another entity one of whose executive officers has been a member of our Board of Directors or Compensation Committee.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0075C9"/>
        </w:rPr>
        <w:t>Communications with Directors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welcomes communications from our stockholders and other interested parties. Communications to our Board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Directors, to any committee of our Board, or to any director in particular, should be sent 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Board of Directors, committee name or director’s name, as appropriate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California Resources Corporation</w:t>
      </w:r>
    </w:p>
    <w:p>
      <w:pPr>
        <w:jc w:val="center"/>
        <w:spacing w:after="0" w:line="234" w:lineRule="auto"/>
        <w:rPr>
          <w:sz w:val="20"/>
          <w:szCs w:val="20"/>
          <w:color w:val="auto"/>
        </w:rPr>
      </w:pPr>
      <w:r>
        <w:rPr>
          <w:rFonts w:ascii="Arial" w:cs="Arial" w:eastAsia="Arial" w:hAnsi="Arial"/>
          <w:sz w:val="18"/>
          <w:szCs w:val="18"/>
          <w:color w:val="auto"/>
        </w:rPr>
        <w:t>Attention: Corporate Secretary</w:t>
      </w:r>
    </w:p>
    <w:p>
      <w:pPr>
        <w:jc w:val="center"/>
        <w:spacing w:after="0" w:line="235" w:lineRule="auto"/>
        <w:rPr>
          <w:sz w:val="20"/>
          <w:szCs w:val="20"/>
          <w:color w:val="auto"/>
        </w:rPr>
      </w:pPr>
      <w:r>
        <w:rPr>
          <w:rFonts w:ascii="Arial" w:cs="Arial" w:eastAsia="Arial" w:hAnsi="Arial"/>
          <w:sz w:val="18"/>
          <w:szCs w:val="18"/>
          <w:color w:val="auto"/>
        </w:rPr>
        <w:t>1 World Trade Center, Suite 1500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Long Beach, California 90831</w:t>
      </w:r>
    </w:p>
    <w:p>
      <w:pPr>
        <w:spacing w:after="0" w:line="194"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We will forward all correspondence directly to the committee or individual director, as appropriate. Our independent directors approved our process for collecting and organizing stockholder communications to the Board of Directors.</w:t>
      </w:r>
    </w:p>
    <w:p>
      <w:pPr>
        <w:spacing w:after="0" w:line="15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If any stockholder or third party has a complaint or concern regarding accounting, internal controls over financial reporting or audit matters at CRC, they should send their complaint in writing to Ms. Veltmann, the Chair of the Audit Committee, at the address listed above.</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0075C9"/>
        </w:rPr>
        <w:t>Availability of Corporate Governance Documents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We are committed to good corporate governance. In furtherance thereof, the Board of Directors has adopted governance documents to guide the operation and direction of the Board and its committees, which include Corporate Governance Guidelines, a Business Ethics Policy (which applies to all directors and employees, including the Chief Executive Officer, Chief Financial Officer and Principal Accounting Officer) and charters for the Audit, Compensation, Finance, Nominating and Governance and Sustainability Committees. Each of these documents is available on our website (www.crc.com), and stockholders may obtain a printed copy, free of charge, by sending a written request to California Resources Corporation, Attention: Corporate Secretary, 1 World Trade Center, Suite 1500, Long Beach, California 90831. We will also promptly post on our website any material amendments to these documents and any waivers from the Business Ethics Policy for our directors and principal executive, financial and accounting officers.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0075C9"/>
        </w:rPr>
        <w:t>Certain Relationships and Related Transactions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Board of Directors adopted written policies regarding related party transactions. We review all relationships and transactions in which we and our directors and executive officers or their immediate family members are participants to determine whether such persons have a direct or indirect material interest. Our Corporate Secretary’s office implements procedures to obtain information from the directors and executive officers with respect to related party transactions. The Audit Committee reviews and discusses with management and the independent registered public accounting firm any material related party transactions as defined by, and required to be disclosed under, the rules of the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and the NYSE. Agreements that embody transactions that are material in amount or significance are filed with the SEC as required.</w:t>
      </w:r>
    </w:p>
    <w:p>
      <w:pPr>
        <w:spacing w:after="0" w:line="23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8" w:name="page29"/>
    <w:bookmarkEnd w:id="28"/>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542925</wp:posOffset>
            </wp:positionV>
            <wp:extent cx="7132320" cy="1968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2025 PROXY STATEMENT</w:t>
      </w:r>
    </w:p>
    <w:p>
      <w:pPr>
        <w:spacing w:after="0" w:line="59"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369" w:lineRule="exact"/>
        <w:rPr>
          <w:sz w:val="20"/>
          <w:szCs w:val="20"/>
          <w:color w:val="auto"/>
        </w:rPr>
      </w:pPr>
    </w:p>
    <w:p>
      <w:pPr>
        <w:jc w:val="both"/>
        <w:ind w:right="300"/>
        <w:spacing w:after="0" w:line="247" w:lineRule="auto"/>
        <w:rPr>
          <w:sz w:val="20"/>
          <w:szCs w:val="20"/>
          <w:color w:val="auto"/>
        </w:rPr>
      </w:pPr>
      <w:r>
        <w:rPr>
          <w:rFonts w:ascii="Arial" w:cs="Arial" w:eastAsia="Arial" w:hAnsi="Arial"/>
          <w:sz w:val="18"/>
          <w:szCs w:val="18"/>
          <w:color w:val="auto"/>
        </w:rPr>
        <w:t>Our Business Ethics and Corporate Policies prohibit significant conflicts of interest. Any waivers of these policies require approval by the compliance officer, or in the case of conflicts of our executive officers or directors, the Board of Directors. Under our Business Ethics and Corporate Policies, conflicts of interest generally are deemed to occur when private or family interests do not appear impartial, interfere or compete with the interests of our Company.</w:t>
      </w:r>
    </w:p>
    <w:p>
      <w:pPr>
        <w:spacing w:after="0" w:line="174"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We have multiple processes for reporting conflicts of interests and related party transactions. Under our Business Ethics and Corporate Policies, all of our directors and employees are required to report any known or apparent conflict of interest, or potential conflict of interest, to their supervisors, the compliance officer, a member of the corporate compliance committee, our legal counsel, human resources, or the Board of Directors, as appropriate. As part of any review of any conflict of interest, potential conflict of interest or related party transaction, the following factors are generally considered:</w:t>
      </w:r>
    </w:p>
    <w:p>
      <w:pPr>
        <w:spacing w:after="0" w:line="68" w:lineRule="exact"/>
        <w:rPr>
          <w:sz w:val="20"/>
          <w:szCs w:val="20"/>
          <w:color w:val="auto"/>
        </w:rPr>
      </w:pPr>
    </w:p>
    <w:p>
      <w:pPr>
        <w:ind w:left="540" w:hanging="322"/>
        <w:spacing w:after="0"/>
        <w:tabs>
          <w:tab w:leader="none" w:pos="5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nature of the related person’s interest in the transaction;</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material terms of the transaction;</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importance of the transaction to the related person;</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importance of the transaction to us;</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whether the transaction would impair the judgment of a director or executive officer to act or their ability to act in our best interest;</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whether the transaction might affect a director’s independence under NYSE standards; and</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any other matters deemed appropriate with respect to the particular transaction.</w:t>
      </w:r>
    </w:p>
    <w:p>
      <w:pPr>
        <w:spacing w:after="0" w:line="22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also have other policies and procedures to prevent conflicts of interest and related person transactions. For example, the charter of our Nominating and Governance Committee requires that the committee members assess the independence of the non-management directors at least annually, including a requirement that it determine whether any such directors have a material relationship with us, either directly or indirectly, as defined therein and as further described above under “Director Independence Determinations.”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This section discusses transactions and relationships with related persons since the beginning of our most recently completed fiscal year.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Alpine JV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On December 19, 2024, California Resources Elk Hills, LLC (“</w:t>
      </w:r>
      <w:r>
        <w:rPr>
          <w:rFonts w:ascii="Arial" w:cs="Arial" w:eastAsia="Arial" w:hAnsi="Arial"/>
          <w:sz w:val="18"/>
          <w:szCs w:val="18"/>
          <w:b w:val="1"/>
          <w:bCs w:val="1"/>
          <w:i w:val="1"/>
          <w:iCs w:val="1"/>
          <w:color w:val="auto"/>
        </w:rPr>
        <w:t>CREH</w:t>
      </w:r>
      <w:r>
        <w:rPr>
          <w:rFonts w:ascii="Arial" w:cs="Arial" w:eastAsia="Arial" w:hAnsi="Arial"/>
          <w:sz w:val="18"/>
          <w:szCs w:val="18"/>
          <w:color w:val="auto"/>
        </w:rPr>
        <w:t>”) agreed with the investment partners in its Alpine Joint Venture (the</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Alpine JV</w:t>
      </w:r>
      <w:r>
        <w:rPr>
          <w:rFonts w:ascii="Arial" w:cs="Arial" w:eastAsia="Arial" w:hAnsi="Arial"/>
          <w:sz w:val="18"/>
          <w:szCs w:val="18"/>
          <w:color w:val="auto"/>
        </w:rPr>
        <w:t>”), including an affiliate of Solar Projects LLC (a CRC stockholder that owns more than 5% of our common stock), to settle certain matters relating to the Alpine JV Farmout and Development Agreement, which was terminated in 2021. In connection with the settlement, CREH agreed to pay the investment partners an aggregate $1 million, and the investment partners agreed to pay CREH an aggregate $2.4 million as reimbursement for property taxes previously paid by CREH on their behalf.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Aera Merger Stockholder Agreements</w:t>
      </w:r>
    </w:p>
    <w:p>
      <w:pPr>
        <w:spacing w:after="0" w:line="212"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In connection with the closing of the Aera Merger, we entered into stockholder agreements with IKAV and CPPIB (each a “</w:t>
      </w:r>
      <w:r>
        <w:rPr>
          <w:rFonts w:ascii="Arial" w:cs="Arial" w:eastAsia="Arial" w:hAnsi="Arial"/>
          <w:sz w:val="18"/>
          <w:szCs w:val="18"/>
          <w:b w:val="1"/>
          <w:bCs w:val="1"/>
          <w:i w:val="1"/>
          <w:iCs w:val="1"/>
          <w:color w:val="auto"/>
        </w:rPr>
        <w:t>Stockholder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Pursuant to the Stockholder Agreements, for so long as each of IKAV and CPPIB, together with its respective affiliates,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beneficially owns, in the aggregate, 5% or more of the issued and outstanding shares of CRC common stock, they will have the right to nominate one person for appointment to the Board (each such person, a “</w:t>
      </w:r>
      <w:r>
        <w:rPr>
          <w:rFonts w:ascii="Arial" w:cs="Arial" w:eastAsia="Arial" w:hAnsi="Arial"/>
          <w:sz w:val="18"/>
          <w:szCs w:val="18"/>
          <w:b w:val="1"/>
          <w:bCs w:val="1"/>
          <w:i w:val="1"/>
          <w:iCs w:val="1"/>
          <w:color w:val="auto"/>
        </w:rPr>
        <w:t>Stockholder Nominee</w:t>
      </w:r>
      <w:r>
        <w:rPr>
          <w:rFonts w:ascii="Arial" w:cs="Arial" w:eastAsia="Arial" w:hAnsi="Arial"/>
          <w:sz w:val="18"/>
          <w:szCs w:val="18"/>
          <w:color w:val="auto"/>
        </w:rPr>
        <w:t>”).</w:t>
      </w:r>
    </w:p>
    <w:p>
      <w:pPr>
        <w:spacing w:after="0" w:line="16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Each Stockholder Agreement contains certain standstill provisions which, among other things, will prohibit the party thereto and certain of its affiliates (such affiliates, the “</w:t>
      </w:r>
      <w:r>
        <w:rPr>
          <w:rFonts w:ascii="Arial" w:cs="Arial" w:eastAsia="Arial" w:hAnsi="Arial"/>
          <w:sz w:val="18"/>
          <w:szCs w:val="18"/>
          <w:b w:val="1"/>
          <w:bCs w:val="1"/>
          <w:i w:val="1"/>
          <w:iCs w:val="1"/>
          <w:color w:val="auto"/>
        </w:rPr>
        <w:t>Restricted Parties</w:t>
      </w:r>
      <w:r>
        <w:rPr>
          <w:rFonts w:ascii="Arial" w:cs="Arial" w:eastAsia="Arial" w:hAnsi="Arial"/>
          <w:sz w:val="18"/>
          <w:szCs w:val="18"/>
          <w:color w:val="auto"/>
        </w:rPr>
        <w:t>”) from (i) acquiring additional shares of our common stock that would result in such party and its Restricted Parties beneficially owning more</w:t>
      </w:r>
    </w:p>
    <w:p>
      <w:pPr>
        <w:spacing w:after="0" w:line="22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9" w:name="page30"/>
    <w:bookmarkEnd w:id="29"/>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542925</wp:posOffset>
            </wp:positionV>
            <wp:extent cx="7132320" cy="1968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2025 PROXY STATEMENT</w:t>
      </w:r>
    </w:p>
    <w:p>
      <w:pPr>
        <w:spacing w:after="0" w:line="59"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36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than 14.9% of outstanding CRC common stock; (ii) soliciting proxies or influencing any voting of CRC common stock or other CRC equity securities; (iii) directly or indirectly proposing transactions that would be reasonably likely to result in a change of control of CRC; (iv) seeking additional representation on the Board, or otherwise seeking to control the management of CRC and its controlled affiliates, including through the removal of directors; (v) forming, joining or knowingly encouraging or engaging in discussions regarding the formation of a “group” within the meaning of Section 13(d)(3) of the Exchange Act with non-affiliates with respect to CRC’s securities; and (vi) publicly disclosing any intention, plan, or arrangement inconsistent with any of the foregoing. The standstill provisions continue until (a) such party, together with its respective Restricted Parties, ceases to beneficially own, in the aggregate, 7.5% or more of the outstanding shares of CRC common stock and (b) no Stockholder Nominee designated by such party is serving on the Board and such party either is no longer entitled to, or has irrevocably waived, the right to appoint a Stockholder Nominee.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Aera Merger Registration Rights Agreement</w:t>
      </w:r>
    </w:p>
    <w:p>
      <w:pPr>
        <w:spacing w:after="0" w:line="212"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In connection with the closing of the Aera Merger, we entered into a registration rights agreement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with the seller parties thereto (the “</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Pursuant to the terms of the Registration Rights Agreement, the Holders are entitled to certain registration rights with respect to the shares of common stock issued pursuant to the merger agreement relating to the Aera Merger. The Registration Rights Agreement also provides the Holders the ability to request CRC conduct certain underwritten offerings and provides the Holders with certain customary piggyback registration rights.</w:t>
      </w:r>
    </w:p>
    <w:p>
      <w:pPr>
        <w:spacing w:after="0" w:line="176"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Pursuant to the Registration Rights Agreement, each Holder agreed to certain lock-up provisions whereby such Holder and any of its permitted transferees holding shares of common stock agreed not to transfer (1) any shares of common stock issued to such Holder in connection with the Aera Merger (subject to certain exceptions) to any non-affiliate until January 1, 2025; (2) more than one-third of the shares of common stock issued to such Holder to any non-affiliate until July 1, 2025; and (3) more than two-thirds of the shares of common stock issued to such Holder to any non-affiliate until January 1, 2026. Transfers from each Holder to its general partners, limited partners, members or stockholders, or to any corporation, partnership, limited liability company, investment fund or other entity that controls, is controlled by or is under common control with such Holder are exempted from the lock-up restrictions, except for such Holder’s portfolio companies. In addition, the lock-up provisions permit transfers pursuant to liquidations, stock exchanges, share repurchase programs and certain hedging arrangements.</w:t>
      </w:r>
    </w:p>
    <w:p>
      <w:pPr>
        <w:spacing w:after="0" w:line="23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5"/>
          <w:szCs w:val="5"/>
          <w:color w:val="FFFFF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968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5"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FFFFFF"/>
        </w:rPr>
        <w:t>2025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Sustainability Goals</w:t>
      </w:r>
    </w:p>
    <w:p>
      <w:pPr>
        <w:spacing w:after="0" w:line="171" w:lineRule="exact"/>
        <w:rPr>
          <w:sz w:val="20"/>
          <w:szCs w:val="20"/>
          <w:color w:val="auto"/>
        </w:rPr>
      </w:pPr>
    </w:p>
    <w:p>
      <w:pPr>
        <w:spacing w:after="0"/>
        <w:rPr>
          <w:sz w:val="20"/>
          <w:szCs w:val="20"/>
          <w:color w:val="auto"/>
        </w:rPr>
      </w:pPr>
      <w:r>
        <w:rPr>
          <w:rFonts w:ascii="Arial" w:cs="Arial" w:eastAsia="Arial" w:hAnsi="Arial"/>
          <w:sz w:val="32"/>
          <w:szCs w:val="32"/>
          <w:color w:val="0075C9"/>
        </w:rPr>
        <w:t>Sustainability Goals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Carbon Management</w:t>
      </w:r>
    </w:p>
    <w:p>
      <w:pPr>
        <w:spacing w:after="0" w:line="212" w:lineRule="exact"/>
        <w:rPr>
          <w:sz w:val="20"/>
          <w:szCs w:val="20"/>
          <w:color w:val="auto"/>
        </w:rPr>
      </w:pPr>
    </w:p>
    <w:p>
      <w:pPr>
        <w:ind w:right="20"/>
        <w:spacing w:after="0" w:line="208" w:lineRule="exact"/>
        <w:rPr>
          <w:sz w:val="20"/>
          <w:szCs w:val="20"/>
          <w:color w:val="auto"/>
        </w:rPr>
      </w:pPr>
      <w:r>
        <w:rPr>
          <w:rFonts w:ascii="Arial" w:cs="Arial" w:eastAsia="Arial" w:hAnsi="Arial"/>
          <w:sz w:val="18"/>
          <w:szCs w:val="18"/>
          <w:color w:val="auto"/>
        </w:rPr>
        <w:t>Through CTV, our carbon management business, we are helping to advance energy transition in California. We are developing scalable, low-carbon, and cost-effective solutions that will create rewarding local jobs while delivering meaningful decarbonization. CTV offers services including carbon capture and storage ("</w:t>
      </w:r>
      <w:r>
        <w:rPr>
          <w:rFonts w:ascii="Arial" w:cs="Arial" w:eastAsia="Arial" w:hAnsi="Arial"/>
          <w:sz w:val="18"/>
          <w:szCs w:val="18"/>
          <w:b w:val="1"/>
          <w:bCs w:val="1"/>
          <w:color w:val="auto"/>
        </w:rPr>
        <w:t>CCS</w:t>
      </w:r>
      <w:r>
        <w:rPr>
          <w:rFonts w:ascii="Arial" w:cs="Arial" w:eastAsia="Arial" w:hAnsi="Arial"/>
          <w:sz w:val="18"/>
          <w:szCs w:val="18"/>
          <w:color w:val="auto"/>
        </w:rPr>
        <w:t>") and direct air capture (“</w:t>
      </w:r>
      <w:r>
        <w:rPr>
          <w:rFonts w:ascii="Arial" w:cs="Arial" w:eastAsia="Arial" w:hAnsi="Arial"/>
          <w:sz w:val="18"/>
          <w:szCs w:val="18"/>
          <w:b w:val="1"/>
          <w:bCs w:val="1"/>
          <w:color w:val="auto"/>
        </w:rPr>
        <w:t>DAC</w:t>
      </w:r>
      <w:r>
        <w:rPr>
          <w:rFonts w:ascii="Arial" w:cs="Arial" w:eastAsia="Arial" w:hAnsi="Arial"/>
          <w:sz w:val="18"/>
          <w:szCs w:val="18"/>
          <w:color w:val="auto"/>
        </w:rPr>
        <w:t>”), which safely inject CO</w:t>
      </w:r>
      <w:r>
        <w:rPr>
          <w:rFonts w:ascii="MS PGothic" w:cs="MS PGothic" w:eastAsia="MS PGothic" w:hAnsi="MS PGothic"/>
          <w:sz w:val="18"/>
          <w:szCs w:val="18"/>
          <w:color w:val="auto"/>
        </w:rPr>
        <w:t>₂</w:t>
      </w:r>
      <w:r>
        <w:rPr>
          <w:rFonts w:ascii="Arial" w:cs="Arial" w:eastAsia="Arial" w:hAnsi="Arial"/>
          <w:sz w:val="18"/>
          <w:szCs w:val="18"/>
          <w:color w:val="auto"/>
        </w:rPr>
        <w:t xml:space="preserve"> from industrial sources into depleted underground reservoirs for permanent storage. As a natural extension of CRC’s core expertise, carbon management is a key pillar of our sustainability strategy. Through CTV, we are proud to develop solutions that deliver both immediate decarbonization benefits and long-term pathways to help California achieve and sustain carbon neutrality.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w:t>
      </w:r>
    </w:p>
    <w:p>
      <w:pPr>
        <w:spacing w:after="0" w:line="212"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CRC’s sustainability goals focus on providing local, responsibly sourced energy that meets or exceeds California’s unparalleled sustainability standards – not only related to lowering greenhouse gas emissions, but also to decreasing methane emissions; reducing freshwater consumption; enhancing community engagement; and increasing accountability through linking executive compensation to performance on our sustainability goals. As a result of our merger with Aera in July 2024, we are in the process of evaluating the impact of the transaction on our sustainability goals and ambitions. The goals communicated in this Proxy Statement, previous Proxy Statements, and other public communications are subject to change after this process is completed.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w:t>
      </w:r>
    </w:p>
    <w:p>
      <w:pPr>
        <w:spacing w:after="0" w:line="21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We view our workforce as an asset and the Board provides oversight over significant aspects of our human capital. Safety is a key value at CRC. As a result, CRC has adopted a 2025 Incident and Injury Rate internal target.</w:t>
      </w:r>
    </w:p>
    <w:p>
      <w:pPr>
        <w:spacing w:after="0" w:line="15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goal is to foster a talented, multidimensional workforce and an open and respectful culture. We are committed to advancing a workplace culture committed to equal employment opportunity and welcoming of various backgrounds and perspectives. We believe this encourages workforce engagement, leads to more thoughtful and innovative business decisions and lowers turnover.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212"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The full Board, in addition to its committees, is responsible for overseeing our sustainability strategy, risk management and goals, including those related to carbon management, environmental stewardship and worker safety in our oil and gas operations as well as our carbon management business. The Sustainability Committee assists the Board in fulfilling its oversight responsibilities relating to sustainability and climate-related matters pertaining to the Company’s business, strategy, operations, performance or reputation and is responsible for reviewing and discussing the status of sustainability goals, risks, and regulations with management.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w:t>
      </w:r>
    </w:p>
    <w:p>
      <w:pPr>
        <w:spacing w:after="0" w:line="21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 are proud to note that CRC’s sustainability goals continue to be directly tied to the performance-based compensation of our employees, including executives and senior managers, further highlighting our standing commitment and dedication to a cleaner and more sustainable future for California. The Board has further emphasized the importance of achieving our sustainability goals by tying 25% of our management team’s annual incentive related to Company performance to sustainability related metrics.</w:t>
      </w:r>
    </w:p>
    <w:p>
      <w:pPr>
        <w:spacing w:after="0" w:line="21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31" w:name="page32"/>
    <w:bookmarkEnd w:id="31"/>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542925</wp:posOffset>
            </wp:positionV>
            <wp:extent cx="7132320" cy="1968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2025 PROXY STATEMENT</w:t>
      </w:r>
    </w:p>
    <w:p>
      <w:pPr>
        <w:spacing w:after="0" w:line="73" w:lineRule="exact"/>
        <w:rPr>
          <w:sz w:val="20"/>
          <w:szCs w:val="20"/>
          <w:color w:val="auto"/>
        </w:rPr>
      </w:pPr>
    </w:p>
    <w:p>
      <w:pPr>
        <w:ind w:left="9660"/>
        <w:spacing w:after="0"/>
        <w:rPr>
          <w:sz w:val="20"/>
          <w:szCs w:val="20"/>
          <w:color w:val="auto"/>
        </w:rPr>
      </w:pPr>
      <w:r>
        <w:rPr>
          <w:rFonts w:ascii="Arial" w:cs="Arial" w:eastAsia="Arial" w:hAnsi="Arial"/>
          <w:sz w:val="14"/>
          <w:szCs w:val="14"/>
          <w:color w:val="auto"/>
        </w:rPr>
        <w:t>Audit Committee Report</w:t>
      </w:r>
    </w:p>
    <w:p>
      <w:pPr>
        <w:spacing w:after="0" w:line="131" w:lineRule="exact"/>
        <w:rPr>
          <w:sz w:val="20"/>
          <w:szCs w:val="20"/>
          <w:color w:val="auto"/>
        </w:rPr>
      </w:pPr>
    </w:p>
    <w:p>
      <w:pPr>
        <w:spacing w:after="0"/>
        <w:rPr>
          <w:sz w:val="20"/>
          <w:szCs w:val="20"/>
          <w:color w:val="auto"/>
        </w:rPr>
      </w:pPr>
      <w:r>
        <w:rPr>
          <w:rFonts w:ascii="Arial" w:cs="Arial" w:eastAsia="Arial" w:hAnsi="Arial"/>
          <w:sz w:val="32"/>
          <w:szCs w:val="32"/>
          <w:color w:val="0075C9"/>
        </w:rPr>
        <w:t>Audit Committee Report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of Directors of California Resources Corporation assists the Board in its oversight of corporate governance by overseeing the quality and integrity of the accounting, auditing, and financial reporting practices of the Company. The Audit Committee approves the appointment and services of the independent registered public accounting firm, and monitors (1) the integrity of the financial statements of CRC; (2) the independent registered public accounting firm’s qualifications, independence and performance; (3) the effectiveness and performance of CRC’s internal audit function; (4) CRC’s system of disclosure controls and procedures, internal control structure over financial reporting and compliance with ethical standards; and (5) the compliance by CRC with legal and regulatory requirements related to financial statements.</w:t>
      </w:r>
    </w:p>
    <w:p>
      <w:pPr>
        <w:spacing w:after="0" w:line="144"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The Board of Directors has determined that each of the members of the Audit Committee satisfies the standards of independence established under the SEC’s rules and regulations and listing standards of the NYSE. The Board of Directors has further determined that each of the members of the Audit Committee is financially literate and that Ms. Veltmann is an “audit committee financial expert” as defined by the rules and regulations of the SEC.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our financial statements for the year ended December 31, 2024, the Audit Committee has:</w:t>
      </w:r>
    </w:p>
    <w:p>
      <w:pPr>
        <w:spacing w:after="0" w:line="185" w:lineRule="exact"/>
        <w:rPr>
          <w:sz w:val="20"/>
          <w:szCs w:val="20"/>
          <w:color w:val="auto"/>
        </w:rPr>
      </w:pPr>
    </w:p>
    <w:p>
      <w:pPr>
        <w:ind w:left="540" w:right="240" w:hanging="322"/>
        <w:spacing w:after="0" w:line="270" w:lineRule="auto"/>
        <w:tabs>
          <w:tab w:leader="none" w:pos="5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reviewed and discussed with management the audited financial statements contained in CRC’s Annual Report on Form 10-K for the fiscal year ended December 31, 2024;</w:t>
      </w:r>
    </w:p>
    <w:p>
      <w:pPr>
        <w:spacing w:after="0" w:line="113" w:lineRule="exact"/>
        <w:rPr>
          <w:rFonts w:ascii="Times New Roman" w:cs="Times New Roman" w:eastAsia="Times New Roman" w:hAnsi="Times New Roman"/>
          <w:sz w:val="18"/>
          <w:szCs w:val="18"/>
          <w:color w:val="auto"/>
        </w:rPr>
      </w:pPr>
    </w:p>
    <w:p>
      <w:pPr>
        <w:ind w:left="540" w:right="180" w:hanging="322"/>
        <w:spacing w:after="0" w:line="270" w:lineRule="auto"/>
        <w:tabs>
          <w:tab w:leader="none" w:pos="5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discussed with CRC’s independent registered public accounting firm, KPMG LLP, the matters required to be discussed by applicable requirements of the Public Company Accounting Oversight Board and the Securities Exchange Commission;</w:t>
      </w:r>
    </w:p>
    <w:p>
      <w:pPr>
        <w:spacing w:after="0" w:line="113" w:lineRule="exact"/>
        <w:rPr>
          <w:rFonts w:ascii="Times New Roman" w:cs="Times New Roman" w:eastAsia="Times New Roman" w:hAnsi="Times New Roman"/>
          <w:sz w:val="18"/>
          <w:szCs w:val="18"/>
          <w:color w:val="auto"/>
        </w:rPr>
      </w:pPr>
    </w:p>
    <w:p>
      <w:pPr>
        <w:ind w:left="540" w:right="60" w:hanging="322"/>
        <w:spacing w:after="0" w:line="270" w:lineRule="auto"/>
        <w:tabs>
          <w:tab w:leader="none" w:pos="5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received the written disclosures from KPMG LLP as required by applicable requirements of the Public Company Accounting Oversight Board regarding the independent accountant’s communications with the Audit Committee concerning independence;</w:t>
      </w:r>
    </w:p>
    <w:p>
      <w:pPr>
        <w:spacing w:after="0" w:line="127"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discussed with KPMG LLP its independence from CRC and members of its management;</w:t>
      </w:r>
    </w:p>
    <w:p>
      <w:pPr>
        <w:spacing w:after="0" w:line="183"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considered any non-audit services in assessing auditor independence;</w:t>
      </w:r>
    </w:p>
    <w:p>
      <w:pPr>
        <w:spacing w:after="0" w:line="183" w:lineRule="exact"/>
        <w:rPr>
          <w:rFonts w:ascii="Times New Roman" w:cs="Times New Roman" w:eastAsia="Times New Roman" w:hAnsi="Times New Roman"/>
          <w:sz w:val="18"/>
          <w:szCs w:val="18"/>
          <w:color w:val="auto"/>
        </w:rPr>
      </w:pPr>
    </w:p>
    <w:p>
      <w:pPr>
        <w:ind w:left="540" w:right="300" w:hanging="322"/>
        <w:spacing w:after="0" w:line="270" w:lineRule="auto"/>
        <w:tabs>
          <w:tab w:leader="none" w:pos="5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had executive sessions with KPMG LLP to provide them with the opportunity to discuss any other matters that they desired to raise without management present; and</w:t>
      </w:r>
    </w:p>
    <w:p>
      <w:pPr>
        <w:spacing w:after="0" w:line="127" w:lineRule="exact"/>
        <w:rPr>
          <w:rFonts w:ascii="Times New Roman" w:cs="Times New Roman" w:eastAsia="Times New Roman" w:hAnsi="Times New Roman"/>
          <w:sz w:val="18"/>
          <w:szCs w:val="18"/>
          <w:color w:val="auto"/>
        </w:rPr>
      </w:pPr>
    </w:p>
    <w:p>
      <w:pPr>
        <w:jc w:val="both"/>
        <w:ind w:left="540" w:right="120" w:hanging="322"/>
        <w:spacing w:after="0" w:line="252" w:lineRule="auto"/>
        <w:tabs>
          <w:tab w:leader="none" w:pos="5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had executive sessions with Netherland, Sewell &amp; Associates, Inc., CRC’s independent reserves audit firm, to discuss the oil and gas reserves determination process and related public disclosures, and to provide them with the opportunity to discuss any other matters that they desired to raise without management present.</w:t>
      </w:r>
    </w:p>
    <w:p>
      <w:pPr>
        <w:spacing w:after="0" w:line="130"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Based on the review and discussions with CRC’s management, independent registered public accounting firm and independent reserves audit firm, as set forth above, the Audit Committee recommended to CRC’s Board of Directors that the audited consolidated financial statements be included in our Annual Report on Form 10-K for the fiscal year ended December 31, 2024, for filing with the SEC.</w:t>
      </w:r>
    </w:p>
    <w:p>
      <w:pPr>
        <w:spacing w:after="0" w:line="128"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Audit Committee,</w:t>
      </w:r>
    </w:p>
    <w:p>
      <w:pPr>
        <w:spacing w:after="0" w:line="18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Alejandra (Ale) Veltmann, Chair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Christian S. Kendall</w:t>
      </w:r>
    </w:p>
    <w:p>
      <w:pPr>
        <w:jc w:val="center"/>
        <w:spacing w:after="0"/>
        <w:rPr>
          <w:sz w:val="20"/>
          <w:szCs w:val="20"/>
          <w:color w:val="auto"/>
        </w:rPr>
      </w:pPr>
      <w:r>
        <w:rPr>
          <w:rFonts w:ascii="Arial" w:cs="Arial" w:eastAsia="Arial" w:hAnsi="Arial"/>
          <w:sz w:val="18"/>
          <w:szCs w:val="18"/>
          <w:color w:val="auto"/>
        </w:rPr>
        <w:t>William B. Roby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25, 2025</w:t>
      </w:r>
    </w:p>
    <w:p>
      <w:pPr>
        <w:spacing w:after="0" w:line="25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2" w:name="page33"/>
    <w:bookmarkEnd w:id="32"/>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542925</wp:posOffset>
            </wp:positionV>
            <wp:extent cx="7132320" cy="1968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2025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32"/>
          <w:szCs w:val="32"/>
          <w:color w:val="0075C9"/>
        </w:rPr>
        <w:t>Compensation Discussion and Analysis</w:t>
      </w:r>
    </w:p>
    <w:p>
      <w:pPr>
        <w:spacing w:after="0" w:line="235" w:lineRule="exact"/>
        <w:rPr>
          <w:sz w:val="20"/>
          <w:szCs w:val="20"/>
          <w:color w:val="auto"/>
        </w:rPr>
      </w:pPr>
    </w:p>
    <w:p>
      <w:pPr>
        <w:ind w:right="620"/>
        <w:spacing w:after="0" w:line="257" w:lineRule="auto"/>
        <w:rPr>
          <w:sz w:val="20"/>
          <w:szCs w:val="20"/>
          <w:color w:val="auto"/>
        </w:rPr>
      </w:pPr>
      <w:r>
        <w:rPr>
          <w:rFonts w:ascii="Arial" w:cs="Arial" w:eastAsia="Arial" w:hAnsi="Arial"/>
          <w:sz w:val="18"/>
          <w:szCs w:val="18"/>
          <w:color w:val="auto"/>
        </w:rPr>
        <w:t>This Compensation Discussion and Analysis (“</w:t>
      </w:r>
      <w:r>
        <w:rPr>
          <w:rFonts w:ascii="Arial" w:cs="Arial" w:eastAsia="Arial" w:hAnsi="Arial"/>
          <w:sz w:val="18"/>
          <w:szCs w:val="18"/>
          <w:b w:val="1"/>
          <w:bCs w:val="1"/>
          <w:color w:val="auto"/>
        </w:rPr>
        <w:t>CD&amp;A</w:t>
      </w:r>
      <w:r>
        <w:rPr>
          <w:rFonts w:ascii="Arial" w:cs="Arial" w:eastAsia="Arial" w:hAnsi="Arial"/>
          <w:sz w:val="18"/>
          <w:szCs w:val="18"/>
          <w:color w:val="auto"/>
        </w:rPr>
        <w:t>”) provides a description of the elements and key features of our compensation program, as well as context and rationale for decisions made with respect to the compensation for our “</w:t>
      </w:r>
      <w:r>
        <w:rPr>
          <w:rFonts w:ascii="Arial" w:cs="Arial" w:eastAsia="Arial" w:hAnsi="Arial"/>
          <w:sz w:val="18"/>
          <w:szCs w:val="18"/>
          <w:b w:val="1"/>
          <w:bCs w:val="1"/>
          <w:color w:val="auto"/>
        </w:rPr>
        <w:t>named executive officers</w:t>
      </w:r>
      <w:r>
        <w:rPr>
          <w:rFonts w:ascii="Arial" w:cs="Arial" w:eastAsia="Arial" w:hAnsi="Arial"/>
          <w:sz w:val="18"/>
          <w:szCs w:val="18"/>
          <w:color w:val="auto"/>
        </w:rPr>
        <w:t>” or “</w:t>
      </w:r>
      <w:r>
        <w:rPr>
          <w:rFonts w:ascii="Arial" w:cs="Arial" w:eastAsia="Arial" w:hAnsi="Arial"/>
          <w:sz w:val="18"/>
          <w:szCs w:val="18"/>
          <w:b w:val="1"/>
          <w:bCs w:val="1"/>
          <w:color w:val="auto"/>
        </w:rPr>
        <w:t>NEOs</w:t>
      </w:r>
      <w:r>
        <w:rPr>
          <w:rFonts w:ascii="Arial" w:cs="Arial" w:eastAsia="Arial" w:hAnsi="Arial"/>
          <w:sz w:val="18"/>
          <w:szCs w:val="18"/>
          <w:color w:val="auto"/>
        </w:rPr>
        <w:t>” for the year ended December 31, 2024, who are identified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510" w:type="dxa"/>
            <w:vAlign w:val="bottom"/>
            <w:tcBorders>
              <w:bottom w:val="single" w:sz="8" w:color="0075C9"/>
            </w:tcBorders>
          </w:tcPr>
          <w:p>
            <w:pPr>
              <w:ind w:left="200"/>
              <w:spacing w:after="0"/>
              <w:rPr>
                <w:sz w:val="20"/>
                <w:szCs w:val="20"/>
                <w:color w:val="auto"/>
              </w:rPr>
            </w:pPr>
            <w:r>
              <w:rPr>
                <w:rFonts w:ascii="Arial" w:cs="Arial" w:eastAsia="Arial" w:hAnsi="Arial"/>
                <w:sz w:val="18"/>
                <w:szCs w:val="18"/>
                <w:b w:val="1"/>
                <w:bCs w:val="1"/>
                <w:color w:val="0075C9"/>
              </w:rPr>
              <w:t>Name</w:t>
            </w:r>
          </w:p>
        </w:tc>
        <w:tc>
          <w:tcPr>
            <w:tcW w:w="7730" w:type="dxa"/>
            <w:vAlign w:val="bottom"/>
            <w:tcBorders>
              <w:bottom w:val="single" w:sz="8" w:color="0075C9"/>
            </w:tcBorders>
          </w:tcPr>
          <w:p>
            <w:pPr>
              <w:ind w:left="310"/>
              <w:spacing w:after="0"/>
              <w:rPr>
                <w:sz w:val="20"/>
                <w:szCs w:val="20"/>
                <w:color w:val="auto"/>
              </w:rPr>
            </w:pPr>
            <w:r>
              <w:rPr>
                <w:rFonts w:ascii="Arial" w:cs="Arial" w:eastAsia="Arial" w:hAnsi="Arial"/>
                <w:sz w:val="18"/>
                <w:szCs w:val="18"/>
                <w:b w:val="1"/>
                <w:bCs w:val="1"/>
                <w:color w:val="0075C9"/>
              </w:rPr>
              <w:t>Position as of December 31, 2024</w:t>
            </w:r>
          </w:p>
        </w:tc>
      </w:tr>
      <w:tr>
        <w:trPr>
          <w:trHeight w:val="247"/>
        </w:trPr>
        <w:tc>
          <w:tcPr>
            <w:tcW w:w="3510" w:type="dxa"/>
            <w:vAlign w:val="bottom"/>
            <w:shd w:val="clear" w:color="auto" w:fill="EBEBEC"/>
          </w:tcPr>
          <w:p>
            <w:pPr>
              <w:ind w:left="200"/>
              <w:spacing w:after="0"/>
              <w:rPr>
                <w:sz w:val="20"/>
                <w:szCs w:val="20"/>
                <w:color w:val="auto"/>
              </w:rPr>
            </w:pPr>
            <w:r>
              <w:rPr>
                <w:rFonts w:ascii="Arial" w:cs="Arial" w:eastAsia="Arial" w:hAnsi="Arial"/>
                <w:sz w:val="18"/>
                <w:szCs w:val="18"/>
                <w:color w:val="auto"/>
              </w:rPr>
              <w:t>Francisco J. Leon</w:t>
            </w:r>
          </w:p>
        </w:tc>
        <w:tc>
          <w:tcPr>
            <w:tcW w:w="7730" w:type="dxa"/>
            <w:vAlign w:val="bottom"/>
            <w:shd w:val="clear" w:color="auto" w:fill="EBEBEC"/>
          </w:tcPr>
          <w:p>
            <w:pPr>
              <w:ind w:left="27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510" w:type="dxa"/>
            <w:vAlign w:val="bottom"/>
            <w:shd w:val="clear" w:color="auto" w:fill="EBEBEC"/>
          </w:tcPr>
          <w:p>
            <w:pPr>
              <w:ind w:left="200"/>
              <w:spacing w:after="0"/>
              <w:rPr>
                <w:sz w:val="20"/>
                <w:szCs w:val="20"/>
                <w:color w:val="auto"/>
              </w:rPr>
            </w:pPr>
            <w:r>
              <w:rPr>
                <w:rFonts w:ascii="Arial" w:cs="Arial" w:eastAsia="Arial" w:hAnsi="Arial"/>
                <w:sz w:val="18"/>
                <w:szCs w:val="18"/>
                <w:color w:val="auto"/>
              </w:rPr>
              <w:t>Manuela ("Nelly") Molina</w:t>
            </w:r>
          </w:p>
        </w:tc>
        <w:tc>
          <w:tcPr>
            <w:tcW w:w="7730" w:type="dxa"/>
            <w:vAlign w:val="bottom"/>
            <w:shd w:val="clear" w:color="auto" w:fill="EBEBEC"/>
          </w:tcPr>
          <w:p>
            <w:pPr>
              <w:ind w:left="27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3510" w:type="dxa"/>
            <w:vAlign w:val="bottom"/>
            <w:shd w:val="clear" w:color="auto" w:fill="EBEBEC"/>
          </w:tcPr>
          <w:p>
            <w:pPr>
              <w:ind w:left="200"/>
              <w:spacing w:after="0"/>
              <w:rPr>
                <w:sz w:val="20"/>
                <w:szCs w:val="20"/>
                <w:color w:val="auto"/>
              </w:rPr>
            </w:pPr>
            <w:r>
              <w:rPr>
                <w:rFonts w:ascii="Arial" w:cs="Arial" w:eastAsia="Arial" w:hAnsi="Arial"/>
                <w:sz w:val="18"/>
                <w:szCs w:val="18"/>
                <w:color w:val="auto"/>
              </w:rPr>
              <w:t>Jay A. Bys</w:t>
            </w:r>
          </w:p>
        </w:tc>
        <w:tc>
          <w:tcPr>
            <w:tcW w:w="7730" w:type="dxa"/>
            <w:vAlign w:val="bottom"/>
            <w:shd w:val="clear" w:color="auto" w:fill="EBEBEC"/>
          </w:tcPr>
          <w:p>
            <w:pPr>
              <w:ind w:left="270"/>
              <w:spacing w:after="0"/>
              <w:rPr>
                <w:sz w:val="20"/>
                <w:szCs w:val="20"/>
                <w:color w:val="auto"/>
              </w:rPr>
            </w:pPr>
            <w:r>
              <w:rPr>
                <w:rFonts w:ascii="Arial" w:cs="Arial" w:eastAsia="Arial" w:hAnsi="Arial"/>
                <w:sz w:val="18"/>
                <w:szCs w:val="18"/>
                <w:color w:val="auto"/>
              </w:rPr>
              <w:t>Executive Vice President and Chief Commercial Officer</w:t>
            </w:r>
          </w:p>
        </w:tc>
      </w:tr>
      <w:tr>
        <w:trPr>
          <w:trHeight w:val="283"/>
        </w:trPr>
        <w:tc>
          <w:tcPr>
            <w:tcW w:w="3510" w:type="dxa"/>
            <w:vAlign w:val="bottom"/>
            <w:shd w:val="clear" w:color="auto" w:fill="EBEBEC"/>
          </w:tcPr>
          <w:p>
            <w:pPr>
              <w:ind w:left="200"/>
              <w:spacing w:after="0"/>
              <w:rPr>
                <w:sz w:val="20"/>
                <w:szCs w:val="20"/>
                <w:color w:val="auto"/>
              </w:rPr>
            </w:pPr>
            <w:r>
              <w:rPr>
                <w:rFonts w:ascii="Arial" w:cs="Arial" w:eastAsia="Arial" w:hAnsi="Arial"/>
                <w:sz w:val="18"/>
                <w:szCs w:val="18"/>
                <w:color w:val="auto"/>
              </w:rPr>
              <w:t>Chris D. Gould</w:t>
            </w:r>
          </w:p>
        </w:tc>
        <w:tc>
          <w:tcPr>
            <w:tcW w:w="7730" w:type="dxa"/>
            <w:vAlign w:val="bottom"/>
            <w:shd w:val="clear" w:color="auto" w:fill="EBEBEC"/>
          </w:tcPr>
          <w:p>
            <w:pPr>
              <w:ind w:left="270"/>
              <w:spacing w:after="0"/>
              <w:rPr>
                <w:sz w:val="20"/>
                <w:szCs w:val="20"/>
                <w:color w:val="auto"/>
              </w:rPr>
            </w:pPr>
            <w:r>
              <w:rPr>
                <w:rFonts w:ascii="Arial" w:cs="Arial" w:eastAsia="Arial" w:hAnsi="Arial"/>
                <w:sz w:val="18"/>
                <w:szCs w:val="18"/>
                <w:color w:val="auto"/>
              </w:rPr>
              <w:t>Executive Vice President and Chief Sustainability Officer</w:t>
            </w:r>
          </w:p>
        </w:tc>
      </w:tr>
      <w:tr>
        <w:trPr>
          <w:trHeight w:val="283"/>
        </w:trPr>
        <w:tc>
          <w:tcPr>
            <w:tcW w:w="3510" w:type="dxa"/>
            <w:vAlign w:val="bottom"/>
            <w:shd w:val="clear" w:color="auto" w:fill="EBEBEC"/>
          </w:tcPr>
          <w:p>
            <w:pPr>
              <w:ind w:left="200"/>
              <w:spacing w:after="0"/>
              <w:rPr>
                <w:sz w:val="20"/>
                <w:szCs w:val="20"/>
                <w:color w:val="auto"/>
              </w:rPr>
            </w:pPr>
            <w:r>
              <w:rPr>
                <w:rFonts w:ascii="Arial" w:cs="Arial" w:eastAsia="Arial" w:hAnsi="Arial"/>
                <w:sz w:val="18"/>
                <w:szCs w:val="18"/>
                <w:color w:val="auto"/>
              </w:rPr>
              <w:t>Michael L. Preston</w:t>
            </w:r>
          </w:p>
        </w:tc>
        <w:tc>
          <w:tcPr>
            <w:tcW w:w="7730" w:type="dxa"/>
            <w:vAlign w:val="bottom"/>
            <w:shd w:val="clear" w:color="auto" w:fill="EBEBEC"/>
          </w:tcPr>
          <w:p>
            <w:pPr>
              <w:ind w:left="270"/>
              <w:spacing w:after="0"/>
              <w:rPr>
                <w:sz w:val="20"/>
                <w:szCs w:val="20"/>
                <w:color w:val="auto"/>
              </w:rPr>
            </w:pPr>
            <w:r>
              <w:rPr>
                <w:rFonts w:ascii="Arial" w:cs="Arial" w:eastAsia="Arial" w:hAnsi="Arial"/>
                <w:sz w:val="18"/>
                <w:szCs w:val="18"/>
                <w:color w:val="auto"/>
              </w:rPr>
              <w:t>Executive Vice President, Chief Strategy Officer and General Counsel</w:t>
            </w:r>
          </w:p>
        </w:tc>
      </w:tr>
      <w:tr>
        <w:trPr>
          <w:trHeight w:val="36"/>
        </w:trPr>
        <w:tc>
          <w:tcPr>
            <w:tcW w:w="3510" w:type="dxa"/>
            <w:vAlign w:val="bottom"/>
            <w:shd w:val="clear" w:color="auto" w:fill="EBEBEC"/>
          </w:tcPr>
          <w:p>
            <w:pPr>
              <w:spacing w:after="0"/>
              <w:rPr>
                <w:sz w:val="3"/>
                <w:szCs w:val="3"/>
                <w:color w:val="auto"/>
              </w:rPr>
            </w:pPr>
          </w:p>
        </w:tc>
        <w:tc>
          <w:tcPr>
            <w:tcW w:w="7730" w:type="dxa"/>
            <w:vAlign w:val="bottom"/>
            <w:shd w:val="clear" w:color="auto" w:fill="EBEBEC"/>
          </w:tcPr>
          <w:p>
            <w:pPr>
              <w:spacing w:after="0"/>
              <w:rPr>
                <w:sz w:val="3"/>
                <w:szCs w:val="3"/>
                <w:color w:val="auto"/>
              </w:rPr>
            </w:pPr>
          </w:p>
        </w:tc>
      </w:tr>
    </w:tbl>
    <w:p>
      <w:pPr>
        <w:spacing w:after="0" w:line="278"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In accordance with SEC rules, our NEOs were determined as of December 31, 2024 and are listed above with the titles that they held as of that date. Ms. Molina's employment with CRC ended on December 31, 2024. Ms. Molina’s departure from CRC did not result from any disagreement or difference of opinion with CRC with respect to its internal controls, financial statements, audit scope limitations, audit reports, management representations or otherwise connected in any way with its financial controls or audit procedures. Ms. Clio Crespy joined the company on January 1, 2025 as Executive Vice President and Chief Financial Officer, therefore she was not an NEO for the 2024 year. Discussion regarding Ms.Crespy's compensation will be provided beginning with the CD&amp;A for the year ending December 31, 2025.</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color w:val="0075C9"/>
        </w:rPr>
        <w:t>Table of Contents</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840" w:type="dxa"/>
            <w:vAlign w:val="bottom"/>
            <w:gridSpan w:val="21"/>
          </w:tcPr>
          <w:p>
            <w:pPr>
              <w:spacing w:after="0"/>
              <w:rPr>
                <w:sz w:val="20"/>
                <w:szCs w:val="20"/>
                <w:color w:val="auto"/>
              </w:rPr>
            </w:pPr>
            <w:r>
              <w:rPr>
                <w:rFonts w:ascii="Arial" w:cs="Arial" w:eastAsia="Arial" w:hAnsi="Arial"/>
                <w:sz w:val="16"/>
                <w:szCs w:val="16"/>
                <w:color w:val="0075C9"/>
              </w:rPr>
              <w:t>Compensation Discussion and Analysis</w:t>
            </w:r>
          </w:p>
        </w:tc>
        <w:tc>
          <w:tcPr>
            <w:tcW w:w="1480" w:type="dxa"/>
            <w:vAlign w:val="bottom"/>
            <w:gridSpan w:val="3"/>
          </w:tcPr>
          <w:p>
            <w:pPr>
              <w:spacing w:after="0"/>
              <w:rPr>
                <w:sz w:val="16"/>
                <w:szCs w:val="16"/>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0075C9"/>
              </w:rPr>
              <w:t>24</w:t>
            </w:r>
          </w:p>
        </w:tc>
        <w:tc>
          <w:tcPr>
            <w:tcW w:w="4600" w:type="dxa"/>
            <w:vAlign w:val="bottom"/>
            <w:gridSpan w:val="17"/>
          </w:tcPr>
          <w:p>
            <w:pPr>
              <w:spacing w:after="0"/>
              <w:rPr>
                <w:sz w:val="20"/>
                <w:szCs w:val="20"/>
                <w:color w:val="auto"/>
              </w:rPr>
            </w:pPr>
            <w:r>
              <w:rPr>
                <w:rFonts w:ascii="Arial" w:cs="Arial" w:eastAsia="Arial" w:hAnsi="Arial"/>
                <w:sz w:val="16"/>
                <w:szCs w:val="16"/>
                <w:color w:val="0075C9"/>
              </w:rPr>
              <w:t>Compensation Committee Report</w:t>
            </w:r>
          </w:p>
        </w:tc>
        <w:tc>
          <w:tcPr>
            <w:tcW w:w="860" w:type="dxa"/>
            <w:vAlign w:val="bottom"/>
          </w:tcPr>
          <w:p>
            <w:pPr>
              <w:jc w:val="right"/>
              <w:spacing w:after="0"/>
              <w:rPr>
                <w:sz w:val="20"/>
                <w:szCs w:val="20"/>
                <w:color w:val="auto"/>
              </w:rPr>
            </w:pPr>
            <w:r>
              <w:rPr>
                <w:rFonts w:ascii="Arial" w:cs="Arial" w:eastAsia="Arial" w:hAnsi="Arial"/>
                <w:sz w:val="16"/>
                <w:szCs w:val="16"/>
                <w:color w:val="0075C9"/>
              </w:rPr>
              <w:t>43</w:t>
            </w:r>
          </w:p>
        </w:tc>
        <w:tc>
          <w:tcPr>
            <w:tcW w:w="0" w:type="dxa"/>
            <w:vAlign w:val="bottom"/>
          </w:tcPr>
          <w:p>
            <w:pPr>
              <w:spacing w:after="0"/>
              <w:rPr>
                <w:sz w:val="1"/>
                <w:szCs w:val="1"/>
                <w:color w:val="auto"/>
              </w:rPr>
            </w:pPr>
          </w:p>
        </w:tc>
      </w:tr>
      <w:tr>
        <w:trPr>
          <w:trHeight w:val="155"/>
        </w:trPr>
        <w:tc>
          <w:tcPr>
            <w:tcW w:w="140" w:type="dxa"/>
            <w:vAlign w:val="bottom"/>
            <w:tcBorders>
              <w:top w:val="single" w:sz="8" w:color="0000EE"/>
            </w:tcBorders>
          </w:tcPr>
          <w:p>
            <w:pPr>
              <w:spacing w:after="0"/>
              <w:rPr>
                <w:sz w:val="13"/>
                <w:szCs w:val="13"/>
                <w:color w:val="auto"/>
              </w:rPr>
            </w:pPr>
          </w:p>
        </w:tc>
        <w:tc>
          <w:tcPr>
            <w:tcW w:w="2700" w:type="dxa"/>
            <w:vAlign w:val="bottom"/>
            <w:tcBorders>
              <w:top w:val="single" w:sz="8" w:color="0000EE"/>
            </w:tcBorders>
            <w:gridSpan w:val="20"/>
          </w:tcPr>
          <w:p>
            <w:pPr>
              <w:spacing w:after="0" w:line="155" w:lineRule="exact"/>
              <w:rPr>
                <w:sz w:val="20"/>
                <w:szCs w:val="20"/>
                <w:color w:val="auto"/>
              </w:rPr>
            </w:pPr>
            <w:r>
              <w:rPr>
                <w:rFonts w:ascii="Arial" w:cs="Arial" w:eastAsia="Arial" w:hAnsi="Arial"/>
                <w:sz w:val="14"/>
                <w:szCs w:val="14"/>
                <w:color w:val="auto"/>
              </w:rPr>
              <w:t>Compensation Objectives and Process</w:t>
            </w:r>
          </w:p>
        </w:tc>
        <w:tc>
          <w:tcPr>
            <w:tcW w:w="1480" w:type="dxa"/>
            <w:vAlign w:val="bottom"/>
            <w:gridSpan w:val="3"/>
          </w:tcPr>
          <w:p>
            <w:pPr>
              <w:spacing w:after="0"/>
              <w:rPr>
                <w:sz w:val="13"/>
                <w:szCs w:val="13"/>
                <w:color w:val="auto"/>
              </w:rPr>
            </w:pPr>
          </w:p>
        </w:tc>
        <w:tc>
          <w:tcPr>
            <w:tcW w:w="1420" w:type="dxa"/>
            <w:vAlign w:val="bottom"/>
          </w:tcPr>
          <w:p>
            <w:pPr>
              <w:jc w:val="right"/>
              <w:ind w:right="168"/>
              <w:spacing w:after="0" w:line="155" w:lineRule="exact"/>
              <w:rPr>
                <w:sz w:val="20"/>
                <w:szCs w:val="20"/>
                <w:color w:val="auto"/>
              </w:rPr>
            </w:pPr>
            <w:r>
              <w:rPr>
                <w:rFonts w:ascii="Arial" w:cs="Arial" w:eastAsia="Arial" w:hAnsi="Arial"/>
                <w:sz w:val="14"/>
                <w:szCs w:val="14"/>
                <w:color w:val="auto"/>
              </w:rPr>
              <w:t>25</w:t>
            </w:r>
          </w:p>
        </w:tc>
        <w:tc>
          <w:tcPr>
            <w:tcW w:w="2400" w:type="dxa"/>
            <w:vAlign w:val="bottom"/>
            <w:tcBorders>
              <w:top w:val="single" w:sz="8" w:color="0000EE"/>
            </w:tcBorders>
            <w:gridSpan w:val="12"/>
            <w:vMerge w:val="restart"/>
          </w:tcPr>
          <w:p>
            <w:pPr>
              <w:spacing w:after="0"/>
              <w:rPr>
                <w:sz w:val="20"/>
                <w:szCs w:val="20"/>
                <w:color w:val="auto"/>
              </w:rPr>
            </w:pPr>
            <w:r>
              <w:rPr>
                <w:rFonts w:ascii="Arial" w:cs="Arial" w:eastAsia="Arial" w:hAnsi="Arial"/>
                <w:sz w:val="16"/>
                <w:szCs w:val="16"/>
                <w:color w:val="0075C9"/>
              </w:rPr>
              <w:t>Executive Compensation Tables</w:t>
            </w:r>
          </w:p>
        </w:tc>
        <w:tc>
          <w:tcPr>
            <w:tcW w:w="2200" w:type="dxa"/>
            <w:vAlign w:val="bottom"/>
            <w:gridSpan w:val="5"/>
            <w:vMerge w:val="restart"/>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0075C9"/>
              </w:rPr>
              <w:t>44</w:t>
            </w: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340" w:type="dxa"/>
            <w:vAlign w:val="bottom"/>
            <w:tcBorders>
              <w:top w:val="single" w:sz="8" w:color="0000EE"/>
            </w:tcBorders>
            <w:gridSpan w:val="13"/>
          </w:tcPr>
          <w:p>
            <w:pPr>
              <w:spacing w:after="0" w:line="129" w:lineRule="exact"/>
              <w:rPr>
                <w:sz w:val="20"/>
                <w:szCs w:val="20"/>
                <w:color w:val="auto"/>
              </w:rPr>
            </w:pPr>
            <w:r>
              <w:rPr>
                <w:rFonts w:ascii="Arial" w:cs="Arial" w:eastAsia="Arial" w:hAnsi="Arial"/>
                <w:sz w:val="14"/>
                <w:szCs w:val="14"/>
                <w:color w:val="auto"/>
              </w:rPr>
              <w:t>Executive Compensation Objectives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20" w:type="dxa"/>
            <w:vAlign w:val="bottom"/>
          </w:tcPr>
          <w:p>
            <w:pPr>
              <w:jc w:val="right"/>
              <w:ind w:right="168"/>
              <w:spacing w:after="0" w:line="122" w:lineRule="exact"/>
              <w:rPr>
                <w:sz w:val="20"/>
                <w:szCs w:val="20"/>
                <w:color w:val="auto"/>
              </w:rPr>
            </w:pPr>
            <w:r>
              <w:rPr>
                <w:rFonts w:ascii="Arial" w:cs="Arial" w:eastAsia="Arial" w:hAnsi="Arial"/>
                <w:sz w:val="14"/>
                <w:szCs w:val="14"/>
                <w:color w:val="auto"/>
              </w:rPr>
              <w:t>25</w:t>
            </w:r>
          </w:p>
        </w:tc>
        <w:tc>
          <w:tcPr>
            <w:tcW w:w="2400" w:type="dxa"/>
            <w:vAlign w:val="bottom"/>
            <w:tcBorders>
              <w:top w:val="single" w:sz="8" w:color="0000EE"/>
            </w:tcBorders>
            <w:gridSpan w:val="12"/>
            <w:vMerge w:val="continue"/>
          </w:tcPr>
          <w:p>
            <w:pPr>
              <w:spacing w:after="0"/>
              <w:rPr>
                <w:sz w:val="12"/>
                <w:szCs w:val="12"/>
                <w:color w:val="auto"/>
              </w:rPr>
            </w:pPr>
          </w:p>
        </w:tc>
        <w:tc>
          <w:tcPr>
            <w:tcW w:w="2200" w:type="dxa"/>
            <w:vAlign w:val="bottom"/>
            <w:gridSpan w:val="5"/>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98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60" w:type="dxa"/>
            <w:vAlign w:val="bottom"/>
            <w:gridSpan w:val="21"/>
          </w:tcPr>
          <w:p>
            <w:pPr>
              <w:spacing w:after="0" w:line="149" w:lineRule="exact"/>
              <w:rPr>
                <w:sz w:val="20"/>
                <w:szCs w:val="20"/>
                <w:color w:val="auto"/>
              </w:rPr>
            </w:pPr>
            <w:r>
              <w:rPr>
                <w:rFonts w:ascii="Arial" w:cs="Arial" w:eastAsia="Arial" w:hAnsi="Arial"/>
                <w:sz w:val="14"/>
                <w:szCs w:val="14"/>
                <w:color w:val="auto"/>
              </w:rPr>
              <w:t>Compensation Program Best Practices</w:t>
            </w:r>
          </w:p>
        </w:tc>
        <w:tc>
          <w:tcPr>
            <w:tcW w:w="14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25</w:t>
            </w:r>
          </w:p>
        </w:tc>
        <w:tc>
          <w:tcPr>
            <w:tcW w:w="180" w:type="dxa"/>
            <w:vAlign w:val="bottom"/>
          </w:tcPr>
          <w:p>
            <w:pPr>
              <w:spacing w:after="0"/>
              <w:rPr>
                <w:sz w:val="12"/>
                <w:szCs w:val="12"/>
                <w:color w:val="auto"/>
              </w:rPr>
            </w:pPr>
          </w:p>
        </w:tc>
        <w:tc>
          <w:tcPr>
            <w:tcW w:w="4420" w:type="dxa"/>
            <w:vAlign w:val="bottom"/>
            <w:gridSpan w:val="16"/>
          </w:tcPr>
          <w:p>
            <w:pPr>
              <w:spacing w:after="0" w:line="149" w:lineRule="exact"/>
              <w:rPr>
                <w:sz w:val="20"/>
                <w:szCs w:val="20"/>
                <w:color w:val="auto"/>
              </w:rPr>
            </w:pPr>
            <w:r>
              <w:rPr>
                <w:rFonts w:ascii="Arial" w:cs="Arial" w:eastAsia="Arial" w:hAnsi="Arial"/>
                <w:sz w:val="14"/>
                <w:szCs w:val="14"/>
                <w:color w:val="auto"/>
              </w:rPr>
              <w:t>Summary Compensation Table</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tcBorders>
              <w:top w:val="single" w:sz="8" w:color="0000EE"/>
              <w:bottom w:val="single" w:sz="8" w:color="0000EE"/>
            </w:tcBorders>
            <w:gridSpan w:val="11"/>
          </w:tcPr>
          <w:p>
            <w:pPr>
              <w:spacing w:after="0" w:line="142" w:lineRule="exact"/>
              <w:rPr>
                <w:sz w:val="20"/>
                <w:szCs w:val="20"/>
                <w:color w:val="auto"/>
              </w:rPr>
            </w:pPr>
            <w:r>
              <w:rPr>
                <w:rFonts w:ascii="Arial" w:cs="Arial" w:eastAsia="Arial" w:hAnsi="Arial"/>
                <w:sz w:val="14"/>
                <w:szCs w:val="14"/>
                <w:color w:val="auto"/>
              </w:rPr>
              <w:t>Role of Compensation Committee</w:t>
            </w:r>
          </w:p>
        </w:tc>
        <w:tc>
          <w:tcPr>
            <w:tcW w:w="320" w:type="dxa"/>
            <w:vAlign w:val="bottom"/>
            <w:tcBorders>
              <w:top w:val="single" w:sz="8" w:color="0000EE"/>
            </w:tcBorders>
            <w:gridSpan w:val="5"/>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20" w:type="dxa"/>
            <w:vAlign w:val="bottom"/>
          </w:tcPr>
          <w:p>
            <w:pPr>
              <w:jc w:val="right"/>
              <w:ind w:right="168"/>
              <w:spacing w:after="0" w:line="142" w:lineRule="exact"/>
              <w:rPr>
                <w:sz w:val="20"/>
                <w:szCs w:val="20"/>
                <w:color w:val="auto"/>
              </w:rPr>
            </w:pPr>
            <w:r>
              <w:rPr>
                <w:rFonts w:ascii="Arial" w:cs="Arial" w:eastAsia="Arial" w:hAnsi="Arial"/>
                <w:sz w:val="14"/>
                <w:szCs w:val="14"/>
                <w:color w:val="auto"/>
              </w:rPr>
              <w:t>26</w:t>
            </w:r>
          </w:p>
        </w:tc>
        <w:tc>
          <w:tcPr>
            <w:tcW w:w="180" w:type="dxa"/>
            <w:vAlign w:val="bottom"/>
          </w:tcPr>
          <w:p>
            <w:pPr>
              <w:spacing w:after="0"/>
              <w:rPr>
                <w:sz w:val="12"/>
                <w:szCs w:val="12"/>
                <w:color w:val="auto"/>
              </w:rPr>
            </w:pPr>
          </w:p>
        </w:tc>
        <w:tc>
          <w:tcPr>
            <w:tcW w:w="1900" w:type="dxa"/>
            <w:vAlign w:val="bottom"/>
            <w:tcBorders>
              <w:top w:val="single" w:sz="8" w:color="0000EE"/>
              <w:bottom w:val="single" w:sz="8" w:color="0000EE"/>
            </w:tcBorders>
            <w:gridSpan w:val="7"/>
          </w:tcPr>
          <w:p>
            <w:pPr>
              <w:spacing w:after="0" w:line="142" w:lineRule="exact"/>
              <w:rPr>
                <w:sz w:val="20"/>
                <w:szCs w:val="20"/>
                <w:color w:val="auto"/>
              </w:rPr>
            </w:pPr>
            <w:r>
              <w:rPr>
                <w:rFonts w:ascii="Arial" w:cs="Arial" w:eastAsia="Arial" w:hAnsi="Arial"/>
                <w:sz w:val="14"/>
                <w:szCs w:val="14"/>
                <w:color w:val="auto"/>
              </w:rPr>
              <w:t>Grants of Plan-Based Awards</w:t>
            </w:r>
          </w:p>
        </w:tc>
        <w:tc>
          <w:tcPr>
            <w:tcW w:w="8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3"/>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gridSpan w:val="11"/>
          </w:tcPr>
          <w:p>
            <w:pPr>
              <w:spacing w:after="0" w:line="142" w:lineRule="exact"/>
              <w:rPr>
                <w:sz w:val="20"/>
                <w:szCs w:val="20"/>
                <w:color w:val="auto"/>
              </w:rPr>
            </w:pPr>
            <w:r>
              <w:rPr>
                <w:rFonts w:ascii="Arial" w:cs="Arial" w:eastAsia="Arial" w:hAnsi="Arial"/>
                <w:sz w:val="14"/>
                <w:szCs w:val="14"/>
                <w:color w:val="auto"/>
              </w:rPr>
              <w:t>Role of Management</w:t>
            </w:r>
          </w:p>
        </w:tc>
        <w:tc>
          <w:tcPr>
            <w:tcW w:w="22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4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20" w:type="dxa"/>
            <w:vAlign w:val="bottom"/>
          </w:tcPr>
          <w:p>
            <w:pPr>
              <w:jc w:val="right"/>
              <w:ind w:right="168"/>
              <w:spacing w:after="0" w:line="142" w:lineRule="exact"/>
              <w:rPr>
                <w:sz w:val="20"/>
                <w:szCs w:val="20"/>
                <w:color w:val="auto"/>
              </w:rPr>
            </w:pPr>
            <w:r>
              <w:rPr>
                <w:rFonts w:ascii="Arial" w:cs="Arial" w:eastAsia="Arial" w:hAnsi="Arial"/>
                <w:sz w:val="14"/>
                <w:szCs w:val="14"/>
                <w:color w:val="auto"/>
              </w:rPr>
              <w:t>26</w:t>
            </w:r>
          </w:p>
        </w:tc>
        <w:tc>
          <w:tcPr>
            <w:tcW w:w="180" w:type="dxa"/>
            <w:vAlign w:val="bottom"/>
          </w:tcPr>
          <w:p>
            <w:pPr>
              <w:spacing w:after="0"/>
              <w:rPr>
                <w:sz w:val="12"/>
                <w:szCs w:val="12"/>
                <w:color w:val="auto"/>
              </w:rPr>
            </w:pPr>
          </w:p>
        </w:tc>
        <w:tc>
          <w:tcPr>
            <w:tcW w:w="4420" w:type="dxa"/>
            <w:vAlign w:val="bottom"/>
            <w:gridSpan w:val="16"/>
          </w:tcPr>
          <w:p>
            <w:pPr>
              <w:spacing w:after="0" w:line="142" w:lineRule="exact"/>
              <w:rPr>
                <w:sz w:val="20"/>
                <w:szCs w:val="20"/>
                <w:color w:val="auto"/>
              </w:rPr>
            </w:pPr>
            <w:r>
              <w:rPr>
                <w:rFonts w:ascii="Arial" w:cs="Arial" w:eastAsia="Arial" w:hAnsi="Arial"/>
                <w:sz w:val="14"/>
                <w:szCs w:val="14"/>
                <w:color w:val="auto"/>
              </w:rPr>
              <w:t>Narrative Disclosure to Summary Compensation Table and Grants of</w:t>
            </w: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Borders>
              <w:top w:val="single" w:sz="8" w:color="0000EE"/>
            </w:tcBorders>
            <w:gridSpan w:val="4"/>
          </w:tcPr>
          <w:p>
            <w:pPr>
              <w:spacing w:after="0" w:line="142" w:lineRule="exact"/>
              <w:rPr>
                <w:sz w:val="20"/>
                <w:szCs w:val="20"/>
                <w:color w:val="auto"/>
              </w:rPr>
            </w:pPr>
            <w:r>
              <w:rPr>
                <w:rFonts w:ascii="Arial" w:cs="Arial" w:eastAsia="Arial" w:hAnsi="Arial"/>
                <w:sz w:val="14"/>
                <w:szCs w:val="14"/>
                <w:color w:val="auto"/>
              </w:rPr>
              <w:t>Role of Independent</w:t>
            </w:r>
          </w:p>
        </w:tc>
        <w:tc>
          <w:tcPr>
            <w:tcW w:w="2720" w:type="dxa"/>
            <w:vAlign w:val="bottom"/>
            <w:gridSpan w:val="17"/>
          </w:tcPr>
          <w:p>
            <w:pPr>
              <w:spacing w:after="0" w:line="142" w:lineRule="exact"/>
              <w:rPr>
                <w:sz w:val="20"/>
                <w:szCs w:val="20"/>
                <w:color w:val="auto"/>
              </w:rPr>
            </w:pPr>
            <w:r>
              <w:rPr>
                <w:rFonts w:ascii="Arial" w:cs="Arial" w:eastAsia="Arial" w:hAnsi="Arial"/>
                <w:sz w:val="14"/>
                <w:szCs w:val="14"/>
                <w:color w:val="auto"/>
              </w:rPr>
              <w:t>Compensation Consultants</w:t>
            </w:r>
          </w:p>
        </w:tc>
        <w:tc>
          <w:tcPr>
            <w:tcW w:w="1420" w:type="dxa"/>
            <w:vAlign w:val="bottom"/>
          </w:tcPr>
          <w:p>
            <w:pPr>
              <w:jc w:val="right"/>
              <w:ind w:right="168"/>
              <w:spacing w:after="0" w:line="142" w:lineRule="exact"/>
              <w:rPr>
                <w:sz w:val="20"/>
                <w:szCs w:val="20"/>
                <w:color w:val="auto"/>
              </w:rPr>
            </w:pPr>
            <w:r>
              <w:rPr>
                <w:rFonts w:ascii="Arial" w:cs="Arial" w:eastAsia="Arial" w:hAnsi="Arial"/>
                <w:sz w:val="14"/>
                <w:szCs w:val="14"/>
                <w:color w:val="auto"/>
              </w:rPr>
              <w:t>26</w:t>
            </w:r>
          </w:p>
        </w:tc>
        <w:tc>
          <w:tcPr>
            <w:tcW w:w="180" w:type="dxa"/>
            <w:vAlign w:val="bottom"/>
          </w:tcPr>
          <w:p>
            <w:pPr>
              <w:spacing w:after="0"/>
              <w:rPr>
                <w:sz w:val="12"/>
                <w:szCs w:val="12"/>
                <w:color w:val="auto"/>
              </w:rPr>
            </w:pPr>
          </w:p>
        </w:tc>
        <w:tc>
          <w:tcPr>
            <w:tcW w:w="4420" w:type="dxa"/>
            <w:vAlign w:val="bottom"/>
            <w:tcBorders>
              <w:top w:val="single" w:sz="8" w:color="0000EE"/>
            </w:tcBorders>
            <w:gridSpan w:val="16"/>
          </w:tcPr>
          <w:p>
            <w:pPr>
              <w:spacing w:after="0" w:line="142" w:lineRule="exact"/>
              <w:rPr>
                <w:sz w:val="20"/>
                <w:szCs w:val="20"/>
                <w:color w:val="auto"/>
              </w:rPr>
            </w:pPr>
            <w:r>
              <w:rPr>
                <w:rFonts w:ascii="Arial" w:cs="Arial" w:eastAsia="Arial" w:hAnsi="Arial"/>
                <w:sz w:val="14"/>
                <w:szCs w:val="14"/>
                <w:color w:val="auto"/>
              </w:rPr>
              <w:t>Plan-Based Awards Table</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tcBorders>
              <w:top w:val="single" w:sz="8" w:color="0000EE"/>
            </w:tcBorders>
            <w:gridSpan w:val="20"/>
          </w:tcPr>
          <w:p>
            <w:pPr>
              <w:spacing w:after="0" w:line="142" w:lineRule="exact"/>
              <w:rPr>
                <w:sz w:val="20"/>
                <w:szCs w:val="20"/>
                <w:color w:val="auto"/>
              </w:rPr>
            </w:pPr>
            <w:r>
              <w:rPr>
                <w:rFonts w:ascii="Arial" w:cs="Arial" w:eastAsia="Arial" w:hAnsi="Arial"/>
                <w:sz w:val="14"/>
                <w:szCs w:val="14"/>
                <w:color w:val="auto"/>
              </w:rPr>
              <w:t>Use of Compensation Data</w:t>
            </w:r>
          </w:p>
        </w:tc>
        <w:tc>
          <w:tcPr>
            <w:tcW w:w="1000" w:type="dxa"/>
            <w:vAlign w:val="bottom"/>
          </w:tcPr>
          <w:p>
            <w:pPr>
              <w:spacing w:after="0"/>
              <w:rPr>
                <w:sz w:val="12"/>
                <w:szCs w:val="12"/>
                <w:color w:val="auto"/>
              </w:rPr>
            </w:pPr>
          </w:p>
        </w:tc>
        <w:tc>
          <w:tcPr>
            <w:tcW w:w="1420" w:type="dxa"/>
            <w:vAlign w:val="bottom"/>
          </w:tcPr>
          <w:p>
            <w:pPr>
              <w:jc w:val="right"/>
              <w:ind w:right="168"/>
              <w:spacing w:after="0" w:line="142" w:lineRule="exact"/>
              <w:rPr>
                <w:sz w:val="20"/>
                <w:szCs w:val="20"/>
                <w:color w:val="auto"/>
              </w:rPr>
            </w:pPr>
            <w:r>
              <w:rPr>
                <w:rFonts w:ascii="Arial" w:cs="Arial" w:eastAsia="Arial" w:hAnsi="Arial"/>
                <w:sz w:val="14"/>
                <w:szCs w:val="14"/>
                <w:color w:val="auto"/>
              </w:rPr>
              <w:t>26</w:t>
            </w:r>
          </w:p>
        </w:tc>
        <w:tc>
          <w:tcPr>
            <w:tcW w:w="180" w:type="dxa"/>
            <w:vAlign w:val="bottom"/>
          </w:tcPr>
          <w:p>
            <w:pPr>
              <w:spacing w:after="0"/>
              <w:rPr>
                <w:sz w:val="12"/>
                <w:szCs w:val="12"/>
                <w:color w:val="auto"/>
              </w:rPr>
            </w:pPr>
          </w:p>
        </w:tc>
        <w:tc>
          <w:tcPr>
            <w:tcW w:w="1660" w:type="dxa"/>
            <w:vAlign w:val="bottom"/>
            <w:tcBorders>
              <w:top w:val="single" w:sz="8" w:color="0000EE"/>
            </w:tcBorders>
            <w:gridSpan w:val="6"/>
          </w:tcPr>
          <w:p>
            <w:pPr>
              <w:spacing w:after="0" w:line="142" w:lineRule="exact"/>
              <w:rPr>
                <w:sz w:val="20"/>
                <w:szCs w:val="20"/>
                <w:color w:val="auto"/>
              </w:rPr>
            </w:pPr>
            <w:r>
              <w:rPr>
                <w:rFonts w:ascii="Arial" w:cs="Arial" w:eastAsia="Arial" w:hAnsi="Arial"/>
                <w:sz w:val="14"/>
                <w:szCs w:val="14"/>
                <w:color w:val="auto"/>
                <w:w w:val="97"/>
              </w:rPr>
              <w:t>Outstanding Equity Awards</w:t>
            </w:r>
          </w:p>
        </w:tc>
        <w:tc>
          <w:tcPr>
            <w:tcW w:w="2760" w:type="dxa"/>
            <w:vAlign w:val="bottom"/>
            <w:gridSpan w:val="10"/>
          </w:tcPr>
          <w:p>
            <w:pPr>
              <w:ind w:left="120"/>
              <w:spacing w:after="0" w:line="142" w:lineRule="exact"/>
              <w:rPr>
                <w:sz w:val="20"/>
                <w:szCs w:val="20"/>
                <w:color w:val="auto"/>
              </w:rPr>
            </w:pPr>
            <w:r>
              <w:rPr>
                <w:rFonts w:ascii="Arial" w:cs="Arial" w:eastAsia="Arial" w:hAnsi="Arial"/>
                <w:sz w:val="14"/>
                <w:szCs w:val="14"/>
                <w:color w:val="auto"/>
              </w:rPr>
              <w:t>at December 31, 2024</w:t>
            </w: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Borders>
              <w:top w:val="single" w:sz="8" w:color="0000EE"/>
              <w:bottom w:val="single" w:sz="8" w:color="0000EE"/>
            </w:tcBorders>
            <w:gridSpan w:val="5"/>
          </w:tcPr>
          <w:p>
            <w:pPr>
              <w:spacing w:after="0" w:line="142" w:lineRule="exact"/>
              <w:rPr>
                <w:sz w:val="20"/>
                <w:szCs w:val="20"/>
                <w:color w:val="auto"/>
              </w:rPr>
            </w:pPr>
            <w:r>
              <w:rPr>
                <w:rFonts w:ascii="Arial" w:cs="Arial" w:eastAsia="Arial" w:hAnsi="Arial"/>
                <w:sz w:val="14"/>
                <w:szCs w:val="14"/>
                <w:color w:val="auto"/>
              </w:rPr>
              <w:t>Stockholder Outreach</w:t>
            </w:r>
          </w:p>
        </w:tc>
        <w:tc>
          <w:tcPr>
            <w:tcW w:w="340" w:type="dxa"/>
            <w:vAlign w:val="bottom"/>
            <w:tcBorders>
              <w:top w:val="single" w:sz="8" w:color="0000EE"/>
            </w:tcBorders>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gridSpan w:val="4"/>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460" w:type="dxa"/>
            <w:vAlign w:val="bottom"/>
            <w:gridSpan w:val="2"/>
          </w:tcPr>
          <w:p>
            <w:pPr>
              <w:spacing w:after="0"/>
              <w:rPr>
                <w:sz w:val="12"/>
                <w:szCs w:val="12"/>
                <w:color w:val="auto"/>
              </w:rPr>
            </w:pPr>
          </w:p>
        </w:tc>
        <w:tc>
          <w:tcPr>
            <w:tcW w:w="1040" w:type="dxa"/>
            <w:vAlign w:val="bottom"/>
            <w:gridSpan w:val="2"/>
          </w:tcPr>
          <w:p>
            <w:pPr>
              <w:spacing w:after="0"/>
              <w:rPr>
                <w:sz w:val="12"/>
                <w:szCs w:val="12"/>
                <w:color w:val="auto"/>
              </w:rPr>
            </w:pPr>
          </w:p>
        </w:tc>
        <w:tc>
          <w:tcPr>
            <w:tcW w:w="1420" w:type="dxa"/>
            <w:vAlign w:val="bottom"/>
          </w:tcPr>
          <w:p>
            <w:pPr>
              <w:jc w:val="right"/>
              <w:ind w:right="168"/>
              <w:spacing w:after="0" w:line="142" w:lineRule="exact"/>
              <w:rPr>
                <w:sz w:val="20"/>
                <w:szCs w:val="20"/>
                <w:color w:val="auto"/>
              </w:rPr>
            </w:pPr>
            <w:r>
              <w:rPr>
                <w:rFonts w:ascii="Arial" w:cs="Arial" w:eastAsia="Arial" w:hAnsi="Arial"/>
                <w:sz w:val="14"/>
                <w:szCs w:val="14"/>
                <w:color w:val="auto"/>
              </w:rPr>
              <w:t>27</w:t>
            </w:r>
          </w:p>
        </w:tc>
        <w:tc>
          <w:tcPr>
            <w:tcW w:w="180" w:type="dxa"/>
            <w:vAlign w:val="bottom"/>
          </w:tcPr>
          <w:p>
            <w:pPr>
              <w:spacing w:after="0"/>
              <w:rPr>
                <w:sz w:val="12"/>
                <w:szCs w:val="12"/>
                <w:color w:val="auto"/>
              </w:rPr>
            </w:pPr>
          </w:p>
        </w:tc>
        <w:tc>
          <w:tcPr>
            <w:tcW w:w="1360" w:type="dxa"/>
            <w:vAlign w:val="bottom"/>
            <w:tcBorders>
              <w:top w:val="single" w:sz="8" w:color="0000EE"/>
              <w:bottom w:val="single" w:sz="8" w:color="0000EE"/>
            </w:tcBorders>
            <w:gridSpan w:val="4"/>
          </w:tcPr>
          <w:p>
            <w:pPr>
              <w:spacing w:after="0" w:line="142" w:lineRule="exact"/>
              <w:rPr>
                <w:sz w:val="20"/>
                <w:szCs w:val="20"/>
                <w:color w:val="auto"/>
              </w:rPr>
            </w:pPr>
            <w:r>
              <w:rPr>
                <w:rFonts w:ascii="Arial" w:cs="Arial" w:eastAsia="Arial" w:hAnsi="Arial"/>
                <w:sz w:val="14"/>
                <w:szCs w:val="14"/>
                <w:color w:val="auto"/>
              </w:rPr>
              <w:t>Stock Vested in 2024</w:t>
            </w:r>
          </w:p>
        </w:tc>
        <w:tc>
          <w:tcPr>
            <w:tcW w:w="1840" w:type="dxa"/>
            <w:vAlign w:val="bottom"/>
            <w:tcBorders>
              <w:top w:val="single" w:sz="8" w:color="0000EE"/>
            </w:tcBorders>
            <w:gridSpan w:val="10"/>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5"/>
          </w:tcPr>
          <w:p>
            <w:pPr>
              <w:spacing w:after="0" w:line="142" w:lineRule="exact"/>
              <w:rPr>
                <w:sz w:val="20"/>
                <w:szCs w:val="20"/>
                <w:color w:val="auto"/>
              </w:rPr>
            </w:pPr>
            <w:r>
              <w:rPr>
                <w:rFonts w:ascii="Arial" w:cs="Arial" w:eastAsia="Arial" w:hAnsi="Arial"/>
                <w:sz w:val="14"/>
                <w:szCs w:val="14"/>
                <w:color w:val="auto"/>
                <w:w w:val="92"/>
              </w:rPr>
              <w:t>Stockholder Approval of</w:t>
            </w:r>
          </w:p>
        </w:tc>
        <w:tc>
          <w:tcPr>
            <w:tcW w:w="2660" w:type="dxa"/>
            <w:vAlign w:val="bottom"/>
            <w:gridSpan w:val="16"/>
          </w:tcPr>
          <w:p>
            <w:pPr>
              <w:ind w:left="40"/>
              <w:spacing w:after="0" w:line="142" w:lineRule="exact"/>
              <w:rPr>
                <w:sz w:val="20"/>
                <w:szCs w:val="20"/>
                <w:color w:val="auto"/>
              </w:rPr>
            </w:pPr>
            <w:r>
              <w:rPr>
                <w:rFonts w:ascii="Arial" w:cs="Arial" w:eastAsia="Arial" w:hAnsi="Arial"/>
                <w:sz w:val="14"/>
                <w:szCs w:val="14"/>
                <w:color w:val="auto"/>
              </w:rPr>
              <w:t>Executive Compensation</w:t>
            </w:r>
          </w:p>
        </w:tc>
        <w:tc>
          <w:tcPr>
            <w:tcW w:w="1420" w:type="dxa"/>
            <w:vAlign w:val="bottom"/>
          </w:tcPr>
          <w:p>
            <w:pPr>
              <w:jc w:val="right"/>
              <w:ind w:right="168"/>
              <w:spacing w:after="0" w:line="142" w:lineRule="exact"/>
              <w:rPr>
                <w:sz w:val="20"/>
                <w:szCs w:val="20"/>
                <w:color w:val="auto"/>
              </w:rPr>
            </w:pPr>
            <w:r>
              <w:rPr>
                <w:rFonts w:ascii="Arial" w:cs="Arial" w:eastAsia="Arial" w:hAnsi="Arial"/>
                <w:sz w:val="14"/>
                <w:szCs w:val="14"/>
                <w:color w:val="auto"/>
              </w:rPr>
              <w:t>27</w:t>
            </w:r>
          </w:p>
        </w:tc>
        <w:tc>
          <w:tcPr>
            <w:tcW w:w="180" w:type="dxa"/>
            <w:vAlign w:val="bottom"/>
          </w:tcPr>
          <w:p>
            <w:pPr>
              <w:spacing w:after="0"/>
              <w:rPr>
                <w:sz w:val="12"/>
                <w:szCs w:val="12"/>
                <w:color w:val="auto"/>
              </w:rPr>
            </w:pPr>
          </w:p>
        </w:tc>
        <w:tc>
          <w:tcPr>
            <w:tcW w:w="4420" w:type="dxa"/>
            <w:vAlign w:val="bottom"/>
            <w:gridSpan w:val="16"/>
          </w:tcPr>
          <w:p>
            <w:pPr>
              <w:spacing w:after="0" w:line="142" w:lineRule="exact"/>
              <w:rPr>
                <w:sz w:val="20"/>
                <w:szCs w:val="20"/>
                <w:color w:val="auto"/>
              </w:rPr>
            </w:pPr>
            <w:r>
              <w:rPr>
                <w:rFonts w:ascii="Arial" w:cs="Arial" w:eastAsia="Arial" w:hAnsi="Arial"/>
                <w:sz w:val="14"/>
                <w:szCs w:val="14"/>
                <w:color w:val="auto"/>
              </w:rPr>
              <w:t>2024 Nonqualified Deferred Compensation Table</w:t>
            </w: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3140" w:type="dxa"/>
            <w:vAlign w:val="bottom"/>
            <w:tcBorders>
              <w:top w:val="single" w:sz="8" w:color="0000EE"/>
            </w:tcBorders>
            <w:gridSpan w:val="21"/>
          </w:tcPr>
          <w:p>
            <w:pPr>
              <w:spacing w:after="0" w:line="142" w:lineRule="exact"/>
              <w:rPr>
                <w:sz w:val="20"/>
                <w:szCs w:val="20"/>
                <w:color w:val="auto"/>
              </w:rPr>
            </w:pPr>
            <w:r>
              <w:rPr>
                <w:rFonts w:ascii="Arial" w:cs="Arial" w:eastAsia="Arial" w:hAnsi="Arial"/>
                <w:sz w:val="14"/>
                <w:szCs w:val="14"/>
                <w:color w:val="auto"/>
              </w:rPr>
              <w:t>2024 Compensation Program</w:t>
            </w:r>
          </w:p>
        </w:tc>
        <w:tc>
          <w:tcPr>
            <w:tcW w:w="1040" w:type="dxa"/>
            <w:vAlign w:val="bottom"/>
            <w:gridSpan w:val="2"/>
          </w:tcPr>
          <w:p>
            <w:pPr>
              <w:spacing w:after="0"/>
              <w:rPr>
                <w:sz w:val="12"/>
                <w:szCs w:val="12"/>
                <w:color w:val="auto"/>
              </w:rPr>
            </w:pPr>
          </w:p>
        </w:tc>
        <w:tc>
          <w:tcPr>
            <w:tcW w:w="1420" w:type="dxa"/>
            <w:vAlign w:val="bottom"/>
          </w:tcPr>
          <w:p>
            <w:pPr>
              <w:jc w:val="right"/>
              <w:ind w:right="168"/>
              <w:spacing w:after="0" w:line="142" w:lineRule="exact"/>
              <w:rPr>
                <w:sz w:val="20"/>
                <w:szCs w:val="20"/>
                <w:color w:val="auto"/>
              </w:rPr>
            </w:pPr>
            <w:r>
              <w:rPr>
                <w:rFonts w:ascii="Arial" w:cs="Arial" w:eastAsia="Arial" w:hAnsi="Arial"/>
                <w:sz w:val="14"/>
                <w:szCs w:val="14"/>
                <w:color w:val="auto"/>
              </w:rPr>
              <w:t>27</w:t>
            </w:r>
          </w:p>
        </w:tc>
        <w:tc>
          <w:tcPr>
            <w:tcW w:w="180" w:type="dxa"/>
            <w:vAlign w:val="bottom"/>
          </w:tcPr>
          <w:p>
            <w:pPr>
              <w:spacing w:after="0"/>
              <w:rPr>
                <w:sz w:val="12"/>
                <w:szCs w:val="12"/>
                <w:color w:val="auto"/>
              </w:rPr>
            </w:pPr>
          </w:p>
        </w:tc>
        <w:tc>
          <w:tcPr>
            <w:tcW w:w="3120" w:type="dxa"/>
            <w:vAlign w:val="bottom"/>
            <w:tcBorders>
              <w:top w:val="single" w:sz="8" w:color="0000EE"/>
            </w:tcBorders>
            <w:gridSpan w:val="13"/>
          </w:tcPr>
          <w:p>
            <w:pPr>
              <w:spacing w:after="0" w:line="142" w:lineRule="exact"/>
              <w:rPr>
                <w:sz w:val="20"/>
                <w:szCs w:val="20"/>
                <w:color w:val="auto"/>
              </w:rPr>
            </w:pPr>
            <w:r>
              <w:rPr>
                <w:rFonts w:ascii="Arial" w:cs="Arial" w:eastAsia="Arial" w:hAnsi="Arial"/>
                <w:sz w:val="14"/>
                <w:szCs w:val="14"/>
                <w:color w:val="auto"/>
              </w:rPr>
              <w:t>Potential Payments upon Termination or Change</w:t>
            </w:r>
          </w:p>
        </w:tc>
        <w:tc>
          <w:tcPr>
            <w:tcW w:w="130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in Control</w:t>
            </w: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780" w:type="dxa"/>
            <w:vAlign w:val="bottom"/>
            <w:tcBorders>
              <w:top w:val="single" w:sz="8" w:color="0000EE"/>
            </w:tcBorders>
            <w:gridSpan w:val="9"/>
          </w:tcPr>
          <w:p>
            <w:pPr>
              <w:spacing w:after="0" w:line="142" w:lineRule="exact"/>
              <w:rPr>
                <w:sz w:val="20"/>
                <w:szCs w:val="20"/>
                <w:color w:val="auto"/>
              </w:rPr>
            </w:pPr>
            <w:r>
              <w:rPr>
                <w:rFonts w:ascii="Arial" w:cs="Arial" w:eastAsia="Arial" w:hAnsi="Arial"/>
                <w:sz w:val="14"/>
                <w:szCs w:val="14"/>
                <w:color w:val="auto"/>
              </w:rPr>
              <w:t>Benefits</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gridSpan w:val="4"/>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1500" w:type="dxa"/>
            <w:vAlign w:val="bottom"/>
            <w:gridSpan w:val="4"/>
          </w:tcPr>
          <w:p>
            <w:pPr>
              <w:spacing w:after="0"/>
              <w:rPr>
                <w:sz w:val="12"/>
                <w:szCs w:val="12"/>
                <w:color w:val="auto"/>
              </w:rPr>
            </w:pPr>
          </w:p>
        </w:tc>
        <w:tc>
          <w:tcPr>
            <w:tcW w:w="1420" w:type="dxa"/>
            <w:vAlign w:val="bottom"/>
          </w:tcPr>
          <w:p>
            <w:pPr>
              <w:jc w:val="right"/>
              <w:ind w:right="168"/>
              <w:spacing w:after="0" w:line="142" w:lineRule="exact"/>
              <w:rPr>
                <w:sz w:val="20"/>
                <w:szCs w:val="20"/>
                <w:color w:val="auto"/>
              </w:rPr>
            </w:pPr>
            <w:r>
              <w:rPr>
                <w:rFonts w:ascii="Arial" w:cs="Arial" w:eastAsia="Arial" w:hAnsi="Arial"/>
                <w:sz w:val="14"/>
                <w:szCs w:val="14"/>
                <w:color w:val="auto"/>
              </w:rPr>
              <w:t>39</w:t>
            </w:r>
          </w:p>
        </w:tc>
        <w:tc>
          <w:tcPr>
            <w:tcW w:w="180" w:type="dxa"/>
            <w:vAlign w:val="bottom"/>
          </w:tcPr>
          <w:p>
            <w:pPr>
              <w:spacing w:after="0"/>
              <w:rPr>
                <w:sz w:val="12"/>
                <w:szCs w:val="12"/>
                <w:color w:val="auto"/>
              </w:rPr>
            </w:pPr>
          </w:p>
        </w:tc>
        <w:tc>
          <w:tcPr>
            <w:tcW w:w="980" w:type="dxa"/>
            <w:vAlign w:val="bottom"/>
            <w:tcBorders>
              <w:top w:val="single" w:sz="8" w:color="0000EE"/>
            </w:tcBorders>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2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7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560" w:type="dxa"/>
            <w:vAlign w:val="bottom"/>
            <w:tcBorders>
              <w:top w:val="single" w:sz="8" w:color="0000EE"/>
            </w:tcBorders>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top w:val="single" w:sz="8" w:color="0000EE"/>
              <w:bottom w:val="single" w:sz="8" w:color="0000EE"/>
            </w:tcBorders>
            <w:gridSpan w:val="2"/>
          </w:tcPr>
          <w:p>
            <w:pPr>
              <w:spacing w:after="0" w:line="142" w:lineRule="exact"/>
              <w:rPr>
                <w:sz w:val="20"/>
                <w:szCs w:val="20"/>
                <w:color w:val="auto"/>
              </w:rPr>
            </w:pPr>
            <w:r>
              <w:rPr>
                <w:rFonts w:ascii="Arial" w:cs="Arial" w:eastAsia="Arial" w:hAnsi="Arial"/>
                <w:sz w:val="14"/>
                <w:szCs w:val="14"/>
                <w:color w:val="auto"/>
              </w:rPr>
              <w:t>2025</w:t>
            </w:r>
          </w:p>
        </w:tc>
        <w:tc>
          <w:tcPr>
            <w:tcW w:w="1880" w:type="dxa"/>
            <w:vAlign w:val="bottom"/>
            <w:tcBorders>
              <w:bottom w:val="single" w:sz="8" w:color="0000EE"/>
            </w:tcBorders>
            <w:gridSpan w:val="13"/>
          </w:tcPr>
          <w:p>
            <w:pPr>
              <w:spacing w:after="0" w:line="142" w:lineRule="exact"/>
              <w:rPr>
                <w:sz w:val="20"/>
                <w:szCs w:val="20"/>
                <w:color w:val="auto"/>
              </w:rPr>
            </w:pPr>
            <w:r>
              <w:rPr>
                <w:rFonts w:ascii="Arial" w:cs="Arial" w:eastAsia="Arial" w:hAnsi="Arial"/>
                <w:sz w:val="14"/>
                <w:szCs w:val="14"/>
                <w:color w:val="auto"/>
                <w:w w:val="94"/>
              </w:rPr>
              <w:t>Compensation Program Actions</w:t>
            </w:r>
          </w:p>
        </w:tc>
        <w:tc>
          <w:tcPr>
            <w:tcW w:w="1680" w:type="dxa"/>
            <w:vAlign w:val="bottom"/>
            <w:gridSpan w:val="7"/>
          </w:tcPr>
          <w:p>
            <w:pPr>
              <w:spacing w:after="0"/>
              <w:rPr>
                <w:sz w:val="12"/>
                <w:szCs w:val="12"/>
                <w:color w:val="auto"/>
              </w:rPr>
            </w:pPr>
          </w:p>
        </w:tc>
        <w:tc>
          <w:tcPr>
            <w:tcW w:w="1420" w:type="dxa"/>
            <w:vAlign w:val="bottom"/>
          </w:tcPr>
          <w:p>
            <w:pPr>
              <w:jc w:val="right"/>
              <w:ind w:right="168"/>
              <w:spacing w:after="0" w:line="142" w:lineRule="exact"/>
              <w:rPr>
                <w:sz w:val="20"/>
                <w:szCs w:val="20"/>
                <w:color w:val="auto"/>
              </w:rPr>
            </w:pPr>
            <w:r>
              <w:rPr>
                <w:rFonts w:ascii="Arial" w:cs="Arial" w:eastAsia="Arial" w:hAnsi="Arial"/>
                <w:sz w:val="14"/>
                <w:szCs w:val="14"/>
                <w:color w:val="auto"/>
              </w:rPr>
              <w:t>40</w:t>
            </w:r>
          </w:p>
        </w:tc>
        <w:tc>
          <w:tcPr>
            <w:tcW w:w="180" w:type="dxa"/>
            <w:vAlign w:val="bottom"/>
          </w:tcPr>
          <w:p>
            <w:pPr>
              <w:spacing w:after="0"/>
              <w:rPr>
                <w:sz w:val="12"/>
                <w:szCs w:val="12"/>
                <w:color w:val="auto"/>
              </w:rPr>
            </w:pPr>
          </w:p>
        </w:tc>
        <w:tc>
          <w:tcPr>
            <w:tcW w:w="980" w:type="dxa"/>
            <w:vAlign w:val="bottom"/>
            <w:tcBorders>
              <w:bottom w:val="single" w:sz="8" w:color="0000EE"/>
            </w:tcBorders>
          </w:tcPr>
          <w:p>
            <w:pPr>
              <w:spacing w:after="0" w:line="142" w:lineRule="exact"/>
              <w:rPr>
                <w:sz w:val="20"/>
                <w:szCs w:val="20"/>
                <w:color w:val="auto"/>
              </w:rPr>
            </w:pPr>
            <w:r>
              <w:rPr>
                <w:rFonts w:ascii="Arial" w:cs="Arial" w:eastAsia="Arial" w:hAnsi="Arial"/>
                <w:sz w:val="14"/>
                <w:szCs w:val="14"/>
                <w:color w:val="auto"/>
              </w:rPr>
              <w:t>CEO Pay Ratio</w:t>
            </w:r>
          </w:p>
        </w:tc>
        <w:tc>
          <w:tcPr>
            <w:tcW w:w="3440" w:type="dxa"/>
            <w:vAlign w:val="bottom"/>
            <w:gridSpan w:val="15"/>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1840" w:type="dxa"/>
            <w:vAlign w:val="bottom"/>
            <w:gridSpan w:val="8"/>
          </w:tcPr>
          <w:p>
            <w:pPr>
              <w:spacing w:after="0" w:line="142" w:lineRule="exact"/>
              <w:rPr>
                <w:sz w:val="20"/>
                <w:szCs w:val="20"/>
                <w:color w:val="auto"/>
              </w:rPr>
            </w:pPr>
            <w:r>
              <w:rPr>
                <w:rFonts w:ascii="Arial" w:cs="Arial" w:eastAsia="Arial" w:hAnsi="Arial"/>
                <w:sz w:val="14"/>
                <w:szCs w:val="14"/>
                <w:color w:val="auto"/>
              </w:rPr>
              <w:t>Other Compensation Matters</w:t>
            </w:r>
          </w:p>
        </w:tc>
        <w:tc>
          <w:tcPr>
            <w:tcW w:w="660" w:type="dxa"/>
            <w:vAlign w:val="bottom"/>
            <w:gridSpan w:val="8"/>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1500" w:type="dxa"/>
            <w:vAlign w:val="bottom"/>
            <w:gridSpan w:val="4"/>
          </w:tcPr>
          <w:p>
            <w:pPr>
              <w:spacing w:after="0"/>
              <w:rPr>
                <w:sz w:val="12"/>
                <w:szCs w:val="12"/>
                <w:color w:val="auto"/>
              </w:rPr>
            </w:pPr>
          </w:p>
        </w:tc>
        <w:tc>
          <w:tcPr>
            <w:tcW w:w="1420" w:type="dxa"/>
            <w:vAlign w:val="bottom"/>
          </w:tcPr>
          <w:p>
            <w:pPr>
              <w:jc w:val="right"/>
              <w:ind w:right="168"/>
              <w:spacing w:after="0" w:line="142" w:lineRule="exact"/>
              <w:rPr>
                <w:sz w:val="20"/>
                <w:szCs w:val="20"/>
                <w:color w:val="auto"/>
              </w:rPr>
            </w:pPr>
            <w:r>
              <w:rPr>
                <w:rFonts w:ascii="Arial" w:cs="Arial" w:eastAsia="Arial" w:hAnsi="Arial"/>
                <w:sz w:val="14"/>
                <w:szCs w:val="14"/>
                <w:color w:val="auto"/>
              </w:rPr>
              <w:t>41</w:t>
            </w:r>
          </w:p>
        </w:tc>
        <w:tc>
          <w:tcPr>
            <w:tcW w:w="180" w:type="dxa"/>
            <w:vAlign w:val="bottom"/>
          </w:tcPr>
          <w:p>
            <w:pPr>
              <w:spacing w:after="0"/>
              <w:rPr>
                <w:sz w:val="12"/>
                <w:szCs w:val="12"/>
                <w:color w:val="auto"/>
              </w:rPr>
            </w:pPr>
          </w:p>
        </w:tc>
        <w:tc>
          <w:tcPr>
            <w:tcW w:w="980" w:type="dxa"/>
            <w:vAlign w:val="bottom"/>
          </w:tcPr>
          <w:p>
            <w:pPr>
              <w:spacing w:after="0" w:line="142" w:lineRule="exact"/>
              <w:rPr>
                <w:sz w:val="20"/>
                <w:szCs w:val="20"/>
                <w:color w:val="auto"/>
              </w:rPr>
            </w:pPr>
            <w:r>
              <w:rPr>
                <w:rFonts w:ascii="Arial" w:cs="Arial" w:eastAsia="Arial" w:hAnsi="Arial"/>
                <w:sz w:val="14"/>
                <w:szCs w:val="14"/>
                <w:color w:val="auto"/>
              </w:rPr>
              <w:t>Pay Versus</w:t>
            </w:r>
          </w:p>
        </w:tc>
        <w:tc>
          <w:tcPr>
            <w:tcW w:w="3440" w:type="dxa"/>
            <w:vAlign w:val="bottom"/>
            <w:gridSpan w:val="15"/>
          </w:tcPr>
          <w:p>
            <w:pPr>
              <w:jc w:val="center"/>
              <w:ind w:right="2040"/>
              <w:spacing w:after="0" w:line="142" w:lineRule="exact"/>
              <w:rPr>
                <w:sz w:val="20"/>
                <w:szCs w:val="20"/>
                <w:color w:val="auto"/>
              </w:rPr>
            </w:pPr>
            <w:r>
              <w:rPr>
                <w:rFonts w:ascii="Arial" w:cs="Arial" w:eastAsia="Arial" w:hAnsi="Arial"/>
                <w:sz w:val="14"/>
                <w:szCs w:val="14"/>
                <w:color w:val="auto"/>
                <w:w w:val="89"/>
              </w:rPr>
              <w:t>Performance Disclosures</w:t>
            </w: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20" w:type="dxa"/>
            <w:vAlign w:val="bottom"/>
            <w:gridSpan w:val="5"/>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1500" w:type="dxa"/>
            <w:vAlign w:val="bottom"/>
            <w:gridSpan w:val="4"/>
            <w:vMerge w:val="restart"/>
          </w:tcPr>
          <w:p>
            <w:pPr>
              <w:spacing w:after="0" w:line="20" w:lineRule="exact"/>
              <w:rPr>
                <w:sz w:val="1"/>
                <w:szCs w:val="1"/>
                <w:color w:val="auto"/>
              </w:rPr>
            </w:pPr>
          </w:p>
        </w:tc>
        <w:tc>
          <w:tcPr>
            <w:tcW w:w="1420" w:type="dxa"/>
            <w:vAlign w:val="bottom"/>
            <w:vMerge w:val="restart"/>
          </w:tcPr>
          <w:p>
            <w:pPr>
              <w:jc w:val="right"/>
              <w:ind w:right="168"/>
              <w:spacing w:after="0"/>
              <w:rPr>
                <w:sz w:val="20"/>
                <w:szCs w:val="20"/>
                <w:color w:val="auto"/>
              </w:rPr>
            </w:pPr>
            <w:r>
              <w:rPr>
                <w:rFonts w:ascii="Arial" w:cs="Arial" w:eastAsia="Arial" w:hAnsi="Arial"/>
                <w:sz w:val="14"/>
                <w:szCs w:val="14"/>
                <w:color w:val="auto"/>
              </w:rPr>
              <w:t>41</w:t>
            </w: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Borders>
              <w:bottom w:val="single" w:sz="8" w:color="0000EE"/>
            </w:tcBorders>
            <w:gridSpan w:val="6"/>
          </w:tcPr>
          <w:p>
            <w:pPr>
              <w:spacing w:after="0" w:line="142" w:lineRule="exact"/>
              <w:rPr>
                <w:sz w:val="20"/>
                <w:szCs w:val="20"/>
                <w:color w:val="auto"/>
              </w:rPr>
            </w:pPr>
            <w:r>
              <w:rPr>
                <w:rFonts w:ascii="Arial" w:cs="Arial" w:eastAsia="Arial" w:hAnsi="Arial"/>
                <w:sz w:val="14"/>
                <w:szCs w:val="14"/>
                <w:color w:val="auto"/>
                <w:w w:val="96"/>
              </w:rPr>
              <w:t>Stock Ownership Guidelines</w:t>
            </w:r>
          </w:p>
        </w:tc>
        <w:tc>
          <w:tcPr>
            <w:tcW w:w="80" w:type="dxa"/>
            <w:vAlign w:val="bottom"/>
            <w:tcBorders>
              <w:bottom w:val="single" w:sz="8" w:color="0000EE"/>
            </w:tcBorders>
            <w:gridSpan w:val="3"/>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320" w:type="dxa"/>
            <w:vAlign w:val="bottom"/>
            <w:gridSpan w:val="5"/>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660" w:type="dxa"/>
            <w:vAlign w:val="bottom"/>
            <w:gridSpan w:val="6"/>
            <w:vMerge w:val="restart"/>
          </w:tcPr>
          <w:p>
            <w:pPr>
              <w:spacing w:after="0"/>
              <w:rPr>
                <w:sz w:val="20"/>
                <w:szCs w:val="20"/>
                <w:color w:val="auto"/>
              </w:rPr>
            </w:pPr>
            <w:r>
              <w:rPr>
                <w:rFonts w:ascii="Arial" w:cs="Arial" w:eastAsia="Arial" w:hAnsi="Arial"/>
                <w:sz w:val="16"/>
                <w:szCs w:val="16"/>
                <w:color w:val="0075C9"/>
              </w:rPr>
              <w:t>Director Compensation</w:t>
            </w:r>
          </w:p>
        </w:tc>
        <w:tc>
          <w:tcPr>
            <w:tcW w:w="2940" w:type="dxa"/>
            <w:vAlign w:val="bottom"/>
            <w:gridSpan w:val="11"/>
            <w:vMerge w:val="restart"/>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0075C9"/>
              </w:rPr>
              <w:t>58</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Borders>
              <w:bottom w:val="single" w:sz="8" w:color="0000EE"/>
            </w:tcBorders>
            <w:gridSpan w:val="2"/>
          </w:tcPr>
          <w:p>
            <w:pPr>
              <w:spacing w:after="0" w:line="129" w:lineRule="exact"/>
              <w:rPr>
                <w:sz w:val="20"/>
                <w:szCs w:val="20"/>
                <w:color w:val="auto"/>
              </w:rPr>
            </w:pPr>
            <w:r>
              <w:rPr>
                <w:rFonts w:ascii="Arial" w:cs="Arial" w:eastAsia="Arial" w:hAnsi="Arial"/>
                <w:sz w:val="14"/>
                <w:szCs w:val="14"/>
                <w:color w:val="auto"/>
              </w:rPr>
              <w:t>Clawback Policies</w:t>
            </w:r>
          </w:p>
        </w:tc>
        <w:tc>
          <w:tcPr>
            <w:tcW w:w="640" w:type="dxa"/>
            <w:vAlign w:val="bottom"/>
            <w:gridSpan w:val="7"/>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gridSpan w:val="5"/>
          </w:tcPr>
          <w:p>
            <w:pPr>
              <w:spacing w:after="0"/>
              <w:rPr>
                <w:sz w:val="14"/>
                <w:szCs w:val="14"/>
                <w:color w:val="auto"/>
              </w:rPr>
            </w:pPr>
          </w:p>
        </w:tc>
        <w:tc>
          <w:tcPr>
            <w:tcW w:w="120" w:type="dxa"/>
            <w:vAlign w:val="bottom"/>
            <w:gridSpan w:val="2"/>
          </w:tcPr>
          <w:p>
            <w:pPr>
              <w:spacing w:after="0"/>
              <w:rPr>
                <w:sz w:val="14"/>
                <w:szCs w:val="14"/>
                <w:color w:val="auto"/>
              </w:rPr>
            </w:pPr>
          </w:p>
        </w:tc>
        <w:tc>
          <w:tcPr>
            <w:tcW w:w="1500" w:type="dxa"/>
            <w:vAlign w:val="bottom"/>
            <w:gridSpan w:val="4"/>
          </w:tcPr>
          <w:p>
            <w:pPr>
              <w:spacing w:after="0"/>
              <w:rPr>
                <w:sz w:val="14"/>
                <w:szCs w:val="14"/>
                <w:color w:val="auto"/>
              </w:rPr>
            </w:pPr>
          </w:p>
        </w:tc>
        <w:tc>
          <w:tcPr>
            <w:tcW w:w="1420" w:type="dxa"/>
            <w:vAlign w:val="bottom"/>
          </w:tcPr>
          <w:p>
            <w:pPr>
              <w:jc w:val="right"/>
              <w:ind w:right="168"/>
              <w:spacing w:after="0" w:line="122" w:lineRule="exact"/>
              <w:rPr>
                <w:sz w:val="20"/>
                <w:szCs w:val="20"/>
                <w:color w:val="auto"/>
              </w:rPr>
            </w:pPr>
            <w:r>
              <w:rPr>
                <w:rFonts w:ascii="Arial" w:cs="Arial" w:eastAsia="Arial" w:hAnsi="Arial"/>
                <w:sz w:val="14"/>
                <w:szCs w:val="14"/>
                <w:color w:val="auto"/>
              </w:rPr>
              <w:t>41</w:t>
            </w:r>
          </w:p>
        </w:tc>
        <w:tc>
          <w:tcPr>
            <w:tcW w:w="1660" w:type="dxa"/>
            <w:vAlign w:val="bottom"/>
            <w:tcBorders>
              <w:bottom w:val="single" w:sz="8" w:color="0000EE"/>
            </w:tcBorders>
            <w:gridSpan w:val="6"/>
            <w:vMerge w:val="continue"/>
          </w:tcPr>
          <w:p>
            <w:pPr>
              <w:spacing w:after="0"/>
              <w:rPr>
                <w:sz w:val="14"/>
                <w:szCs w:val="14"/>
                <w:color w:val="auto"/>
              </w:rPr>
            </w:pPr>
          </w:p>
        </w:tc>
        <w:tc>
          <w:tcPr>
            <w:tcW w:w="2940" w:type="dxa"/>
            <w:vAlign w:val="bottom"/>
            <w:gridSpan w:val="11"/>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60" w:type="dxa"/>
            <w:vAlign w:val="bottom"/>
            <w:gridSpan w:val="21"/>
          </w:tcPr>
          <w:p>
            <w:pPr>
              <w:spacing w:after="0" w:line="149" w:lineRule="exact"/>
              <w:rPr>
                <w:sz w:val="20"/>
                <w:szCs w:val="20"/>
                <w:color w:val="auto"/>
              </w:rPr>
            </w:pPr>
            <w:r>
              <w:rPr>
                <w:rFonts w:ascii="Arial" w:cs="Arial" w:eastAsia="Arial" w:hAnsi="Arial"/>
                <w:sz w:val="14"/>
                <w:szCs w:val="14"/>
                <w:color w:val="auto"/>
              </w:rPr>
              <w:t>Insider Trading Policies and Procedures</w:t>
            </w:r>
          </w:p>
        </w:tc>
        <w:tc>
          <w:tcPr>
            <w:tcW w:w="14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41</w:t>
            </w:r>
          </w:p>
        </w:tc>
        <w:tc>
          <w:tcPr>
            <w:tcW w:w="180" w:type="dxa"/>
            <w:vAlign w:val="bottom"/>
          </w:tcPr>
          <w:p>
            <w:pPr>
              <w:spacing w:after="0"/>
              <w:rPr>
                <w:sz w:val="12"/>
                <w:szCs w:val="12"/>
                <w:color w:val="auto"/>
              </w:rPr>
            </w:pPr>
          </w:p>
        </w:tc>
        <w:tc>
          <w:tcPr>
            <w:tcW w:w="4420" w:type="dxa"/>
            <w:vAlign w:val="bottom"/>
            <w:gridSpan w:val="16"/>
          </w:tcPr>
          <w:p>
            <w:pPr>
              <w:spacing w:after="0" w:line="149" w:lineRule="exact"/>
              <w:rPr>
                <w:sz w:val="20"/>
                <w:szCs w:val="20"/>
                <w:color w:val="auto"/>
              </w:rPr>
            </w:pPr>
            <w:r>
              <w:rPr>
                <w:rFonts w:ascii="Arial" w:cs="Arial" w:eastAsia="Arial" w:hAnsi="Arial"/>
                <w:sz w:val="14"/>
                <w:szCs w:val="14"/>
                <w:color w:val="auto"/>
              </w:rPr>
              <w:t>Program Objectives</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60" w:type="dxa"/>
            <w:vAlign w:val="bottom"/>
            <w:tcBorders>
              <w:top w:val="single" w:sz="8" w:color="0000EE"/>
            </w:tcBorders>
            <w:gridSpan w:val="17"/>
          </w:tcPr>
          <w:p>
            <w:pPr>
              <w:spacing w:after="0" w:line="142" w:lineRule="exact"/>
              <w:rPr>
                <w:sz w:val="20"/>
                <w:szCs w:val="20"/>
                <w:color w:val="auto"/>
              </w:rPr>
            </w:pPr>
            <w:r>
              <w:rPr>
                <w:rFonts w:ascii="Arial" w:cs="Arial" w:eastAsia="Arial" w:hAnsi="Arial"/>
                <w:sz w:val="14"/>
                <w:szCs w:val="14"/>
                <w:color w:val="auto"/>
              </w:rPr>
              <w:t>Anti-Hedging and Anti-Pledging Policy</w:t>
            </w:r>
          </w:p>
        </w:tc>
        <w:tc>
          <w:tcPr>
            <w:tcW w:w="1500" w:type="dxa"/>
            <w:vAlign w:val="bottom"/>
            <w:gridSpan w:val="4"/>
          </w:tcPr>
          <w:p>
            <w:pPr>
              <w:spacing w:after="0"/>
              <w:rPr>
                <w:sz w:val="12"/>
                <w:szCs w:val="12"/>
                <w:color w:val="auto"/>
              </w:rPr>
            </w:pPr>
          </w:p>
        </w:tc>
        <w:tc>
          <w:tcPr>
            <w:tcW w:w="1420" w:type="dxa"/>
            <w:vAlign w:val="bottom"/>
          </w:tcPr>
          <w:p>
            <w:pPr>
              <w:jc w:val="right"/>
              <w:ind w:right="168"/>
              <w:spacing w:after="0" w:line="142" w:lineRule="exact"/>
              <w:rPr>
                <w:sz w:val="20"/>
                <w:szCs w:val="20"/>
                <w:color w:val="auto"/>
              </w:rPr>
            </w:pPr>
            <w:r>
              <w:rPr>
                <w:rFonts w:ascii="Arial" w:cs="Arial" w:eastAsia="Arial" w:hAnsi="Arial"/>
                <w:sz w:val="14"/>
                <w:szCs w:val="14"/>
                <w:color w:val="auto"/>
              </w:rPr>
              <w:t>41</w:t>
            </w:r>
          </w:p>
        </w:tc>
        <w:tc>
          <w:tcPr>
            <w:tcW w:w="180" w:type="dxa"/>
            <w:vAlign w:val="bottom"/>
          </w:tcPr>
          <w:p>
            <w:pPr>
              <w:spacing w:after="0"/>
              <w:rPr>
                <w:sz w:val="12"/>
                <w:szCs w:val="12"/>
                <w:color w:val="auto"/>
              </w:rPr>
            </w:pPr>
          </w:p>
        </w:tc>
        <w:tc>
          <w:tcPr>
            <w:tcW w:w="1260" w:type="dxa"/>
            <w:vAlign w:val="bottom"/>
            <w:tcBorders>
              <w:top w:val="single" w:sz="8" w:color="0000EE"/>
            </w:tcBorders>
            <w:gridSpan w:val="3"/>
          </w:tcPr>
          <w:p>
            <w:pPr>
              <w:spacing w:after="0" w:line="142" w:lineRule="exact"/>
              <w:rPr>
                <w:sz w:val="20"/>
                <w:szCs w:val="20"/>
                <w:color w:val="auto"/>
              </w:rPr>
            </w:pPr>
            <w:r>
              <w:rPr>
                <w:rFonts w:ascii="Arial" w:cs="Arial" w:eastAsia="Arial" w:hAnsi="Arial"/>
                <w:sz w:val="14"/>
                <w:szCs w:val="14"/>
                <w:color w:val="auto"/>
              </w:rPr>
              <w:t>Program Elements</w:t>
            </w:r>
          </w:p>
        </w:tc>
        <w:tc>
          <w:tcPr>
            <w:tcW w:w="800" w:type="dxa"/>
            <w:vAlign w:val="bottom"/>
            <w:gridSpan w:val="6"/>
          </w:tcPr>
          <w:p>
            <w:pPr>
              <w:spacing w:after="0"/>
              <w:rPr>
                <w:sz w:val="12"/>
                <w:szCs w:val="12"/>
                <w:color w:val="auto"/>
              </w:rPr>
            </w:pPr>
          </w:p>
        </w:tc>
        <w:tc>
          <w:tcPr>
            <w:tcW w:w="2360" w:type="dxa"/>
            <w:vAlign w:val="bottom"/>
            <w:gridSpan w:val="7"/>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tcBorders>
              <w:top w:val="single" w:sz="8" w:color="0000EE"/>
            </w:tcBorders>
            <w:gridSpan w:val="15"/>
          </w:tcPr>
          <w:p>
            <w:pPr>
              <w:spacing w:after="0" w:line="142" w:lineRule="exact"/>
              <w:rPr>
                <w:sz w:val="20"/>
                <w:szCs w:val="20"/>
                <w:color w:val="auto"/>
              </w:rPr>
            </w:pPr>
            <w:r>
              <w:rPr>
                <w:rFonts w:ascii="Arial" w:cs="Arial" w:eastAsia="Arial" w:hAnsi="Arial"/>
                <w:sz w:val="14"/>
                <w:szCs w:val="14"/>
                <w:color w:val="auto"/>
              </w:rPr>
              <w:t>Compensation Risk Management</w:t>
            </w:r>
          </w:p>
        </w:tc>
        <w:tc>
          <w:tcPr>
            <w:tcW w:w="1620" w:type="dxa"/>
            <w:vAlign w:val="bottom"/>
            <w:gridSpan w:val="6"/>
          </w:tcPr>
          <w:p>
            <w:pPr>
              <w:spacing w:after="0"/>
              <w:rPr>
                <w:sz w:val="12"/>
                <w:szCs w:val="12"/>
                <w:color w:val="auto"/>
              </w:rPr>
            </w:pPr>
          </w:p>
        </w:tc>
        <w:tc>
          <w:tcPr>
            <w:tcW w:w="1420" w:type="dxa"/>
            <w:vAlign w:val="bottom"/>
          </w:tcPr>
          <w:p>
            <w:pPr>
              <w:jc w:val="right"/>
              <w:ind w:right="168"/>
              <w:spacing w:after="0" w:line="142" w:lineRule="exact"/>
              <w:rPr>
                <w:sz w:val="20"/>
                <w:szCs w:val="20"/>
                <w:color w:val="auto"/>
              </w:rPr>
            </w:pPr>
            <w:r>
              <w:rPr>
                <w:rFonts w:ascii="Arial" w:cs="Arial" w:eastAsia="Arial" w:hAnsi="Arial"/>
                <w:sz w:val="14"/>
                <w:szCs w:val="14"/>
                <w:color w:val="auto"/>
              </w:rPr>
              <w:t>41</w:t>
            </w:r>
          </w:p>
        </w:tc>
        <w:tc>
          <w:tcPr>
            <w:tcW w:w="180" w:type="dxa"/>
            <w:vAlign w:val="bottom"/>
          </w:tcPr>
          <w:p>
            <w:pPr>
              <w:spacing w:after="0"/>
              <w:rPr>
                <w:sz w:val="12"/>
                <w:szCs w:val="12"/>
                <w:color w:val="auto"/>
              </w:rPr>
            </w:pPr>
          </w:p>
        </w:tc>
        <w:tc>
          <w:tcPr>
            <w:tcW w:w="1200" w:type="dxa"/>
            <w:vAlign w:val="bottom"/>
            <w:tcBorders>
              <w:top w:val="single" w:sz="8" w:color="0000EE"/>
            </w:tcBorders>
            <w:gridSpan w:val="2"/>
          </w:tcPr>
          <w:p>
            <w:pPr>
              <w:spacing w:after="0" w:line="142" w:lineRule="exact"/>
              <w:rPr>
                <w:sz w:val="20"/>
                <w:szCs w:val="20"/>
                <w:color w:val="auto"/>
              </w:rPr>
            </w:pPr>
            <w:r>
              <w:rPr>
                <w:rFonts w:ascii="Arial" w:cs="Arial" w:eastAsia="Arial" w:hAnsi="Arial"/>
                <w:sz w:val="14"/>
                <w:szCs w:val="14"/>
                <w:color w:val="auto"/>
                <w:w w:val="94"/>
              </w:rPr>
              <w:t>2024 Compensation</w:t>
            </w:r>
          </w:p>
        </w:tc>
        <w:tc>
          <w:tcPr>
            <w:tcW w:w="3220" w:type="dxa"/>
            <w:vAlign w:val="bottom"/>
            <w:gridSpan w:val="14"/>
          </w:tcPr>
          <w:p>
            <w:pPr>
              <w:jc w:val="center"/>
              <w:ind w:right="2240"/>
              <w:spacing w:after="0" w:line="142" w:lineRule="exact"/>
              <w:rPr>
                <w:sz w:val="20"/>
                <w:szCs w:val="20"/>
                <w:color w:val="auto"/>
              </w:rPr>
            </w:pPr>
            <w:r>
              <w:rPr>
                <w:rFonts w:ascii="Arial" w:cs="Arial" w:eastAsia="Arial" w:hAnsi="Arial"/>
                <w:sz w:val="14"/>
                <w:szCs w:val="14"/>
                <w:color w:val="auto"/>
              </w:rPr>
              <w:t>of Directors</w:t>
            </w: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Borders>
              <w:top w:val="single" w:sz="8" w:color="0000EE"/>
              <w:bottom w:val="single" w:sz="8" w:color="0000EE"/>
            </w:tcBorders>
            <w:gridSpan w:val="3"/>
          </w:tcPr>
          <w:p>
            <w:pPr>
              <w:spacing w:after="0" w:line="142" w:lineRule="exact"/>
              <w:rPr>
                <w:sz w:val="20"/>
                <w:szCs w:val="20"/>
                <w:color w:val="auto"/>
              </w:rPr>
            </w:pPr>
            <w:r>
              <w:rPr>
                <w:rFonts w:ascii="Arial" w:cs="Arial" w:eastAsia="Arial" w:hAnsi="Arial"/>
                <w:sz w:val="14"/>
                <w:szCs w:val="14"/>
                <w:color w:val="auto"/>
              </w:rPr>
              <w:t>Tax Considerations</w:t>
            </w:r>
          </w:p>
        </w:tc>
        <w:tc>
          <w:tcPr>
            <w:tcW w:w="880" w:type="dxa"/>
            <w:vAlign w:val="bottom"/>
            <w:tcBorders>
              <w:top w:val="single" w:sz="8" w:color="0000EE"/>
            </w:tcBorders>
            <w:gridSpan w:val="7"/>
          </w:tcPr>
          <w:p>
            <w:pPr>
              <w:spacing w:after="0"/>
              <w:rPr>
                <w:sz w:val="12"/>
                <w:szCs w:val="12"/>
                <w:color w:val="auto"/>
              </w:rPr>
            </w:pPr>
          </w:p>
        </w:tc>
        <w:tc>
          <w:tcPr>
            <w:tcW w:w="1940" w:type="dxa"/>
            <w:vAlign w:val="bottom"/>
            <w:gridSpan w:val="11"/>
          </w:tcPr>
          <w:p>
            <w:pPr>
              <w:spacing w:after="0"/>
              <w:rPr>
                <w:sz w:val="12"/>
                <w:szCs w:val="12"/>
                <w:color w:val="auto"/>
              </w:rPr>
            </w:pPr>
          </w:p>
        </w:tc>
        <w:tc>
          <w:tcPr>
            <w:tcW w:w="1420" w:type="dxa"/>
            <w:vAlign w:val="bottom"/>
          </w:tcPr>
          <w:p>
            <w:pPr>
              <w:jc w:val="right"/>
              <w:ind w:right="168"/>
              <w:spacing w:after="0" w:line="142" w:lineRule="exact"/>
              <w:rPr>
                <w:sz w:val="20"/>
                <w:szCs w:val="20"/>
                <w:color w:val="auto"/>
              </w:rPr>
            </w:pPr>
            <w:r>
              <w:rPr>
                <w:rFonts w:ascii="Arial" w:cs="Arial" w:eastAsia="Arial" w:hAnsi="Arial"/>
                <w:sz w:val="14"/>
                <w:szCs w:val="14"/>
                <w:color w:val="auto"/>
              </w:rPr>
              <w:t>42</w:t>
            </w:r>
          </w:p>
        </w:tc>
        <w:tc>
          <w:tcPr>
            <w:tcW w:w="180" w:type="dxa"/>
            <w:vAlign w:val="bottom"/>
          </w:tcPr>
          <w:p>
            <w:pPr>
              <w:spacing w:after="0"/>
              <w:rPr>
                <w:sz w:val="12"/>
                <w:szCs w:val="12"/>
                <w:color w:val="auto"/>
              </w:rPr>
            </w:pPr>
          </w:p>
        </w:tc>
        <w:tc>
          <w:tcPr>
            <w:tcW w:w="980" w:type="dxa"/>
            <w:vAlign w:val="bottom"/>
            <w:tcBorders>
              <w:top w:val="single" w:sz="8" w:color="0000EE"/>
            </w:tcBorders>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2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3" w:name="page34"/>
    <w:bookmarkEnd w:id="33"/>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542925</wp:posOffset>
            </wp:positionV>
            <wp:extent cx="7132320" cy="1968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2025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color w:val="0075C9"/>
        </w:rPr>
        <w:t>Compensation Objectives and Process</w:t>
      </w:r>
    </w:p>
    <w:p>
      <w:pPr>
        <w:spacing w:after="0" w:line="106"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The purpose of our executive compensation program is to allow us to attract, retain, motivate and reward high-performing executives to maximize returns to our stockholders.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Executive Compensation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objectives are to:</w:t>
      </w:r>
    </w:p>
    <w:p>
      <w:pPr>
        <w:spacing w:after="0" w:line="104" w:lineRule="exact"/>
        <w:rPr>
          <w:sz w:val="20"/>
          <w:szCs w:val="20"/>
          <w:color w:val="auto"/>
        </w:rPr>
      </w:pPr>
    </w:p>
    <w:p>
      <w:pPr>
        <w:ind w:left="540" w:right="100" w:hanging="322"/>
        <w:spacing w:after="0" w:line="270" w:lineRule="auto"/>
        <w:tabs>
          <w:tab w:leader="none" w:pos="5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Motivate our executives to take actions that are aligned with our short- and long-term strategic objectives, appropriately balancing risk versus potential reward.</w:t>
      </w:r>
    </w:p>
    <w:p>
      <w:pPr>
        <w:spacing w:after="0" w:line="46" w:lineRule="exact"/>
        <w:rPr>
          <w:rFonts w:ascii="Times New Roman" w:cs="Times New Roman" w:eastAsia="Times New Roman" w:hAnsi="Times New Roman"/>
          <w:sz w:val="18"/>
          <w:szCs w:val="18"/>
          <w:color w:val="auto"/>
        </w:rPr>
      </w:pPr>
    </w:p>
    <w:p>
      <w:pPr>
        <w:ind w:left="540" w:right="1040" w:hanging="322"/>
        <w:spacing w:after="0" w:line="270" w:lineRule="auto"/>
        <w:tabs>
          <w:tab w:leader="none" w:pos="5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Provide a high percentage of senior executives’ pay based on performance to ensure the highest level of accountability to stockholders.</w:t>
      </w:r>
    </w:p>
    <w:p>
      <w:pPr>
        <w:spacing w:after="0" w:line="46" w:lineRule="exact"/>
        <w:rPr>
          <w:rFonts w:ascii="Times New Roman" w:cs="Times New Roman" w:eastAsia="Times New Roman" w:hAnsi="Times New Roman"/>
          <w:sz w:val="18"/>
          <w:szCs w:val="18"/>
          <w:color w:val="auto"/>
        </w:rPr>
      </w:pPr>
    </w:p>
    <w:p>
      <w:pPr>
        <w:ind w:left="540" w:right="400" w:hanging="322"/>
        <w:spacing w:after="0" w:line="270" w:lineRule="auto"/>
        <w:tabs>
          <w:tab w:leader="none" w:pos="5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Offer an opportunity for performance-based pay to provide above market compensation when our performance exceeds our goals balanced by the risk of below market compensation when it does not.</w:t>
      </w:r>
    </w:p>
    <w:p>
      <w:pPr>
        <w:spacing w:after="0" w:line="46" w:lineRule="exact"/>
        <w:rPr>
          <w:rFonts w:ascii="Times New Roman" w:cs="Times New Roman" w:eastAsia="Times New Roman" w:hAnsi="Times New Roman"/>
          <w:sz w:val="18"/>
          <w:szCs w:val="18"/>
          <w:color w:val="auto"/>
        </w:rPr>
      </w:pPr>
    </w:p>
    <w:p>
      <w:pPr>
        <w:ind w:left="540" w:right="60" w:hanging="322"/>
        <w:spacing w:after="0" w:line="270" w:lineRule="auto"/>
        <w:tabs>
          <w:tab w:leader="none" w:pos="5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Align executive and stockholder interests by having robust stock ownership guidelines, creating the most direct alignment of executive and stockholder interests.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Compensation Program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Our executive compensation program is designed to incorporate compensation and governance best practices and is overseen by our Compensation Committee. Our short-term and long-term incentive plans are primarily performance-based and are intended to align with the short- and long-term best interests of stockholders. The Compensation Committee has engaged in best practices to further align executive pay with Company performance and to ensure good governance in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250825</wp:posOffset>
            </wp:positionV>
            <wp:extent cx="5572125" cy="383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72125" cy="383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4" w:name="page35"/>
    <w:bookmarkEnd w:id="34"/>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542925</wp:posOffset>
            </wp:positionV>
            <wp:extent cx="7132320" cy="1968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2025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263525</wp:posOffset>
            </wp:positionV>
            <wp:extent cx="5520690" cy="18084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2069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Role of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Our executive compensation program is overseen by our Compensation Committee, with input from our management and outside compensation consultants. In its oversight role, the Compensation Committee is responsible for making compensation decisions involving our CEO and other executive officers and evaluating performance for compensatory purposes.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Role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Members of our executive management team, including our President and CEO and our Vice President of Compensation and Benefits, provided input to the Compensation Committee with respect to executive compensation, key job responsibilities, achievement of performance objectives and compensation program design. We believe these individuals provide helpful support to the Compensation Committee in these areas given their understanding of our business and personnel, compensation programs and competitive environment. The Compensation Committee is not obligated to accept management’s recommendations with respect to executive compensation matters and meets in executive session to discuss such matters outside of the presence of our management. During 2024, the Compensation Committee held one executive session.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Role of Independent Compensation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 Compensation Committee retained Lyons Benenson &amp; Company Inc. (“</w:t>
      </w:r>
      <w:r>
        <w:rPr>
          <w:rFonts w:ascii="Arial" w:cs="Arial" w:eastAsia="Arial" w:hAnsi="Arial"/>
          <w:sz w:val="18"/>
          <w:szCs w:val="18"/>
          <w:b w:val="1"/>
          <w:bCs w:val="1"/>
          <w:color w:val="auto"/>
        </w:rPr>
        <w:t>LB&amp;Co</w:t>
      </w:r>
      <w:r>
        <w:rPr>
          <w:rFonts w:ascii="Arial" w:cs="Arial" w:eastAsia="Arial" w:hAnsi="Arial"/>
          <w:sz w:val="18"/>
          <w:szCs w:val="18"/>
          <w:color w:val="auto"/>
        </w:rPr>
        <w:t>”), after considering all factors relevant to LB&amp;Co’s independence from our management and members of our Compensation Committee and determining that it was independent and without conflicts of interest under the Securities and Exchange Commission rules and the NYSE Listed Company Manual standards. LB&amp;Co advised the Compensation Committee beginning immediately following our emergence from bankruptcy in 2020.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Use of Compensation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4"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During 2024, our Compensation Committee analyzed the comparative total compensation of our executive officers. To facilitate this analysis, LB&amp;Co provided the Compensation Committee with comparative Peer Group compensation data that included base salaries, annual incentive opportunities, and long-term incentive opportunities. This information reflected recent publicly available information and other market data for our selected peer companies listed below, which are within the same Global Industry Classification Standard (GICS) Sub-Industry classification and are of similar size and/or have similar geographic operating locations as the Company. We believe that it provided our Compensation Committee with a sufficient basis to analyze the comparative total compensation of our executive officers.</w:t>
      </w:r>
    </w:p>
    <w:p>
      <w:pPr>
        <w:spacing w:after="0" w:line="23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5" w:name="page36"/>
    <w:bookmarkEnd w:id="35"/>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542925</wp:posOffset>
            </wp:positionV>
            <wp:extent cx="7132320" cy="1968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2025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We maintained our Compensation Peer Group at 18 companies in 2024 with the same companies as our 2023 Peer Group.</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080" w:type="dxa"/>
            <w:vAlign w:val="bottom"/>
            <w:shd w:val="clear" w:color="auto" w:fill="0070C0"/>
          </w:tcPr>
          <w:p>
            <w:pPr>
              <w:spacing w:after="0"/>
              <w:rPr>
                <w:sz w:val="17"/>
                <w:szCs w:val="17"/>
                <w:color w:val="auto"/>
              </w:rPr>
            </w:pPr>
          </w:p>
        </w:tc>
        <w:tc>
          <w:tcPr>
            <w:tcW w:w="4320" w:type="dxa"/>
            <w:vAlign w:val="bottom"/>
            <w:shd w:val="clear" w:color="auto" w:fill="0070C0"/>
          </w:tcPr>
          <w:p>
            <w:pPr>
              <w:ind w:left="560"/>
              <w:spacing w:after="0"/>
              <w:rPr>
                <w:sz w:val="20"/>
                <w:szCs w:val="20"/>
                <w:color w:val="auto"/>
              </w:rPr>
            </w:pPr>
            <w:r>
              <w:rPr>
                <w:rFonts w:ascii="Arial" w:cs="Arial" w:eastAsia="Arial" w:hAnsi="Arial"/>
                <w:sz w:val="18"/>
                <w:szCs w:val="18"/>
                <w:b w:val="1"/>
                <w:bCs w:val="1"/>
                <w:color w:val="FFFFFF"/>
                <w:w w:val="99"/>
              </w:rPr>
              <w:t>2024 Compensation Peer Group Companies</w:t>
            </w:r>
          </w:p>
        </w:tc>
        <w:tc>
          <w:tcPr>
            <w:tcW w:w="3620" w:type="dxa"/>
            <w:vAlign w:val="bottom"/>
            <w:shd w:val="clear" w:color="auto" w:fill="0070C0"/>
          </w:tcPr>
          <w:p>
            <w:pPr>
              <w:spacing w:after="0"/>
              <w:rPr>
                <w:sz w:val="17"/>
                <w:szCs w:val="17"/>
                <w:color w:val="auto"/>
              </w:rPr>
            </w:pPr>
          </w:p>
        </w:tc>
      </w:tr>
      <w:tr>
        <w:trPr>
          <w:trHeight w:val="274"/>
        </w:trPr>
        <w:tc>
          <w:tcPr>
            <w:tcW w:w="3080" w:type="dxa"/>
            <w:vAlign w:val="bottom"/>
          </w:tcPr>
          <w:p>
            <w:pPr>
              <w:ind w:left="120"/>
              <w:spacing w:after="0"/>
              <w:rPr>
                <w:sz w:val="20"/>
                <w:szCs w:val="20"/>
                <w:color w:val="auto"/>
              </w:rPr>
            </w:pPr>
            <w:r>
              <w:rPr>
                <w:rFonts w:ascii="Arial" w:cs="Arial" w:eastAsia="Arial" w:hAnsi="Arial"/>
                <w:sz w:val="18"/>
                <w:szCs w:val="18"/>
                <w:color w:val="auto"/>
              </w:rPr>
              <w:t>Antero Resources Corporation</w:t>
            </w:r>
          </w:p>
        </w:tc>
        <w:tc>
          <w:tcPr>
            <w:tcW w:w="4320" w:type="dxa"/>
            <w:vAlign w:val="bottom"/>
          </w:tcPr>
          <w:p>
            <w:pPr>
              <w:ind w:left="620"/>
              <w:spacing w:after="0"/>
              <w:rPr>
                <w:sz w:val="20"/>
                <w:szCs w:val="20"/>
                <w:color w:val="auto"/>
              </w:rPr>
            </w:pPr>
            <w:r>
              <w:rPr>
                <w:rFonts w:ascii="Arial" w:cs="Arial" w:eastAsia="Arial" w:hAnsi="Arial"/>
                <w:sz w:val="18"/>
                <w:szCs w:val="18"/>
                <w:color w:val="auto"/>
              </w:rPr>
              <w:t>Callon Petroleum Company</w:t>
            </w:r>
          </w:p>
        </w:tc>
        <w:tc>
          <w:tcPr>
            <w:tcW w:w="3620" w:type="dxa"/>
            <w:vAlign w:val="bottom"/>
          </w:tcPr>
          <w:p>
            <w:pPr>
              <w:ind w:left="20"/>
              <w:spacing w:after="0"/>
              <w:rPr>
                <w:sz w:val="20"/>
                <w:szCs w:val="20"/>
                <w:color w:val="auto"/>
              </w:rPr>
            </w:pPr>
            <w:r>
              <w:rPr>
                <w:rFonts w:ascii="Arial" w:cs="Arial" w:eastAsia="Arial" w:hAnsi="Arial"/>
                <w:sz w:val="18"/>
                <w:szCs w:val="18"/>
                <w:color w:val="auto"/>
              </w:rPr>
              <w:t>Chord Energy Corporation</w:t>
            </w:r>
          </w:p>
        </w:tc>
      </w:tr>
      <w:tr>
        <w:trPr>
          <w:trHeight w:val="257"/>
        </w:trPr>
        <w:tc>
          <w:tcPr>
            <w:tcW w:w="3080" w:type="dxa"/>
            <w:vAlign w:val="bottom"/>
          </w:tcPr>
          <w:p>
            <w:pPr>
              <w:ind w:left="120"/>
              <w:spacing w:after="0"/>
              <w:rPr>
                <w:sz w:val="20"/>
                <w:szCs w:val="20"/>
                <w:color w:val="auto"/>
              </w:rPr>
            </w:pPr>
            <w:r>
              <w:rPr>
                <w:rFonts w:ascii="Arial" w:cs="Arial" w:eastAsia="Arial" w:hAnsi="Arial"/>
                <w:sz w:val="18"/>
                <w:szCs w:val="18"/>
                <w:color w:val="auto"/>
              </w:rPr>
              <w:t>CNX Resources Corporation</w:t>
            </w:r>
          </w:p>
        </w:tc>
        <w:tc>
          <w:tcPr>
            <w:tcW w:w="4320" w:type="dxa"/>
            <w:vAlign w:val="bottom"/>
          </w:tcPr>
          <w:p>
            <w:pPr>
              <w:ind w:left="620"/>
              <w:spacing w:after="0"/>
              <w:rPr>
                <w:sz w:val="20"/>
                <w:szCs w:val="20"/>
                <w:color w:val="auto"/>
              </w:rPr>
            </w:pPr>
            <w:r>
              <w:rPr>
                <w:rFonts w:ascii="Arial" w:cs="Arial" w:eastAsia="Arial" w:hAnsi="Arial"/>
                <w:sz w:val="18"/>
                <w:szCs w:val="18"/>
                <w:color w:val="auto"/>
              </w:rPr>
              <w:t>Comstock Resources, Inc.</w:t>
            </w:r>
          </w:p>
        </w:tc>
        <w:tc>
          <w:tcPr>
            <w:tcW w:w="3620" w:type="dxa"/>
            <w:vAlign w:val="bottom"/>
          </w:tcPr>
          <w:p>
            <w:pPr>
              <w:ind w:left="20"/>
              <w:spacing w:after="0"/>
              <w:rPr>
                <w:sz w:val="20"/>
                <w:szCs w:val="20"/>
                <w:color w:val="auto"/>
              </w:rPr>
            </w:pPr>
            <w:r>
              <w:rPr>
                <w:rFonts w:ascii="Arial" w:cs="Arial" w:eastAsia="Arial" w:hAnsi="Arial"/>
                <w:sz w:val="18"/>
                <w:szCs w:val="18"/>
                <w:color w:val="auto"/>
              </w:rPr>
              <w:t>Coterra Energy Inc.</w:t>
            </w:r>
          </w:p>
        </w:tc>
      </w:tr>
      <w:tr>
        <w:trPr>
          <w:trHeight w:val="257"/>
        </w:trPr>
        <w:tc>
          <w:tcPr>
            <w:tcW w:w="3080" w:type="dxa"/>
            <w:vAlign w:val="bottom"/>
          </w:tcPr>
          <w:p>
            <w:pPr>
              <w:ind w:left="120"/>
              <w:spacing w:after="0"/>
              <w:rPr>
                <w:sz w:val="20"/>
                <w:szCs w:val="20"/>
                <w:color w:val="auto"/>
              </w:rPr>
            </w:pPr>
            <w:r>
              <w:rPr>
                <w:rFonts w:ascii="Arial" w:cs="Arial" w:eastAsia="Arial" w:hAnsi="Arial"/>
                <w:sz w:val="18"/>
                <w:szCs w:val="18"/>
                <w:color w:val="auto"/>
              </w:rPr>
              <w:t>Crescent Energy Company</w:t>
            </w:r>
          </w:p>
        </w:tc>
        <w:tc>
          <w:tcPr>
            <w:tcW w:w="4320" w:type="dxa"/>
            <w:vAlign w:val="bottom"/>
          </w:tcPr>
          <w:p>
            <w:pPr>
              <w:ind w:left="620"/>
              <w:spacing w:after="0"/>
              <w:rPr>
                <w:sz w:val="20"/>
                <w:szCs w:val="20"/>
                <w:color w:val="auto"/>
              </w:rPr>
            </w:pPr>
            <w:r>
              <w:rPr>
                <w:rFonts w:ascii="Arial" w:cs="Arial" w:eastAsia="Arial" w:hAnsi="Arial"/>
                <w:sz w:val="18"/>
                <w:szCs w:val="18"/>
                <w:color w:val="auto"/>
              </w:rPr>
              <w:t>Denbury Inc.</w:t>
            </w:r>
          </w:p>
        </w:tc>
        <w:tc>
          <w:tcPr>
            <w:tcW w:w="3620" w:type="dxa"/>
            <w:vAlign w:val="bottom"/>
          </w:tcPr>
          <w:p>
            <w:pPr>
              <w:ind w:left="20"/>
              <w:spacing w:after="0"/>
              <w:rPr>
                <w:sz w:val="20"/>
                <w:szCs w:val="20"/>
                <w:color w:val="auto"/>
              </w:rPr>
            </w:pPr>
            <w:r>
              <w:rPr>
                <w:rFonts w:ascii="Arial" w:cs="Arial" w:eastAsia="Arial" w:hAnsi="Arial"/>
                <w:sz w:val="18"/>
                <w:szCs w:val="18"/>
                <w:color w:val="auto"/>
              </w:rPr>
              <w:t>Diamondback Energy, Inc.</w:t>
            </w:r>
          </w:p>
        </w:tc>
      </w:tr>
      <w:tr>
        <w:trPr>
          <w:trHeight w:val="257"/>
        </w:trPr>
        <w:tc>
          <w:tcPr>
            <w:tcW w:w="3080" w:type="dxa"/>
            <w:vAlign w:val="bottom"/>
          </w:tcPr>
          <w:p>
            <w:pPr>
              <w:ind w:left="120"/>
              <w:spacing w:after="0"/>
              <w:rPr>
                <w:sz w:val="20"/>
                <w:szCs w:val="20"/>
                <w:color w:val="auto"/>
              </w:rPr>
            </w:pPr>
            <w:r>
              <w:rPr>
                <w:rFonts w:ascii="Arial" w:cs="Arial" w:eastAsia="Arial" w:hAnsi="Arial"/>
                <w:sz w:val="18"/>
                <w:szCs w:val="18"/>
                <w:color w:val="auto"/>
              </w:rPr>
              <w:t>Marathon Oil Corporation</w:t>
            </w:r>
          </w:p>
        </w:tc>
        <w:tc>
          <w:tcPr>
            <w:tcW w:w="4320" w:type="dxa"/>
            <w:vAlign w:val="bottom"/>
          </w:tcPr>
          <w:p>
            <w:pPr>
              <w:ind w:left="620"/>
              <w:spacing w:after="0"/>
              <w:rPr>
                <w:sz w:val="20"/>
                <w:szCs w:val="20"/>
                <w:color w:val="auto"/>
              </w:rPr>
            </w:pPr>
            <w:r>
              <w:rPr>
                <w:rFonts w:ascii="Arial" w:cs="Arial" w:eastAsia="Arial" w:hAnsi="Arial"/>
                <w:sz w:val="18"/>
                <w:szCs w:val="18"/>
                <w:color w:val="auto"/>
              </w:rPr>
              <w:t>Matador Resources Company</w:t>
            </w:r>
          </w:p>
        </w:tc>
        <w:tc>
          <w:tcPr>
            <w:tcW w:w="3620" w:type="dxa"/>
            <w:vAlign w:val="bottom"/>
          </w:tcPr>
          <w:p>
            <w:pPr>
              <w:ind w:left="20"/>
              <w:spacing w:after="0"/>
              <w:rPr>
                <w:sz w:val="20"/>
                <w:szCs w:val="20"/>
                <w:color w:val="auto"/>
              </w:rPr>
            </w:pPr>
            <w:r>
              <w:rPr>
                <w:rFonts w:ascii="Arial" w:cs="Arial" w:eastAsia="Arial" w:hAnsi="Arial"/>
                <w:sz w:val="18"/>
                <w:szCs w:val="18"/>
                <w:color w:val="auto"/>
              </w:rPr>
              <w:t>Murphy Oil Corporation</w:t>
            </w:r>
          </w:p>
        </w:tc>
      </w:tr>
      <w:tr>
        <w:trPr>
          <w:trHeight w:val="256"/>
        </w:trPr>
        <w:tc>
          <w:tcPr>
            <w:tcW w:w="3080" w:type="dxa"/>
            <w:vAlign w:val="bottom"/>
          </w:tcPr>
          <w:p>
            <w:pPr>
              <w:ind w:left="120"/>
              <w:spacing w:after="0"/>
              <w:rPr>
                <w:sz w:val="20"/>
                <w:szCs w:val="20"/>
                <w:color w:val="auto"/>
              </w:rPr>
            </w:pPr>
            <w:r>
              <w:rPr>
                <w:rFonts w:ascii="Arial" w:cs="Arial" w:eastAsia="Arial" w:hAnsi="Arial"/>
                <w:sz w:val="18"/>
                <w:szCs w:val="18"/>
                <w:color w:val="auto"/>
              </w:rPr>
              <w:t>PDC Energy, Inc.</w:t>
            </w:r>
          </w:p>
        </w:tc>
        <w:tc>
          <w:tcPr>
            <w:tcW w:w="4320" w:type="dxa"/>
            <w:vAlign w:val="bottom"/>
          </w:tcPr>
          <w:p>
            <w:pPr>
              <w:ind w:left="620"/>
              <w:spacing w:after="0"/>
              <w:rPr>
                <w:sz w:val="20"/>
                <w:szCs w:val="20"/>
                <w:color w:val="auto"/>
              </w:rPr>
            </w:pPr>
            <w:r>
              <w:rPr>
                <w:rFonts w:ascii="Arial" w:cs="Arial" w:eastAsia="Arial" w:hAnsi="Arial"/>
                <w:sz w:val="18"/>
                <w:szCs w:val="18"/>
                <w:color w:val="auto"/>
              </w:rPr>
              <w:t>Permian Resources Corporation</w:t>
            </w:r>
          </w:p>
        </w:tc>
        <w:tc>
          <w:tcPr>
            <w:tcW w:w="3620" w:type="dxa"/>
            <w:vAlign w:val="bottom"/>
          </w:tcPr>
          <w:p>
            <w:pPr>
              <w:ind w:left="20"/>
              <w:spacing w:after="0"/>
              <w:rPr>
                <w:sz w:val="20"/>
                <w:szCs w:val="20"/>
                <w:color w:val="auto"/>
              </w:rPr>
            </w:pPr>
            <w:r>
              <w:rPr>
                <w:rFonts w:ascii="Arial" w:cs="Arial" w:eastAsia="Arial" w:hAnsi="Arial"/>
                <w:sz w:val="18"/>
                <w:szCs w:val="18"/>
                <w:color w:val="auto"/>
              </w:rPr>
              <w:t>Range Resources Corporation</w:t>
            </w:r>
          </w:p>
        </w:tc>
      </w:tr>
      <w:tr>
        <w:trPr>
          <w:trHeight w:val="257"/>
        </w:trPr>
        <w:tc>
          <w:tcPr>
            <w:tcW w:w="3080" w:type="dxa"/>
            <w:vAlign w:val="bottom"/>
          </w:tcPr>
          <w:p>
            <w:pPr>
              <w:ind w:left="120"/>
              <w:spacing w:after="0"/>
              <w:rPr>
                <w:sz w:val="20"/>
                <w:szCs w:val="20"/>
                <w:color w:val="auto"/>
              </w:rPr>
            </w:pPr>
            <w:r>
              <w:rPr>
                <w:rFonts w:ascii="Arial" w:cs="Arial" w:eastAsia="Arial" w:hAnsi="Arial"/>
                <w:sz w:val="18"/>
                <w:szCs w:val="18"/>
                <w:color w:val="auto"/>
              </w:rPr>
              <w:t>SM Energy Company</w:t>
            </w:r>
          </w:p>
        </w:tc>
        <w:tc>
          <w:tcPr>
            <w:tcW w:w="4320" w:type="dxa"/>
            <w:vAlign w:val="bottom"/>
          </w:tcPr>
          <w:p>
            <w:pPr>
              <w:ind w:left="620"/>
              <w:spacing w:after="0"/>
              <w:rPr>
                <w:sz w:val="20"/>
                <w:szCs w:val="20"/>
                <w:color w:val="auto"/>
              </w:rPr>
            </w:pPr>
            <w:r>
              <w:rPr>
                <w:rFonts w:ascii="Arial" w:cs="Arial" w:eastAsia="Arial" w:hAnsi="Arial"/>
                <w:sz w:val="18"/>
                <w:szCs w:val="18"/>
                <w:color w:val="auto"/>
              </w:rPr>
              <w:t>Southwestern Energy Company</w:t>
            </w:r>
          </w:p>
        </w:tc>
        <w:tc>
          <w:tcPr>
            <w:tcW w:w="3620" w:type="dxa"/>
            <w:vAlign w:val="bottom"/>
          </w:tcPr>
          <w:p>
            <w:pPr>
              <w:ind w:left="20"/>
              <w:spacing w:after="0"/>
              <w:rPr>
                <w:sz w:val="20"/>
                <w:szCs w:val="20"/>
                <w:color w:val="auto"/>
              </w:rPr>
            </w:pPr>
            <w:r>
              <w:rPr>
                <w:rFonts w:ascii="Arial" w:cs="Arial" w:eastAsia="Arial" w:hAnsi="Arial"/>
                <w:sz w:val="18"/>
                <w:szCs w:val="18"/>
                <w:color w:val="auto"/>
              </w:rPr>
              <w:t>Whitecap Resources Inc.</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Stockholder Outreach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1"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We value feedback regarding our governance and executive compensation practices and reached out to shareholders holding a substantial majority of our shares in 2024 to solicit any feedback on our governance and compensation programs. We sought to understand, in particular, any stockholder suggestions regarding our compensation program to ensure that we share this feedback with the Compensation Committee and consider those concerns in designing our compensation programs going forward. Stockholders who participated in our engagement efforts in 2024 were invited to meet with members of our senior management and, in some cases, the Chair of our Board.</w:t>
      </w:r>
    </w:p>
    <w:p>
      <w:pPr>
        <w:spacing w:after="0" w:line="13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Feedback from stockholders who engaged was positive regarding the changes we made with our 2024 compensation program, particularly with the majority of the program comprised of performance-based incentives. Stockholders offered suggestions regarding the structure of short and long-term incentives and metrics the Company should consider, including absolute total shareholder return (“</w:t>
      </w:r>
      <w:r>
        <w:rPr>
          <w:rFonts w:ascii="Arial" w:cs="Arial" w:eastAsia="Arial" w:hAnsi="Arial"/>
          <w:sz w:val="18"/>
          <w:szCs w:val="18"/>
          <w:b w:val="1"/>
          <w:bCs w:val="1"/>
          <w:color w:val="auto"/>
        </w:rPr>
        <w:t>TSR</w:t>
      </w:r>
      <w:r>
        <w:rPr>
          <w:rFonts w:ascii="Arial" w:cs="Arial" w:eastAsia="Arial" w:hAnsi="Arial"/>
          <w:sz w:val="18"/>
          <w:szCs w:val="18"/>
          <w:color w:val="auto"/>
        </w:rPr>
        <w:t>”) modified by TSR relative to an index like the XOP index. Stockholders also expressed their preference for rigorous quantitative, rather than qualitative incentive goals. Feedback gathered at these meetings was shared with Board and specifically taken into consideration by the Compensation Committee in the formulation of the Company’s 2025 compensation program, as discussed in the 2025 Compensation Program Actions section below.</w:t>
      </w:r>
    </w:p>
    <w:p>
      <w:pPr>
        <w:spacing w:after="0" w:line="158"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We intend to continue engaging with stockholders in 2025 to solicit feedback to ensure that our governance and executive compensation practices align with stockholders’ expectations.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0075C9"/>
        </w:rPr>
        <w:t>Stockholder Approval of Executive Compensation</w:t>
      </w:r>
    </w:p>
    <w:p>
      <w:pPr>
        <w:spacing w:after="0" w:line="106"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Our stockholder advisory vote in 2024 on our 2023 executive compensation program resulted in a greater than 95% approval of such compensation by stockholders.</w:t>
      </w:r>
    </w:p>
    <w:p>
      <w:pPr>
        <w:spacing w:after="0" w:line="12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developing our executive compensation programs, the Compensation Committee considers the results of the advisory vote on executive compensation, feedback gathered from shareholder outreach meetings and many other factors, including the Compensation Committee's assessment of the interaction of our compensation programs with our corporate business objectives, evaluations of our programs by LB&amp;Co, and review of data relating to pay practices of our compensation peer group. However, no specific changes were made to our 2024 executive compensation program due to the last positive stockholder approval vote we received in 2024.</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0075C9"/>
        </w:rPr>
        <w:t>2024 Compensation Program</w:t>
      </w:r>
    </w:p>
    <w:p>
      <w:pPr>
        <w:spacing w:after="0" w:line="187" w:lineRule="exact"/>
        <w:rPr>
          <w:sz w:val="20"/>
          <w:szCs w:val="20"/>
          <w:color w:val="auto"/>
        </w:rPr>
      </w:pPr>
    </w:p>
    <w:p>
      <w:pPr>
        <w:jc w:val="both"/>
        <w:ind w:right="580"/>
        <w:spacing w:after="0" w:line="253" w:lineRule="auto"/>
        <w:rPr>
          <w:sz w:val="20"/>
          <w:szCs w:val="20"/>
          <w:color w:val="auto"/>
        </w:rPr>
      </w:pPr>
      <w:r>
        <w:rPr>
          <w:rFonts w:ascii="Arial" w:cs="Arial" w:eastAsia="Arial" w:hAnsi="Arial"/>
          <w:sz w:val="18"/>
          <w:szCs w:val="18"/>
          <w:color w:val="auto"/>
        </w:rPr>
        <w:t>The 2024 compensation program is a market competitive compensation structure the Compensation Committee designed with LB&amp;Co consisting of base salaries, annual incentives and long-term incentives to motivate and retain our executives and align our executives’ compensation with shareholder interests in a meaningful way.</w:t>
      </w:r>
    </w:p>
    <w:p>
      <w:pPr>
        <w:spacing w:after="0" w:line="23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6" w:name="page37"/>
    <w:bookmarkEnd w:id="36"/>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542925</wp:posOffset>
            </wp:positionV>
            <wp:extent cx="7132320" cy="1968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2025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Base Salaries</w:t>
      </w:r>
    </w:p>
    <w:p>
      <w:pPr>
        <w:spacing w:after="0" w:line="102"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color w:val="auto"/>
        </w:rPr>
        <w:t>The Compensation Committee made the following changes to the base salaries of the NEOs during 2024 based on the scope of job responsibilities, internal alignment and position relative to peer group compensation data.</w:t>
      </w:r>
    </w:p>
    <w:p>
      <w:pPr>
        <w:spacing w:after="0" w:line="136" w:lineRule="exact"/>
        <w:rPr>
          <w:sz w:val="20"/>
          <w:szCs w:val="20"/>
          <w:color w:val="auto"/>
        </w:rPr>
      </w:pPr>
    </w:p>
    <w:tbl>
      <w:tblPr>
        <w:tblLayout w:type="fixed"/>
        <w:tblInd w:w="250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0075C9"/>
              </w:rPr>
              <w:t>Base Salary</w:t>
            </w:r>
          </w:p>
        </w:tc>
      </w:tr>
      <w:tr>
        <w:trPr>
          <w:trHeight w:val="171"/>
        </w:trPr>
        <w:tc>
          <w:tcPr>
            <w:tcW w:w="3020" w:type="dxa"/>
            <w:vAlign w:val="bottom"/>
            <w:tcBorders>
              <w:bottom w:val="single" w:sz="8" w:color="0075C9"/>
            </w:tcBorders>
          </w:tcPr>
          <w:p>
            <w:pPr>
              <w:ind w:left="120"/>
              <w:spacing w:after="0"/>
              <w:rPr>
                <w:sz w:val="20"/>
                <w:szCs w:val="20"/>
                <w:color w:val="auto"/>
              </w:rPr>
            </w:pPr>
            <w:r>
              <w:rPr>
                <w:rFonts w:ascii="Arial" w:cs="Arial" w:eastAsia="Arial" w:hAnsi="Arial"/>
                <w:sz w:val="14"/>
                <w:szCs w:val="14"/>
                <w:b w:val="1"/>
                <w:bCs w:val="1"/>
                <w:color w:val="0075C9"/>
              </w:rPr>
              <w:t>Name</w:t>
            </w:r>
          </w:p>
        </w:tc>
        <w:tc>
          <w:tcPr>
            <w:tcW w:w="1460" w:type="dxa"/>
            <w:vAlign w:val="bottom"/>
            <w:tcBorders>
              <w:bottom w:val="single" w:sz="8" w:color="0075C9"/>
            </w:tcBorders>
          </w:tcPr>
          <w:p>
            <w:pPr>
              <w:jc w:val="center"/>
              <w:spacing w:after="0"/>
              <w:rPr>
                <w:sz w:val="20"/>
                <w:szCs w:val="20"/>
                <w:color w:val="auto"/>
              </w:rPr>
            </w:pPr>
            <w:r>
              <w:rPr>
                <w:rFonts w:ascii="Arial" w:cs="Arial" w:eastAsia="Arial" w:hAnsi="Arial"/>
                <w:sz w:val="14"/>
                <w:szCs w:val="14"/>
                <w:b w:val="1"/>
                <w:bCs w:val="1"/>
                <w:color w:val="0075C9"/>
              </w:rPr>
              <w:t>Base Salary</w:t>
            </w:r>
          </w:p>
        </w:tc>
        <w:tc>
          <w:tcPr>
            <w:tcW w:w="1780" w:type="dxa"/>
            <w:vAlign w:val="bottom"/>
            <w:tcBorders>
              <w:bottom w:val="single" w:sz="8" w:color="0075C9"/>
            </w:tcBorders>
          </w:tcPr>
          <w:p>
            <w:pPr>
              <w:jc w:val="center"/>
              <w:spacing w:after="0"/>
              <w:rPr>
                <w:sz w:val="20"/>
                <w:szCs w:val="20"/>
                <w:color w:val="auto"/>
              </w:rPr>
            </w:pPr>
            <w:r>
              <w:rPr>
                <w:rFonts w:ascii="Arial" w:cs="Arial" w:eastAsia="Arial" w:hAnsi="Arial"/>
                <w:sz w:val="14"/>
                <w:szCs w:val="14"/>
                <w:b w:val="1"/>
                <w:bCs w:val="1"/>
                <w:color w:val="0075C9"/>
              </w:rPr>
              <w:t>Effective Date</w:t>
            </w:r>
          </w:p>
        </w:tc>
      </w:tr>
      <w:tr>
        <w:trPr>
          <w:trHeight w:val="263"/>
        </w:trPr>
        <w:tc>
          <w:tcPr>
            <w:tcW w:w="30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Francisco J. Leon</w:t>
            </w:r>
          </w:p>
        </w:tc>
        <w:tc>
          <w:tcPr>
            <w:tcW w:w="14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$750,000</w:t>
            </w:r>
          </w:p>
        </w:tc>
        <w:tc>
          <w:tcPr>
            <w:tcW w:w="17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March 2023</w:t>
            </w:r>
          </w:p>
        </w:tc>
      </w:tr>
      <w:tr>
        <w:trPr>
          <w:trHeight w:val="270"/>
        </w:trPr>
        <w:tc>
          <w:tcPr>
            <w:tcW w:w="3020" w:type="dxa"/>
            <w:vAlign w:val="bottom"/>
            <w:shd w:val="clear" w:color="auto" w:fill="EBEBEC"/>
          </w:tcPr>
          <w:p>
            <w:pPr>
              <w:spacing w:after="0"/>
              <w:rPr>
                <w:sz w:val="23"/>
                <w:szCs w:val="23"/>
                <w:color w:val="auto"/>
              </w:rPr>
            </w:pPr>
          </w:p>
        </w:tc>
        <w:tc>
          <w:tcPr>
            <w:tcW w:w="14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$850,000</w:t>
            </w:r>
          </w:p>
        </w:tc>
        <w:tc>
          <w:tcPr>
            <w:tcW w:w="17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March 2024</w:t>
            </w:r>
          </w:p>
        </w:tc>
      </w:tr>
      <w:tr>
        <w:trPr>
          <w:trHeight w:val="270"/>
        </w:trPr>
        <w:tc>
          <w:tcPr>
            <w:tcW w:w="30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Manuela (“Nelly”) Molina</w:t>
            </w:r>
          </w:p>
        </w:tc>
        <w:tc>
          <w:tcPr>
            <w:tcW w:w="14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$550,000</w:t>
            </w:r>
          </w:p>
        </w:tc>
        <w:tc>
          <w:tcPr>
            <w:tcW w:w="17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May 2023</w:t>
            </w:r>
          </w:p>
        </w:tc>
      </w:tr>
      <w:tr>
        <w:trPr>
          <w:trHeight w:val="289"/>
        </w:trPr>
        <w:tc>
          <w:tcPr>
            <w:tcW w:w="3020" w:type="dxa"/>
            <w:vAlign w:val="bottom"/>
            <w:shd w:val="clear" w:color="auto" w:fill="EBEBEC"/>
          </w:tcPr>
          <w:p>
            <w:pPr>
              <w:spacing w:after="0"/>
              <w:rPr>
                <w:sz w:val="24"/>
                <w:szCs w:val="24"/>
                <w:color w:val="auto"/>
              </w:rPr>
            </w:pPr>
          </w:p>
        </w:tc>
        <w:tc>
          <w:tcPr>
            <w:tcW w:w="14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$572,000</w:t>
            </w:r>
          </w:p>
        </w:tc>
        <w:tc>
          <w:tcPr>
            <w:tcW w:w="17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March 2024</w:t>
            </w:r>
          </w:p>
        </w:tc>
      </w:tr>
      <w:tr>
        <w:trPr>
          <w:trHeight w:val="276"/>
        </w:trPr>
        <w:tc>
          <w:tcPr>
            <w:tcW w:w="30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Jay A. Bys</w:t>
            </w:r>
          </w:p>
        </w:tc>
        <w:tc>
          <w:tcPr>
            <w:tcW w:w="14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$540,000</w:t>
            </w:r>
          </w:p>
        </w:tc>
        <w:tc>
          <w:tcPr>
            <w:tcW w:w="17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March 2023</w:t>
            </w:r>
          </w:p>
        </w:tc>
      </w:tr>
      <w:tr>
        <w:trPr>
          <w:trHeight w:val="264"/>
        </w:trPr>
        <w:tc>
          <w:tcPr>
            <w:tcW w:w="3020" w:type="dxa"/>
            <w:vAlign w:val="bottom"/>
            <w:shd w:val="clear" w:color="auto" w:fill="EBEBEC"/>
          </w:tcPr>
          <w:p>
            <w:pPr>
              <w:spacing w:after="0"/>
              <w:rPr>
                <w:sz w:val="22"/>
                <w:szCs w:val="22"/>
                <w:color w:val="auto"/>
              </w:rPr>
            </w:pPr>
          </w:p>
        </w:tc>
        <w:tc>
          <w:tcPr>
            <w:tcW w:w="14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$562,000</w:t>
            </w:r>
          </w:p>
        </w:tc>
        <w:tc>
          <w:tcPr>
            <w:tcW w:w="17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March 2024</w:t>
            </w:r>
          </w:p>
        </w:tc>
      </w:tr>
      <w:tr>
        <w:trPr>
          <w:trHeight w:val="276"/>
        </w:trPr>
        <w:tc>
          <w:tcPr>
            <w:tcW w:w="30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Chris D. Gould</w:t>
            </w:r>
          </w:p>
        </w:tc>
        <w:tc>
          <w:tcPr>
            <w:tcW w:w="14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$600,000</w:t>
            </w:r>
          </w:p>
        </w:tc>
        <w:tc>
          <w:tcPr>
            <w:tcW w:w="17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July 2023</w:t>
            </w:r>
          </w:p>
        </w:tc>
      </w:tr>
      <w:tr>
        <w:trPr>
          <w:trHeight w:val="264"/>
        </w:trPr>
        <w:tc>
          <w:tcPr>
            <w:tcW w:w="3020" w:type="dxa"/>
            <w:vAlign w:val="bottom"/>
            <w:shd w:val="clear" w:color="auto" w:fill="EBEBEC"/>
          </w:tcPr>
          <w:p>
            <w:pPr>
              <w:spacing w:after="0"/>
              <w:rPr>
                <w:sz w:val="22"/>
                <w:szCs w:val="22"/>
                <w:color w:val="auto"/>
              </w:rPr>
            </w:pPr>
          </w:p>
        </w:tc>
        <w:tc>
          <w:tcPr>
            <w:tcW w:w="14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$615,000</w:t>
            </w:r>
          </w:p>
        </w:tc>
        <w:tc>
          <w:tcPr>
            <w:tcW w:w="17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March 2024</w:t>
            </w:r>
          </w:p>
        </w:tc>
      </w:tr>
      <w:tr>
        <w:trPr>
          <w:trHeight w:val="276"/>
        </w:trPr>
        <w:tc>
          <w:tcPr>
            <w:tcW w:w="30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Michael L. Preston</w:t>
            </w:r>
          </w:p>
        </w:tc>
        <w:tc>
          <w:tcPr>
            <w:tcW w:w="14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$610,000</w:t>
            </w:r>
          </w:p>
        </w:tc>
        <w:tc>
          <w:tcPr>
            <w:tcW w:w="17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July 2023</w:t>
            </w:r>
          </w:p>
        </w:tc>
      </w:tr>
      <w:tr>
        <w:trPr>
          <w:trHeight w:val="245"/>
        </w:trPr>
        <w:tc>
          <w:tcPr>
            <w:tcW w:w="3020" w:type="dxa"/>
            <w:vAlign w:val="bottom"/>
            <w:shd w:val="clear" w:color="auto" w:fill="EBEBEC"/>
          </w:tcPr>
          <w:p>
            <w:pPr>
              <w:spacing w:after="0"/>
              <w:rPr>
                <w:sz w:val="21"/>
                <w:szCs w:val="21"/>
                <w:color w:val="auto"/>
              </w:rPr>
            </w:pPr>
          </w:p>
        </w:tc>
        <w:tc>
          <w:tcPr>
            <w:tcW w:w="14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$625,000</w:t>
            </w:r>
          </w:p>
        </w:tc>
        <w:tc>
          <w:tcPr>
            <w:tcW w:w="17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March 2024</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D3"/>
        </w:rPr>
        <w:t>Annual Incentive Program (“AIP”)</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AnnuaI Incentive Targets</w:t>
      </w:r>
    </w:p>
    <w:p>
      <w:pPr>
        <w:spacing w:after="0" w:line="104"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following are the 2024 annual incentive targets approved by the Compensation Committee in February 2024 based on the scope of job responsibilities, internal alignment and peer group compensation data:</w:t>
      </w:r>
    </w:p>
    <w:p>
      <w:pPr>
        <w:spacing w:after="0" w:line="190" w:lineRule="exact"/>
        <w:rPr>
          <w:sz w:val="20"/>
          <w:szCs w:val="20"/>
          <w:color w:val="auto"/>
        </w:rPr>
      </w:pPr>
    </w:p>
    <w:tbl>
      <w:tblPr>
        <w:tblLayout w:type="fixed"/>
        <w:tblInd w:w="232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3480" w:type="dxa"/>
            <w:vAlign w:val="bottom"/>
          </w:tcPr>
          <w:p>
            <w:pPr>
              <w:jc w:val="center"/>
              <w:spacing w:after="0"/>
              <w:rPr>
                <w:sz w:val="20"/>
                <w:szCs w:val="20"/>
                <w:color w:val="auto"/>
              </w:rPr>
            </w:pPr>
            <w:r>
              <w:rPr>
                <w:rFonts w:ascii="Arial" w:cs="Arial" w:eastAsia="Arial" w:hAnsi="Arial"/>
                <w:sz w:val="14"/>
                <w:szCs w:val="14"/>
                <w:b w:val="1"/>
                <w:bCs w:val="1"/>
                <w:color w:val="0075C9"/>
              </w:rPr>
              <w:t>2024 Annual Incentive Target</w:t>
            </w:r>
          </w:p>
        </w:tc>
      </w:tr>
      <w:tr>
        <w:trPr>
          <w:trHeight w:val="171"/>
        </w:trPr>
        <w:tc>
          <w:tcPr>
            <w:tcW w:w="3140" w:type="dxa"/>
            <w:vAlign w:val="bottom"/>
            <w:tcBorders>
              <w:bottom w:val="single" w:sz="8" w:color="0070C0"/>
            </w:tcBorders>
          </w:tcPr>
          <w:p>
            <w:pPr>
              <w:ind w:left="240"/>
              <w:spacing w:after="0"/>
              <w:rPr>
                <w:sz w:val="20"/>
                <w:szCs w:val="20"/>
                <w:color w:val="auto"/>
              </w:rPr>
            </w:pPr>
            <w:r>
              <w:rPr>
                <w:rFonts w:ascii="Arial" w:cs="Arial" w:eastAsia="Arial" w:hAnsi="Arial"/>
                <w:sz w:val="14"/>
                <w:szCs w:val="14"/>
                <w:b w:val="1"/>
                <w:bCs w:val="1"/>
                <w:color w:val="0075C9"/>
              </w:rPr>
              <w:t>Name</w:t>
            </w:r>
          </w:p>
        </w:tc>
        <w:tc>
          <w:tcPr>
            <w:tcW w:w="3480" w:type="dxa"/>
            <w:vAlign w:val="bottom"/>
            <w:tcBorders>
              <w:bottom w:val="single" w:sz="8" w:color="0070C0"/>
            </w:tcBorders>
          </w:tcPr>
          <w:p>
            <w:pPr>
              <w:jc w:val="center"/>
              <w:spacing w:after="0"/>
              <w:rPr>
                <w:sz w:val="20"/>
                <w:szCs w:val="20"/>
                <w:color w:val="auto"/>
              </w:rPr>
            </w:pPr>
            <w:r>
              <w:rPr>
                <w:rFonts w:ascii="Arial" w:cs="Arial" w:eastAsia="Arial" w:hAnsi="Arial"/>
                <w:sz w:val="14"/>
                <w:szCs w:val="14"/>
                <w:b w:val="1"/>
                <w:bCs w:val="1"/>
                <w:color w:val="0075C9"/>
              </w:rPr>
              <w:t>(as a % of Bonus Eligible Salary)</w:t>
            </w:r>
          </w:p>
        </w:tc>
      </w:tr>
      <w:tr>
        <w:trPr>
          <w:trHeight w:val="264"/>
        </w:trPr>
        <w:tc>
          <w:tcPr>
            <w:tcW w:w="3140" w:type="dxa"/>
            <w:vAlign w:val="bottom"/>
            <w:shd w:val="clear" w:color="auto" w:fill="EBEBEC"/>
          </w:tcPr>
          <w:p>
            <w:pPr>
              <w:ind w:left="240"/>
              <w:spacing w:after="0"/>
              <w:rPr>
                <w:sz w:val="20"/>
                <w:szCs w:val="20"/>
                <w:color w:val="auto"/>
              </w:rPr>
            </w:pPr>
            <w:r>
              <w:rPr>
                <w:rFonts w:ascii="Arial" w:cs="Arial" w:eastAsia="Arial" w:hAnsi="Arial"/>
                <w:sz w:val="14"/>
                <w:szCs w:val="14"/>
                <w:b w:val="1"/>
                <w:bCs w:val="1"/>
                <w:color w:val="auto"/>
              </w:rPr>
              <w:t>Francisco J. Leon</w:t>
            </w:r>
          </w:p>
        </w:tc>
        <w:tc>
          <w:tcPr>
            <w:tcW w:w="34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120%</w:t>
            </w:r>
          </w:p>
        </w:tc>
      </w:tr>
      <w:tr>
        <w:trPr>
          <w:trHeight w:val="270"/>
        </w:trPr>
        <w:tc>
          <w:tcPr>
            <w:tcW w:w="3140" w:type="dxa"/>
            <w:vAlign w:val="bottom"/>
            <w:shd w:val="clear" w:color="auto" w:fill="EBEBEC"/>
          </w:tcPr>
          <w:p>
            <w:pPr>
              <w:ind w:left="240"/>
              <w:spacing w:after="0"/>
              <w:rPr>
                <w:sz w:val="20"/>
                <w:szCs w:val="20"/>
                <w:color w:val="auto"/>
              </w:rPr>
            </w:pPr>
            <w:r>
              <w:rPr>
                <w:rFonts w:ascii="Arial" w:cs="Arial" w:eastAsia="Arial" w:hAnsi="Arial"/>
                <w:sz w:val="14"/>
                <w:szCs w:val="14"/>
                <w:b w:val="1"/>
                <w:bCs w:val="1"/>
                <w:color w:val="auto"/>
              </w:rPr>
              <w:t>Manuela (“Nelly”) Molina</w:t>
            </w:r>
          </w:p>
        </w:tc>
        <w:tc>
          <w:tcPr>
            <w:tcW w:w="34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100%</w:t>
            </w:r>
          </w:p>
        </w:tc>
      </w:tr>
      <w:tr>
        <w:trPr>
          <w:trHeight w:val="295"/>
        </w:trPr>
        <w:tc>
          <w:tcPr>
            <w:tcW w:w="3140" w:type="dxa"/>
            <w:vAlign w:val="bottom"/>
            <w:shd w:val="clear" w:color="auto" w:fill="EBEBEC"/>
          </w:tcPr>
          <w:p>
            <w:pPr>
              <w:ind w:left="240"/>
              <w:spacing w:after="0"/>
              <w:rPr>
                <w:sz w:val="20"/>
                <w:szCs w:val="20"/>
                <w:color w:val="auto"/>
              </w:rPr>
            </w:pPr>
            <w:r>
              <w:rPr>
                <w:rFonts w:ascii="Arial" w:cs="Arial" w:eastAsia="Arial" w:hAnsi="Arial"/>
                <w:sz w:val="14"/>
                <w:szCs w:val="14"/>
                <w:b w:val="1"/>
                <w:bCs w:val="1"/>
                <w:color w:val="auto"/>
              </w:rPr>
              <w:t>Jay A. Bys</w:t>
            </w:r>
          </w:p>
        </w:tc>
        <w:tc>
          <w:tcPr>
            <w:tcW w:w="34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100%</w:t>
            </w:r>
          </w:p>
        </w:tc>
      </w:tr>
      <w:tr>
        <w:trPr>
          <w:trHeight w:val="270"/>
        </w:trPr>
        <w:tc>
          <w:tcPr>
            <w:tcW w:w="3140" w:type="dxa"/>
            <w:vAlign w:val="bottom"/>
            <w:shd w:val="clear" w:color="auto" w:fill="EBEBEC"/>
          </w:tcPr>
          <w:p>
            <w:pPr>
              <w:ind w:left="240"/>
              <w:spacing w:after="0"/>
              <w:rPr>
                <w:sz w:val="20"/>
                <w:szCs w:val="20"/>
                <w:color w:val="auto"/>
              </w:rPr>
            </w:pPr>
            <w:r>
              <w:rPr>
                <w:rFonts w:ascii="Arial" w:cs="Arial" w:eastAsia="Arial" w:hAnsi="Arial"/>
                <w:sz w:val="14"/>
                <w:szCs w:val="14"/>
                <w:b w:val="1"/>
                <w:bCs w:val="1"/>
                <w:color w:val="auto"/>
              </w:rPr>
              <w:t>Chris D. Gould</w:t>
            </w:r>
          </w:p>
        </w:tc>
        <w:tc>
          <w:tcPr>
            <w:tcW w:w="34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100%</w:t>
            </w:r>
          </w:p>
        </w:tc>
      </w:tr>
      <w:tr>
        <w:trPr>
          <w:trHeight w:val="245"/>
        </w:trPr>
        <w:tc>
          <w:tcPr>
            <w:tcW w:w="3140" w:type="dxa"/>
            <w:vAlign w:val="bottom"/>
            <w:shd w:val="clear" w:color="auto" w:fill="EBEBEC"/>
          </w:tcPr>
          <w:p>
            <w:pPr>
              <w:ind w:left="240"/>
              <w:spacing w:after="0"/>
              <w:rPr>
                <w:sz w:val="20"/>
                <w:szCs w:val="20"/>
                <w:color w:val="auto"/>
              </w:rPr>
            </w:pPr>
            <w:r>
              <w:rPr>
                <w:rFonts w:ascii="Arial" w:cs="Arial" w:eastAsia="Arial" w:hAnsi="Arial"/>
                <w:sz w:val="14"/>
                <w:szCs w:val="14"/>
                <w:b w:val="1"/>
                <w:bCs w:val="1"/>
                <w:color w:val="auto"/>
              </w:rPr>
              <w:t>Michael L. Preston</w:t>
            </w:r>
          </w:p>
        </w:tc>
        <w:tc>
          <w:tcPr>
            <w:tcW w:w="34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100%</w:t>
            </w:r>
          </w:p>
        </w:tc>
      </w:tr>
    </w:tbl>
    <w:p>
      <w:pPr>
        <w:spacing w:after="0" w:line="400"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Payouts under the AIP can range from 0% to 200% of the annual incentive target for an individual. Payout of 80% of the annual incentive target amount is based on the AIP Scorecard metrics and 20% is based on the Committee’s assessment of an NEO’s individual performance.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AIP Scorecard Metrics</w:t>
      </w:r>
    </w:p>
    <w:p>
      <w:pPr>
        <w:spacing w:after="0" w:line="185"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In February 2024, the Compensation Committee established the scorecard for the 2024 AIP to incentivize the AIP participants to undertake actions and invest capital to achieve sustainable long-term value for CRC. The construct of the AIP recognized the material impact that fluctuations in commodity prices have on CRC’s financial measures including adjusted EBITDAX and free cash flow. As such, while any AIP program cannot eliminate the impact of such fluctuations, the AIP scorecard includes metrics related to capital efficiency and controllable costs which are not impacted by commodity prices. Further, the importance of Sustainability-related metrics was highlighted by weighting that portion of the AIP scorecard opportunity at 30%.</w:t>
      </w:r>
    </w:p>
    <w:p>
      <w:pPr>
        <w:spacing w:after="0" w:line="13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Following the Aera Merger on July 1, 2024, the Compensation Committee determined that the scorecard established in February 2024 would apply to the period before the merger and a new scorecard would be established for the combined company for the period following the merger. The new scorecard utilized the</w:t>
      </w:r>
    </w:p>
    <w:p>
      <w:pPr>
        <w:spacing w:after="0" w:line="22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7" w:name="page38"/>
    <w:bookmarkEnd w:id="37"/>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542925</wp:posOffset>
            </wp:positionV>
            <wp:extent cx="7132320" cy="1968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2025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same metrics with the addition of a synergies metric to incentivize the targeted cost reductions announced following the Aera merger.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Final results for the year were to be based on the average of the overall scorecard performance result for each of the two scorecards.</w:t>
      </w:r>
    </w:p>
    <w:p>
      <w:pPr>
        <w:spacing w:after="0" w:line="185"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Based on the two AIP scorecard results below, the overall AIP scorecard results for 2024 was approved by the Compensation Committee at 131.52% (calculated as the average of 139.33% and 123.71%).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Scorecard for January 1, 2024 through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257810</wp:posOffset>
            </wp:positionV>
            <wp:extent cx="5572125" cy="41402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72125" cy="4140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8" w:name="page39"/>
    <w:bookmarkEnd w:id="38"/>
    <w:p>
      <w:pPr>
        <w:ind w:left="782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68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2025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180"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Scorecard for July 1, 2024 through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137795</wp:posOffset>
            </wp:positionV>
            <wp:extent cx="5572125" cy="44488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572125" cy="4448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476250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890" w:right="339" w:bottom="1440" w:gutter="0" w:footer="0" w:header="0"/>
        </w:sectPr>
      </w:pPr>
    </w:p>
    <w:bookmarkStart w:id="39" w:name="page40"/>
    <w:bookmarkEnd w:id="39"/>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68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2025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190"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Descriptions of the performance measures are as follows, with all non-GAAP measures further described in Annex A, Reconciliation of Non-GAAP Measures:</w:t>
      </w:r>
    </w:p>
    <w:p>
      <w:pPr>
        <w:spacing w:after="0" w:line="81" w:lineRule="exact"/>
        <w:rPr>
          <w:sz w:val="20"/>
          <w:szCs w:val="20"/>
          <w:color w:val="auto"/>
        </w:rPr>
      </w:pPr>
    </w:p>
    <w:tbl>
      <w:tblPr>
        <w:tblLayout w:type="fixed"/>
        <w:tblInd w:w="870" w:type="dxa"/>
        <w:tblCellMar>
          <w:top w:w="0" w:type="dxa"/>
          <w:left w:w="0" w:type="dxa"/>
          <w:bottom w:w="0" w:type="dxa"/>
          <w:right w:w="0" w:type="dxa"/>
        </w:tblCellMar>
      </w:tblPr>
      <w:tr>
        <w:trPr>
          <w:trHeight w:val="257"/>
        </w:trPr>
        <w:tc>
          <w:tcPr>
            <w:tcW w:w="2160" w:type="dxa"/>
            <w:vAlign w:val="bottom"/>
            <w:tcBorders>
              <w:top w:val="single" w:sz="8" w:color="auto"/>
              <w:left w:val="single" w:sz="8" w:color="auto"/>
              <w:bottom w:val="single" w:sz="8" w:color="auto"/>
              <w:right w:val="single" w:sz="8" w:color="auto"/>
            </w:tcBorders>
            <w:shd w:val="clear" w:color="auto" w:fill="EBEBEC"/>
          </w:tcPr>
          <w:p>
            <w:pPr>
              <w:ind w:left="120"/>
              <w:spacing w:after="0"/>
              <w:rPr>
                <w:sz w:val="20"/>
                <w:szCs w:val="20"/>
                <w:color w:val="auto"/>
              </w:rPr>
            </w:pPr>
            <w:r>
              <w:rPr>
                <w:rFonts w:ascii="Arial" w:cs="Arial" w:eastAsia="Arial" w:hAnsi="Arial"/>
                <w:sz w:val="13"/>
                <w:szCs w:val="13"/>
                <w:b w:val="1"/>
                <w:bCs w:val="1"/>
                <w:color w:val="auto"/>
              </w:rPr>
              <w:t>Performance Measure</w:t>
            </w:r>
          </w:p>
        </w:tc>
        <w:tc>
          <w:tcPr>
            <w:tcW w:w="7060" w:type="dxa"/>
            <w:vAlign w:val="bottom"/>
            <w:tcBorders>
              <w:top w:val="single" w:sz="8" w:color="auto"/>
              <w:bottom w:val="single" w:sz="8" w:color="auto"/>
              <w:right w:val="single" w:sz="8" w:color="auto"/>
            </w:tcBorders>
            <w:shd w:val="clear" w:color="auto" w:fill="EBEBEC"/>
          </w:tcPr>
          <w:p>
            <w:pPr>
              <w:ind w:left="8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81"/>
        </w:trPr>
        <w:tc>
          <w:tcPr>
            <w:tcW w:w="2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Adjusted EBITDAX</w:t>
            </w: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9"/>
              </w:rPr>
              <w:t>Adjusted EBITDAX is earnings before interest expense; income taxes; depreciation, depletion and amortization; exploration</w:t>
            </w:r>
          </w:p>
        </w:tc>
        <w:tc>
          <w:tcPr>
            <w:tcW w:w="0" w:type="dxa"/>
            <w:vAlign w:val="bottom"/>
          </w:tcPr>
          <w:p>
            <w:pPr>
              <w:spacing w:after="0"/>
              <w:rPr>
                <w:sz w:val="1"/>
                <w:szCs w:val="1"/>
                <w:color w:val="auto"/>
              </w:rPr>
            </w:pPr>
          </w:p>
        </w:tc>
      </w:tr>
      <w:tr>
        <w:trPr>
          <w:trHeight w:val="135"/>
        </w:trPr>
        <w:tc>
          <w:tcPr>
            <w:tcW w:w="2160" w:type="dxa"/>
            <w:vAlign w:val="bottom"/>
            <w:tcBorders>
              <w:left w:val="single" w:sz="8" w:color="auto"/>
              <w:right w:val="single" w:sz="8" w:color="auto"/>
            </w:tcBorders>
          </w:tcPr>
          <w:p>
            <w:pPr>
              <w:spacing w:after="0"/>
              <w:rPr>
                <w:sz w:val="11"/>
                <w:szCs w:val="11"/>
                <w:color w:val="auto"/>
              </w:rPr>
            </w:pPr>
          </w:p>
        </w:tc>
        <w:tc>
          <w:tcPr>
            <w:tcW w:w="70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w w:val="99"/>
              </w:rPr>
              <w:t>expense. Also excludes other unusual, infrequent and out-of-period items; and other non-cash items. Other non-cash items</w:t>
            </w:r>
          </w:p>
        </w:tc>
        <w:tc>
          <w:tcPr>
            <w:tcW w:w="0" w:type="dxa"/>
            <w:vAlign w:val="bottom"/>
          </w:tcPr>
          <w:p>
            <w:pPr>
              <w:spacing w:after="0"/>
              <w:rPr>
                <w:sz w:val="1"/>
                <w:szCs w:val="1"/>
                <w:color w:val="auto"/>
              </w:rPr>
            </w:pPr>
          </w:p>
        </w:tc>
      </w:tr>
      <w:tr>
        <w:trPr>
          <w:trHeight w:val="135"/>
        </w:trPr>
        <w:tc>
          <w:tcPr>
            <w:tcW w:w="2160" w:type="dxa"/>
            <w:vAlign w:val="bottom"/>
            <w:tcBorders>
              <w:left w:val="single" w:sz="8" w:color="auto"/>
              <w:right w:val="single" w:sz="8" w:color="auto"/>
            </w:tcBorders>
          </w:tcPr>
          <w:p>
            <w:pPr>
              <w:spacing w:after="0"/>
              <w:rPr>
                <w:sz w:val="11"/>
                <w:szCs w:val="11"/>
                <w:color w:val="auto"/>
              </w:rPr>
            </w:pPr>
          </w:p>
        </w:tc>
        <w:tc>
          <w:tcPr>
            <w:tcW w:w="70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w w:val="97"/>
              </w:rPr>
              <w:t>are, for example, unrealized gains/losses on our commodity derivative contracts, and accretion expense. Differences between</w:t>
            </w:r>
          </w:p>
        </w:tc>
        <w:tc>
          <w:tcPr>
            <w:tcW w:w="0" w:type="dxa"/>
            <w:vAlign w:val="bottom"/>
          </w:tcPr>
          <w:p>
            <w:pPr>
              <w:spacing w:after="0"/>
              <w:rPr>
                <w:sz w:val="1"/>
                <w:szCs w:val="1"/>
                <w:color w:val="auto"/>
              </w:rPr>
            </w:pPr>
          </w:p>
        </w:tc>
      </w:tr>
      <w:tr>
        <w:trPr>
          <w:trHeight w:val="135"/>
        </w:trPr>
        <w:tc>
          <w:tcPr>
            <w:tcW w:w="2160" w:type="dxa"/>
            <w:vAlign w:val="bottom"/>
            <w:tcBorders>
              <w:left w:val="single" w:sz="8" w:color="auto"/>
              <w:right w:val="single" w:sz="8" w:color="auto"/>
            </w:tcBorders>
          </w:tcPr>
          <w:p>
            <w:pPr>
              <w:spacing w:after="0"/>
              <w:rPr>
                <w:sz w:val="11"/>
                <w:szCs w:val="11"/>
                <w:color w:val="auto"/>
              </w:rPr>
            </w:pPr>
          </w:p>
        </w:tc>
        <w:tc>
          <w:tcPr>
            <w:tcW w:w="70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the payout on cash incentive awards (LTIP and AIP) as compared to the amount included in the 2024 budget are also</w:t>
            </w:r>
          </w:p>
        </w:tc>
        <w:tc>
          <w:tcPr>
            <w:tcW w:w="0" w:type="dxa"/>
            <w:vAlign w:val="bottom"/>
          </w:tcPr>
          <w:p>
            <w:pPr>
              <w:spacing w:after="0"/>
              <w:rPr>
                <w:sz w:val="1"/>
                <w:szCs w:val="1"/>
                <w:color w:val="auto"/>
              </w:rPr>
            </w:pPr>
          </w:p>
        </w:tc>
      </w:tr>
      <w:tr>
        <w:trPr>
          <w:trHeight w:val="166"/>
        </w:trPr>
        <w:tc>
          <w:tcPr>
            <w:tcW w:w="2160" w:type="dxa"/>
            <w:vAlign w:val="bottom"/>
            <w:tcBorders>
              <w:left w:val="single" w:sz="8" w:color="auto"/>
              <w:right w:val="single" w:sz="8" w:color="auto"/>
            </w:tcBorders>
          </w:tcPr>
          <w:p>
            <w:pPr>
              <w:spacing w:after="0"/>
              <w:rPr>
                <w:sz w:val="14"/>
                <w:szCs w:val="14"/>
                <w:color w:val="auto"/>
              </w:rPr>
            </w:pP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excluded.</w:t>
            </w:r>
          </w:p>
        </w:tc>
        <w:tc>
          <w:tcPr>
            <w:tcW w:w="0" w:type="dxa"/>
            <w:vAlign w:val="bottom"/>
          </w:tcPr>
          <w:p>
            <w:pPr>
              <w:spacing w:after="0"/>
              <w:rPr>
                <w:sz w:val="1"/>
                <w:szCs w:val="1"/>
                <w:color w:val="auto"/>
              </w:rPr>
            </w:pPr>
          </w:p>
        </w:tc>
      </w:tr>
      <w:tr>
        <w:trPr>
          <w:trHeight w:val="203"/>
        </w:trPr>
        <w:tc>
          <w:tcPr>
            <w:tcW w:w="2160" w:type="dxa"/>
            <w:vAlign w:val="bottom"/>
            <w:tcBorders>
              <w:left w:val="single" w:sz="8" w:color="auto"/>
              <w:right w:val="single" w:sz="8" w:color="auto"/>
            </w:tcBorders>
          </w:tcPr>
          <w:p>
            <w:pPr>
              <w:spacing w:after="0"/>
              <w:rPr>
                <w:sz w:val="17"/>
                <w:szCs w:val="17"/>
                <w:color w:val="auto"/>
              </w:rPr>
            </w:pP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Target level was set based on the approved 2024 management plan.</w:t>
            </w:r>
          </w:p>
        </w:tc>
        <w:tc>
          <w:tcPr>
            <w:tcW w:w="0" w:type="dxa"/>
            <w:vAlign w:val="bottom"/>
          </w:tcPr>
          <w:p>
            <w:pPr>
              <w:spacing w:after="0"/>
              <w:rPr>
                <w:sz w:val="1"/>
                <w:szCs w:val="1"/>
                <w:color w:val="auto"/>
              </w:rPr>
            </w:pPr>
          </w:p>
        </w:tc>
      </w:tr>
      <w:tr>
        <w:trPr>
          <w:trHeight w:val="68"/>
        </w:trPr>
        <w:tc>
          <w:tcPr>
            <w:tcW w:w="2160" w:type="dxa"/>
            <w:vAlign w:val="bottom"/>
            <w:tcBorders>
              <w:left w:val="single" w:sz="8" w:color="auto"/>
              <w:bottom w:val="single" w:sz="8" w:color="auto"/>
              <w:right w:val="single" w:sz="8" w:color="auto"/>
            </w:tcBorders>
          </w:tcPr>
          <w:p>
            <w:pPr>
              <w:spacing w:after="0"/>
              <w:rPr>
                <w:sz w:val="5"/>
                <w:szCs w:val="5"/>
                <w:color w:val="auto"/>
              </w:rPr>
            </w:pPr>
          </w:p>
        </w:tc>
        <w:tc>
          <w:tcPr>
            <w:tcW w:w="7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Free Cash Flow</w:t>
            </w: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Free Cash Flow is calculated as Adjusted EBITDAX +/-working capital changes for the period and minus cash paid for</w:t>
            </w:r>
          </w:p>
        </w:tc>
        <w:tc>
          <w:tcPr>
            <w:tcW w:w="0" w:type="dxa"/>
            <w:vAlign w:val="bottom"/>
          </w:tcPr>
          <w:p>
            <w:pPr>
              <w:spacing w:after="0"/>
              <w:rPr>
                <w:sz w:val="1"/>
                <w:szCs w:val="1"/>
                <w:color w:val="auto"/>
              </w:rPr>
            </w:pPr>
          </w:p>
        </w:tc>
      </w:tr>
      <w:tr>
        <w:trPr>
          <w:trHeight w:val="166"/>
        </w:trPr>
        <w:tc>
          <w:tcPr>
            <w:tcW w:w="2160" w:type="dxa"/>
            <w:vAlign w:val="bottom"/>
            <w:tcBorders>
              <w:left w:val="single" w:sz="8" w:color="auto"/>
              <w:right w:val="single" w:sz="8" w:color="auto"/>
            </w:tcBorders>
          </w:tcPr>
          <w:p>
            <w:pPr>
              <w:spacing w:after="0"/>
              <w:rPr>
                <w:sz w:val="14"/>
                <w:szCs w:val="14"/>
                <w:color w:val="auto"/>
              </w:rPr>
            </w:pP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interest, asset retirement obligations and capital investments. AIP adjusted FCF is not reduced by income tax payments.</w:t>
            </w:r>
          </w:p>
        </w:tc>
        <w:tc>
          <w:tcPr>
            <w:tcW w:w="0" w:type="dxa"/>
            <w:vAlign w:val="bottom"/>
          </w:tcPr>
          <w:p>
            <w:pPr>
              <w:spacing w:after="0"/>
              <w:rPr>
                <w:sz w:val="1"/>
                <w:szCs w:val="1"/>
                <w:color w:val="auto"/>
              </w:rPr>
            </w:pPr>
          </w:p>
        </w:tc>
      </w:tr>
      <w:tr>
        <w:trPr>
          <w:trHeight w:val="203"/>
        </w:trPr>
        <w:tc>
          <w:tcPr>
            <w:tcW w:w="2160" w:type="dxa"/>
            <w:vAlign w:val="bottom"/>
            <w:tcBorders>
              <w:left w:val="single" w:sz="8" w:color="auto"/>
              <w:right w:val="single" w:sz="8" w:color="auto"/>
            </w:tcBorders>
          </w:tcPr>
          <w:p>
            <w:pPr>
              <w:spacing w:after="0"/>
              <w:rPr>
                <w:sz w:val="17"/>
                <w:szCs w:val="17"/>
                <w:color w:val="auto"/>
              </w:rPr>
            </w:pP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Target level was set based on the approved 2024 management plan.</w:t>
            </w:r>
          </w:p>
        </w:tc>
        <w:tc>
          <w:tcPr>
            <w:tcW w:w="0" w:type="dxa"/>
            <w:vAlign w:val="bottom"/>
          </w:tcPr>
          <w:p>
            <w:pPr>
              <w:spacing w:after="0"/>
              <w:rPr>
                <w:sz w:val="1"/>
                <w:szCs w:val="1"/>
                <w:color w:val="auto"/>
              </w:rPr>
            </w:pPr>
          </w:p>
        </w:tc>
      </w:tr>
      <w:tr>
        <w:trPr>
          <w:trHeight w:val="68"/>
        </w:trPr>
        <w:tc>
          <w:tcPr>
            <w:tcW w:w="2160" w:type="dxa"/>
            <w:vAlign w:val="bottom"/>
            <w:tcBorders>
              <w:left w:val="single" w:sz="8" w:color="auto"/>
              <w:bottom w:val="single" w:sz="8" w:color="auto"/>
              <w:right w:val="single" w:sz="8" w:color="auto"/>
            </w:tcBorders>
          </w:tcPr>
          <w:p>
            <w:pPr>
              <w:spacing w:after="0"/>
              <w:rPr>
                <w:sz w:val="5"/>
                <w:szCs w:val="5"/>
                <w:color w:val="auto"/>
              </w:rPr>
            </w:pPr>
          </w:p>
        </w:tc>
        <w:tc>
          <w:tcPr>
            <w:tcW w:w="7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E&amp;P―Capital Efficiency</w:t>
            </w: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6"/>
              </w:rPr>
              <w:t>E&amp;P Capital Efficiency is the ratio of total 2024 E&amp;P capital expenditures divided by 30-day peak initial production (“IP”) over a</w:t>
            </w:r>
          </w:p>
        </w:tc>
        <w:tc>
          <w:tcPr>
            <w:tcW w:w="0" w:type="dxa"/>
            <w:vAlign w:val="bottom"/>
          </w:tcPr>
          <w:p>
            <w:pPr>
              <w:spacing w:after="0"/>
              <w:rPr>
                <w:sz w:val="1"/>
                <w:szCs w:val="1"/>
                <w:color w:val="auto"/>
              </w:rPr>
            </w:pPr>
          </w:p>
        </w:tc>
      </w:tr>
      <w:tr>
        <w:trPr>
          <w:trHeight w:val="135"/>
        </w:trPr>
        <w:tc>
          <w:tcPr>
            <w:tcW w:w="2160" w:type="dxa"/>
            <w:vAlign w:val="bottom"/>
            <w:tcBorders>
              <w:left w:val="single" w:sz="8" w:color="auto"/>
              <w:right w:val="single" w:sz="8" w:color="auto"/>
            </w:tcBorders>
          </w:tcPr>
          <w:p>
            <w:pPr>
              <w:spacing w:after="0"/>
              <w:rPr>
                <w:sz w:val="11"/>
                <w:szCs w:val="11"/>
                <w:color w:val="auto"/>
              </w:rPr>
            </w:pPr>
          </w:p>
        </w:tc>
        <w:tc>
          <w:tcPr>
            <w:tcW w:w="70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6 month period of new wells added during the year from drilling, workover, and exploration capital. Includes facility and</w:t>
            </w:r>
          </w:p>
        </w:tc>
        <w:tc>
          <w:tcPr>
            <w:tcW w:w="0" w:type="dxa"/>
            <w:vAlign w:val="bottom"/>
          </w:tcPr>
          <w:p>
            <w:pPr>
              <w:spacing w:after="0"/>
              <w:rPr>
                <w:sz w:val="1"/>
                <w:szCs w:val="1"/>
                <w:color w:val="auto"/>
              </w:rPr>
            </w:pPr>
          </w:p>
        </w:tc>
      </w:tr>
      <w:tr>
        <w:trPr>
          <w:trHeight w:val="166"/>
        </w:trPr>
        <w:tc>
          <w:tcPr>
            <w:tcW w:w="2160" w:type="dxa"/>
            <w:vAlign w:val="bottom"/>
            <w:tcBorders>
              <w:left w:val="single" w:sz="8" w:color="auto"/>
              <w:right w:val="single" w:sz="8" w:color="auto"/>
            </w:tcBorders>
          </w:tcPr>
          <w:p>
            <w:pPr>
              <w:spacing w:after="0"/>
              <w:rPr>
                <w:sz w:val="14"/>
                <w:szCs w:val="14"/>
                <w:color w:val="auto"/>
              </w:rPr>
            </w:pP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corporate capital. Excludes capital for carbon management business, LBU Prep &amp; Abandon &amp; Carry Out wells.</w:t>
            </w:r>
          </w:p>
        </w:tc>
        <w:tc>
          <w:tcPr>
            <w:tcW w:w="0" w:type="dxa"/>
            <w:vAlign w:val="bottom"/>
          </w:tcPr>
          <w:p>
            <w:pPr>
              <w:spacing w:after="0"/>
              <w:rPr>
                <w:sz w:val="1"/>
                <w:szCs w:val="1"/>
                <w:color w:val="auto"/>
              </w:rPr>
            </w:pPr>
          </w:p>
        </w:tc>
      </w:tr>
      <w:tr>
        <w:trPr>
          <w:trHeight w:val="203"/>
        </w:trPr>
        <w:tc>
          <w:tcPr>
            <w:tcW w:w="2160" w:type="dxa"/>
            <w:vAlign w:val="bottom"/>
            <w:tcBorders>
              <w:left w:val="single" w:sz="8" w:color="auto"/>
              <w:right w:val="single" w:sz="8" w:color="auto"/>
            </w:tcBorders>
          </w:tcPr>
          <w:p>
            <w:pPr>
              <w:spacing w:after="0"/>
              <w:rPr>
                <w:sz w:val="17"/>
                <w:szCs w:val="17"/>
                <w:color w:val="auto"/>
              </w:rPr>
            </w:pP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Target level was based on approved 2024 management plan budgeted capital.</w:t>
            </w:r>
          </w:p>
        </w:tc>
        <w:tc>
          <w:tcPr>
            <w:tcW w:w="0" w:type="dxa"/>
            <w:vAlign w:val="bottom"/>
          </w:tcPr>
          <w:p>
            <w:pPr>
              <w:spacing w:after="0"/>
              <w:rPr>
                <w:sz w:val="1"/>
                <w:szCs w:val="1"/>
                <w:color w:val="auto"/>
              </w:rPr>
            </w:pPr>
          </w:p>
        </w:tc>
      </w:tr>
      <w:tr>
        <w:trPr>
          <w:trHeight w:val="68"/>
        </w:trPr>
        <w:tc>
          <w:tcPr>
            <w:tcW w:w="2160" w:type="dxa"/>
            <w:vAlign w:val="bottom"/>
            <w:tcBorders>
              <w:left w:val="single" w:sz="8" w:color="auto"/>
              <w:bottom w:val="single" w:sz="8" w:color="auto"/>
              <w:right w:val="single" w:sz="8" w:color="auto"/>
            </w:tcBorders>
          </w:tcPr>
          <w:p>
            <w:pPr>
              <w:spacing w:after="0"/>
              <w:rPr>
                <w:sz w:val="5"/>
                <w:szCs w:val="5"/>
                <w:color w:val="auto"/>
              </w:rPr>
            </w:pPr>
          </w:p>
        </w:tc>
        <w:tc>
          <w:tcPr>
            <w:tcW w:w="7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E&amp;P―Controllable Costs,</w:t>
            </w: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7"/>
              </w:rPr>
              <w:t>E&amp;P Controllable Costs, Non-Energy Cost Savings includes operating costs, general and administrative expenses (G&amp;A) and</w:t>
            </w:r>
          </w:p>
        </w:tc>
        <w:tc>
          <w:tcPr>
            <w:tcW w:w="0" w:type="dxa"/>
            <w:vAlign w:val="bottom"/>
          </w:tcPr>
          <w:p>
            <w:pPr>
              <w:spacing w:after="0"/>
              <w:rPr>
                <w:sz w:val="1"/>
                <w:szCs w:val="1"/>
                <w:color w:val="auto"/>
              </w:rPr>
            </w:pPr>
          </w:p>
        </w:tc>
      </w:tr>
      <w:tr>
        <w:trPr>
          <w:trHeight w:val="135"/>
        </w:trPr>
        <w:tc>
          <w:tcPr>
            <w:tcW w:w="2160" w:type="dxa"/>
            <w:vAlign w:val="bottom"/>
            <w:tcBorders>
              <w:left w:val="single" w:sz="8" w:color="auto"/>
              <w:right w:val="single" w:sz="8" w:color="auto"/>
            </w:tcBorders>
            <w:vMerge w:val="restart"/>
          </w:tcPr>
          <w:p>
            <w:pPr>
              <w:ind w:left="180"/>
              <w:spacing w:after="0"/>
              <w:rPr>
                <w:sz w:val="20"/>
                <w:szCs w:val="20"/>
                <w:color w:val="auto"/>
              </w:rPr>
            </w:pPr>
            <w:r>
              <w:rPr>
                <w:rFonts w:ascii="Arial" w:cs="Arial" w:eastAsia="Arial" w:hAnsi="Arial"/>
                <w:sz w:val="13"/>
                <w:szCs w:val="13"/>
                <w:color w:val="auto"/>
              </w:rPr>
              <w:t>Non-Energy Cost Savings</w:t>
            </w:r>
          </w:p>
        </w:tc>
        <w:tc>
          <w:tcPr>
            <w:tcW w:w="70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capital excluding certain non-controllable costs including purchased natural gas and electricity, noncash stock-based</w:t>
            </w:r>
          </w:p>
        </w:tc>
        <w:tc>
          <w:tcPr>
            <w:tcW w:w="0" w:type="dxa"/>
            <w:vAlign w:val="bottom"/>
          </w:tcPr>
          <w:p>
            <w:pPr>
              <w:spacing w:after="0"/>
              <w:rPr>
                <w:sz w:val="1"/>
                <w:szCs w:val="1"/>
                <w:color w:val="auto"/>
              </w:rPr>
            </w:pPr>
          </w:p>
        </w:tc>
      </w:tr>
      <w:tr>
        <w:trPr>
          <w:trHeight w:val="98"/>
        </w:trPr>
        <w:tc>
          <w:tcPr>
            <w:tcW w:w="2160" w:type="dxa"/>
            <w:vAlign w:val="bottom"/>
            <w:tcBorders>
              <w:left w:val="single" w:sz="8" w:color="auto"/>
              <w:right w:val="single" w:sz="8" w:color="auto"/>
            </w:tcBorders>
            <w:vMerge w:val="continue"/>
          </w:tcPr>
          <w:p>
            <w:pPr>
              <w:spacing w:after="0"/>
              <w:rPr>
                <w:sz w:val="8"/>
                <w:szCs w:val="8"/>
                <w:color w:val="auto"/>
              </w:rPr>
            </w:pPr>
          </w:p>
        </w:tc>
        <w:tc>
          <w:tcPr>
            <w:tcW w:w="70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compensation expense. Excludes carbon management activities.</w:t>
            </w:r>
          </w:p>
        </w:tc>
        <w:tc>
          <w:tcPr>
            <w:tcW w:w="0" w:type="dxa"/>
            <w:vAlign w:val="bottom"/>
          </w:tcPr>
          <w:p>
            <w:pPr>
              <w:spacing w:after="0"/>
              <w:rPr>
                <w:sz w:val="1"/>
                <w:szCs w:val="1"/>
                <w:color w:val="auto"/>
              </w:rPr>
            </w:pPr>
          </w:p>
        </w:tc>
      </w:tr>
      <w:tr>
        <w:trPr>
          <w:trHeight w:val="68"/>
        </w:trPr>
        <w:tc>
          <w:tcPr>
            <w:tcW w:w="2160" w:type="dxa"/>
            <w:vAlign w:val="bottom"/>
            <w:tcBorders>
              <w:left w:val="single" w:sz="8" w:color="auto"/>
              <w:right w:val="single" w:sz="8" w:color="auto"/>
            </w:tcBorders>
          </w:tcPr>
          <w:p>
            <w:pPr>
              <w:spacing w:after="0"/>
              <w:rPr>
                <w:sz w:val="5"/>
                <w:szCs w:val="5"/>
                <w:color w:val="auto"/>
              </w:rPr>
            </w:pPr>
          </w:p>
        </w:tc>
        <w:tc>
          <w:tcPr>
            <w:tcW w:w="70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160" w:type="dxa"/>
            <w:vAlign w:val="bottom"/>
            <w:tcBorders>
              <w:left w:val="single" w:sz="8" w:color="auto"/>
              <w:right w:val="single" w:sz="8" w:color="auto"/>
            </w:tcBorders>
          </w:tcPr>
          <w:p>
            <w:pPr>
              <w:spacing w:after="0"/>
              <w:rPr>
                <w:sz w:val="17"/>
                <w:szCs w:val="17"/>
                <w:color w:val="auto"/>
              </w:rPr>
            </w:pP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Target level was based approved 2024 management plan.</w:t>
            </w:r>
          </w:p>
        </w:tc>
        <w:tc>
          <w:tcPr>
            <w:tcW w:w="0" w:type="dxa"/>
            <w:vAlign w:val="bottom"/>
          </w:tcPr>
          <w:p>
            <w:pPr>
              <w:spacing w:after="0"/>
              <w:rPr>
                <w:sz w:val="1"/>
                <w:szCs w:val="1"/>
                <w:color w:val="auto"/>
              </w:rPr>
            </w:pPr>
          </w:p>
        </w:tc>
      </w:tr>
      <w:tr>
        <w:trPr>
          <w:trHeight w:val="68"/>
        </w:trPr>
        <w:tc>
          <w:tcPr>
            <w:tcW w:w="2160" w:type="dxa"/>
            <w:vAlign w:val="bottom"/>
            <w:tcBorders>
              <w:left w:val="single" w:sz="8" w:color="auto"/>
              <w:bottom w:val="single" w:sz="8" w:color="auto"/>
              <w:right w:val="single" w:sz="8" w:color="auto"/>
            </w:tcBorders>
          </w:tcPr>
          <w:p>
            <w:pPr>
              <w:spacing w:after="0"/>
              <w:rPr>
                <w:sz w:val="5"/>
                <w:szCs w:val="5"/>
                <w:color w:val="auto"/>
              </w:rPr>
            </w:pPr>
          </w:p>
        </w:tc>
        <w:tc>
          <w:tcPr>
            <w:tcW w:w="7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Carbon Management―</w:t>
            </w: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9"/>
              </w:rPr>
              <w:t>Final Investment Decision (FID) 26R reservoir that includes; EPA Class VI permit to construct, IR acceptance, 1.0 MMTPA</w:t>
            </w:r>
          </w:p>
        </w:tc>
        <w:tc>
          <w:tcPr>
            <w:tcW w:w="0" w:type="dxa"/>
            <w:vAlign w:val="bottom"/>
          </w:tcPr>
          <w:p>
            <w:pPr>
              <w:spacing w:after="0"/>
              <w:rPr>
                <w:sz w:val="1"/>
                <w:szCs w:val="1"/>
                <w:color w:val="auto"/>
              </w:rPr>
            </w:pPr>
          </w:p>
        </w:tc>
      </w:tr>
      <w:tr>
        <w:trPr>
          <w:trHeight w:val="166"/>
        </w:trPr>
        <w:tc>
          <w:tcPr>
            <w:tcW w:w="2160" w:type="dxa"/>
            <w:vAlign w:val="bottom"/>
            <w:tcBorders>
              <w:left w:val="single" w:sz="8" w:color="auto"/>
              <w:right w:val="single" w:sz="8" w:color="auto"/>
            </w:tcBorders>
            <w:vMerge w:val="restart"/>
          </w:tcPr>
          <w:p>
            <w:pPr>
              <w:ind w:left="180"/>
              <w:spacing w:after="0"/>
              <w:rPr>
                <w:sz w:val="20"/>
                <w:szCs w:val="20"/>
                <w:color w:val="auto"/>
              </w:rPr>
            </w:pPr>
            <w:r>
              <w:rPr>
                <w:rFonts w:ascii="Arial" w:cs="Arial" w:eastAsia="Arial" w:hAnsi="Arial"/>
                <w:sz w:val="13"/>
                <w:szCs w:val="13"/>
                <w:color w:val="auto"/>
              </w:rPr>
              <w:t>CTV I Project Execution</w:t>
            </w: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under contract.</w:t>
            </w:r>
          </w:p>
        </w:tc>
        <w:tc>
          <w:tcPr>
            <w:tcW w:w="0" w:type="dxa"/>
            <w:vAlign w:val="bottom"/>
          </w:tcPr>
          <w:p>
            <w:pPr>
              <w:spacing w:after="0"/>
              <w:rPr>
                <w:sz w:val="1"/>
                <w:szCs w:val="1"/>
                <w:color w:val="auto"/>
              </w:rPr>
            </w:pPr>
          </w:p>
        </w:tc>
      </w:tr>
      <w:tr>
        <w:trPr>
          <w:trHeight w:val="68"/>
        </w:trPr>
        <w:tc>
          <w:tcPr>
            <w:tcW w:w="2160" w:type="dxa"/>
            <w:vAlign w:val="bottom"/>
            <w:tcBorders>
              <w:left w:val="single" w:sz="8" w:color="auto"/>
              <w:right w:val="single" w:sz="8" w:color="auto"/>
            </w:tcBorders>
            <w:vMerge w:val="continue"/>
          </w:tcPr>
          <w:p>
            <w:pPr>
              <w:spacing w:after="0"/>
              <w:rPr>
                <w:sz w:val="5"/>
                <w:szCs w:val="5"/>
                <w:color w:val="auto"/>
              </w:rPr>
            </w:pPr>
          </w:p>
        </w:tc>
        <w:tc>
          <w:tcPr>
            <w:tcW w:w="70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FID emission sources that includes: EIR acceptance, offtake if necessary.</w:t>
            </w:r>
          </w:p>
        </w:tc>
        <w:tc>
          <w:tcPr>
            <w:tcW w:w="0" w:type="dxa"/>
            <w:vAlign w:val="bottom"/>
          </w:tcPr>
          <w:p>
            <w:pPr>
              <w:spacing w:after="0"/>
              <w:rPr>
                <w:sz w:val="1"/>
                <w:szCs w:val="1"/>
                <w:color w:val="auto"/>
              </w:rPr>
            </w:pPr>
          </w:p>
        </w:tc>
      </w:tr>
      <w:tr>
        <w:trPr>
          <w:trHeight w:val="135"/>
        </w:trPr>
        <w:tc>
          <w:tcPr>
            <w:tcW w:w="2160" w:type="dxa"/>
            <w:vAlign w:val="bottom"/>
            <w:tcBorders>
              <w:left w:val="single" w:sz="8" w:color="auto"/>
              <w:right w:val="single" w:sz="8" w:color="auto"/>
            </w:tcBorders>
          </w:tcPr>
          <w:p>
            <w:pPr>
              <w:spacing w:after="0"/>
              <w:rPr>
                <w:sz w:val="11"/>
                <w:szCs w:val="11"/>
                <w:color w:val="auto"/>
              </w:rPr>
            </w:pPr>
          </w:p>
        </w:tc>
        <w:tc>
          <w:tcPr>
            <w:tcW w:w="70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Begin continuous construction of anchor emission source.</w:t>
            </w:r>
          </w:p>
        </w:tc>
        <w:tc>
          <w:tcPr>
            <w:tcW w:w="0" w:type="dxa"/>
            <w:vAlign w:val="bottom"/>
          </w:tcPr>
          <w:p>
            <w:pPr>
              <w:spacing w:after="0"/>
              <w:rPr>
                <w:sz w:val="1"/>
                <w:szCs w:val="1"/>
                <w:color w:val="auto"/>
              </w:rPr>
            </w:pPr>
          </w:p>
        </w:tc>
      </w:tr>
      <w:tr>
        <w:trPr>
          <w:trHeight w:val="203"/>
        </w:trPr>
        <w:tc>
          <w:tcPr>
            <w:tcW w:w="2160" w:type="dxa"/>
            <w:vAlign w:val="bottom"/>
            <w:tcBorders>
              <w:left w:val="single" w:sz="8" w:color="auto"/>
              <w:right w:val="single" w:sz="8" w:color="auto"/>
            </w:tcBorders>
          </w:tcPr>
          <w:p>
            <w:pPr>
              <w:spacing w:after="0"/>
              <w:rPr>
                <w:sz w:val="17"/>
                <w:szCs w:val="17"/>
                <w:color w:val="auto"/>
              </w:rPr>
            </w:pP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Receive CARN LCFS site approval.</w:t>
            </w:r>
          </w:p>
        </w:tc>
        <w:tc>
          <w:tcPr>
            <w:tcW w:w="0" w:type="dxa"/>
            <w:vAlign w:val="bottom"/>
          </w:tcPr>
          <w:p>
            <w:pPr>
              <w:spacing w:after="0"/>
              <w:rPr>
                <w:sz w:val="1"/>
                <w:szCs w:val="1"/>
                <w:color w:val="auto"/>
              </w:rPr>
            </w:pPr>
          </w:p>
        </w:tc>
      </w:tr>
      <w:tr>
        <w:trPr>
          <w:trHeight w:val="68"/>
        </w:trPr>
        <w:tc>
          <w:tcPr>
            <w:tcW w:w="2160" w:type="dxa"/>
            <w:vAlign w:val="bottom"/>
            <w:tcBorders>
              <w:left w:val="single" w:sz="8" w:color="auto"/>
              <w:bottom w:val="single" w:sz="8" w:color="auto"/>
              <w:right w:val="single" w:sz="8" w:color="auto"/>
            </w:tcBorders>
          </w:tcPr>
          <w:p>
            <w:pPr>
              <w:spacing w:after="0"/>
              <w:rPr>
                <w:sz w:val="5"/>
                <w:szCs w:val="5"/>
                <w:color w:val="auto"/>
              </w:rPr>
            </w:pPr>
          </w:p>
        </w:tc>
        <w:tc>
          <w:tcPr>
            <w:tcW w:w="7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Carbon Management―</w:t>
            </w: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Submit Conditional Use Permit applications for CTV II and CTV III Storage Complex and associated infrastructure. Begin</w:t>
            </w:r>
          </w:p>
        </w:tc>
        <w:tc>
          <w:tcPr>
            <w:tcW w:w="0" w:type="dxa"/>
            <w:vAlign w:val="bottom"/>
          </w:tcPr>
          <w:p>
            <w:pPr>
              <w:spacing w:after="0"/>
              <w:rPr>
                <w:sz w:val="1"/>
                <w:szCs w:val="1"/>
                <w:color w:val="auto"/>
              </w:rPr>
            </w:pPr>
          </w:p>
        </w:tc>
      </w:tr>
      <w:tr>
        <w:trPr>
          <w:trHeight w:val="166"/>
        </w:trPr>
        <w:tc>
          <w:tcPr>
            <w:tcW w:w="2160" w:type="dxa"/>
            <w:vAlign w:val="bottom"/>
            <w:tcBorders>
              <w:left w:val="single" w:sz="8" w:color="auto"/>
              <w:right w:val="single" w:sz="8" w:color="auto"/>
            </w:tcBorders>
            <w:vMerge w:val="restart"/>
          </w:tcPr>
          <w:p>
            <w:pPr>
              <w:ind w:left="180"/>
              <w:spacing w:after="0"/>
              <w:rPr>
                <w:sz w:val="20"/>
                <w:szCs w:val="20"/>
                <w:color w:val="auto"/>
              </w:rPr>
            </w:pPr>
            <w:r>
              <w:rPr>
                <w:rFonts w:ascii="Arial" w:cs="Arial" w:eastAsia="Arial" w:hAnsi="Arial"/>
                <w:sz w:val="13"/>
                <w:szCs w:val="13"/>
                <w:color w:val="auto"/>
              </w:rPr>
              <w:t>Progress CTV II and/or</w:t>
            </w: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FEED study on CTV II and CTV III project scope.</w:t>
            </w:r>
          </w:p>
        </w:tc>
        <w:tc>
          <w:tcPr>
            <w:tcW w:w="0" w:type="dxa"/>
            <w:vAlign w:val="bottom"/>
          </w:tcPr>
          <w:p>
            <w:pPr>
              <w:spacing w:after="0"/>
              <w:rPr>
                <w:sz w:val="1"/>
                <w:szCs w:val="1"/>
                <w:color w:val="auto"/>
              </w:rPr>
            </w:pPr>
          </w:p>
        </w:tc>
      </w:tr>
      <w:tr>
        <w:trPr>
          <w:trHeight w:val="37"/>
        </w:trPr>
        <w:tc>
          <w:tcPr>
            <w:tcW w:w="2160" w:type="dxa"/>
            <w:vAlign w:val="bottom"/>
            <w:tcBorders>
              <w:left w:val="single" w:sz="8" w:color="auto"/>
              <w:right w:val="single" w:sz="8" w:color="auto"/>
            </w:tcBorders>
            <w:vMerge w:val="continue"/>
          </w:tcPr>
          <w:p>
            <w:pPr>
              <w:spacing w:after="0"/>
              <w:rPr>
                <w:sz w:val="3"/>
                <w:szCs w:val="3"/>
                <w:color w:val="auto"/>
              </w:rPr>
            </w:pPr>
          </w:p>
        </w:tc>
        <w:tc>
          <w:tcPr>
            <w:tcW w:w="70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1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CTV III storage reservoirs</w:t>
            </w:r>
          </w:p>
        </w:tc>
        <w:tc>
          <w:tcPr>
            <w:tcW w:w="7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160" w:type="dxa"/>
            <w:vAlign w:val="bottom"/>
            <w:tcBorders>
              <w:left w:val="single" w:sz="8" w:color="auto"/>
              <w:bottom w:val="single" w:sz="8" w:color="auto"/>
              <w:right w:val="single" w:sz="8" w:color="auto"/>
            </w:tcBorders>
          </w:tcPr>
          <w:p>
            <w:pPr>
              <w:spacing w:after="0"/>
              <w:rPr>
                <w:sz w:val="5"/>
                <w:szCs w:val="5"/>
                <w:color w:val="auto"/>
              </w:rPr>
            </w:pPr>
          </w:p>
        </w:tc>
        <w:tc>
          <w:tcPr>
            <w:tcW w:w="7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Carbon Management―</w:t>
            </w: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Signed Carbon Disposal Management Agreements (CDMAs) or Memorandums of Understandings (MOUs)</w:t>
            </w:r>
          </w:p>
        </w:tc>
        <w:tc>
          <w:tcPr>
            <w:tcW w:w="0" w:type="dxa"/>
            <w:vAlign w:val="bottom"/>
          </w:tcPr>
          <w:p>
            <w:pPr>
              <w:spacing w:after="0"/>
              <w:rPr>
                <w:sz w:val="1"/>
                <w:szCs w:val="1"/>
                <w:color w:val="auto"/>
              </w:rPr>
            </w:pPr>
          </w:p>
        </w:tc>
      </w:tr>
      <w:tr>
        <w:trPr>
          <w:trHeight w:val="172"/>
        </w:trPr>
        <w:tc>
          <w:tcPr>
            <w:tcW w:w="21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Agree to terms for CTV</w:t>
            </w:r>
          </w:p>
        </w:tc>
        <w:tc>
          <w:tcPr>
            <w:tcW w:w="7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1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deals</w:t>
            </w:r>
          </w:p>
        </w:tc>
        <w:tc>
          <w:tcPr>
            <w:tcW w:w="7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160" w:type="dxa"/>
            <w:vAlign w:val="bottom"/>
            <w:tcBorders>
              <w:left w:val="single" w:sz="8" w:color="auto"/>
              <w:bottom w:val="single" w:sz="8" w:color="auto"/>
              <w:right w:val="single" w:sz="8" w:color="auto"/>
            </w:tcBorders>
          </w:tcPr>
          <w:p>
            <w:pPr>
              <w:spacing w:after="0"/>
              <w:rPr>
                <w:sz w:val="5"/>
                <w:szCs w:val="5"/>
                <w:color w:val="auto"/>
              </w:rPr>
            </w:pPr>
          </w:p>
        </w:tc>
        <w:tc>
          <w:tcPr>
            <w:tcW w:w="7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Environmental―</w:t>
            </w: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Eliminate venting of pneumatic devices to make progress toward methane reduction targets.</w:t>
            </w:r>
          </w:p>
        </w:tc>
        <w:tc>
          <w:tcPr>
            <w:tcW w:w="0" w:type="dxa"/>
            <w:vAlign w:val="bottom"/>
          </w:tcPr>
          <w:p>
            <w:pPr>
              <w:spacing w:after="0"/>
              <w:rPr>
                <w:sz w:val="1"/>
                <w:szCs w:val="1"/>
                <w:color w:val="auto"/>
              </w:rPr>
            </w:pPr>
          </w:p>
        </w:tc>
      </w:tr>
      <w:tr>
        <w:trPr>
          <w:trHeight w:val="203"/>
        </w:trPr>
        <w:tc>
          <w:tcPr>
            <w:tcW w:w="21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Pneumatic devices</w:t>
            </w:r>
          </w:p>
        </w:tc>
        <w:tc>
          <w:tcPr>
            <w:tcW w:w="7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160" w:type="dxa"/>
            <w:vAlign w:val="bottom"/>
            <w:tcBorders>
              <w:left w:val="single" w:sz="8" w:color="auto"/>
              <w:bottom w:val="single" w:sz="8" w:color="auto"/>
              <w:right w:val="single" w:sz="8" w:color="auto"/>
            </w:tcBorders>
          </w:tcPr>
          <w:p>
            <w:pPr>
              <w:spacing w:after="0"/>
              <w:rPr>
                <w:sz w:val="5"/>
                <w:szCs w:val="5"/>
                <w:color w:val="auto"/>
              </w:rPr>
            </w:pPr>
          </w:p>
        </w:tc>
        <w:tc>
          <w:tcPr>
            <w:tcW w:w="7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Environmental―</w:t>
            </w: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Reduce freshwater usage to meet our environmental stewardship commitments.</w:t>
            </w:r>
          </w:p>
        </w:tc>
        <w:tc>
          <w:tcPr>
            <w:tcW w:w="0" w:type="dxa"/>
            <w:vAlign w:val="bottom"/>
          </w:tcPr>
          <w:p>
            <w:pPr>
              <w:spacing w:after="0"/>
              <w:rPr>
                <w:sz w:val="1"/>
                <w:szCs w:val="1"/>
                <w:color w:val="auto"/>
              </w:rPr>
            </w:pPr>
          </w:p>
        </w:tc>
      </w:tr>
      <w:tr>
        <w:trPr>
          <w:trHeight w:val="203"/>
        </w:trPr>
        <w:tc>
          <w:tcPr>
            <w:tcW w:w="21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Freshwater Usage</w:t>
            </w:r>
          </w:p>
        </w:tc>
        <w:tc>
          <w:tcPr>
            <w:tcW w:w="7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160" w:type="dxa"/>
            <w:vAlign w:val="bottom"/>
            <w:tcBorders>
              <w:left w:val="single" w:sz="8" w:color="auto"/>
              <w:bottom w:val="single" w:sz="8" w:color="auto"/>
              <w:right w:val="single" w:sz="8" w:color="auto"/>
            </w:tcBorders>
          </w:tcPr>
          <w:p>
            <w:pPr>
              <w:spacing w:after="0"/>
              <w:rPr>
                <w:sz w:val="5"/>
                <w:szCs w:val="5"/>
                <w:color w:val="auto"/>
              </w:rPr>
            </w:pPr>
          </w:p>
        </w:tc>
        <w:tc>
          <w:tcPr>
            <w:tcW w:w="7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Environmental―</w:t>
            </w: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Abandon idle wells to meet our ARO commitments.</w:t>
            </w:r>
          </w:p>
        </w:tc>
        <w:tc>
          <w:tcPr>
            <w:tcW w:w="0" w:type="dxa"/>
            <w:vAlign w:val="bottom"/>
          </w:tcPr>
          <w:p>
            <w:pPr>
              <w:spacing w:after="0"/>
              <w:rPr>
                <w:sz w:val="1"/>
                <w:szCs w:val="1"/>
                <w:color w:val="auto"/>
              </w:rPr>
            </w:pPr>
          </w:p>
        </w:tc>
      </w:tr>
      <w:tr>
        <w:trPr>
          <w:trHeight w:val="203"/>
        </w:trPr>
        <w:tc>
          <w:tcPr>
            <w:tcW w:w="21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ARO</w:t>
            </w:r>
          </w:p>
        </w:tc>
        <w:tc>
          <w:tcPr>
            <w:tcW w:w="7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160" w:type="dxa"/>
            <w:vAlign w:val="bottom"/>
            <w:tcBorders>
              <w:left w:val="single" w:sz="8" w:color="auto"/>
              <w:bottom w:val="single" w:sz="8" w:color="auto"/>
              <w:right w:val="single" w:sz="8" w:color="auto"/>
            </w:tcBorders>
          </w:tcPr>
          <w:p>
            <w:pPr>
              <w:spacing w:after="0"/>
              <w:rPr>
                <w:sz w:val="5"/>
                <w:szCs w:val="5"/>
                <w:color w:val="auto"/>
              </w:rPr>
            </w:pPr>
          </w:p>
        </w:tc>
        <w:tc>
          <w:tcPr>
            <w:tcW w:w="7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Environmental―</w:t>
            </w: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6"/>
              </w:rPr>
              <w:t>Volume of total produced fluids, comprised of oil or condensate and non-hydrocarbons (i.e., produced water), released outside</w:t>
            </w:r>
          </w:p>
        </w:tc>
        <w:tc>
          <w:tcPr>
            <w:tcW w:w="0" w:type="dxa"/>
            <w:vAlign w:val="bottom"/>
          </w:tcPr>
          <w:p>
            <w:pPr>
              <w:spacing w:after="0"/>
              <w:rPr>
                <w:sz w:val="1"/>
                <w:szCs w:val="1"/>
                <w:color w:val="auto"/>
              </w:rPr>
            </w:pPr>
          </w:p>
        </w:tc>
      </w:tr>
      <w:tr>
        <w:trPr>
          <w:trHeight w:val="166"/>
        </w:trPr>
        <w:tc>
          <w:tcPr>
            <w:tcW w:w="2160" w:type="dxa"/>
            <w:vAlign w:val="bottom"/>
            <w:tcBorders>
              <w:left w:val="single" w:sz="8" w:color="auto"/>
              <w:right w:val="single" w:sz="8" w:color="auto"/>
            </w:tcBorders>
            <w:vMerge w:val="restart"/>
          </w:tcPr>
          <w:p>
            <w:pPr>
              <w:ind w:left="180"/>
              <w:spacing w:after="0"/>
              <w:rPr>
                <w:sz w:val="20"/>
                <w:szCs w:val="20"/>
                <w:color w:val="auto"/>
              </w:rPr>
            </w:pPr>
            <w:r>
              <w:rPr>
                <w:rFonts w:ascii="Arial" w:cs="Arial" w:eastAsia="Arial" w:hAnsi="Arial"/>
                <w:sz w:val="13"/>
                <w:szCs w:val="13"/>
                <w:color w:val="auto"/>
              </w:rPr>
              <w:t>Spill Prevention Rate</w:t>
            </w: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secondary containment, to measure how we’re protecting our communities and shareholders.</w:t>
            </w:r>
          </w:p>
        </w:tc>
        <w:tc>
          <w:tcPr>
            <w:tcW w:w="0" w:type="dxa"/>
            <w:vAlign w:val="bottom"/>
          </w:tcPr>
          <w:p>
            <w:pPr>
              <w:spacing w:after="0"/>
              <w:rPr>
                <w:sz w:val="1"/>
                <w:szCs w:val="1"/>
                <w:color w:val="auto"/>
              </w:rPr>
            </w:pPr>
          </w:p>
        </w:tc>
      </w:tr>
      <w:tr>
        <w:trPr>
          <w:trHeight w:val="68"/>
        </w:trPr>
        <w:tc>
          <w:tcPr>
            <w:tcW w:w="2160" w:type="dxa"/>
            <w:vAlign w:val="bottom"/>
            <w:tcBorders>
              <w:left w:val="single" w:sz="8" w:color="auto"/>
              <w:right w:val="single" w:sz="8" w:color="auto"/>
            </w:tcBorders>
            <w:vMerge w:val="continue"/>
          </w:tcPr>
          <w:p>
            <w:pPr>
              <w:spacing w:after="0"/>
              <w:rPr>
                <w:sz w:val="5"/>
                <w:szCs w:val="5"/>
                <w:color w:val="auto"/>
              </w:rPr>
            </w:pPr>
          </w:p>
        </w:tc>
        <w:tc>
          <w:tcPr>
            <w:tcW w:w="70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160" w:type="dxa"/>
            <w:vAlign w:val="bottom"/>
            <w:tcBorders>
              <w:left w:val="single" w:sz="8" w:color="auto"/>
              <w:bottom w:val="single" w:sz="8" w:color="auto"/>
              <w:right w:val="single" w:sz="8" w:color="auto"/>
            </w:tcBorders>
          </w:tcPr>
          <w:p>
            <w:pPr>
              <w:spacing w:after="0"/>
              <w:rPr>
                <w:sz w:val="5"/>
                <w:szCs w:val="5"/>
                <w:color w:val="auto"/>
              </w:rPr>
            </w:pPr>
          </w:p>
        </w:tc>
        <w:tc>
          <w:tcPr>
            <w:tcW w:w="7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Safety―</w:t>
            </w: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Combined Injury and Illness Incident Rate of employees and contractors to promote the health and safety of our workers.</w:t>
            </w:r>
          </w:p>
        </w:tc>
        <w:tc>
          <w:tcPr>
            <w:tcW w:w="0" w:type="dxa"/>
            <w:vAlign w:val="bottom"/>
          </w:tcPr>
          <w:p>
            <w:pPr>
              <w:spacing w:after="0"/>
              <w:rPr>
                <w:sz w:val="1"/>
                <w:szCs w:val="1"/>
                <w:color w:val="auto"/>
              </w:rPr>
            </w:pPr>
          </w:p>
        </w:tc>
      </w:tr>
      <w:tr>
        <w:trPr>
          <w:trHeight w:val="203"/>
        </w:trPr>
        <w:tc>
          <w:tcPr>
            <w:tcW w:w="21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Combined IIR</w:t>
            </w:r>
          </w:p>
        </w:tc>
        <w:tc>
          <w:tcPr>
            <w:tcW w:w="7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160" w:type="dxa"/>
            <w:vAlign w:val="bottom"/>
            <w:tcBorders>
              <w:left w:val="single" w:sz="8" w:color="auto"/>
              <w:bottom w:val="single" w:sz="8" w:color="auto"/>
              <w:right w:val="single" w:sz="8" w:color="auto"/>
            </w:tcBorders>
          </w:tcPr>
          <w:p>
            <w:pPr>
              <w:spacing w:after="0"/>
              <w:rPr>
                <w:sz w:val="5"/>
                <w:szCs w:val="5"/>
                <w:color w:val="auto"/>
              </w:rPr>
            </w:pPr>
          </w:p>
        </w:tc>
        <w:tc>
          <w:tcPr>
            <w:tcW w:w="7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Combined Company</w:t>
            </w: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Actioned sustainable cost reductions for the merged company.</w:t>
            </w:r>
          </w:p>
        </w:tc>
        <w:tc>
          <w:tcPr>
            <w:tcW w:w="0" w:type="dxa"/>
            <w:vAlign w:val="bottom"/>
          </w:tcPr>
          <w:p>
            <w:pPr>
              <w:spacing w:after="0"/>
              <w:rPr>
                <w:sz w:val="1"/>
                <w:szCs w:val="1"/>
                <w:color w:val="auto"/>
              </w:rPr>
            </w:pPr>
          </w:p>
        </w:tc>
      </w:tr>
      <w:tr>
        <w:trPr>
          <w:trHeight w:val="166"/>
        </w:trPr>
        <w:tc>
          <w:tcPr>
            <w:tcW w:w="2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Synergies</w:t>
            </w:r>
          </w:p>
        </w:tc>
        <w:tc>
          <w:tcPr>
            <w:tcW w:w="7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160" w:type="dxa"/>
            <w:vAlign w:val="bottom"/>
            <w:tcBorders>
              <w:left w:val="single" w:sz="8" w:color="auto"/>
              <w:bottom w:val="single" w:sz="8" w:color="auto"/>
              <w:right w:val="single" w:sz="8" w:color="auto"/>
            </w:tcBorders>
          </w:tcPr>
          <w:p>
            <w:pPr>
              <w:spacing w:after="0"/>
              <w:rPr>
                <w:sz w:val="5"/>
                <w:szCs w:val="5"/>
                <w:color w:val="auto"/>
              </w:rPr>
            </w:pPr>
          </w:p>
        </w:tc>
        <w:tc>
          <w:tcPr>
            <w:tcW w:w="7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0" w:name="page41"/>
    <w:bookmarkEnd w:id="40"/>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68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2025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Compensation Committee has adopted a policy whereby management’s ability to achieve a maximum payout under the AIP should be due to the achievement of extraordinary results, whether via financial performance or the other non-financial metrics incorporated into the AIP, with a goal to lessen the impact of commodity price volatility on AIP payouts.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NEO Payout Considerations</w:t>
      </w:r>
    </w:p>
    <w:p>
      <w:pPr>
        <w:spacing w:after="0" w:line="21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Compensation Committee considered the contributions of the management team and assessed the overall performance to be exceptional. The Compensation Committee considered the contributions of each NEO and determined payouts ranging from 100% to 160% for the individual portions of the AIP were appropriate for the NEOs’ contributions to the Company’s overall performance in 2024.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Highlights of the 2024 performance achieved and considered for Mr. Leon included:</w:t>
      </w:r>
    </w:p>
    <w:p>
      <w:pPr>
        <w:spacing w:after="0" w:line="212"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Closed the Aera transaction</w:t>
      </w:r>
    </w:p>
    <w:p>
      <w:pPr>
        <w:spacing w:after="0" w:line="224" w:lineRule="exact"/>
        <w:rPr>
          <w:sz w:val="20"/>
          <w:szCs w:val="20"/>
          <w:color w:val="auto"/>
        </w:rPr>
      </w:pPr>
    </w:p>
    <w:p>
      <w:pPr>
        <w:ind w:left="1500" w:hanging="369"/>
        <w:spacing w:after="0"/>
        <w:tabs>
          <w:tab w:leader="none" w:pos="1500" w:val="left"/>
        </w:tabs>
        <w:numPr>
          <w:ilvl w:val="1"/>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Outperformed the initial synergy target of $150 million per year and increased the target to $235 million per year</w:t>
      </w:r>
    </w:p>
    <w:p>
      <w:pPr>
        <w:spacing w:after="0" w:line="224"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Refinanced debt with a successful high yield offering which was 4 times oversubscribed</w:t>
      </w:r>
    </w:p>
    <w:p>
      <w:pPr>
        <w:spacing w:after="0" w:line="224"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Successfully integrated the two company teams with no negative impact on operations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First CTV final permit – Secured the first-ever California permit; first for an oil and gas reservoir.</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Improved Sacramento relations – Strengthened engagement with state leadership.</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Shareholder returns – Delivered $300 million of returns to shareholders (~90% of FCF).</w:t>
      </w:r>
    </w:p>
    <w:p>
      <w:pPr>
        <w:spacing w:after="0" w:line="224"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In addition to their contributions to the strong financial results, the following performance highlights were considered by the Compensation Committee in determining the individual portion of the AIP for the following NEOs: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For Ms. Molina –</w:t>
      </w:r>
    </w:p>
    <w:p>
      <w:pPr>
        <w:spacing w:after="0" w:line="212"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Leadership during the Aera merger</w:t>
      </w:r>
    </w:p>
    <w:p>
      <w:pPr>
        <w:spacing w:after="0" w:line="224" w:lineRule="exact"/>
        <w:rPr>
          <w:rFonts w:ascii="Times New Roman" w:cs="Times New Roman" w:eastAsia="Times New Roman" w:hAnsi="Times New Roman"/>
          <w:sz w:val="18"/>
          <w:szCs w:val="18"/>
          <w:color w:val="auto"/>
        </w:rPr>
      </w:pPr>
    </w:p>
    <w:p>
      <w:pPr>
        <w:ind w:right="5940" w:firstLine="382"/>
        <w:spacing w:after="0" w:line="492" w:lineRule="auto"/>
        <w:tabs>
          <w:tab w:leader="none" w:pos="798"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Actions taken to further strengthen CRC's balance sheet For Mr. Bys –</w:t>
      </w: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Successfully integrated the legacy Aera and CRC physical commodity positions</w:t>
      </w:r>
    </w:p>
    <w:p>
      <w:pPr>
        <w:spacing w:after="0" w:line="224" w:lineRule="exact"/>
        <w:rPr>
          <w:rFonts w:ascii="Times New Roman" w:cs="Times New Roman" w:eastAsia="Times New Roman" w:hAnsi="Times New Roman"/>
          <w:sz w:val="18"/>
          <w:szCs w:val="18"/>
          <w:color w:val="auto"/>
        </w:rPr>
      </w:pPr>
    </w:p>
    <w:p>
      <w:pPr>
        <w:ind w:left="760" w:right="120" w:hanging="378"/>
        <w:spacing w:after="0" w:line="270" w:lineRule="auto"/>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Integrated the legacy Aera hedge book with the CRC position while mitigating residual gas price risk within the consolidated hedge book</w:t>
      </w:r>
    </w:p>
    <w:p>
      <w:pPr>
        <w:spacing w:after="0" w:line="154" w:lineRule="exact"/>
        <w:rPr>
          <w:rFonts w:ascii="Times New Roman" w:cs="Times New Roman" w:eastAsia="Times New Roman" w:hAnsi="Times New Roman"/>
          <w:sz w:val="18"/>
          <w:szCs w:val="18"/>
          <w:color w:val="auto"/>
        </w:rPr>
      </w:pPr>
    </w:p>
    <w:p>
      <w:pPr>
        <w:ind w:left="760" w:right="40" w:hanging="378"/>
        <w:spacing w:after="0" w:line="270" w:lineRule="auto"/>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Cleared the 2025 Elk Hills RA generating capacity position at a record amount, significantly over mid-market value per the CRC risk group as of 12/31/2024</w:t>
      </w:r>
    </w:p>
    <w:p>
      <w:pPr>
        <w:spacing w:after="0" w:line="154" w:lineRule="exact"/>
        <w:rPr>
          <w:rFonts w:ascii="Times New Roman" w:cs="Times New Roman" w:eastAsia="Times New Roman" w:hAnsi="Times New Roman"/>
          <w:sz w:val="18"/>
          <w:szCs w:val="18"/>
          <w:color w:val="auto"/>
        </w:rPr>
      </w:pPr>
    </w:p>
    <w:p>
      <w:pPr>
        <w:ind w:left="760" w:right="100" w:hanging="378"/>
        <w:spacing w:after="0" w:line="246" w:lineRule="auto"/>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Led efforts to introduce diluent injection at multiple fields increasing API-related pricing, volume yield and decreasing operating costs. Expanded the diluent purchase agreement in quantity and extended for an additional two years This and other opportunistic actions (e.g. converting pricing with VLO from postings to Brent pre-posting cessation), ‘Line 63’ blending, sales to Glencore for marine fuels, etc.</w:t>
      </w:r>
    </w:p>
    <w:p>
      <w:pPr>
        <w:spacing w:after="0" w:line="200" w:lineRule="exact"/>
        <w:rPr>
          <w:sz w:val="20"/>
          <w:szCs w:val="20"/>
          <w:color w:val="auto"/>
        </w:rPr>
      </w:pPr>
    </w:p>
    <w:p>
      <w:pPr>
        <w:spacing w:after="0" w:line="24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1" w:name="page42"/>
    <w:bookmarkEnd w:id="41"/>
    <w:p>
      <w:pPr>
        <w:ind w:left="85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74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396" w:lineRule="exact"/>
        <w:rPr>
          <w:sz w:val="20"/>
          <w:szCs w:val="20"/>
          <w:color w:val="auto"/>
        </w:rPr>
      </w:pPr>
    </w:p>
    <w:p>
      <w:pPr>
        <w:ind w:left="380" w:right="120" w:hanging="378"/>
        <w:spacing w:after="0" w:line="270" w:lineRule="auto"/>
        <w:tabs>
          <w:tab w:leader="none" w:pos="38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Lead effort to connect 10G and 18G fields rendering material API-related realization uplift and sales point flexibility. First full year - millions in gravity uplift</w:t>
      </w:r>
    </w:p>
    <w:p>
      <w:pPr>
        <w:spacing w:after="0" w:line="154" w:lineRule="exact"/>
        <w:rPr>
          <w:rFonts w:ascii="Times New Roman" w:cs="Times New Roman" w:eastAsia="Times New Roman" w:hAnsi="Times New Roman"/>
          <w:sz w:val="18"/>
          <w:szCs w:val="18"/>
          <w:color w:val="auto"/>
        </w:rPr>
      </w:pPr>
    </w:p>
    <w:p>
      <w:pPr>
        <w:ind w:left="380" w:right="420" w:hanging="378"/>
        <w:spacing w:after="0" w:line="270" w:lineRule="auto"/>
        <w:tabs>
          <w:tab w:leader="none" w:pos="38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Following the announced discontinuance of the Chevron and Green Gate postings, successfully migrated all legacy CRC sales contracts – as well as Aera’s largest legacy sales contract – to Brent-related pricing</w:t>
      </w:r>
    </w:p>
    <w:p>
      <w:pPr>
        <w:spacing w:after="0" w:line="154" w:lineRule="exact"/>
        <w:rPr>
          <w:rFonts w:ascii="Times New Roman" w:cs="Times New Roman" w:eastAsia="Times New Roman" w:hAnsi="Times New Roman"/>
          <w:sz w:val="18"/>
          <w:szCs w:val="18"/>
          <w:color w:val="auto"/>
        </w:rPr>
      </w:pPr>
    </w:p>
    <w:p>
      <w:pPr>
        <w:ind w:left="380" w:right="320" w:hanging="378"/>
        <w:spacing w:after="0" w:line="270" w:lineRule="auto"/>
        <w:tabs>
          <w:tab w:leader="none" w:pos="38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Coordinated and operationalized a plan to move permeate gas from Elk Hills to Belridge when power plant operations would not allow for consumption of produced volumes</w:t>
      </w:r>
    </w:p>
    <w:p>
      <w:pPr>
        <w:spacing w:after="0" w:line="154"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Various Aera-related gas supply optimization actions</w:t>
      </w:r>
    </w:p>
    <w:p>
      <w:pPr>
        <w:spacing w:after="0" w:line="224" w:lineRule="exact"/>
        <w:rPr>
          <w:sz w:val="20"/>
          <w:szCs w:val="20"/>
          <w:color w:val="auto"/>
        </w:rPr>
      </w:pPr>
    </w:p>
    <w:p>
      <w:pPr>
        <w:ind w:left="1120" w:hanging="369"/>
        <w:spacing w:after="0"/>
        <w:tabs>
          <w:tab w:leader="none" w:pos="1120" w:val="left"/>
        </w:tabs>
        <w:numPr>
          <w:ilvl w:val="1"/>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Put Aera Kern River Pipeline capacity out under Asset Management Agreements</w:t>
      </w:r>
    </w:p>
    <w:p>
      <w:pPr>
        <w:spacing w:after="0" w:line="224" w:lineRule="exact"/>
        <w:rPr>
          <w:rFonts w:ascii="Times New Roman" w:cs="Times New Roman" w:eastAsia="Times New Roman" w:hAnsi="Times New Roman"/>
          <w:sz w:val="18"/>
          <w:szCs w:val="18"/>
          <w:color w:val="auto"/>
        </w:rPr>
      </w:pPr>
    </w:p>
    <w:p>
      <w:pPr>
        <w:ind w:left="1120" w:hanging="369"/>
        <w:spacing w:after="0"/>
        <w:tabs>
          <w:tab w:leader="none" w:pos="1120" w:val="left"/>
        </w:tabs>
        <w:numPr>
          <w:ilvl w:val="1"/>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Backed off flows under higher-priced legacy Aera supply agreements</w:t>
      </w:r>
    </w:p>
    <w:p>
      <w:pPr>
        <w:spacing w:after="0" w:line="224" w:lineRule="exact"/>
        <w:rPr>
          <w:rFonts w:ascii="Times New Roman" w:cs="Times New Roman" w:eastAsia="Times New Roman" w:hAnsi="Times New Roman"/>
          <w:sz w:val="18"/>
          <w:szCs w:val="18"/>
          <w:color w:val="auto"/>
        </w:rPr>
      </w:pPr>
    </w:p>
    <w:p>
      <w:pPr>
        <w:ind w:left="1120" w:hanging="369"/>
        <w:spacing w:after="0"/>
        <w:tabs>
          <w:tab w:leader="none" w:pos="1120" w:val="left"/>
        </w:tabs>
        <w:numPr>
          <w:ilvl w:val="1"/>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Diverted CRC Orchard gas from a suboptimal sales circumstance to Aera and reduced flaring and CRC GHG costs</w:t>
      </w:r>
    </w:p>
    <w:p>
      <w:pPr>
        <w:spacing w:after="0" w:line="224" w:lineRule="exact"/>
        <w:rPr>
          <w:rFonts w:ascii="Times New Roman" w:cs="Times New Roman" w:eastAsia="Times New Roman" w:hAnsi="Times New Roman"/>
          <w:sz w:val="18"/>
          <w:szCs w:val="18"/>
          <w:color w:val="auto"/>
        </w:rPr>
      </w:pPr>
    </w:p>
    <w:p>
      <w:pPr>
        <w:ind w:left="380" w:right="480" w:hanging="378"/>
        <w:spacing w:after="0" w:line="270" w:lineRule="auto"/>
        <w:tabs>
          <w:tab w:leader="none" w:pos="38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Supported CTV commodity-related initiatives and asks (gas, power, utility interface, pipeline connections, regulatory diligence, other)</w:t>
      </w:r>
    </w:p>
    <w:p>
      <w:pPr>
        <w:spacing w:after="0" w:line="200" w:lineRule="exact"/>
        <w:rPr>
          <w:sz w:val="20"/>
          <w:szCs w:val="20"/>
          <w:color w:val="auto"/>
        </w:rPr>
      </w:pPr>
    </w:p>
    <w:p>
      <w:pPr>
        <w:spacing w:after="0" w:line="373" w:lineRule="exact"/>
        <w:rPr>
          <w:sz w:val="20"/>
          <w:szCs w:val="20"/>
          <w:color w:val="auto"/>
        </w:rPr>
      </w:pPr>
    </w:p>
    <w:p>
      <w:pPr>
        <w:ind w:left="380" w:hanging="378"/>
        <w:spacing w:after="0"/>
        <w:tabs>
          <w:tab w:leader="none" w:pos="38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Received approval for Kern County CCS CUP/EIR for CTV I​</w:t>
      </w:r>
    </w:p>
    <w:p>
      <w:pPr>
        <w:spacing w:after="0" w:line="224" w:lineRule="exact"/>
        <w:rPr>
          <w:rFonts w:ascii="Times New Roman" w:cs="Times New Roman" w:eastAsia="Times New Roman" w:hAnsi="Times New Roman"/>
          <w:sz w:val="18"/>
          <w:szCs w:val="18"/>
          <w:color w:val="auto"/>
        </w:rPr>
      </w:pPr>
    </w:p>
    <w:p>
      <w:pPr>
        <w:ind w:left="380" w:hanging="378"/>
        <w:spacing w:after="0" w:line="270" w:lineRule="auto"/>
        <w:tabs>
          <w:tab w:leader="none" w:pos="38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Received 26R EPA Class VI CCS permit​- First ever in California (and Region 9) and first to use a depleted oil and gas reservoir in the US​</w:t>
      </w:r>
    </w:p>
    <w:p>
      <w:pPr>
        <w:spacing w:after="0" w:line="154"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Signed 10 commercial MOU/CMDAs at 7.5 MMTPA​</w:t>
      </w:r>
    </w:p>
    <w:p>
      <w:pPr>
        <w:spacing w:after="0" w:line="224"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Submitted an additional 102 MMT of CO2 storage Class VI permits for a total of 323 MMT and 14.4 MMTPA</w:t>
      </w:r>
    </w:p>
    <w:p>
      <w:pPr>
        <w:spacing w:after="0" w:line="224"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Signed 54,000 acres of new pore space and 20,000 acres of mineral easements across the state, spanning 107 contracts​</w:t>
      </w:r>
    </w:p>
    <w:p>
      <w:pPr>
        <w:spacing w:after="0" w:line="224" w:lineRule="exact"/>
        <w:rPr>
          <w:rFonts w:ascii="Times New Roman" w:cs="Times New Roman" w:eastAsia="Times New Roman" w:hAnsi="Times New Roman"/>
          <w:sz w:val="18"/>
          <w:szCs w:val="18"/>
          <w:color w:val="auto"/>
        </w:rPr>
      </w:pPr>
    </w:p>
    <w:p>
      <w:pPr>
        <w:ind w:left="380" w:hanging="378"/>
        <w:spacing w:after="0" w:line="270" w:lineRule="auto"/>
        <w:tabs>
          <w:tab w:leader="none" w:pos="38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Ongoing successful engagement in Kern and San Joaquin counties, with expanded relationships now including Merced, Stanislaus, Sacramento, Lassen, and Imperial Valley.​</w:t>
      </w:r>
    </w:p>
    <w:p>
      <w:pPr>
        <w:spacing w:after="0" w:line="154"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Selected and awarded for $55MM in CarbonSAFE grants​</w:t>
      </w:r>
    </w:p>
    <w:p>
      <w:pPr>
        <w:spacing w:after="0" w:line="224"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Signed LA Rams carbon credit and certification deal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80" w:hanging="378"/>
        <w:spacing w:after="0"/>
        <w:tabs>
          <w:tab w:leader="none" w:pos="38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negotiation and closing of Aera merger</w:t>
      </w:r>
    </w:p>
    <w:p>
      <w:pPr>
        <w:spacing w:after="0" w:line="224"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integration of Aera legal matters</w:t>
      </w:r>
    </w:p>
    <w:p>
      <w:pPr>
        <w:spacing w:after="0" w:line="224"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Effective legal support for CTV project development and permitting</w:t>
      </w:r>
    </w:p>
    <w:p>
      <w:pPr>
        <w:spacing w:after="0" w:line="224"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debt refinancing and RBL amendment</w:t>
      </w:r>
    </w:p>
    <w:p>
      <w:pPr>
        <w:spacing w:after="0" w:line="200" w:lineRule="exact"/>
        <w:rPr>
          <w:sz w:val="20"/>
          <w:szCs w:val="20"/>
          <w:color w:val="auto"/>
        </w:rPr>
      </w:pPr>
    </w:p>
    <w:p>
      <w:pPr>
        <w:spacing w:after="0" w:line="28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476250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890" w:right="339" w:bottom="1440" w:gutter="0" w:footer="0" w:header="0"/>
        </w:sectPr>
      </w:pPr>
    </w:p>
    <w:bookmarkStart w:id="42" w:name="page43"/>
    <w:bookmarkEnd w:id="42"/>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74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396"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advocacy efforts on balance during 2024 legislative session</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Effective community engagement supporting CTV I project</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Improved engagement with administration regarding CCS and E&amp;P business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Effective engagement with legislators to communicate CRC’s alignment with state energy objectives</w:t>
      </w:r>
    </w:p>
    <w:p>
      <w:pPr>
        <w:spacing w:after="0" w:line="224" w:lineRule="exact"/>
        <w:rPr>
          <w:rFonts w:ascii="Times New Roman" w:cs="Times New Roman" w:eastAsia="Times New Roman" w:hAnsi="Times New Roman"/>
          <w:sz w:val="18"/>
          <w:szCs w:val="18"/>
          <w:color w:val="auto"/>
        </w:rPr>
      </w:pPr>
    </w:p>
    <w:p>
      <w:pPr>
        <w:ind w:left="760" w:right="740" w:hanging="378"/>
        <w:spacing w:after="0" w:line="270" w:lineRule="auto"/>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Constructive engagement with CalGem regarding E&amp;P permitting for sidetracks and workovers, injection gradient issues at Wilmington Field</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Advanced Huntington Beach redevelopment planning and completed sale of Fort Apache</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AIP Payouts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146050</wp:posOffset>
            </wp:positionV>
            <wp:extent cx="5572125" cy="16287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572125"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3" w:name="page44"/>
    <w:bookmarkEnd w:id="43"/>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74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Long-Term Incentive Grants</w:t>
      </w:r>
    </w:p>
    <w:p>
      <w:pPr>
        <w:spacing w:after="0" w:line="4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Our 2024 Compensation Program included the continuation of long-term incentive grants. In February 2024, the Compensation Committee approved the structure and amounts for the 2024 long-term incentive awards, which were comprised of Restricted Stock Unit awards (“</w:t>
      </w:r>
      <w:r>
        <w:rPr>
          <w:rFonts w:ascii="Arial" w:cs="Arial" w:eastAsia="Arial" w:hAnsi="Arial"/>
          <w:sz w:val="18"/>
          <w:szCs w:val="18"/>
          <w:b w:val="1"/>
          <w:bCs w:val="1"/>
          <w:color w:val="auto"/>
        </w:rPr>
        <w:t>RSUs</w:t>
      </w:r>
      <w:r>
        <w:rPr>
          <w:rFonts w:ascii="Arial" w:cs="Arial" w:eastAsia="Arial" w:hAnsi="Arial"/>
          <w:sz w:val="18"/>
          <w:szCs w:val="18"/>
          <w:color w:val="auto"/>
        </w:rPr>
        <w:t>”) and Performance Stock Unit awards (“</w:t>
      </w:r>
      <w:r>
        <w:rPr>
          <w:rFonts w:ascii="Arial" w:cs="Arial" w:eastAsia="Arial" w:hAnsi="Arial"/>
          <w:sz w:val="18"/>
          <w:szCs w:val="18"/>
          <w:b w:val="1"/>
          <w:bCs w:val="1"/>
          <w:color w:val="auto"/>
        </w:rPr>
        <w:t>PSUs</w:t>
      </w:r>
      <w:r>
        <w:rPr>
          <w:rFonts w:ascii="Arial" w:cs="Arial" w:eastAsia="Arial" w:hAnsi="Arial"/>
          <w:sz w:val="18"/>
          <w:szCs w:val="18"/>
          <w:color w:val="auto"/>
        </w:rPr>
        <w:t>”) .</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Grants</w:t>
      </w:r>
    </w:p>
    <w:p>
      <w:pPr>
        <w:spacing w:after="0" w:line="117" w:lineRule="exact"/>
        <w:rPr>
          <w:sz w:val="20"/>
          <w:szCs w:val="20"/>
          <w:color w:val="auto"/>
        </w:rPr>
      </w:pPr>
    </w:p>
    <w:p>
      <w:pPr>
        <w:jc w:val="both"/>
        <w:ind w:right="500"/>
        <w:spacing w:after="0" w:line="253" w:lineRule="auto"/>
        <w:rPr>
          <w:sz w:val="20"/>
          <w:szCs w:val="20"/>
          <w:color w:val="auto"/>
        </w:rPr>
      </w:pPr>
      <w:r>
        <w:rPr>
          <w:rFonts w:ascii="Arial" w:cs="Arial" w:eastAsia="Arial" w:hAnsi="Arial"/>
          <w:sz w:val="18"/>
          <w:szCs w:val="18"/>
          <w:color w:val="auto"/>
        </w:rPr>
        <w:t>The grant target values for the 2024 awards were split between 40% RSUs and 60% PSUs, reflecting our majority performance-based philosophy and consistent with stockholder feedback we received that long-term incentives should be majority performance-based. The awards are designed to vest over a three-year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179070</wp:posOffset>
            </wp:positionV>
            <wp:extent cx="2837180" cy="20916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3718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91"/>
        </w:trPr>
        <w:tc>
          <w:tcPr>
            <w:tcW w:w="80" w:type="dxa"/>
            <w:vAlign w:val="bottom"/>
            <w:tcBorders>
              <w:bottom w:val="single" w:sz="8" w:color="0075C9"/>
            </w:tcBorders>
            <w:shd w:val="clear" w:color="auto" w:fill="0075C9"/>
          </w:tcPr>
          <w:p>
            <w:pPr>
              <w:spacing w:after="0"/>
              <w:rPr>
                <w:sz w:val="24"/>
                <w:szCs w:val="24"/>
                <w:color w:val="auto"/>
              </w:rPr>
            </w:pPr>
          </w:p>
        </w:tc>
        <w:tc>
          <w:tcPr>
            <w:tcW w:w="3900" w:type="dxa"/>
            <w:vAlign w:val="bottom"/>
            <w:tcBorders>
              <w:bottom w:val="single" w:sz="8" w:color="0075C9"/>
              <w:right w:val="single" w:sz="8" w:color="0075C9"/>
            </w:tcBorders>
            <w:shd w:val="clear" w:color="auto" w:fill="0075C9"/>
          </w:tcPr>
          <w:p>
            <w:pPr>
              <w:spacing w:after="0"/>
              <w:rPr>
                <w:sz w:val="24"/>
                <w:szCs w:val="24"/>
                <w:color w:val="auto"/>
              </w:rPr>
            </w:pPr>
          </w:p>
        </w:tc>
        <w:tc>
          <w:tcPr>
            <w:tcW w:w="3220" w:type="dxa"/>
            <w:vAlign w:val="bottom"/>
            <w:tcBorders>
              <w:bottom w:val="single" w:sz="8" w:color="0075C9"/>
            </w:tcBorders>
            <w:shd w:val="clear" w:color="auto" w:fill="0075C9"/>
          </w:tcPr>
          <w:p>
            <w:pPr>
              <w:spacing w:after="0"/>
              <w:rPr>
                <w:sz w:val="24"/>
                <w:szCs w:val="24"/>
                <w:color w:val="auto"/>
              </w:rPr>
            </w:pPr>
          </w:p>
        </w:tc>
        <w:tc>
          <w:tcPr>
            <w:tcW w:w="1380" w:type="dxa"/>
            <w:vAlign w:val="bottom"/>
            <w:tcBorders>
              <w:bottom w:val="single" w:sz="8" w:color="0075C9"/>
            </w:tcBorders>
            <w:shd w:val="clear" w:color="auto" w:fill="0075C9"/>
          </w:tcPr>
          <w:p>
            <w:pPr>
              <w:spacing w:after="0"/>
              <w:rPr>
                <w:sz w:val="24"/>
                <w:szCs w:val="24"/>
                <w:color w:val="auto"/>
              </w:rPr>
            </w:pPr>
          </w:p>
        </w:tc>
        <w:tc>
          <w:tcPr>
            <w:tcW w:w="2660" w:type="dxa"/>
            <w:vAlign w:val="bottom"/>
            <w:tcBorders>
              <w:bottom w:val="single" w:sz="8" w:color="0075C9"/>
            </w:tcBorders>
            <w:gridSpan w:val="3"/>
            <w:shd w:val="clear" w:color="auto" w:fill="0075C9"/>
          </w:tcPr>
          <w:p>
            <w:pPr>
              <w:ind w:left="360"/>
              <w:spacing w:after="0"/>
              <w:rPr>
                <w:sz w:val="20"/>
                <w:szCs w:val="20"/>
                <w:color w:val="auto"/>
              </w:rPr>
            </w:pPr>
            <w:r>
              <w:rPr>
                <w:rFonts w:ascii="Arial" w:cs="Arial" w:eastAsia="Arial" w:hAnsi="Arial"/>
                <w:sz w:val="18"/>
                <w:szCs w:val="18"/>
                <w:b w:val="1"/>
                <w:bCs w:val="1"/>
                <w:color w:val="FFFFFF"/>
              </w:rPr>
              <w:t>2025 PROXY STATEMENT</w:t>
            </w:r>
          </w:p>
        </w:tc>
      </w:tr>
      <w:tr>
        <w:trPr>
          <w:trHeight w:val="194"/>
        </w:trPr>
        <w:tc>
          <w:tcPr>
            <w:tcW w:w="8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60" w:type="dxa"/>
            <w:vAlign w:val="bottom"/>
            <w:gridSpan w:val="3"/>
          </w:tcPr>
          <w:p>
            <w:pPr>
              <w:ind w:left="140"/>
              <w:spacing w:after="0"/>
              <w:rPr>
                <w:sz w:val="20"/>
                <w:szCs w:val="20"/>
                <w:color w:val="auto"/>
              </w:rPr>
            </w:pPr>
            <w:r>
              <w:rPr>
                <w:rFonts w:ascii="Arial" w:cs="Arial" w:eastAsia="Arial" w:hAnsi="Arial"/>
                <w:sz w:val="14"/>
                <w:szCs w:val="14"/>
                <w:color w:val="auto"/>
              </w:rPr>
              <w:t>Compensation Discussion and Analysis</w:t>
            </w:r>
          </w:p>
        </w:tc>
      </w:tr>
      <w:tr>
        <w:trPr>
          <w:trHeight w:val="614"/>
        </w:trPr>
        <w:tc>
          <w:tcPr>
            <w:tcW w:w="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220" w:type="dxa"/>
            <w:vAlign w:val="bottom"/>
          </w:tcPr>
          <w:p>
            <w:pPr>
              <w:ind w:left="220"/>
              <w:spacing w:after="0"/>
              <w:rPr>
                <w:sz w:val="20"/>
                <w:szCs w:val="20"/>
                <w:color w:val="auto"/>
              </w:rPr>
            </w:pPr>
            <w:r>
              <w:rPr>
                <w:rFonts w:ascii="Arial" w:cs="Arial" w:eastAsia="Arial" w:hAnsi="Arial"/>
                <w:sz w:val="18"/>
                <w:szCs w:val="18"/>
                <w:b w:val="1"/>
                <w:bCs w:val="1"/>
                <w:color w:val="auto"/>
              </w:rPr>
              <w:t>2024 Long-Term Incentive Grants</w:t>
            </w: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1"/>
        </w:trPr>
        <w:tc>
          <w:tcPr>
            <w:tcW w:w="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220" w:type="dxa"/>
            <w:vAlign w:val="bottom"/>
          </w:tcPr>
          <w:p>
            <w:pPr>
              <w:jc w:val="center"/>
              <w:ind w:right="610"/>
              <w:spacing w:after="0"/>
              <w:rPr>
                <w:sz w:val="20"/>
                <w:szCs w:val="20"/>
                <w:color w:val="auto"/>
              </w:rPr>
            </w:pPr>
            <w:r>
              <w:rPr>
                <w:rFonts w:ascii="Arial" w:cs="Arial" w:eastAsia="Arial" w:hAnsi="Arial"/>
                <w:sz w:val="18"/>
                <w:szCs w:val="18"/>
                <w:b w:val="1"/>
                <w:bCs w:val="1"/>
                <w:color w:val="0075C9"/>
                <w:w w:val="99"/>
              </w:rPr>
              <w:t>Type of</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0075C9"/>
                <w:w w:val="99"/>
              </w:rPr>
              <w:t>Grant</w:t>
            </w:r>
          </w:p>
        </w:tc>
        <w:tc>
          <w:tcPr>
            <w:tcW w:w="720" w:type="dxa"/>
            <w:vAlign w:val="bottom"/>
          </w:tcPr>
          <w:p>
            <w:pPr>
              <w:spacing w:after="0"/>
              <w:rPr>
                <w:sz w:val="24"/>
                <w:szCs w:val="24"/>
                <w:color w:val="auto"/>
              </w:rPr>
            </w:pPr>
          </w:p>
        </w:tc>
        <w:tc>
          <w:tcPr>
            <w:tcW w:w="19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075C9"/>
              </w:rPr>
              <w:t>Units</w:t>
            </w:r>
          </w:p>
        </w:tc>
      </w:tr>
      <w:tr>
        <w:trPr>
          <w:trHeight w:val="221"/>
        </w:trPr>
        <w:tc>
          <w:tcPr>
            <w:tcW w:w="80" w:type="dxa"/>
            <w:vAlign w:val="bottom"/>
          </w:tcPr>
          <w:p>
            <w:pPr>
              <w:spacing w:after="0"/>
              <w:rPr>
                <w:sz w:val="19"/>
                <w:szCs w:val="19"/>
                <w:color w:val="auto"/>
              </w:rPr>
            </w:pPr>
          </w:p>
        </w:tc>
        <w:tc>
          <w:tcPr>
            <w:tcW w:w="3900" w:type="dxa"/>
            <w:vAlign w:val="bottom"/>
          </w:tcPr>
          <w:p>
            <w:pPr>
              <w:ind w:left="120"/>
              <w:spacing w:after="0"/>
              <w:rPr>
                <w:sz w:val="20"/>
                <w:szCs w:val="20"/>
                <w:color w:val="auto"/>
              </w:rPr>
            </w:pPr>
            <w:r>
              <w:rPr>
                <w:rFonts w:ascii="Arial" w:cs="Arial" w:eastAsia="Arial" w:hAnsi="Arial"/>
                <w:sz w:val="18"/>
                <w:szCs w:val="18"/>
                <w:b w:val="1"/>
                <w:bCs w:val="1"/>
                <w:color w:val="0075C9"/>
              </w:rPr>
              <w:t>Name</w:t>
            </w:r>
          </w:p>
        </w:tc>
        <w:tc>
          <w:tcPr>
            <w:tcW w:w="3220" w:type="dxa"/>
            <w:vAlign w:val="bottom"/>
          </w:tcPr>
          <w:p>
            <w:pPr>
              <w:jc w:val="center"/>
              <w:ind w:right="630"/>
              <w:spacing w:after="0"/>
              <w:rPr>
                <w:sz w:val="20"/>
                <w:szCs w:val="20"/>
                <w:color w:val="auto"/>
              </w:rPr>
            </w:pPr>
            <w:r>
              <w:rPr>
                <w:rFonts w:ascii="Arial" w:cs="Arial" w:eastAsia="Arial" w:hAnsi="Arial"/>
                <w:sz w:val="18"/>
                <w:szCs w:val="18"/>
                <w:b w:val="1"/>
                <w:bCs w:val="1"/>
                <w:color w:val="0075C9"/>
              </w:rPr>
              <w:t>Award Granted</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0075C9"/>
                <w:w w:val="99"/>
              </w:rPr>
              <w:t>Target Value</w:t>
            </w:r>
          </w:p>
        </w:tc>
        <w:tc>
          <w:tcPr>
            <w:tcW w:w="720" w:type="dxa"/>
            <w:vAlign w:val="bottom"/>
          </w:tcPr>
          <w:p>
            <w:pPr>
              <w:spacing w:after="0"/>
              <w:rPr>
                <w:sz w:val="19"/>
                <w:szCs w:val="19"/>
                <w:color w:val="auto"/>
              </w:rPr>
            </w:pPr>
          </w:p>
        </w:tc>
        <w:tc>
          <w:tcPr>
            <w:tcW w:w="19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075C9"/>
              </w:rPr>
              <w:t>Granted</w:t>
            </w:r>
          </w:p>
        </w:tc>
      </w:tr>
      <w:tr>
        <w:trPr>
          <w:trHeight w:val="196"/>
        </w:trPr>
        <w:tc>
          <w:tcPr>
            <w:tcW w:w="80" w:type="dxa"/>
            <w:vAlign w:val="bottom"/>
          </w:tcPr>
          <w:p>
            <w:pPr>
              <w:spacing w:after="0"/>
              <w:rPr>
                <w:sz w:val="17"/>
                <w:szCs w:val="17"/>
                <w:color w:val="auto"/>
              </w:rPr>
            </w:pPr>
          </w:p>
        </w:tc>
        <w:tc>
          <w:tcPr>
            <w:tcW w:w="3900" w:type="dxa"/>
            <w:vAlign w:val="bottom"/>
            <w:tcBorders>
              <w:top w:val="single" w:sz="8" w:color="0075C9"/>
              <w:right w:val="single" w:sz="8" w:color="E7E6E6"/>
            </w:tcBorders>
            <w:shd w:val="clear" w:color="auto" w:fill="EBEBEC"/>
          </w:tcPr>
          <w:p>
            <w:pPr>
              <w:ind w:left="120"/>
              <w:spacing w:after="0" w:line="183" w:lineRule="exact"/>
              <w:rPr>
                <w:sz w:val="20"/>
                <w:szCs w:val="20"/>
                <w:color w:val="auto"/>
              </w:rPr>
            </w:pPr>
            <w:r>
              <w:rPr>
                <w:rFonts w:ascii="Arial" w:cs="Arial" w:eastAsia="Arial" w:hAnsi="Arial"/>
                <w:sz w:val="18"/>
                <w:szCs w:val="18"/>
                <w:b w:val="1"/>
                <w:bCs w:val="1"/>
                <w:color w:val="auto"/>
              </w:rPr>
              <w:t>Francisco J. Leon</w:t>
            </w:r>
          </w:p>
        </w:tc>
        <w:tc>
          <w:tcPr>
            <w:tcW w:w="3220" w:type="dxa"/>
            <w:vAlign w:val="bottom"/>
            <w:tcBorders>
              <w:top w:val="single" w:sz="8" w:color="0075C9"/>
            </w:tcBorders>
            <w:shd w:val="clear" w:color="auto" w:fill="EBEBEC"/>
          </w:tcPr>
          <w:p>
            <w:pPr>
              <w:jc w:val="center"/>
              <w:ind w:right="630"/>
              <w:spacing w:after="0" w:line="183" w:lineRule="exact"/>
              <w:rPr>
                <w:sz w:val="20"/>
                <w:szCs w:val="20"/>
                <w:color w:val="auto"/>
              </w:rPr>
            </w:pPr>
            <w:r>
              <w:rPr>
                <w:rFonts w:ascii="Arial" w:cs="Arial" w:eastAsia="Arial" w:hAnsi="Arial"/>
                <w:sz w:val="18"/>
                <w:szCs w:val="18"/>
                <w:color w:val="auto"/>
                <w:w w:val="99"/>
              </w:rPr>
              <w:t>2024 RSU Award</w:t>
            </w:r>
          </w:p>
        </w:tc>
        <w:tc>
          <w:tcPr>
            <w:tcW w:w="1380" w:type="dxa"/>
            <w:vAlign w:val="bottom"/>
            <w:tcBorders>
              <w:top w:val="single" w:sz="8" w:color="0075C9"/>
            </w:tcBorders>
            <w:shd w:val="clear" w:color="auto" w:fill="EBEBEC"/>
          </w:tcPr>
          <w:p>
            <w:pPr>
              <w:jc w:val="center"/>
              <w:spacing w:after="0" w:line="183" w:lineRule="exact"/>
              <w:rPr>
                <w:sz w:val="20"/>
                <w:szCs w:val="20"/>
                <w:color w:val="auto"/>
              </w:rPr>
            </w:pPr>
            <w:r>
              <w:rPr>
                <w:rFonts w:ascii="Arial" w:cs="Arial" w:eastAsia="Arial" w:hAnsi="Arial"/>
                <w:sz w:val="18"/>
                <w:szCs w:val="18"/>
                <w:color w:val="auto"/>
                <w:w w:val="99"/>
              </w:rPr>
              <w:t>$2,040,000</w:t>
            </w:r>
          </w:p>
        </w:tc>
        <w:tc>
          <w:tcPr>
            <w:tcW w:w="720" w:type="dxa"/>
            <w:vAlign w:val="bottom"/>
            <w:tcBorders>
              <w:top w:val="single" w:sz="8" w:color="0075C9"/>
              <w:right w:val="single" w:sz="8" w:color="E7E6E6"/>
            </w:tcBorders>
            <w:shd w:val="clear" w:color="auto" w:fill="EBEBEC"/>
          </w:tcPr>
          <w:p>
            <w:pPr>
              <w:spacing w:after="0"/>
              <w:rPr>
                <w:sz w:val="17"/>
                <w:szCs w:val="17"/>
                <w:color w:val="auto"/>
              </w:rPr>
            </w:pPr>
          </w:p>
        </w:tc>
        <w:tc>
          <w:tcPr>
            <w:tcW w:w="1880" w:type="dxa"/>
            <w:vAlign w:val="bottom"/>
            <w:tcBorders>
              <w:top w:val="single" w:sz="8" w:color="0075C9"/>
            </w:tcBorders>
            <w:shd w:val="clear" w:color="auto" w:fill="EBEBEC"/>
          </w:tcPr>
          <w:p>
            <w:pPr>
              <w:jc w:val="center"/>
              <w:spacing w:after="0" w:line="183" w:lineRule="exact"/>
              <w:rPr>
                <w:sz w:val="20"/>
                <w:szCs w:val="20"/>
                <w:color w:val="auto"/>
              </w:rPr>
            </w:pPr>
            <w:r>
              <w:rPr>
                <w:rFonts w:ascii="Arial" w:cs="Arial" w:eastAsia="Arial" w:hAnsi="Arial"/>
                <w:sz w:val="18"/>
                <w:szCs w:val="18"/>
                <w:color w:val="auto"/>
                <w:w w:val="98"/>
              </w:rPr>
              <w:t>38,702</w:t>
            </w:r>
          </w:p>
        </w:tc>
        <w:tc>
          <w:tcPr>
            <w:tcW w:w="6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900" w:type="dxa"/>
            <w:vAlign w:val="bottom"/>
            <w:tcBorders>
              <w:right w:val="single" w:sz="8" w:color="EBEBEC"/>
            </w:tcBorders>
            <w:shd w:val="clear" w:color="auto" w:fill="EBEBEC"/>
          </w:tcPr>
          <w:p>
            <w:pPr>
              <w:spacing w:after="0"/>
              <w:rPr>
                <w:sz w:val="17"/>
                <w:szCs w:val="17"/>
                <w:color w:val="auto"/>
              </w:rPr>
            </w:pPr>
          </w:p>
        </w:tc>
        <w:tc>
          <w:tcPr>
            <w:tcW w:w="3220" w:type="dxa"/>
            <w:vAlign w:val="bottom"/>
            <w:shd w:val="clear" w:color="auto" w:fill="EBEBEC"/>
          </w:tcPr>
          <w:p>
            <w:pPr>
              <w:jc w:val="center"/>
              <w:ind w:right="630"/>
              <w:spacing w:after="0" w:line="202" w:lineRule="exact"/>
              <w:rPr>
                <w:sz w:val="20"/>
                <w:szCs w:val="20"/>
                <w:color w:val="auto"/>
              </w:rPr>
            </w:pPr>
            <w:r>
              <w:rPr>
                <w:rFonts w:ascii="Arial" w:cs="Arial" w:eastAsia="Arial" w:hAnsi="Arial"/>
                <w:sz w:val="18"/>
                <w:szCs w:val="18"/>
                <w:color w:val="auto"/>
                <w:w w:val="99"/>
              </w:rPr>
              <w:t>2024 PSU Award</w:t>
            </w:r>
          </w:p>
        </w:tc>
        <w:tc>
          <w:tcPr>
            <w:tcW w:w="1380" w:type="dxa"/>
            <w:vAlign w:val="bottom"/>
            <w:shd w:val="clear" w:color="auto" w:fill="EBEBEC"/>
          </w:tcPr>
          <w:p>
            <w:pPr>
              <w:jc w:val="center"/>
              <w:spacing w:after="0" w:line="202" w:lineRule="exact"/>
              <w:rPr>
                <w:sz w:val="20"/>
                <w:szCs w:val="20"/>
                <w:color w:val="auto"/>
              </w:rPr>
            </w:pPr>
            <w:r>
              <w:rPr>
                <w:rFonts w:ascii="Arial" w:cs="Arial" w:eastAsia="Arial" w:hAnsi="Arial"/>
                <w:sz w:val="18"/>
                <w:szCs w:val="18"/>
                <w:color w:val="auto"/>
                <w:w w:val="99"/>
              </w:rPr>
              <w:t>$3,060,000</w:t>
            </w:r>
          </w:p>
        </w:tc>
        <w:tc>
          <w:tcPr>
            <w:tcW w:w="2600" w:type="dxa"/>
            <w:vAlign w:val="bottom"/>
            <w:gridSpan w:val="2"/>
            <w:shd w:val="clear" w:color="auto" w:fill="EBEBEC"/>
          </w:tcPr>
          <w:p>
            <w:pPr>
              <w:jc w:val="center"/>
              <w:ind w:left="616"/>
              <w:spacing w:after="0" w:line="202" w:lineRule="exact"/>
              <w:rPr>
                <w:sz w:val="20"/>
                <w:szCs w:val="20"/>
                <w:color w:val="auto"/>
              </w:rPr>
            </w:pPr>
            <w:r>
              <w:rPr>
                <w:rFonts w:ascii="Arial" w:cs="Arial" w:eastAsia="Arial" w:hAnsi="Arial"/>
                <w:sz w:val="18"/>
                <w:szCs w:val="18"/>
                <w:color w:val="auto"/>
                <w:w w:val="98"/>
              </w:rPr>
              <w:t>58,054</w:t>
            </w:r>
          </w:p>
        </w:tc>
        <w:tc>
          <w:tcPr>
            <w:tcW w:w="60" w:type="dxa"/>
            <w:vAlign w:val="bottom"/>
          </w:tcPr>
          <w:p>
            <w:pPr>
              <w:spacing w:after="0"/>
              <w:rPr>
                <w:sz w:val="17"/>
                <w:szCs w:val="17"/>
                <w:color w:val="auto"/>
              </w:rPr>
            </w:pPr>
          </w:p>
        </w:tc>
      </w:tr>
      <w:tr>
        <w:trPr>
          <w:trHeight w:val="386"/>
        </w:trPr>
        <w:tc>
          <w:tcPr>
            <w:tcW w:w="80" w:type="dxa"/>
            <w:vAlign w:val="bottom"/>
          </w:tcPr>
          <w:p>
            <w:pPr>
              <w:spacing w:after="0"/>
              <w:rPr>
                <w:sz w:val="24"/>
                <w:szCs w:val="24"/>
                <w:color w:val="auto"/>
              </w:rPr>
            </w:pPr>
          </w:p>
        </w:tc>
        <w:tc>
          <w:tcPr>
            <w:tcW w:w="3900" w:type="dxa"/>
            <w:vAlign w:val="bottom"/>
            <w:tcBorders>
              <w:right w:val="single" w:sz="8" w:color="EBEBEC"/>
            </w:tcBorders>
            <w:shd w:val="clear" w:color="auto" w:fill="EBEBEC"/>
          </w:tcPr>
          <w:p>
            <w:pPr>
              <w:ind w:left="120"/>
              <w:spacing w:after="0"/>
              <w:rPr>
                <w:sz w:val="20"/>
                <w:szCs w:val="20"/>
                <w:color w:val="auto"/>
              </w:rPr>
            </w:pPr>
            <w:r>
              <w:rPr>
                <w:rFonts w:ascii="Arial" w:cs="Arial" w:eastAsia="Arial" w:hAnsi="Arial"/>
                <w:sz w:val="18"/>
                <w:szCs w:val="18"/>
                <w:b w:val="1"/>
                <w:bCs w:val="1"/>
                <w:color w:val="auto"/>
              </w:rPr>
              <w:t>Manuela ("Nelly") Molina</w:t>
            </w:r>
          </w:p>
        </w:tc>
        <w:tc>
          <w:tcPr>
            <w:tcW w:w="3220" w:type="dxa"/>
            <w:vAlign w:val="bottom"/>
            <w:shd w:val="clear" w:color="auto" w:fill="EBEBEC"/>
          </w:tcPr>
          <w:p>
            <w:pPr>
              <w:jc w:val="center"/>
              <w:ind w:right="630"/>
              <w:spacing w:after="0"/>
              <w:rPr>
                <w:sz w:val="20"/>
                <w:szCs w:val="20"/>
                <w:color w:val="auto"/>
              </w:rPr>
            </w:pPr>
            <w:r>
              <w:rPr>
                <w:rFonts w:ascii="Arial" w:cs="Arial" w:eastAsia="Arial" w:hAnsi="Arial"/>
                <w:sz w:val="18"/>
                <w:szCs w:val="18"/>
                <w:color w:val="auto"/>
                <w:w w:val="99"/>
              </w:rPr>
              <w:t>2024 RSU Award</w:t>
            </w:r>
          </w:p>
        </w:tc>
        <w:tc>
          <w:tcPr>
            <w:tcW w:w="138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8"/>
              </w:rPr>
              <w:t>$915,200</w:t>
            </w:r>
          </w:p>
        </w:tc>
        <w:tc>
          <w:tcPr>
            <w:tcW w:w="720" w:type="dxa"/>
            <w:vAlign w:val="bottom"/>
            <w:tcBorders>
              <w:right w:val="single" w:sz="8" w:color="EBEBEC"/>
            </w:tcBorders>
            <w:shd w:val="clear" w:color="auto" w:fill="EBEBEC"/>
          </w:tcPr>
          <w:p>
            <w:pPr>
              <w:spacing w:after="0"/>
              <w:rPr>
                <w:sz w:val="24"/>
                <w:szCs w:val="24"/>
                <w:color w:val="auto"/>
              </w:rPr>
            </w:pPr>
          </w:p>
        </w:tc>
        <w:tc>
          <w:tcPr>
            <w:tcW w:w="188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8"/>
              </w:rPr>
              <w:t>17,363</w:t>
            </w:r>
          </w:p>
        </w:tc>
        <w:tc>
          <w:tcPr>
            <w:tcW w:w="60" w:type="dxa"/>
            <w:vAlign w:val="bottom"/>
          </w:tcPr>
          <w:p>
            <w:pPr>
              <w:spacing w:after="0"/>
              <w:rPr>
                <w:sz w:val="24"/>
                <w:szCs w:val="24"/>
                <w:color w:val="auto"/>
              </w:rPr>
            </w:pPr>
          </w:p>
        </w:tc>
      </w:tr>
      <w:tr>
        <w:trPr>
          <w:trHeight w:val="239"/>
        </w:trPr>
        <w:tc>
          <w:tcPr>
            <w:tcW w:w="80" w:type="dxa"/>
            <w:vAlign w:val="bottom"/>
          </w:tcPr>
          <w:p>
            <w:pPr>
              <w:spacing w:after="0"/>
              <w:rPr>
                <w:sz w:val="20"/>
                <w:szCs w:val="20"/>
                <w:color w:val="auto"/>
              </w:rPr>
            </w:pPr>
          </w:p>
        </w:tc>
        <w:tc>
          <w:tcPr>
            <w:tcW w:w="3900" w:type="dxa"/>
            <w:vAlign w:val="bottom"/>
            <w:tcBorders>
              <w:right w:val="single" w:sz="8" w:color="EBEBEC"/>
            </w:tcBorders>
            <w:shd w:val="clear" w:color="auto" w:fill="EBEBEC"/>
          </w:tcPr>
          <w:p>
            <w:pPr>
              <w:spacing w:after="0"/>
              <w:rPr>
                <w:sz w:val="20"/>
                <w:szCs w:val="20"/>
                <w:color w:val="auto"/>
              </w:rPr>
            </w:pPr>
          </w:p>
        </w:tc>
        <w:tc>
          <w:tcPr>
            <w:tcW w:w="3220" w:type="dxa"/>
            <w:vAlign w:val="bottom"/>
            <w:shd w:val="clear" w:color="auto" w:fill="EBEBEC"/>
          </w:tcPr>
          <w:p>
            <w:pPr>
              <w:jc w:val="center"/>
              <w:ind w:right="630"/>
              <w:spacing w:after="0"/>
              <w:rPr>
                <w:sz w:val="20"/>
                <w:szCs w:val="20"/>
                <w:color w:val="auto"/>
              </w:rPr>
            </w:pPr>
            <w:r>
              <w:rPr>
                <w:rFonts w:ascii="Arial" w:cs="Arial" w:eastAsia="Arial" w:hAnsi="Arial"/>
                <w:sz w:val="18"/>
                <w:szCs w:val="18"/>
                <w:color w:val="auto"/>
                <w:w w:val="99"/>
              </w:rPr>
              <w:t>2024 PSU Award</w:t>
            </w:r>
          </w:p>
        </w:tc>
        <w:tc>
          <w:tcPr>
            <w:tcW w:w="138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9"/>
              </w:rPr>
              <w:t>$1,372,800</w:t>
            </w:r>
          </w:p>
        </w:tc>
        <w:tc>
          <w:tcPr>
            <w:tcW w:w="720" w:type="dxa"/>
            <w:vAlign w:val="bottom"/>
            <w:tcBorders>
              <w:right w:val="single" w:sz="8" w:color="EBEBEC"/>
            </w:tcBorders>
            <w:shd w:val="clear" w:color="auto" w:fill="EBEBEC"/>
          </w:tcPr>
          <w:p>
            <w:pPr>
              <w:spacing w:after="0"/>
              <w:rPr>
                <w:sz w:val="20"/>
                <w:szCs w:val="20"/>
                <w:color w:val="auto"/>
              </w:rPr>
            </w:pPr>
          </w:p>
        </w:tc>
        <w:tc>
          <w:tcPr>
            <w:tcW w:w="188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8"/>
              </w:rPr>
              <w:t>26,044</w:t>
            </w:r>
          </w:p>
        </w:tc>
        <w:tc>
          <w:tcPr>
            <w:tcW w:w="60" w:type="dxa"/>
            <w:vAlign w:val="bottom"/>
          </w:tcPr>
          <w:p>
            <w:pPr>
              <w:spacing w:after="0"/>
              <w:rPr>
                <w:sz w:val="20"/>
                <w:szCs w:val="20"/>
                <w:color w:val="auto"/>
              </w:rPr>
            </w:pPr>
          </w:p>
        </w:tc>
      </w:tr>
      <w:tr>
        <w:trPr>
          <w:trHeight w:val="369"/>
        </w:trPr>
        <w:tc>
          <w:tcPr>
            <w:tcW w:w="80" w:type="dxa"/>
            <w:vAlign w:val="bottom"/>
          </w:tcPr>
          <w:p>
            <w:pPr>
              <w:spacing w:after="0"/>
              <w:rPr>
                <w:sz w:val="24"/>
                <w:szCs w:val="24"/>
                <w:color w:val="auto"/>
              </w:rPr>
            </w:pPr>
          </w:p>
        </w:tc>
        <w:tc>
          <w:tcPr>
            <w:tcW w:w="3900" w:type="dxa"/>
            <w:vAlign w:val="bottom"/>
            <w:tcBorders>
              <w:right w:val="single" w:sz="8" w:color="EBEBEC"/>
            </w:tcBorders>
            <w:shd w:val="clear" w:color="auto" w:fill="EBEBEC"/>
          </w:tcPr>
          <w:p>
            <w:pPr>
              <w:ind w:left="120"/>
              <w:spacing w:after="0"/>
              <w:rPr>
                <w:sz w:val="20"/>
                <w:szCs w:val="20"/>
                <w:color w:val="auto"/>
              </w:rPr>
            </w:pPr>
            <w:r>
              <w:rPr>
                <w:rFonts w:ascii="Arial" w:cs="Arial" w:eastAsia="Arial" w:hAnsi="Arial"/>
                <w:sz w:val="18"/>
                <w:szCs w:val="18"/>
                <w:b w:val="1"/>
                <w:bCs w:val="1"/>
                <w:color w:val="auto"/>
              </w:rPr>
              <w:t>Jay A. Bys</w:t>
            </w:r>
          </w:p>
        </w:tc>
        <w:tc>
          <w:tcPr>
            <w:tcW w:w="3220" w:type="dxa"/>
            <w:vAlign w:val="bottom"/>
            <w:shd w:val="clear" w:color="auto" w:fill="EBEBEC"/>
          </w:tcPr>
          <w:p>
            <w:pPr>
              <w:jc w:val="center"/>
              <w:ind w:right="630"/>
              <w:spacing w:after="0"/>
              <w:rPr>
                <w:sz w:val="20"/>
                <w:szCs w:val="20"/>
                <w:color w:val="auto"/>
              </w:rPr>
            </w:pPr>
            <w:r>
              <w:rPr>
                <w:rFonts w:ascii="Arial" w:cs="Arial" w:eastAsia="Arial" w:hAnsi="Arial"/>
                <w:sz w:val="18"/>
                <w:szCs w:val="18"/>
                <w:color w:val="auto"/>
                <w:w w:val="99"/>
              </w:rPr>
              <w:t>2024 RSU Award</w:t>
            </w:r>
          </w:p>
        </w:tc>
        <w:tc>
          <w:tcPr>
            <w:tcW w:w="138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8"/>
              </w:rPr>
              <w:t>$896,000</w:t>
            </w:r>
          </w:p>
        </w:tc>
        <w:tc>
          <w:tcPr>
            <w:tcW w:w="720" w:type="dxa"/>
            <w:vAlign w:val="bottom"/>
            <w:tcBorders>
              <w:right w:val="single" w:sz="8" w:color="EBEBEC"/>
            </w:tcBorders>
            <w:shd w:val="clear" w:color="auto" w:fill="EBEBEC"/>
          </w:tcPr>
          <w:p>
            <w:pPr>
              <w:spacing w:after="0"/>
              <w:rPr>
                <w:sz w:val="24"/>
                <w:szCs w:val="24"/>
                <w:color w:val="auto"/>
              </w:rPr>
            </w:pPr>
          </w:p>
        </w:tc>
        <w:tc>
          <w:tcPr>
            <w:tcW w:w="188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8"/>
              </w:rPr>
              <w:t>17,059</w:t>
            </w:r>
          </w:p>
        </w:tc>
        <w:tc>
          <w:tcPr>
            <w:tcW w:w="60" w:type="dxa"/>
            <w:vAlign w:val="bottom"/>
          </w:tcPr>
          <w:p>
            <w:pPr>
              <w:spacing w:after="0"/>
              <w:rPr>
                <w:sz w:val="24"/>
                <w:szCs w:val="24"/>
                <w:color w:val="auto"/>
              </w:rPr>
            </w:pPr>
          </w:p>
        </w:tc>
      </w:tr>
      <w:tr>
        <w:trPr>
          <w:trHeight w:val="239"/>
        </w:trPr>
        <w:tc>
          <w:tcPr>
            <w:tcW w:w="80" w:type="dxa"/>
            <w:vAlign w:val="bottom"/>
          </w:tcPr>
          <w:p>
            <w:pPr>
              <w:spacing w:after="0"/>
              <w:rPr>
                <w:sz w:val="20"/>
                <w:szCs w:val="20"/>
                <w:color w:val="auto"/>
              </w:rPr>
            </w:pPr>
          </w:p>
        </w:tc>
        <w:tc>
          <w:tcPr>
            <w:tcW w:w="3900" w:type="dxa"/>
            <w:vAlign w:val="bottom"/>
            <w:tcBorders>
              <w:right w:val="single" w:sz="8" w:color="EBEBEC"/>
            </w:tcBorders>
            <w:shd w:val="clear" w:color="auto" w:fill="EBEBEC"/>
          </w:tcPr>
          <w:p>
            <w:pPr>
              <w:spacing w:after="0"/>
              <w:rPr>
                <w:sz w:val="20"/>
                <w:szCs w:val="20"/>
                <w:color w:val="auto"/>
              </w:rPr>
            </w:pPr>
          </w:p>
        </w:tc>
        <w:tc>
          <w:tcPr>
            <w:tcW w:w="3220" w:type="dxa"/>
            <w:vAlign w:val="bottom"/>
            <w:shd w:val="clear" w:color="auto" w:fill="EBEBEC"/>
          </w:tcPr>
          <w:p>
            <w:pPr>
              <w:jc w:val="center"/>
              <w:ind w:right="630"/>
              <w:spacing w:after="0"/>
              <w:rPr>
                <w:sz w:val="20"/>
                <w:szCs w:val="20"/>
                <w:color w:val="auto"/>
              </w:rPr>
            </w:pPr>
            <w:r>
              <w:rPr>
                <w:rFonts w:ascii="Arial" w:cs="Arial" w:eastAsia="Arial" w:hAnsi="Arial"/>
                <w:sz w:val="18"/>
                <w:szCs w:val="18"/>
                <w:color w:val="auto"/>
                <w:w w:val="99"/>
              </w:rPr>
              <w:t>2024 PSU Award</w:t>
            </w:r>
          </w:p>
        </w:tc>
        <w:tc>
          <w:tcPr>
            <w:tcW w:w="138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9"/>
              </w:rPr>
              <w:t>$1,344,000</w:t>
            </w:r>
          </w:p>
        </w:tc>
        <w:tc>
          <w:tcPr>
            <w:tcW w:w="720" w:type="dxa"/>
            <w:vAlign w:val="bottom"/>
            <w:tcBorders>
              <w:right w:val="single" w:sz="8" w:color="EBEBEC"/>
            </w:tcBorders>
            <w:shd w:val="clear" w:color="auto" w:fill="EBEBEC"/>
          </w:tcPr>
          <w:p>
            <w:pPr>
              <w:spacing w:after="0"/>
              <w:rPr>
                <w:sz w:val="20"/>
                <w:szCs w:val="20"/>
                <w:color w:val="auto"/>
              </w:rPr>
            </w:pPr>
          </w:p>
        </w:tc>
        <w:tc>
          <w:tcPr>
            <w:tcW w:w="188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8"/>
              </w:rPr>
              <w:t>25,589</w:t>
            </w:r>
          </w:p>
        </w:tc>
        <w:tc>
          <w:tcPr>
            <w:tcW w:w="60" w:type="dxa"/>
            <w:vAlign w:val="bottom"/>
          </w:tcPr>
          <w:p>
            <w:pPr>
              <w:spacing w:after="0"/>
              <w:rPr>
                <w:sz w:val="20"/>
                <w:szCs w:val="20"/>
                <w:color w:val="auto"/>
              </w:rPr>
            </w:pPr>
          </w:p>
        </w:tc>
      </w:tr>
      <w:tr>
        <w:trPr>
          <w:trHeight w:val="369"/>
        </w:trPr>
        <w:tc>
          <w:tcPr>
            <w:tcW w:w="80" w:type="dxa"/>
            <w:vAlign w:val="bottom"/>
          </w:tcPr>
          <w:p>
            <w:pPr>
              <w:spacing w:after="0"/>
              <w:rPr>
                <w:sz w:val="24"/>
                <w:szCs w:val="24"/>
                <w:color w:val="auto"/>
              </w:rPr>
            </w:pPr>
          </w:p>
        </w:tc>
        <w:tc>
          <w:tcPr>
            <w:tcW w:w="3900" w:type="dxa"/>
            <w:vAlign w:val="bottom"/>
            <w:tcBorders>
              <w:right w:val="single" w:sz="8" w:color="EBEBEC"/>
            </w:tcBorders>
            <w:shd w:val="clear" w:color="auto" w:fill="EBEBEC"/>
          </w:tcPr>
          <w:p>
            <w:pPr>
              <w:ind w:left="120"/>
              <w:spacing w:after="0"/>
              <w:rPr>
                <w:sz w:val="20"/>
                <w:szCs w:val="20"/>
                <w:color w:val="auto"/>
              </w:rPr>
            </w:pPr>
            <w:r>
              <w:rPr>
                <w:rFonts w:ascii="Arial" w:cs="Arial" w:eastAsia="Arial" w:hAnsi="Arial"/>
                <w:sz w:val="18"/>
                <w:szCs w:val="18"/>
                <w:b w:val="1"/>
                <w:bCs w:val="1"/>
                <w:color w:val="auto"/>
              </w:rPr>
              <w:t>Chris D. Gould</w:t>
            </w:r>
          </w:p>
        </w:tc>
        <w:tc>
          <w:tcPr>
            <w:tcW w:w="3220" w:type="dxa"/>
            <w:vAlign w:val="bottom"/>
            <w:shd w:val="clear" w:color="auto" w:fill="EBEBEC"/>
          </w:tcPr>
          <w:p>
            <w:pPr>
              <w:jc w:val="center"/>
              <w:ind w:right="630"/>
              <w:spacing w:after="0"/>
              <w:rPr>
                <w:sz w:val="20"/>
                <w:szCs w:val="20"/>
                <w:color w:val="auto"/>
              </w:rPr>
            </w:pPr>
            <w:r>
              <w:rPr>
                <w:rFonts w:ascii="Arial" w:cs="Arial" w:eastAsia="Arial" w:hAnsi="Arial"/>
                <w:sz w:val="18"/>
                <w:szCs w:val="18"/>
                <w:color w:val="auto"/>
                <w:w w:val="99"/>
              </w:rPr>
              <w:t>2024 RSU Award</w:t>
            </w:r>
          </w:p>
        </w:tc>
        <w:tc>
          <w:tcPr>
            <w:tcW w:w="138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8"/>
              </w:rPr>
              <w:t>$984,000</w:t>
            </w:r>
          </w:p>
        </w:tc>
        <w:tc>
          <w:tcPr>
            <w:tcW w:w="720" w:type="dxa"/>
            <w:vAlign w:val="bottom"/>
            <w:tcBorders>
              <w:right w:val="single" w:sz="8" w:color="EBEBEC"/>
            </w:tcBorders>
            <w:shd w:val="clear" w:color="auto" w:fill="EBEBEC"/>
          </w:tcPr>
          <w:p>
            <w:pPr>
              <w:spacing w:after="0"/>
              <w:rPr>
                <w:sz w:val="24"/>
                <w:szCs w:val="24"/>
                <w:color w:val="auto"/>
              </w:rPr>
            </w:pPr>
          </w:p>
        </w:tc>
        <w:tc>
          <w:tcPr>
            <w:tcW w:w="188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8"/>
              </w:rPr>
              <w:t>18,668</w:t>
            </w:r>
          </w:p>
        </w:tc>
        <w:tc>
          <w:tcPr>
            <w:tcW w:w="60" w:type="dxa"/>
            <w:vAlign w:val="bottom"/>
          </w:tcPr>
          <w:p>
            <w:pPr>
              <w:spacing w:after="0"/>
              <w:rPr>
                <w:sz w:val="24"/>
                <w:szCs w:val="24"/>
                <w:color w:val="auto"/>
              </w:rPr>
            </w:pPr>
          </w:p>
        </w:tc>
      </w:tr>
      <w:tr>
        <w:trPr>
          <w:trHeight w:val="239"/>
        </w:trPr>
        <w:tc>
          <w:tcPr>
            <w:tcW w:w="80" w:type="dxa"/>
            <w:vAlign w:val="bottom"/>
          </w:tcPr>
          <w:p>
            <w:pPr>
              <w:spacing w:after="0"/>
              <w:rPr>
                <w:sz w:val="20"/>
                <w:szCs w:val="20"/>
                <w:color w:val="auto"/>
              </w:rPr>
            </w:pPr>
          </w:p>
        </w:tc>
        <w:tc>
          <w:tcPr>
            <w:tcW w:w="3900" w:type="dxa"/>
            <w:vAlign w:val="bottom"/>
            <w:tcBorders>
              <w:right w:val="single" w:sz="8" w:color="EBEBEC"/>
            </w:tcBorders>
            <w:shd w:val="clear" w:color="auto" w:fill="EBEBEC"/>
          </w:tcPr>
          <w:p>
            <w:pPr>
              <w:spacing w:after="0"/>
              <w:rPr>
                <w:sz w:val="20"/>
                <w:szCs w:val="20"/>
                <w:color w:val="auto"/>
              </w:rPr>
            </w:pPr>
          </w:p>
        </w:tc>
        <w:tc>
          <w:tcPr>
            <w:tcW w:w="3220" w:type="dxa"/>
            <w:vAlign w:val="bottom"/>
            <w:shd w:val="clear" w:color="auto" w:fill="EBEBEC"/>
          </w:tcPr>
          <w:p>
            <w:pPr>
              <w:jc w:val="center"/>
              <w:ind w:right="630"/>
              <w:spacing w:after="0"/>
              <w:rPr>
                <w:sz w:val="20"/>
                <w:szCs w:val="20"/>
                <w:color w:val="auto"/>
              </w:rPr>
            </w:pPr>
            <w:r>
              <w:rPr>
                <w:rFonts w:ascii="Arial" w:cs="Arial" w:eastAsia="Arial" w:hAnsi="Arial"/>
                <w:sz w:val="18"/>
                <w:szCs w:val="18"/>
                <w:color w:val="auto"/>
                <w:w w:val="99"/>
              </w:rPr>
              <w:t>2024 PSU Award</w:t>
            </w:r>
          </w:p>
        </w:tc>
        <w:tc>
          <w:tcPr>
            <w:tcW w:w="138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9"/>
              </w:rPr>
              <w:t>$1,476,000</w:t>
            </w:r>
          </w:p>
        </w:tc>
        <w:tc>
          <w:tcPr>
            <w:tcW w:w="720" w:type="dxa"/>
            <w:vAlign w:val="bottom"/>
            <w:tcBorders>
              <w:right w:val="single" w:sz="8" w:color="EBEBEC"/>
            </w:tcBorders>
            <w:shd w:val="clear" w:color="auto" w:fill="EBEBEC"/>
          </w:tcPr>
          <w:p>
            <w:pPr>
              <w:spacing w:after="0"/>
              <w:rPr>
                <w:sz w:val="20"/>
                <w:szCs w:val="20"/>
                <w:color w:val="auto"/>
              </w:rPr>
            </w:pPr>
          </w:p>
        </w:tc>
        <w:tc>
          <w:tcPr>
            <w:tcW w:w="188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8"/>
              </w:rPr>
              <w:t>28,002</w:t>
            </w:r>
          </w:p>
        </w:tc>
        <w:tc>
          <w:tcPr>
            <w:tcW w:w="60" w:type="dxa"/>
            <w:vAlign w:val="bottom"/>
          </w:tcPr>
          <w:p>
            <w:pPr>
              <w:spacing w:after="0"/>
              <w:rPr>
                <w:sz w:val="20"/>
                <w:szCs w:val="20"/>
                <w:color w:val="auto"/>
              </w:rPr>
            </w:pPr>
          </w:p>
        </w:tc>
      </w:tr>
      <w:tr>
        <w:trPr>
          <w:trHeight w:val="369"/>
        </w:trPr>
        <w:tc>
          <w:tcPr>
            <w:tcW w:w="80" w:type="dxa"/>
            <w:vAlign w:val="bottom"/>
          </w:tcPr>
          <w:p>
            <w:pPr>
              <w:spacing w:after="0"/>
              <w:rPr>
                <w:sz w:val="24"/>
                <w:szCs w:val="24"/>
                <w:color w:val="auto"/>
              </w:rPr>
            </w:pPr>
          </w:p>
        </w:tc>
        <w:tc>
          <w:tcPr>
            <w:tcW w:w="3900" w:type="dxa"/>
            <w:vAlign w:val="bottom"/>
            <w:tcBorders>
              <w:right w:val="single" w:sz="8" w:color="EBEBEC"/>
            </w:tcBorders>
            <w:shd w:val="clear" w:color="auto" w:fill="EBEBEC"/>
          </w:tcPr>
          <w:p>
            <w:pPr>
              <w:ind w:left="120"/>
              <w:spacing w:after="0"/>
              <w:rPr>
                <w:sz w:val="20"/>
                <w:szCs w:val="20"/>
                <w:color w:val="auto"/>
              </w:rPr>
            </w:pPr>
            <w:r>
              <w:rPr>
                <w:rFonts w:ascii="Arial" w:cs="Arial" w:eastAsia="Arial" w:hAnsi="Arial"/>
                <w:sz w:val="18"/>
                <w:szCs w:val="18"/>
                <w:b w:val="1"/>
                <w:bCs w:val="1"/>
                <w:color w:val="auto"/>
              </w:rPr>
              <w:t>Michael L. Preston</w:t>
            </w:r>
          </w:p>
        </w:tc>
        <w:tc>
          <w:tcPr>
            <w:tcW w:w="3220" w:type="dxa"/>
            <w:vAlign w:val="bottom"/>
            <w:shd w:val="clear" w:color="auto" w:fill="EBEBEC"/>
          </w:tcPr>
          <w:p>
            <w:pPr>
              <w:jc w:val="center"/>
              <w:ind w:right="630"/>
              <w:spacing w:after="0"/>
              <w:rPr>
                <w:sz w:val="20"/>
                <w:szCs w:val="20"/>
                <w:color w:val="auto"/>
              </w:rPr>
            </w:pPr>
            <w:r>
              <w:rPr>
                <w:rFonts w:ascii="Arial" w:cs="Arial" w:eastAsia="Arial" w:hAnsi="Arial"/>
                <w:sz w:val="18"/>
                <w:szCs w:val="18"/>
                <w:color w:val="auto"/>
                <w:w w:val="99"/>
              </w:rPr>
              <w:t>2024 RSU Award</w:t>
            </w:r>
          </w:p>
        </w:tc>
        <w:tc>
          <w:tcPr>
            <w:tcW w:w="138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9"/>
              </w:rPr>
              <w:t>$1,000,000</w:t>
            </w:r>
          </w:p>
        </w:tc>
        <w:tc>
          <w:tcPr>
            <w:tcW w:w="720" w:type="dxa"/>
            <w:vAlign w:val="bottom"/>
            <w:tcBorders>
              <w:right w:val="single" w:sz="8" w:color="EBEBEC"/>
            </w:tcBorders>
            <w:shd w:val="clear" w:color="auto" w:fill="EBEBEC"/>
          </w:tcPr>
          <w:p>
            <w:pPr>
              <w:spacing w:after="0"/>
              <w:rPr>
                <w:sz w:val="24"/>
                <w:szCs w:val="24"/>
                <w:color w:val="auto"/>
              </w:rPr>
            </w:pPr>
          </w:p>
        </w:tc>
        <w:tc>
          <w:tcPr>
            <w:tcW w:w="188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8"/>
              </w:rPr>
              <w:t>18,972</w:t>
            </w:r>
          </w:p>
        </w:tc>
        <w:tc>
          <w:tcPr>
            <w:tcW w:w="60" w:type="dxa"/>
            <w:vAlign w:val="bottom"/>
          </w:tcPr>
          <w:p>
            <w:pPr>
              <w:spacing w:after="0"/>
              <w:rPr>
                <w:sz w:val="24"/>
                <w:szCs w:val="24"/>
                <w:color w:val="auto"/>
              </w:rPr>
            </w:pPr>
          </w:p>
        </w:tc>
      </w:tr>
      <w:tr>
        <w:trPr>
          <w:trHeight w:val="221"/>
        </w:trPr>
        <w:tc>
          <w:tcPr>
            <w:tcW w:w="80" w:type="dxa"/>
            <w:vAlign w:val="bottom"/>
          </w:tcPr>
          <w:p>
            <w:pPr>
              <w:spacing w:after="0"/>
              <w:rPr>
                <w:sz w:val="19"/>
                <w:szCs w:val="19"/>
                <w:color w:val="auto"/>
              </w:rPr>
            </w:pPr>
          </w:p>
        </w:tc>
        <w:tc>
          <w:tcPr>
            <w:tcW w:w="3900" w:type="dxa"/>
            <w:vAlign w:val="bottom"/>
            <w:tcBorders>
              <w:right w:val="single" w:sz="8" w:color="EBEBEC"/>
            </w:tcBorders>
            <w:shd w:val="clear" w:color="auto" w:fill="EBEBEC"/>
          </w:tcPr>
          <w:p>
            <w:pPr>
              <w:spacing w:after="0"/>
              <w:rPr>
                <w:sz w:val="19"/>
                <w:szCs w:val="19"/>
                <w:color w:val="auto"/>
              </w:rPr>
            </w:pPr>
          </w:p>
        </w:tc>
        <w:tc>
          <w:tcPr>
            <w:tcW w:w="3220" w:type="dxa"/>
            <w:vAlign w:val="bottom"/>
            <w:shd w:val="clear" w:color="auto" w:fill="EBEBEC"/>
          </w:tcPr>
          <w:p>
            <w:pPr>
              <w:jc w:val="center"/>
              <w:ind w:right="630"/>
              <w:spacing w:after="0"/>
              <w:rPr>
                <w:sz w:val="20"/>
                <w:szCs w:val="20"/>
                <w:color w:val="auto"/>
              </w:rPr>
            </w:pPr>
            <w:r>
              <w:rPr>
                <w:rFonts w:ascii="Arial" w:cs="Arial" w:eastAsia="Arial" w:hAnsi="Arial"/>
                <w:sz w:val="18"/>
                <w:szCs w:val="18"/>
                <w:color w:val="auto"/>
                <w:w w:val="99"/>
              </w:rPr>
              <w:t>2024 PSU Award</w:t>
            </w:r>
          </w:p>
        </w:tc>
        <w:tc>
          <w:tcPr>
            <w:tcW w:w="138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9"/>
              </w:rPr>
              <w:t>$1,500,000</w:t>
            </w:r>
          </w:p>
        </w:tc>
        <w:tc>
          <w:tcPr>
            <w:tcW w:w="720" w:type="dxa"/>
            <w:vAlign w:val="bottom"/>
            <w:tcBorders>
              <w:right w:val="single" w:sz="8" w:color="EBEBEC"/>
            </w:tcBorders>
            <w:shd w:val="clear" w:color="auto" w:fill="EBEBEC"/>
          </w:tcPr>
          <w:p>
            <w:pPr>
              <w:spacing w:after="0"/>
              <w:rPr>
                <w:sz w:val="19"/>
                <w:szCs w:val="19"/>
                <w:color w:val="auto"/>
              </w:rPr>
            </w:pPr>
          </w:p>
        </w:tc>
        <w:tc>
          <w:tcPr>
            <w:tcW w:w="188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8"/>
              </w:rPr>
              <w:t>28,458</w:t>
            </w:r>
          </w:p>
        </w:tc>
        <w:tc>
          <w:tcPr>
            <w:tcW w:w="60" w:type="dxa"/>
            <w:vAlign w:val="bottom"/>
          </w:tcPr>
          <w:p>
            <w:pPr>
              <w:spacing w:after="0"/>
              <w:rPr>
                <w:sz w:val="19"/>
                <w:szCs w:val="19"/>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Restricted Stock Unit Awards</w:t>
      </w:r>
    </w:p>
    <w:p>
      <w:pPr>
        <w:spacing w:after="0" w:line="50"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The 2024 Restricted Stock Unit awards (“</w:t>
      </w:r>
      <w:r>
        <w:rPr>
          <w:rFonts w:ascii="Arial" w:cs="Arial" w:eastAsia="Arial" w:hAnsi="Arial"/>
          <w:sz w:val="18"/>
          <w:szCs w:val="18"/>
          <w:b w:val="1"/>
          <w:bCs w:val="1"/>
          <w:color w:val="auto"/>
        </w:rPr>
        <w:t>2024 RSU Awards</w:t>
      </w:r>
      <w:r>
        <w:rPr>
          <w:rFonts w:ascii="Arial" w:cs="Arial" w:eastAsia="Arial" w:hAnsi="Arial"/>
          <w:sz w:val="18"/>
          <w:szCs w:val="18"/>
          <w:color w:val="auto"/>
        </w:rPr>
        <w:t>”) are stock-based and stock-settled long-term incentive awards primarily intended to promote retention and enhance alignment with stockholder interests through development of ownership in the Company with time-vested payouts. The 2024 RSU Awards generally vest on the anniversary dates of the grant date. The delivery of vested shares occurs immediately after each applicable vesting date. Dividend equivalents are accumulated and paid at the time shares are delivered.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Performance Stock Unit Awards</w:t>
      </w:r>
    </w:p>
    <w:p>
      <w:pPr>
        <w:spacing w:after="0" w:line="50"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The 2024 Performance Stock Unit awards (“</w:t>
      </w:r>
      <w:r>
        <w:rPr>
          <w:rFonts w:ascii="Arial" w:cs="Arial" w:eastAsia="Arial" w:hAnsi="Arial"/>
          <w:sz w:val="18"/>
          <w:szCs w:val="18"/>
          <w:b w:val="1"/>
          <w:bCs w:val="1"/>
          <w:color w:val="auto"/>
        </w:rPr>
        <w:t>2024 PSU Awards</w:t>
      </w:r>
      <w:r>
        <w:rPr>
          <w:rFonts w:ascii="Arial" w:cs="Arial" w:eastAsia="Arial" w:hAnsi="Arial"/>
          <w:sz w:val="18"/>
          <w:szCs w:val="18"/>
          <w:color w:val="auto"/>
        </w:rPr>
        <w:t>”) are stock-based and stock-settled long-term incentive with performance measures based on the Company's cumulative Total Shareholder Return (“</w:t>
      </w:r>
      <w:r>
        <w:rPr>
          <w:rFonts w:ascii="Arial" w:cs="Arial" w:eastAsia="Arial" w:hAnsi="Arial"/>
          <w:sz w:val="18"/>
          <w:szCs w:val="18"/>
          <w:b w:val="1"/>
          <w:bCs w:val="1"/>
          <w:color w:val="auto"/>
        </w:rPr>
        <w:t>TSR”</w:t>
      </w:r>
      <w:r>
        <w:rPr>
          <w:rFonts w:ascii="Arial" w:cs="Arial" w:eastAsia="Arial" w:hAnsi="Arial"/>
          <w:sz w:val="18"/>
          <w:szCs w:val="18"/>
          <w:color w:val="auto"/>
        </w:rPr>
        <w:t>) and the Company's TSR relative the TSR of the companies included in the XOP index.</w:t>
      </w:r>
    </w:p>
    <w:p>
      <w:pPr>
        <w:spacing w:after="0" w:line="263"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The 2024 PSU Awards generally vest on the third anniversary of the grant date. Payouts can range from 0% to 200% of the target PSUs awarded, based on the performance level attained during the performance period according to the payout matrices below. The performance period runs from January 1, 2024 through December 31, 2026. Delivery of earned shares occurs after the vesting date following the Compensation Committee's certification of the performance level achieved. Dividend equivalents are accumulated and paid on earned shares at the time shares are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184150</wp:posOffset>
            </wp:positionV>
            <wp:extent cx="5340350" cy="18516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340350"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5" w:name="page46"/>
    <w:bookmarkEnd w:id="45"/>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74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23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Please see the table below titled “Outstanding Equity Awards at December 31, 2024” for a description of the outstanding equity-based awards that were held by our NEOs at the end of 2024, and the table below titled “Stock Vested in 2024” for a description of the NEO equity-based awards that vested during the 2024 year.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Cash Retention Bonus Agreements</w:t>
      </w:r>
    </w:p>
    <w:p>
      <w:pPr>
        <w:spacing w:after="0" w:line="48"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In February 2023, at the time we announced that McFarland would step down as President and Chief Executive Officer and Mr. Leon would become President and CEO at our 2023 Annual Meeting and that we were searching for a new Chief Financial Officer, the Compensation Committee determined that it would be in the best interests of stockholders and the Company to enter into individual Retention Bonus Agreements with Messrs. Bys, Gould, and Preston in order ensure stability among the senior management team during the period of uncertainty that comes with a change in leadership.</w:t>
      </w:r>
    </w:p>
    <w:p>
      <w:pPr>
        <w:spacing w:after="0" w:line="27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individual Retention Bonus Agreements provided for a total cash bonus opportunity of one times the NEO's annual base salary at the time of grant. The bonus vested in three installments - the first installment equal to 20% of the total bonus opportunity vested six months after the grant date, in August 2023, the second installment equal to 20% vested 12 months after the grant date, in February 2024, and the third installment equal to 60% vested 18 months after the grant date, in August 2024. Vested portions of the retention bonus became immediately payable following the vesting date. During the retention period, if the NEO was terminated by the Company without cause or due to the NEO's death or disability, any remaining unvested bonus award would have immediately become vested and paid to the NEO.</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Linkage Between Pay and Performance</w:t>
      </w:r>
    </w:p>
    <w:p>
      <w:pPr>
        <w:spacing w:after="0" w:line="48"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2024 compensation program was designed to link the majority of pay realized by our executives to the performance against the AIP scorecard metrics and stock-based long-term incentives designed to enhance the performance of CRC and the returns to our stockholders.</w:t>
      </w:r>
    </w:p>
    <w:p>
      <w:pPr>
        <w:spacing w:after="0" w:line="127"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The pay mix at target values for our CEO and other NEOs under the 2024 Compensation Program was substantially performance-based, with 88% and 83%, respectively, of total compensation considered at-risk for our CEO and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340995</wp:posOffset>
            </wp:positionV>
            <wp:extent cx="5220335" cy="25717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2033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6" w:name="page47"/>
    <w:bookmarkEnd w:id="46"/>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74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D3"/>
        </w:rPr>
        <w:t>Employment Agreements</w:t>
      </w:r>
    </w:p>
    <w:p>
      <w:pPr>
        <w:spacing w:after="0" w:line="48"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In 2021, the Company entered into employment agreements with Messrs. Bys and Preston, as summarized below. In 2023, the Company entered into new employment agreements with, Mr. Leon, Ms. Molina, and Mr. Gould to update prior employments agreements or when they became and executive officer, as applicable. The Compensation Committee believes it is the best interests of stockholders to have agreements in place to help retain the CEO and other NEOs. These agreements also protect Company interests and ensure that covered executives can execute their duties in the best interests of stockholders without personal bias by providing change in control protections in the event a transaction that is in the best interests of stockholders would result in their termination of their employment.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CEO Employment Agreement</w:t>
      </w:r>
    </w:p>
    <w:p>
      <w:pPr>
        <w:spacing w:after="0" w:line="17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On February 23, 2023, the Company entered into a new employment agreement with Mr. Leon (the “2023 CEO Employment Agreement”) in connection with his anticipated promotion to the position of President and Chief Executive Officer, which superseded the employment agreement previously maintained by the Company and Mr. Leon, dated June 8, 2021, for his position of Executive Vice-President and Chief Financial Officer of the Company. The 2023 CEO Employment Agreement initially governed his role as the Company’s Executive Vice-President and Chief Financial Officer but automatically began covering his new role as President and Chief Executive Officer in connection with his promotion on the date of the Company’s 2023 Annual Meeting of Stockholders. The 2023 CEO Employment Agreement provides for an initial two-year term beginning on February 23, 2023 (the “Effective Date”) and will automatically renew for an additional one-year term on each anniversary of the Effective Date unless the Company or Mr. Leon provides 90 days’ written notice to the other that no such automatic renewal shall occur. The 2023 CEO Employment Agreement provides that Mr. Leon will receive an annual base salary of $750,000. Mr. Leon will also be eligible to receive: (i) an annual cash bonus with a target value equal to 120% of his annual base salary; (ii) participation in those benefit plans and programs of the Company available to similarly situated executives; and (iii) at the same time as other executive officers of the Company receive 2023 annual equity award grants, annual long-term incentive awards (to be comprised 60% of performance stock units and 40% of restricted stock units) under the Company’s 2021 Long Term Incentive Plan (as amended, the “LTIP”) with a target grant value of 600% of his base salary as in effect on the applicable grant date. The performance stock unit awards will vest over a three-year cliff vesting period beginning on the date of grant, and the restricted stock units will vest in three equal installments over a three-year vesting period beginning on the date of grant. In addition to his annual 2023 LTIP awards described above, Mr. Leon will also receive two separate awards pursuant to the LTIP in 2023: (i) an award of restricted stock units with a grant date target value of $1,200,000 and (ii) an award of performance units with a grant date target value of $1,800,000, each award of which will vest over a two -year vesting period. The 2023 CEO Employment Agreement also contains provisions that could provide severance payments and benefits to Mr. Leon in qualifying situations. Those terms and an estimate of the payments that he could receive in connection with certain termination events are detailed further below within the section titled “Potential Payments Upon Termination or Change in Control.”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NEOs</w:t>
      </w:r>
    </w:p>
    <w:p>
      <w:pPr>
        <w:spacing w:after="0" w:line="5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On June 8, 2021, the Company entered into employment agreements with each of Messrs. Bys and Preston (each a “</w:t>
      </w:r>
      <w:r>
        <w:rPr>
          <w:rFonts w:ascii="Arial" w:cs="Arial" w:eastAsia="Arial" w:hAnsi="Arial"/>
          <w:sz w:val="18"/>
          <w:szCs w:val="18"/>
          <w:b w:val="1"/>
          <w:bCs w:val="1"/>
          <w:color w:val="auto"/>
        </w:rPr>
        <w:t>2021 Employment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that was initially effective through the 2023 year. Each 2021 Employment Agreement provided for an initial one-year term and</w:t>
      </w:r>
      <w:r>
        <w:rPr>
          <w:rFonts w:ascii="Arial" w:cs="Arial" w:eastAsia="Arial" w:hAnsi="Arial"/>
          <w:sz w:val="18"/>
          <w:szCs w:val="18"/>
          <w:b w:val="1"/>
          <w:bCs w:val="1"/>
          <w:color w:val="auto"/>
        </w:rPr>
        <w:t xml:space="preserve"> </w:t>
      </w:r>
      <w:r>
        <w:rPr>
          <w:rFonts w:ascii="Arial" w:cs="Arial" w:eastAsia="Arial" w:hAnsi="Arial"/>
          <w:sz w:val="18"/>
          <w:szCs w:val="18"/>
          <w:color w:val="auto"/>
        </w:rPr>
        <w:t>will automatically renew for an additional one-year term on each anniversary unless the Company or the executive provides 90 days’ written notice to the other that no such automatic renewal shall occur. However, either the Company or the executive may terminate the employment relationship for any or no reason at any time during the initial one-year term or any renewal term. Pursuant to each 2021 Employment Agreement, each executive will receive an annualized base salary of $500,000, will be covered under the Company’s directors and officers liability insurance and will be eligible (i) to receive an annual cash bonus with a target value of 100% of his base salary, (ii) to participate in those benefit plans and programs of the Company available to similarly situated executives and (iii) commencing in 2023, to receive annual long-term incentive awards under the LTIP with a grant target value of not less than 220% of his base salary as in effect on the applicable grant date. The 2021 Employment Agreements also contain provisions that could provide severance payments and benefits to the NEOs in qualifying situations. Those terms and an estimate of the payments that the NEO could receive in connection with certain termination events are detailed further below in the section titled “Potential Payments upon Termination or Change in Control.”</w:t>
      </w:r>
    </w:p>
    <w:p>
      <w:pPr>
        <w:spacing w:after="0" w:line="23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7" w:name="page48"/>
    <w:bookmarkEnd w:id="47"/>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74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35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On May 8, 2023, the Company entered into an employment agreement (the “</w:t>
      </w:r>
      <w:r>
        <w:rPr>
          <w:rFonts w:ascii="Arial" w:cs="Arial" w:eastAsia="Arial" w:hAnsi="Arial"/>
          <w:sz w:val="18"/>
          <w:szCs w:val="18"/>
          <w:b w:val="1"/>
          <w:bCs w:val="1"/>
          <w:color w:val="auto"/>
        </w:rPr>
        <w:t>2023 CFO Employment Agreement</w:t>
      </w:r>
      <w:r>
        <w:rPr>
          <w:rFonts w:ascii="Arial" w:cs="Arial" w:eastAsia="Arial" w:hAnsi="Arial"/>
          <w:sz w:val="18"/>
          <w:szCs w:val="18"/>
          <w:color w:val="auto"/>
        </w:rPr>
        <w:t>”) with Manuela (“Nelly”) Molina, the new CFO. The 2023 CFO Employment Agreement provided for an initial two-year term beginning on May 8, 2023 (the “</w:t>
      </w:r>
      <w:r>
        <w:rPr>
          <w:rFonts w:ascii="Arial" w:cs="Arial" w:eastAsia="Arial" w:hAnsi="Arial"/>
          <w:sz w:val="18"/>
          <w:szCs w:val="18"/>
          <w:b w:val="1"/>
          <w:bCs w:val="1"/>
          <w:color w:val="auto"/>
        </w:rPr>
        <w:t>Effective</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and was automatically set to renew for an additional one-year term on each anniversary of the Effective Date unless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Ms. Molina provided 90 days’ written notice to the other that no such automatic renewal shall occur. Pursuant to the Employment Agreement, Ms. Molina could have received an annual base salary of $550,000. She was eligible to receive: (i) an annual cash bonus with a target value equal to 100% of her annual base salary; (ii) participation in those benefit plans and programs of the Company available to similarly situated executives; and (iii) annual long-term incentive awards under the Company’s LTIP with a target grant value of 400% of Ms. Molina’s base salary as in effect on the applicable grant date. The 2023 CFO Employment Agreement also contained provisions that could provide severance payments and benefits to Ms. Molina in qualifying situations, however, the payments and benefits that she actually received in connection with her termination of employment in 2024 are detailed further below within the section titled “Potential Payments Upon Termination or Change in Control.”</w:t>
      </w:r>
    </w:p>
    <w:p>
      <w:pPr>
        <w:spacing w:after="0" w:line="14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On July 27, 2023, the Company entered into an amended and restated employment agreement (the “</w:t>
      </w:r>
      <w:r>
        <w:rPr>
          <w:rFonts w:ascii="Arial" w:cs="Arial" w:eastAsia="Arial" w:hAnsi="Arial"/>
          <w:sz w:val="18"/>
          <w:szCs w:val="18"/>
          <w:b w:val="1"/>
          <w:bCs w:val="1"/>
          <w:color w:val="auto"/>
        </w:rPr>
        <w:t>2023 CSO Employment Agreement</w:t>
      </w:r>
      <w:r>
        <w:rPr>
          <w:rFonts w:ascii="Arial" w:cs="Arial" w:eastAsia="Arial" w:hAnsi="Arial"/>
          <w:sz w:val="18"/>
          <w:szCs w:val="18"/>
          <w:color w:val="auto"/>
        </w:rPr>
        <w:t>”) with Chris D. Gould, our Chief Sustainability Officer, which superseded the employment agreement previously maintained by the Company and Mr. Gould, dated June 14, 2021. The 2023 CSO Employment Agreement provides for an initial two-year term beginning on the Effective Date and will automatically renew for an additional one-year term on each anniversary of the Effective Date unless the Company or Mr. Gould provides 90 days’ written notice to the other that no such automatic renewal shall occur. Pursuant to the Employment Agreement, Mr. Gould will receive an annual base salary of $ 600,000. He will also be eligible to receive: (i) an annual cash bonus with a target value equal to 100% of his annual base salary (prorated for calendar year 2023); (ii) participation in those benefit plans and programs of the Company available to similarly situated executives; and (iii) annual long-term incentive awards (expected to be comprised 60% of performance stock units and 40% of restricted stock units) under the Company’s LTIP with a target grant value of 400% of Mr. Gould’s base salary as in effect on the applicable grant date. The performance stock unit awards are expected to vest over a three-year cliff vesting period beginning on the date of grant, and the restricted stock units are expected to vest in three equal installments over a three-year vesting period beginning on the date of grant. The 2023 CSO Employment Agreement also contains provisions that could provide severance payments and benefits to Mr. Gould in qualifying situations. Those terms and an estimate of the payments that he could receive in connection with certain termination events are detailed further below within the section titled “Potential Payments Upon Termination or Change in Control.”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In addition to the components of the executive compensation program described above, we provided the following programs to our NEOs during the 2024 year.</w:t>
      </w:r>
    </w:p>
    <w:p>
      <w:pPr>
        <w:spacing w:after="0" w:line="113"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i w:val="1"/>
          <w:iCs w:val="1"/>
          <w:color w:val="auto"/>
        </w:rPr>
        <w:t xml:space="preserve">Qualified Defined Contribution Plan </w:t>
      </w:r>
      <w:r>
        <w:rPr>
          <w:rFonts w:ascii="Arial" w:cs="Arial" w:eastAsia="Arial" w:hAnsi="Arial"/>
          <w:sz w:val="18"/>
          <w:szCs w:val="18"/>
          <w:color w:val="auto"/>
        </w:rPr>
        <w:t>– All of our employees, including our NEOs, were eligible to participate in a tax-qualified, defined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contribution plan. The defined contribution plan provided for periodic cash contributions by us based on annual employee cash compensation and employee-elected deferrals. Employees were permitted to contribute into the plan a percentage of their annual salary and bonus up to the annual limit set by the Internal Revenue Service (“</w:t>
      </w:r>
      <w:r>
        <w:rPr>
          <w:rFonts w:ascii="Arial" w:cs="Arial" w:eastAsia="Arial" w:hAnsi="Arial"/>
          <w:sz w:val="18"/>
          <w:szCs w:val="18"/>
          <w:b w:val="1"/>
          <w:bCs w:val="1"/>
          <w:color w:val="auto"/>
        </w:rPr>
        <w:t>IRS</w:t>
      </w:r>
      <w:r>
        <w:rPr>
          <w:rFonts w:ascii="Arial" w:cs="Arial" w:eastAsia="Arial" w:hAnsi="Arial"/>
          <w:sz w:val="18"/>
          <w:szCs w:val="18"/>
          <w:color w:val="auto"/>
        </w:rPr>
        <w:t>”). Employees were able to direct their account balances to a variety of investments.</w:t>
      </w:r>
    </w:p>
    <w:p>
      <w:pPr>
        <w:spacing w:after="0" w:line="136"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b w:val="1"/>
          <w:bCs w:val="1"/>
          <w:i w:val="1"/>
          <w:iCs w:val="1"/>
          <w:color w:val="auto"/>
        </w:rPr>
        <w:t xml:space="preserve">Nonqualified Defined Contribution Plans </w:t>
      </w:r>
      <w:r>
        <w:rPr>
          <w:rFonts w:ascii="Arial" w:cs="Arial" w:eastAsia="Arial" w:hAnsi="Arial"/>
          <w:sz w:val="18"/>
          <w:szCs w:val="18"/>
          <w:color w:val="auto"/>
        </w:rPr>
        <w:t>– All employees, including our NEOs, whose participation in our qualified defined contribution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was limited by applicable tax laws were eligible to participate in our supplemental savings plan (the “</w:t>
      </w:r>
      <w:r>
        <w:rPr>
          <w:rFonts w:ascii="Arial" w:cs="Arial" w:eastAsia="Arial" w:hAnsi="Arial"/>
          <w:sz w:val="18"/>
          <w:szCs w:val="18"/>
          <w:b w:val="1"/>
          <w:bCs w:val="1"/>
          <w:color w:val="auto"/>
        </w:rPr>
        <w:t>SSP</w:t>
      </w:r>
      <w:r>
        <w:rPr>
          <w:rFonts w:ascii="Arial" w:cs="Arial" w:eastAsia="Arial" w:hAnsi="Arial"/>
          <w:sz w:val="18"/>
          <w:szCs w:val="18"/>
          <w:color w:val="auto"/>
        </w:rPr>
        <w:t>”), a nonqualified defined contribution plan, which provided additional retirement benefits outside of those limitations.</w:t>
      </w:r>
    </w:p>
    <w:p>
      <w:pPr>
        <w:spacing w:after="0" w:line="14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Annual allocations for each participant were generally intended to restore the amounts that would have been contributed to our qualified defined contribution plan but for certain tax law limitations, and certain employer allocations were subject to a vesting schedule that required the completion of three years of service. Vested account balances will be payable following separation from service.</w:t>
      </w:r>
    </w:p>
    <w:p>
      <w:pPr>
        <w:spacing w:after="0" w:line="128"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Interest on SSP account balances was allocated monthly to each participant’s account based on the yield on five-year U.S. Treasury Constant Maturities plus 2% converted to a monthly allocation factor.</w:t>
      </w:r>
    </w:p>
    <w:p>
      <w:pPr>
        <w:spacing w:after="0" w:line="20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8" w:name="page49"/>
    <w:bookmarkEnd w:id="48"/>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74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356"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In addition, we sponsored a supplemental retirement plan (the “</w:t>
      </w:r>
      <w:r>
        <w:rPr>
          <w:rFonts w:ascii="Arial" w:cs="Arial" w:eastAsia="Arial" w:hAnsi="Arial"/>
          <w:sz w:val="18"/>
          <w:szCs w:val="18"/>
          <w:b w:val="1"/>
          <w:bCs w:val="1"/>
          <w:color w:val="auto"/>
        </w:rPr>
        <w:t>SRP II</w:t>
      </w:r>
      <w:r>
        <w:rPr>
          <w:rFonts w:ascii="Arial" w:cs="Arial" w:eastAsia="Arial" w:hAnsi="Arial"/>
          <w:sz w:val="18"/>
          <w:szCs w:val="18"/>
          <w:color w:val="auto"/>
        </w:rPr>
        <w:t>”), which was established for purposes of the assumption by us of certain liabilities under the Occidental Petroleum Corporation Supplemental Retirement Plan II, including those for Messrs. Leon and Preston. All account balances under the SRP II were fully vested at all times and are credited with interest on a monthly basis based on the yield on five-year U.S. Treasury Constant Maturities plus 2% converted to a monthly allocation factor. No additional allocations were made under the SRP II other than the crediting of interest.</w:t>
      </w:r>
    </w:p>
    <w:p>
      <w:pPr>
        <w:spacing w:after="0" w:line="136" w:lineRule="exact"/>
        <w:rPr>
          <w:sz w:val="20"/>
          <w:szCs w:val="20"/>
          <w:color w:val="auto"/>
        </w:rPr>
      </w:pPr>
    </w:p>
    <w:p>
      <w:pPr>
        <w:jc w:val="both"/>
        <w:ind w:right="40"/>
        <w:spacing w:after="0" w:line="247" w:lineRule="auto"/>
        <w:rPr>
          <w:sz w:val="20"/>
          <w:szCs w:val="20"/>
          <w:color w:val="auto"/>
        </w:rPr>
      </w:pPr>
      <w:r>
        <w:rPr>
          <w:rFonts w:ascii="Arial" w:cs="Arial" w:eastAsia="Arial" w:hAnsi="Arial"/>
          <w:sz w:val="18"/>
          <w:szCs w:val="18"/>
          <w:color w:val="auto"/>
        </w:rPr>
        <w:t>In order to provide greater financial planning flexibility to participants while not increasing costs under the plan, the SRP II allowed in-service distribution of a participant’s account at a specified age, but not earlier than age 60, as elected by the participant when initially participating in the plan. After a participant receives a specified age distribution, future allocations under the SRP II and earnings on those allocations are to be distributed in the first 70 days of each following year.</w:t>
      </w:r>
    </w:p>
    <w:p>
      <w:pPr>
        <w:spacing w:after="0" w:line="147"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i w:val="1"/>
          <w:iCs w:val="1"/>
          <w:color w:val="auto"/>
        </w:rPr>
        <w:t xml:space="preserve">Nonqualified Deferred Compensation Plan </w:t>
      </w:r>
      <w:r>
        <w:rPr>
          <w:rFonts w:ascii="Arial" w:cs="Arial" w:eastAsia="Arial" w:hAnsi="Arial"/>
          <w:sz w:val="18"/>
          <w:szCs w:val="18"/>
          <w:color w:val="auto"/>
        </w:rPr>
        <w:t>– Certain management and other highly compensated employees (including each of our NEOs)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eligible to participate in our nonqualified deferred compensation plan (the “</w:t>
      </w:r>
      <w:r>
        <w:rPr>
          <w:rFonts w:ascii="Arial" w:cs="Arial" w:eastAsia="Arial" w:hAnsi="Arial"/>
          <w:sz w:val="18"/>
          <w:szCs w:val="18"/>
          <w:b w:val="1"/>
          <w:bCs w:val="1"/>
          <w:color w:val="auto"/>
        </w:rPr>
        <w:t>DCP</w:t>
      </w:r>
      <w:r>
        <w:rPr>
          <w:rFonts w:ascii="Arial" w:cs="Arial" w:eastAsia="Arial" w:hAnsi="Arial"/>
          <w:sz w:val="18"/>
          <w:szCs w:val="18"/>
          <w:color w:val="auto"/>
        </w:rPr>
        <w:t>”). Under the DCP, participants were able to elect to defer a portion of their base salary and annual bonus for a given year. For the year of deferral, we allocated an additional amount to a participant’s account equal to the sum of 6% (which is immediately vested) and 2% (which is subject to a vesting schedule that required the completion of three years of service) of the compensation deferred by the participant under the DCP to restore amounts that were not contributed to the qualified and nonqualified defined contribution plans due to such deferral of compensation under the DCP. Deferred amounts earned interest based on the yield on five-year U.S. Treasury Constant Maturities based on a monthly frequency plus 2%, converted to a monthly allocation factor. Vested account balances will be payable following separation from service, or upon attainment of a specified age elected by the participant.</w:t>
      </w:r>
    </w:p>
    <w:p>
      <w:pPr>
        <w:spacing w:after="0" w:line="14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b w:val="1"/>
          <w:bCs w:val="1"/>
          <w:i w:val="1"/>
          <w:iCs w:val="1"/>
          <w:color w:val="auto"/>
        </w:rPr>
        <w:t xml:space="preserve">Tax Preparation and Financial Planning </w:t>
      </w:r>
      <w:r>
        <w:rPr>
          <w:rFonts w:ascii="Arial" w:cs="Arial" w:eastAsia="Arial" w:hAnsi="Arial"/>
          <w:sz w:val="18"/>
          <w:szCs w:val="18"/>
          <w:color w:val="auto"/>
        </w:rPr>
        <w:t>– Our executives, including each of the NEOs, were eligible to receive reimbursement, up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annual limits, for income tax preparation, financial planning and investment advice, including legal advice related to tax and financial matters.</w:t>
      </w:r>
    </w:p>
    <w:p>
      <w:pPr>
        <w:spacing w:after="0" w:line="12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i w:val="1"/>
          <w:iCs w:val="1"/>
          <w:color w:val="auto"/>
        </w:rPr>
        <w:t xml:space="preserve">Insurance </w:t>
      </w:r>
      <w:r>
        <w:rPr>
          <w:rFonts w:ascii="Arial" w:cs="Arial" w:eastAsia="Arial" w:hAnsi="Arial"/>
          <w:sz w:val="18"/>
          <w:szCs w:val="18"/>
          <w:color w:val="auto"/>
        </w:rPr>
        <w:t>– We offered a variety of health coverage options to all employees. NEOs participated in these plans on the same terms as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In addition, for executives, including the NEOs, we paid for an annual comprehensive physical examination. We provided all employees with life insurance equal to twice the employee’s base salary.</w:t>
      </w:r>
    </w:p>
    <w:p>
      <w:pPr>
        <w:spacing w:after="0" w:line="142"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b w:val="1"/>
          <w:bCs w:val="1"/>
          <w:i w:val="1"/>
          <w:iCs w:val="1"/>
          <w:color w:val="auto"/>
        </w:rPr>
        <w:t xml:space="preserve">Employee Stock Purchase Plan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adopted the California Resources Corporation Employee Stock Purchase Plan (the “</w:t>
      </w:r>
      <w:r>
        <w:rPr>
          <w:rFonts w:ascii="Arial" w:cs="Arial" w:eastAsia="Arial" w:hAnsi="Arial"/>
          <w:sz w:val="18"/>
          <w:szCs w:val="18"/>
          <w:b w:val="1"/>
          <w:bCs w:val="1"/>
          <w:color w:val="auto"/>
        </w:rPr>
        <w:t>ESPP</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in July 2022, which was approved by shareholders in May 2022 at the 2022 Annual Meeting. The ESPP provides our employees (including our NEOs) the ability to purchase shares of our common stock at a price equal to 85% of the closing price of a share of our common stock as of either the first day of each offering period or the last day of each offering period, whichever amount is less.</w:t>
      </w:r>
    </w:p>
    <w:p>
      <w:pPr>
        <w:spacing w:after="0" w:line="13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maximum number of shares of our common stock authorized to be issued pursuant to the ESPP is 1.25 million, subject to adjustment pursuant to the terms of the ESPP. In addition, participants in the ESPP will be subject to certain limits on the number of shares that can be purchased in any given year and during any given offering period (a calendar quarter) under the ESPP.</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2025 Compensation Program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Base Salaries</w:t>
      </w:r>
    </w:p>
    <w:p>
      <w:pPr>
        <w:spacing w:after="0" w:line="48"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The Compensation Committee has approved base salary adjustments for the NEOs in 2025 based on updated peer market data and changes in internal alignment and responsibilities.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Annual Incentive Program</w:t>
      </w:r>
    </w:p>
    <w:p>
      <w:pPr>
        <w:spacing w:after="0" w:line="48" w:lineRule="exact"/>
        <w:rPr>
          <w:sz w:val="20"/>
          <w:szCs w:val="20"/>
          <w:color w:val="auto"/>
        </w:rPr>
      </w:pPr>
    </w:p>
    <w:p>
      <w:pPr>
        <w:ind w:right="560"/>
        <w:spacing w:after="0" w:line="253" w:lineRule="auto"/>
        <w:rPr>
          <w:sz w:val="20"/>
          <w:szCs w:val="20"/>
          <w:color w:val="auto"/>
        </w:rPr>
      </w:pPr>
      <w:r>
        <w:rPr>
          <w:rFonts w:ascii="Arial" w:cs="Arial" w:eastAsia="Arial" w:hAnsi="Arial"/>
          <w:sz w:val="18"/>
          <w:szCs w:val="18"/>
          <w:color w:val="auto"/>
        </w:rPr>
        <w:t>In February 2025, the Compensation Committee approved the scorecard metrics for the 2025 Annual Incentive Program. In addition to metrics related to financial performance and cost management, 25% of the 2025 scorecard weighting relates to ESG-related carbon management, environmental stewardship, and worker safety goals.</w:t>
      </w:r>
    </w:p>
    <w:p>
      <w:pPr>
        <w:spacing w:after="0" w:line="22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9" w:name="page50"/>
    <w:bookmarkEnd w:id="49"/>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74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Long-Term Incentive Grants</w:t>
      </w:r>
    </w:p>
    <w:p>
      <w:pPr>
        <w:spacing w:after="0" w:line="48"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The Compensation Committee continued granting long-term incentive awards to the NEOs in February 2025, consisting of 40% time-based restricted stock units and 60% performance stock units with payouts subject to absolute TSR and relative TSR goals compared to the XOP Index, as supported by feedback from our stockholder outreach.</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0075C9"/>
        </w:rPr>
        <w:t>Other Compensation Matters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We have minimum stock ownership guidelines for senior executives. The target direct and indirect ownership level for the CEO is six times annual base salary, and for the other NEOs, is three times annual base salary. Executives are expected to reach their guideline ownership levels within five years of assuming their senior executive role. Due to the cancellation of the Company’s stock upon emergence from bankruptcy in October 2020, executives at emergence will have five years from the emergence date to attain the minimum stock holdings.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Clawback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Under the Company’s Incentive-Based Compensation Recoupment Policy, which was adopted in 2023 to ensure compliance with new clawback recovery rules, in the event the Company is required to restate its financial statements, the Company requires in certain circumstances, and to the extent permitted or required by applicable law, regulation or exchange rules, the reimbursement of incentive-based compensation received by a covered employee, including our NEOs, that is in excess of the incentive-based compensation that would have been received based on the restated amounts. Such incentive-based compensation generally includes any cash, equity, equity-based or other award that is granted, earned or vested based wholly or in part upon the attainment of a financial reporting measure, as defined in the policy adopted in October 2023.</w:t>
      </w:r>
    </w:p>
    <w:p>
      <w:pPr>
        <w:spacing w:after="0" w:line="212"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In addition, under the Company's Misconduct Compensation Recoupment and Clawback Policy, the Company has the right to require the reimbursement of all or a portion of generally any incentive compensation received by a covered employee, to the extent permitted by applicable law, in the event of fraud or intentional illegal conduct.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Insider Trading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4"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The Company has insider trading policies and procedures governing the purchase, sale and other disposition of the Company’s securities that apply to directors, officers and employees, and to the Company itself. The Company believes its insider trading policies and procedures are reasonably designed to promote compliance with insider trading laws, rules and regulations, and the listing standards applicable to the Company. A copy of the Company’s Insider Trading Policy and an excerpt of the Company’s Business Ethics and Corporate Policies were filed as Exhibit 99.2 and 99.3, respectively, to its Annual Report on Form 10-K for the year ended December 31, 2024.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Anti-Hedging and Anti-Pledging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Under the Company’s Insider Trading Policy, all directors, officers and employees are prohibited from hedging, buying or selling options, engaging in short sales, or trading prepaid variable forwards, equity swaps, exchange funds, forward-sale contracts, collars or other derivatives or monetizations on Company securities. In addition, all directors, officers and employees may not pledge or mortgage Company securities as collateral for a loan, or hold Company securities in a margin account.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Compensation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0"/>
          <w:szCs w:val="20"/>
          <w:color w:val="auto"/>
        </w:rPr>
      </w:pPr>
    </w:p>
    <w:p>
      <w:pPr>
        <w:jc w:val="both"/>
        <w:ind w:right="120"/>
        <w:spacing w:after="0" w:line="247" w:lineRule="auto"/>
        <w:rPr>
          <w:sz w:val="20"/>
          <w:szCs w:val="20"/>
          <w:color w:val="auto"/>
        </w:rPr>
      </w:pPr>
      <w:r>
        <w:rPr>
          <w:rFonts w:ascii="Arial" w:cs="Arial" w:eastAsia="Arial" w:hAnsi="Arial"/>
          <w:sz w:val="18"/>
          <w:szCs w:val="18"/>
          <w:color w:val="auto"/>
        </w:rPr>
        <w:t>Our compensation programs are designed to motivate and reward our employees for their performance during the current year and over the long term, and for taking appropriate business risks to enhance CRC’s business performance. The Compensation Committee has analyzed CRC’s employee compensation programs and policies and believes that they are not reasonably likely to have a material adverse effect on CRC. CRC’s</w:t>
      </w:r>
    </w:p>
    <w:p>
      <w:pPr>
        <w:spacing w:after="0" w:line="21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0" w:name="page51"/>
    <w:bookmarkEnd w:id="50"/>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74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234"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compensation programs do not encourage unnecessary or excessive risk-taking and any potential risk that the executive compensation program could influence behavior that would be inconsistent with the overall interests of CRC and its stockholders is mitigated by several factors:</w:t>
      </w:r>
    </w:p>
    <w:p>
      <w:pPr>
        <w:spacing w:after="0" w:line="61" w:lineRule="exact"/>
        <w:rPr>
          <w:sz w:val="20"/>
          <w:szCs w:val="20"/>
          <w:color w:val="auto"/>
        </w:rPr>
      </w:pPr>
    </w:p>
    <w:p>
      <w:pPr>
        <w:ind w:left="540" w:hanging="322"/>
        <w:spacing w:after="0"/>
        <w:tabs>
          <w:tab w:leader="none" w:pos="54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Target compensation mix utilizes a balance of salary, annual incentives and long-term equity compensation vesting over three years</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Transparent financial and operational metrics that are readily ascertainable from publicly-filed information</w:t>
      </w:r>
    </w:p>
    <w:p>
      <w:pPr>
        <w:spacing w:after="0" w:line="116" w:lineRule="exact"/>
        <w:rPr>
          <w:rFonts w:ascii="Times New Roman" w:cs="Times New Roman" w:eastAsia="Times New Roman" w:hAnsi="Times New Roman"/>
          <w:sz w:val="18"/>
          <w:szCs w:val="18"/>
          <w:color w:val="auto"/>
        </w:rPr>
      </w:pPr>
    </w:p>
    <w:p>
      <w:pPr>
        <w:ind w:left="540" w:right="120" w:hanging="322"/>
        <w:spacing w:after="0" w:line="270" w:lineRule="auto"/>
        <w:tabs>
          <w:tab w:leader="none" w:pos="54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External performance metrics, utilizing the increase in the volume-weighted average price of the Company’s shares, for the long-term performance-based incentive awards</w:t>
      </w:r>
    </w:p>
    <w:p>
      <w:pPr>
        <w:spacing w:after="0" w:line="4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Forfeiture and clawback provisions for incentive compensation in the event of a restatement of our financial statements or misconduct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Practices Related to the Grant of Certain Equity Awards in Relation to the Release of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do no currently grant stock options or option-like equity awards to our employees or directors, therefore we do not currently have a formal practice or policy with respect to the grant of stock options or option-like awards.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Section 162(m)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limits a company’s ability to deduct compensation paid in excess of $1 million during any fiscal year to each of certain NEOs. The Compensation Committee believes it is in the best interest of the Company and our stockholders to provide compensation that is necessary to retain and motivate our executive officers, even if that is not fully deductible.</w:t>
      </w:r>
    </w:p>
    <w:p>
      <w:pPr>
        <w:spacing w:after="0" w:line="22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1" w:name="page52"/>
    <w:bookmarkEnd w:id="51"/>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74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Committee Report</w:t>
      </w:r>
    </w:p>
    <w:p>
      <w:pPr>
        <w:spacing w:after="0" w:line="171" w:lineRule="exact"/>
        <w:rPr>
          <w:sz w:val="20"/>
          <w:szCs w:val="20"/>
          <w:color w:val="auto"/>
        </w:rPr>
      </w:pPr>
    </w:p>
    <w:p>
      <w:pPr>
        <w:spacing w:after="0"/>
        <w:rPr>
          <w:sz w:val="20"/>
          <w:szCs w:val="20"/>
          <w:color w:val="auto"/>
        </w:rPr>
      </w:pPr>
      <w:r>
        <w:rPr>
          <w:rFonts w:ascii="Arial" w:cs="Arial" w:eastAsia="Arial" w:hAnsi="Arial"/>
          <w:sz w:val="32"/>
          <w:szCs w:val="32"/>
          <w:color w:val="0075C9"/>
        </w:rPr>
        <w:t>Compensation Committee Report</w:t>
      </w:r>
    </w:p>
    <w:p>
      <w:pPr>
        <w:spacing w:after="0" w:line="1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Compensation Committee has reviewed and discussed the Compensation Discussion and Analysis included in this proxy statement with management. Based on this review and discussion, the Compensation Committee recommended to the Board of Directors that the Compensation Discussion and Analysis be included in the Company’s proxy statement relating to the 2025 Annual Meeting of Stockholders.</w:t>
      </w:r>
    </w:p>
    <w:p>
      <w:pPr>
        <w:spacing w:after="0" w:line="19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Compensation Committee,</w:t>
      </w:r>
    </w:p>
    <w:p>
      <w:pPr>
        <w:spacing w:after="0" w:line="10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James N. Chapman, Chair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Andrew B. Bremner</w:t>
      </w:r>
    </w:p>
    <w:p>
      <w:pPr>
        <w:jc w:val="center"/>
        <w:spacing w:after="0"/>
        <w:rPr>
          <w:sz w:val="20"/>
          <w:szCs w:val="20"/>
          <w:color w:val="auto"/>
        </w:rPr>
      </w:pPr>
      <w:r>
        <w:rPr>
          <w:rFonts w:ascii="Arial" w:cs="Arial" w:eastAsia="Arial" w:hAnsi="Arial"/>
          <w:sz w:val="18"/>
          <w:szCs w:val="18"/>
          <w:color w:val="auto"/>
        </w:rPr>
        <w:t>William B. Roby</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2" w:name="page53"/>
    <w:bookmarkEnd w:id="52"/>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74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131" w:lineRule="exact"/>
        <w:rPr>
          <w:sz w:val="20"/>
          <w:szCs w:val="20"/>
          <w:color w:val="auto"/>
        </w:rPr>
      </w:pPr>
    </w:p>
    <w:p>
      <w:pPr>
        <w:spacing w:after="0"/>
        <w:rPr>
          <w:sz w:val="20"/>
          <w:szCs w:val="20"/>
          <w:color w:val="auto"/>
        </w:rPr>
      </w:pPr>
      <w:r>
        <w:rPr>
          <w:rFonts w:ascii="Arial" w:cs="Arial" w:eastAsia="Arial" w:hAnsi="Arial"/>
          <w:sz w:val="32"/>
          <w:szCs w:val="32"/>
          <w:color w:val="0075C9"/>
        </w:rPr>
        <w:t>Executive Compensation Tables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Summary Compensation Table (“SCT”)</w:t>
      </w:r>
    </w:p>
    <w:tbl>
      <w:tblPr>
        <w:tblLayout w:type="fixed"/>
        <w:tblInd w:w="0" w:type="dxa"/>
        <w:tblCellMar>
          <w:top w:w="0" w:type="dxa"/>
          <w:left w:w="0" w:type="dxa"/>
          <w:bottom w:w="0" w:type="dxa"/>
          <w:right w:w="0" w:type="dxa"/>
        </w:tblCellMar>
      </w:tblPr>
      <w:tr>
        <w:trPr>
          <w:trHeight w:val="111"/>
        </w:trPr>
        <w:tc>
          <w:tcPr>
            <w:tcW w:w="1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jc w:val="center"/>
              <w:ind w:right="106"/>
              <w:spacing w:after="0" w:line="112" w:lineRule="exact"/>
              <w:rPr>
                <w:sz w:val="20"/>
                <w:szCs w:val="20"/>
                <w:color w:val="auto"/>
              </w:rPr>
            </w:pPr>
            <w:r>
              <w:rPr>
                <w:rFonts w:ascii="Arial" w:cs="Arial" w:eastAsia="Arial" w:hAnsi="Arial"/>
                <w:sz w:val="11"/>
                <w:szCs w:val="11"/>
                <w:b w:val="1"/>
                <w:bCs w:val="1"/>
                <w:color w:val="0075C9"/>
                <w:w w:val="97"/>
              </w:rPr>
              <w:t>Change in</w:t>
            </w: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0075C9"/>
                <w:w w:val="98"/>
              </w:rPr>
              <w:t>Pension</w:t>
            </w: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0075C9"/>
                <w:w w:val="96"/>
              </w:rPr>
              <w:t>Value and</w:t>
            </w: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0075C9"/>
                <w:w w:val="98"/>
              </w:rPr>
              <w:t>Nonqualified</w:t>
            </w: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0075C9"/>
                <w:w w:val="98"/>
              </w:rPr>
              <w:t>Non-Equity</w:t>
            </w:r>
          </w:p>
        </w:tc>
        <w:tc>
          <w:tcPr>
            <w:tcW w:w="200" w:type="dxa"/>
            <w:vAlign w:val="bottom"/>
          </w:tcPr>
          <w:p>
            <w:pPr>
              <w:spacing w:after="0"/>
              <w:rPr>
                <w:sz w:val="10"/>
                <w:szCs w:val="10"/>
                <w:color w:val="auto"/>
              </w:rPr>
            </w:pPr>
          </w:p>
        </w:tc>
        <w:tc>
          <w:tcPr>
            <w:tcW w:w="88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0075C9"/>
              </w:rPr>
              <w:t>Deferred</w:t>
            </w: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 w:type="dxa"/>
            <w:vAlign w:val="bottom"/>
          </w:tcPr>
          <w:p>
            <w:pPr>
              <w:spacing w:after="0"/>
              <w:rPr>
                <w:sz w:val="10"/>
                <w:szCs w:val="10"/>
                <w:color w:val="auto"/>
              </w:rPr>
            </w:pPr>
          </w:p>
        </w:tc>
        <w:tc>
          <w:tcPr>
            <w:tcW w:w="2480" w:type="dxa"/>
            <w:vAlign w:val="bottom"/>
          </w:tcPr>
          <w:p>
            <w:pPr>
              <w:ind w:left="20"/>
              <w:spacing w:after="0" w:line="122" w:lineRule="exact"/>
              <w:rPr>
                <w:sz w:val="20"/>
                <w:szCs w:val="20"/>
                <w:color w:val="auto"/>
              </w:rPr>
            </w:pPr>
            <w:r>
              <w:rPr>
                <w:rFonts w:ascii="Arial" w:cs="Arial" w:eastAsia="Arial" w:hAnsi="Arial"/>
                <w:sz w:val="11"/>
                <w:szCs w:val="11"/>
                <w:b w:val="1"/>
                <w:bCs w:val="1"/>
                <w:color w:val="0075C9"/>
              </w:rPr>
              <w:t>Name and</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ind w:left="80"/>
              <w:spacing w:after="0" w:line="122" w:lineRule="exact"/>
              <w:rPr>
                <w:sz w:val="20"/>
                <w:szCs w:val="20"/>
                <w:color w:val="auto"/>
              </w:rPr>
            </w:pPr>
            <w:r>
              <w:rPr>
                <w:rFonts w:ascii="Arial" w:cs="Arial" w:eastAsia="Arial" w:hAnsi="Arial"/>
                <w:sz w:val="11"/>
                <w:szCs w:val="11"/>
                <w:b w:val="1"/>
                <w:bCs w:val="1"/>
                <w:color w:val="0075C9"/>
              </w:rPr>
              <w:t>Stock</w:t>
            </w:r>
          </w:p>
        </w:tc>
        <w:tc>
          <w:tcPr>
            <w:tcW w:w="260" w:type="dxa"/>
            <w:vAlign w:val="bottom"/>
          </w:tcPr>
          <w:p>
            <w:pPr>
              <w:spacing w:after="0"/>
              <w:rPr>
                <w:sz w:val="10"/>
                <w:szCs w:val="10"/>
                <w:color w:val="auto"/>
              </w:rPr>
            </w:pPr>
          </w:p>
        </w:tc>
        <w:tc>
          <w:tcPr>
            <w:tcW w:w="660" w:type="dxa"/>
            <w:vAlign w:val="bottom"/>
          </w:tcPr>
          <w:p>
            <w:pPr>
              <w:jc w:val="right"/>
              <w:ind w:right="226"/>
              <w:spacing w:after="0" w:line="122" w:lineRule="exact"/>
              <w:rPr>
                <w:sz w:val="20"/>
                <w:szCs w:val="20"/>
                <w:color w:val="auto"/>
              </w:rPr>
            </w:pPr>
            <w:r>
              <w:rPr>
                <w:rFonts w:ascii="Arial" w:cs="Arial" w:eastAsia="Arial" w:hAnsi="Arial"/>
                <w:sz w:val="11"/>
                <w:szCs w:val="11"/>
                <w:b w:val="1"/>
                <w:bCs w:val="1"/>
                <w:color w:val="0075C9"/>
              </w:rPr>
              <w:t>Option</w:t>
            </w:r>
          </w:p>
        </w:tc>
        <w:tc>
          <w:tcPr>
            <w:tcW w:w="1060" w:type="dxa"/>
            <w:vAlign w:val="bottom"/>
            <w:gridSpan w:val="2"/>
          </w:tcPr>
          <w:p>
            <w:pPr>
              <w:jc w:val="right"/>
              <w:ind w:right="86"/>
              <w:spacing w:after="0" w:line="122" w:lineRule="exact"/>
              <w:rPr>
                <w:sz w:val="20"/>
                <w:szCs w:val="20"/>
                <w:color w:val="auto"/>
              </w:rPr>
            </w:pPr>
            <w:r>
              <w:rPr>
                <w:rFonts w:ascii="Arial" w:cs="Arial" w:eastAsia="Arial" w:hAnsi="Arial"/>
                <w:sz w:val="11"/>
                <w:szCs w:val="11"/>
                <w:b w:val="1"/>
                <w:bCs w:val="1"/>
                <w:color w:val="0075C9"/>
              </w:rPr>
              <w:t>Incentive Plan</w:t>
            </w:r>
          </w:p>
        </w:tc>
        <w:tc>
          <w:tcPr>
            <w:tcW w:w="200" w:type="dxa"/>
            <w:vAlign w:val="bottom"/>
          </w:tcPr>
          <w:p>
            <w:pPr>
              <w:spacing w:after="0"/>
              <w:rPr>
                <w:sz w:val="10"/>
                <w:szCs w:val="10"/>
                <w:color w:val="auto"/>
              </w:rPr>
            </w:pPr>
          </w:p>
        </w:tc>
        <w:tc>
          <w:tcPr>
            <w:tcW w:w="88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0075C9"/>
                <w:w w:val="96"/>
              </w:rPr>
              <w:t>Compensation</w:t>
            </w:r>
          </w:p>
        </w:tc>
        <w:tc>
          <w:tcPr>
            <w:tcW w:w="260" w:type="dxa"/>
            <w:vAlign w:val="bottom"/>
          </w:tcPr>
          <w:p>
            <w:pPr>
              <w:spacing w:after="0"/>
              <w:rPr>
                <w:sz w:val="10"/>
                <w:szCs w:val="10"/>
                <w:color w:val="auto"/>
              </w:rPr>
            </w:pPr>
          </w:p>
        </w:tc>
        <w:tc>
          <w:tcPr>
            <w:tcW w:w="860" w:type="dxa"/>
            <w:vAlign w:val="bottom"/>
          </w:tcPr>
          <w:p>
            <w:pPr>
              <w:jc w:val="right"/>
              <w:ind w:right="306"/>
              <w:spacing w:after="0" w:line="122" w:lineRule="exact"/>
              <w:rPr>
                <w:sz w:val="20"/>
                <w:szCs w:val="20"/>
                <w:color w:val="auto"/>
              </w:rPr>
            </w:pPr>
            <w:r>
              <w:rPr>
                <w:rFonts w:ascii="Arial" w:cs="Arial" w:eastAsia="Arial" w:hAnsi="Arial"/>
                <w:sz w:val="11"/>
                <w:szCs w:val="11"/>
                <w:b w:val="1"/>
                <w:bCs w:val="1"/>
                <w:color w:val="0075C9"/>
              </w:rPr>
              <w:t>All Other</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2480" w:type="dxa"/>
            <w:vAlign w:val="bottom"/>
          </w:tcPr>
          <w:p>
            <w:pPr>
              <w:ind w:left="20"/>
              <w:spacing w:after="0" w:line="122" w:lineRule="exact"/>
              <w:rPr>
                <w:sz w:val="20"/>
                <w:szCs w:val="20"/>
                <w:color w:val="auto"/>
              </w:rPr>
            </w:pPr>
            <w:r>
              <w:rPr>
                <w:rFonts w:ascii="Arial" w:cs="Arial" w:eastAsia="Arial" w:hAnsi="Arial"/>
                <w:sz w:val="11"/>
                <w:szCs w:val="11"/>
                <w:b w:val="1"/>
                <w:bCs w:val="1"/>
                <w:color w:val="0075C9"/>
              </w:rPr>
              <w:t>Principal</w:t>
            </w:r>
          </w:p>
        </w:tc>
        <w:tc>
          <w:tcPr>
            <w:tcW w:w="120" w:type="dxa"/>
            <w:vAlign w:val="bottom"/>
          </w:tcPr>
          <w:p>
            <w:pPr>
              <w:spacing w:after="0"/>
              <w:rPr>
                <w:sz w:val="10"/>
                <w:szCs w:val="10"/>
                <w:color w:val="auto"/>
              </w:rPr>
            </w:pPr>
          </w:p>
        </w:tc>
        <w:tc>
          <w:tcPr>
            <w:tcW w:w="460" w:type="dxa"/>
            <w:vAlign w:val="bottom"/>
          </w:tcPr>
          <w:p>
            <w:pPr>
              <w:ind w:left="120"/>
              <w:spacing w:after="0" w:line="122" w:lineRule="exact"/>
              <w:rPr>
                <w:sz w:val="20"/>
                <w:szCs w:val="20"/>
                <w:color w:val="auto"/>
              </w:rPr>
            </w:pPr>
            <w:r>
              <w:rPr>
                <w:rFonts w:ascii="Arial" w:cs="Arial" w:eastAsia="Arial" w:hAnsi="Arial"/>
                <w:sz w:val="11"/>
                <w:szCs w:val="11"/>
                <w:b w:val="1"/>
                <w:bCs w:val="1"/>
                <w:color w:val="0075C9"/>
              </w:rPr>
              <w:t>Year</w:t>
            </w:r>
          </w:p>
        </w:tc>
        <w:tc>
          <w:tcPr>
            <w:tcW w:w="260" w:type="dxa"/>
            <w:vAlign w:val="bottom"/>
          </w:tcPr>
          <w:p>
            <w:pPr>
              <w:spacing w:after="0"/>
              <w:rPr>
                <w:sz w:val="10"/>
                <w:szCs w:val="10"/>
                <w:color w:val="auto"/>
              </w:rPr>
            </w:pPr>
          </w:p>
        </w:tc>
        <w:tc>
          <w:tcPr>
            <w:tcW w:w="720" w:type="dxa"/>
            <w:vAlign w:val="bottom"/>
          </w:tcPr>
          <w:p>
            <w:pPr>
              <w:jc w:val="right"/>
              <w:ind w:right="286"/>
              <w:spacing w:after="0" w:line="122" w:lineRule="exact"/>
              <w:rPr>
                <w:sz w:val="20"/>
                <w:szCs w:val="20"/>
                <w:color w:val="auto"/>
              </w:rPr>
            </w:pPr>
            <w:r>
              <w:rPr>
                <w:rFonts w:ascii="Arial" w:cs="Arial" w:eastAsia="Arial" w:hAnsi="Arial"/>
                <w:sz w:val="11"/>
                <w:szCs w:val="11"/>
                <w:b w:val="1"/>
                <w:bCs w:val="1"/>
                <w:color w:val="0075C9"/>
              </w:rPr>
              <w:t>Salary</w:t>
            </w:r>
          </w:p>
        </w:tc>
        <w:tc>
          <w:tcPr>
            <w:tcW w:w="220" w:type="dxa"/>
            <w:vAlign w:val="bottom"/>
          </w:tcPr>
          <w:p>
            <w:pPr>
              <w:spacing w:after="0"/>
              <w:rPr>
                <w:sz w:val="10"/>
                <w:szCs w:val="10"/>
                <w:color w:val="auto"/>
              </w:rPr>
            </w:pPr>
          </w:p>
        </w:tc>
        <w:tc>
          <w:tcPr>
            <w:tcW w:w="660" w:type="dxa"/>
            <w:vAlign w:val="bottom"/>
          </w:tcPr>
          <w:p>
            <w:pPr>
              <w:jc w:val="right"/>
              <w:ind w:right="226"/>
              <w:spacing w:after="0" w:line="122" w:lineRule="exact"/>
              <w:rPr>
                <w:sz w:val="20"/>
                <w:szCs w:val="20"/>
                <w:color w:val="auto"/>
              </w:rPr>
            </w:pPr>
            <w:r>
              <w:rPr>
                <w:rFonts w:ascii="Arial" w:cs="Arial" w:eastAsia="Arial" w:hAnsi="Arial"/>
                <w:sz w:val="11"/>
                <w:szCs w:val="11"/>
                <w:b w:val="1"/>
                <w:bCs w:val="1"/>
                <w:color w:val="0075C9"/>
              </w:rPr>
              <w:t>Bonus</w:t>
            </w:r>
          </w:p>
        </w:tc>
        <w:tc>
          <w:tcPr>
            <w:tcW w:w="280" w:type="dxa"/>
            <w:vAlign w:val="bottom"/>
          </w:tcPr>
          <w:p>
            <w:pPr>
              <w:spacing w:after="0"/>
              <w:rPr>
                <w:sz w:val="10"/>
                <w:szCs w:val="10"/>
                <w:color w:val="auto"/>
              </w:rPr>
            </w:pPr>
          </w:p>
        </w:tc>
        <w:tc>
          <w:tcPr>
            <w:tcW w:w="800" w:type="dxa"/>
            <w:vAlign w:val="bottom"/>
          </w:tcPr>
          <w:p>
            <w:pPr>
              <w:ind w:left="80"/>
              <w:spacing w:after="0" w:line="122" w:lineRule="exact"/>
              <w:rPr>
                <w:sz w:val="20"/>
                <w:szCs w:val="20"/>
                <w:color w:val="auto"/>
              </w:rPr>
            </w:pPr>
            <w:r>
              <w:rPr>
                <w:rFonts w:ascii="Arial" w:cs="Arial" w:eastAsia="Arial" w:hAnsi="Arial"/>
                <w:sz w:val="11"/>
                <w:szCs w:val="11"/>
                <w:b w:val="1"/>
                <w:bCs w:val="1"/>
                <w:color w:val="0075C9"/>
              </w:rPr>
              <w:t>Awards</w:t>
            </w:r>
          </w:p>
        </w:tc>
        <w:tc>
          <w:tcPr>
            <w:tcW w:w="260" w:type="dxa"/>
            <w:vAlign w:val="bottom"/>
          </w:tcPr>
          <w:p>
            <w:pPr>
              <w:spacing w:after="0"/>
              <w:rPr>
                <w:sz w:val="10"/>
                <w:szCs w:val="10"/>
                <w:color w:val="auto"/>
              </w:rPr>
            </w:pPr>
          </w:p>
        </w:tc>
        <w:tc>
          <w:tcPr>
            <w:tcW w:w="66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0075C9"/>
              </w:rPr>
              <w:t>Awards</w:t>
            </w:r>
          </w:p>
        </w:tc>
        <w:tc>
          <w:tcPr>
            <w:tcW w:w="1060" w:type="dxa"/>
            <w:vAlign w:val="bottom"/>
            <w:gridSpan w:val="2"/>
          </w:tcPr>
          <w:p>
            <w:pPr>
              <w:ind w:left="180"/>
              <w:spacing w:after="0" w:line="122" w:lineRule="exact"/>
              <w:rPr>
                <w:sz w:val="20"/>
                <w:szCs w:val="20"/>
                <w:color w:val="auto"/>
              </w:rPr>
            </w:pPr>
            <w:r>
              <w:rPr>
                <w:rFonts w:ascii="Arial" w:cs="Arial" w:eastAsia="Arial" w:hAnsi="Arial"/>
                <w:sz w:val="11"/>
                <w:szCs w:val="11"/>
                <w:b w:val="1"/>
                <w:bCs w:val="1"/>
                <w:color w:val="0075C9"/>
              </w:rPr>
              <w:t>Compensation</w:t>
            </w:r>
          </w:p>
        </w:tc>
        <w:tc>
          <w:tcPr>
            <w:tcW w:w="200" w:type="dxa"/>
            <w:vAlign w:val="bottom"/>
          </w:tcPr>
          <w:p>
            <w:pPr>
              <w:spacing w:after="0"/>
              <w:rPr>
                <w:sz w:val="10"/>
                <w:szCs w:val="10"/>
                <w:color w:val="auto"/>
              </w:rPr>
            </w:pPr>
          </w:p>
        </w:tc>
        <w:tc>
          <w:tcPr>
            <w:tcW w:w="88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0075C9"/>
                <w:w w:val="97"/>
              </w:rPr>
              <w:t>Earnings</w:t>
            </w:r>
          </w:p>
        </w:tc>
        <w:tc>
          <w:tcPr>
            <w:tcW w:w="1120" w:type="dxa"/>
            <w:vAlign w:val="bottom"/>
            <w:gridSpan w:val="2"/>
          </w:tcPr>
          <w:p>
            <w:pPr>
              <w:jc w:val="right"/>
              <w:ind w:right="166"/>
              <w:spacing w:after="0" w:line="122" w:lineRule="exact"/>
              <w:rPr>
                <w:sz w:val="20"/>
                <w:szCs w:val="20"/>
                <w:color w:val="auto"/>
              </w:rPr>
            </w:pPr>
            <w:r>
              <w:rPr>
                <w:rFonts w:ascii="Arial" w:cs="Arial" w:eastAsia="Arial" w:hAnsi="Arial"/>
                <w:sz w:val="11"/>
                <w:szCs w:val="11"/>
                <w:b w:val="1"/>
                <w:bCs w:val="1"/>
                <w:color w:val="0075C9"/>
              </w:rPr>
              <w:t>Compensation</w:t>
            </w:r>
          </w:p>
        </w:tc>
        <w:tc>
          <w:tcPr>
            <w:tcW w:w="100" w:type="dxa"/>
            <w:vAlign w:val="bottom"/>
          </w:tcPr>
          <w:p>
            <w:pPr>
              <w:spacing w:after="0"/>
              <w:rPr>
                <w:sz w:val="10"/>
                <w:szCs w:val="10"/>
                <w:color w:val="auto"/>
              </w:rPr>
            </w:pPr>
          </w:p>
        </w:tc>
        <w:tc>
          <w:tcPr>
            <w:tcW w:w="8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0075C9"/>
              </w:rPr>
              <w:t>Total</w:t>
            </w:r>
          </w:p>
        </w:tc>
        <w:tc>
          <w:tcPr>
            <w:tcW w:w="0" w:type="dxa"/>
            <w:vAlign w:val="bottom"/>
          </w:tcPr>
          <w:p>
            <w:pPr>
              <w:spacing w:after="0"/>
              <w:rPr>
                <w:sz w:val="1"/>
                <w:szCs w:val="1"/>
                <w:color w:val="auto"/>
              </w:rPr>
            </w:pPr>
          </w:p>
        </w:tc>
      </w:tr>
      <w:tr>
        <w:trPr>
          <w:trHeight w:val="135"/>
        </w:trPr>
        <w:tc>
          <w:tcPr>
            <w:tcW w:w="120" w:type="dxa"/>
            <w:vAlign w:val="bottom"/>
            <w:tcBorders>
              <w:bottom w:val="single" w:sz="8" w:color="0075C9"/>
            </w:tcBorders>
          </w:tcPr>
          <w:p>
            <w:pPr>
              <w:spacing w:after="0"/>
              <w:rPr>
                <w:sz w:val="11"/>
                <w:szCs w:val="11"/>
                <w:color w:val="auto"/>
              </w:rPr>
            </w:pPr>
          </w:p>
        </w:tc>
        <w:tc>
          <w:tcPr>
            <w:tcW w:w="2480" w:type="dxa"/>
            <w:vAlign w:val="bottom"/>
            <w:tcBorders>
              <w:bottom w:val="single" w:sz="8" w:color="0075C9"/>
            </w:tcBorders>
          </w:tcPr>
          <w:p>
            <w:pPr>
              <w:ind w:left="20"/>
              <w:spacing w:after="0"/>
              <w:rPr>
                <w:sz w:val="20"/>
                <w:szCs w:val="20"/>
                <w:color w:val="auto"/>
              </w:rPr>
            </w:pPr>
            <w:r>
              <w:rPr>
                <w:rFonts w:ascii="Arial" w:cs="Arial" w:eastAsia="Arial" w:hAnsi="Arial"/>
                <w:sz w:val="11"/>
                <w:szCs w:val="11"/>
                <w:b w:val="1"/>
                <w:bCs w:val="1"/>
                <w:color w:val="0075C9"/>
              </w:rPr>
              <w:t>Position</w:t>
            </w:r>
          </w:p>
        </w:tc>
        <w:tc>
          <w:tcPr>
            <w:tcW w:w="120" w:type="dxa"/>
            <w:vAlign w:val="bottom"/>
            <w:tcBorders>
              <w:bottom w:val="single" w:sz="8" w:color="0075C9"/>
            </w:tcBorders>
          </w:tcPr>
          <w:p>
            <w:pPr>
              <w:spacing w:after="0"/>
              <w:rPr>
                <w:sz w:val="11"/>
                <w:szCs w:val="11"/>
                <w:color w:val="auto"/>
              </w:rPr>
            </w:pPr>
          </w:p>
        </w:tc>
        <w:tc>
          <w:tcPr>
            <w:tcW w:w="460" w:type="dxa"/>
            <w:vAlign w:val="bottom"/>
            <w:tcBorders>
              <w:bottom w:val="single" w:sz="8" w:color="0075C9"/>
            </w:tcBorders>
          </w:tcPr>
          <w:p>
            <w:pPr>
              <w:spacing w:after="0"/>
              <w:rPr>
                <w:sz w:val="11"/>
                <w:szCs w:val="11"/>
                <w:color w:val="auto"/>
              </w:rPr>
            </w:pPr>
          </w:p>
        </w:tc>
        <w:tc>
          <w:tcPr>
            <w:tcW w:w="260" w:type="dxa"/>
            <w:vAlign w:val="bottom"/>
            <w:tcBorders>
              <w:bottom w:val="single" w:sz="8" w:color="0075C9"/>
            </w:tcBorders>
          </w:tcPr>
          <w:p>
            <w:pPr>
              <w:spacing w:after="0"/>
              <w:rPr>
                <w:sz w:val="11"/>
                <w:szCs w:val="11"/>
                <w:color w:val="auto"/>
              </w:rPr>
            </w:pPr>
          </w:p>
        </w:tc>
        <w:tc>
          <w:tcPr>
            <w:tcW w:w="720" w:type="dxa"/>
            <w:vAlign w:val="bottom"/>
            <w:tcBorders>
              <w:bottom w:val="single" w:sz="8" w:color="0075C9"/>
            </w:tcBorders>
          </w:tcPr>
          <w:p>
            <w:pPr>
              <w:jc w:val="right"/>
              <w:ind w:right="366"/>
              <w:spacing w:after="0"/>
              <w:rPr>
                <w:sz w:val="20"/>
                <w:szCs w:val="20"/>
                <w:color w:val="auto"/>
              </w:rPr>
            </w:pPr>
            <w:r>
              <w:rPr>
                <w:rFonts w:ascii="Arial" w:cs="Arial" w:eastAsia="Arial" w:hAnsi="Arial"/>
                <w:sz w:val="11"/>
                <w:szCs w:val="11"/>
                <w:b w:val="1"/>
                <w:bCs w:val="1"/>
                <w:color w:val="0075C9"/>
              </w:rPr>
              <w:t>(1)</w:t>
            </w:r>
          </w:p>
        </w:tc>
        <w:tc>
          <w:tcPr>
            <w:tcW w:w="220" w:type="dxa"/>
            <w:vAlign w:val="bottom"/>
            <w:tcBorders>
              <w:bottom w:val="single" w:sz="8" w:color="0075C9"/>
            </w:tcBorders>
          </w:tcPr>
          <w:p>
            <w:pPr>
              <w:spacing w:after="0"/>
              <w:rPr>
                <w:sz w:val="11"/>
                <w:szCs w:val="11"/>
                <w:color w:val="auto"/>
              </w:rPr>
            </w:pPr>
          </w:p>
        </w:tc>
        <w:tc>
          <w:tcPr>
            <w:tcW w:w="660" w:type="dxa"/>
            <w:vAlign w:val="bottom"/>
            <w:tcBorders>
              <w:bottom w:val="single" w:sz="8" w:color="0075C9"/>
            </w:tcBorders>
          </w:tcPr>
          <w:p>
            <w:pPr>
              <w:jc w:val="right"/>
              <w:ind w:right="326"/>
              <w:spacing w:after="0"/>
              <w:rPr>
                <w:sz w:val="20"/>
                <w:szCs w:val="20"/>
                <w:color w:val="auto"/>
              </w:rPr>
            </w:pPr>
            <w:r>
              <w:rPr>
                <w:rFonts w:ascii="Arial" w:cs="Arial" w:eastAsia="Arial" w:hAnsi="Arial"/>
                <w:sz w:val="11"/>
                <w:szCs w:val="11"/>
                <w:b w:val="1"/>
                <w:bCs w:val="1"/>
                <w:color w:val="0075C9"/>
              </w:rPr>
              <w:t>(2)</w:t>
            </w:r>
          </w:p>
        </w:tc>
        <w:tc>
          <w:tcPr>
            <w:tcW w:w="280" w:type="dxa"/>
            <w:vAlign w:val="bottom"/>
            <w:tcBorders>
              <w:bottom w:val="single" w:sz="8" w:color="0075C9"/>
            </w:tcBorders>
          </w:tcPr>
          <w:p>
            <w:pPr>
              <w:spacing w:after="0"/>
              <w:rPr>
                <w:sz w:val="11"/>
                <w:szCs w:val="11"/>
                <w:color w:val="auto"/>
              </w:rPr>
            </w:pPr>
          </w:p>
        </w:tc>
        <w:tc>
          <w:tcPr>
            <w:tcW w:w="800" w:type="dxa"/>
            <w:vAlign w:val="bottom"/>
            <w:tcBorders>
              <w:bottom w:val="single" w:sz="8" w:color="0075C9"/>
            </w:tcBorders>
          </w:tcPr>
          <w:p>
            <w:pPr>
              <w:jc w:val="right"/>
              <w:ind w:right="446"/>
              <w:spacing w:after="0"/>
              <w:rPr>
                <w:sz w:val="20"/>
                <w:szCs w:val="20"/>
                <w:color w:val="auto"/>
              </w:rPr>
            </w:pPr>
            <w:r>
              <w:rPr>
                <w:rFonts w:ascii="Arial" w:cs="Arial" w:eastAsia="Arial" w:hAnsi="Arial"/>
                <w:sz w:val="11"/>
                <w:szCs w:val="11"/>
                <w:b w:val="1"/>
                <w:bCs w:val="1"/>
                <w:color w:val="0075C9"/>
              </w:rPr>
              <w:t>(3)</w:t>
            </w:r>
          </w:p>
        </w:tc>
        <w:tc>
          <w:tcPr>
            <w:tcW w:w="260" w:type="dxa"/>
            <w:vAlign w:val="bottom"/>
            <w:tcBorders>
              <w:bottom w:val="single" w:sz="8" w:color="0075C9"/>
            </w:tcBorders>
          </w:tcPr>
          <w:p>
            <w:pPr>
              <w:spacing w:after="0"/>
              <w:rPr>
                <w:sz w:val="11"/>
                <w:szCs w:val="11"/>
                <w:color w:val="auto"/>
              </w:rPr>
            </w:pPr>
          </w:p>
        </w:tc>
        <w:tc>
          <w:tcPr>
            <w:tcW w:w="660" w:type="dxa"/>
            <w:vAlign w:val="bottom"/>
            <w:tcBorders>
              <w:bottom w:val="single" w:sz="8" w:color="0075C9"/>
            </w:tcBorders>
          </w:tcPr>
          <w:p>
            <w:pPr>
              <w:jc w:val="right"/>
              <w:ind w:right="346"/>
              <w:spacing w:after="0"/>
              <w:rPr>
                <w:sz w:val="20"/>
                <w:szCs w:val="20"/>
                <w:color w:val="auto"/>
              </w:rPr>
            </w:pPr>
            <w:r>
              <w:rPr>
                <w:rFonts w:ascii="Arial" w:cs="Arial" w:eastAsia="Arial" w:hAnsi="Arial"/>
                <w:sz w:val="11"/>
                <w:szCs w:val="11"/>
                <w:b w:val="1"/>
                <w:bCs w:val="1"/>
                <w:color w:val="0075C9"/>
              </w:rPr>
              <w:t>(3)</w:t>
            </w:r>
          </w:p>
        </w:tc>
        <w:tc>
          <w:tcPr>
            <w:tcW w:w="260" w:type="dxa"/>
            <w:vAlign w:val="bottom"/>
            <w:tcBorders>
              <w:bottom w:val="single" w:sz="8" w:color="0075C9"/>
            </w:tcBorders>
          </w:tcPr>
          <w:p>
            <w:pPr>
              <w:spacing w:after="0"/>
              <w:rPr>
                <w:sz w:val="11"/>
                <w:szCs w:val="11"/>
                <w:color w:val="auto"/>
              </w:rPr>
            </w:pPr>
          </w:p>
        </w:tc>
        <w:tc>
          <w:tcPr>
            <w:tcW w:w="800" w:type="dxa"/>
            <w:vAlign w:val="bottom"/>
            <w:tcBorders>
              <w:bottom w:val="single" w:sz="8" w:color="0075C9"/>
            </w:tcBorders>
          </w:tcPr>
          <w:p>
            <w:pPr>
              <w:jc w:val="right"/>
              <w:ind w:right="426"/>
              <w:spacing w:after="0"/>
              <w:rPr>
                <w:sz w:val="20"/>
                <w:szCs w:val="20"/>
                <w:color w:val="auto"/>
              </w:rPr>
            </w:pPr>
            <w:r>
              <w:rPr>
                <w:rFonts w:ascii="Arial" w:cs="Arial" w:eastAsia="Arial" w:hAnsi="Arial"/>
                <w:sz w:val="11"/>
                <w:szCs w:val="11"/>
                <w:b w:val="1"/>
                <w:bCs w:val="1"/>
                <w:color w:val="0075C9"/>
              </w:rPr>
              <w:t>(4)</w:t>
            </w:r>
          </w:p>
        </w:tc>
        <w:tc>
          <w:tcPr>
            <w:tcW w:w="200" w:type="dxa"/>
            <w:vAlign w:val="bottom"/>
            <w:tcBorders>
              <w:bottom w:val="single" w:sz="8" w:color="0075C9"/>
            </w:tcBorders>
          </w:tcPr>
          <w:p>
            <w:pPr>
              <w:spacing w:after="0"/>
              <w:rPr>
                <w:sz w:val="11"/>
                <w:szCs w:val="11"/>
                <w:color w:val="auto"/>
              </w:rPr>
            </w:pPr>
          </w:p>
        </w:tc>
        <w:tc>
          <w:tcPr>
            <w:tcW w:w="880" w:type="dxa"/>
            <w:vAlign w:val="bottom"/>
            <w:tcBorders>
              <w:bottom w:val="single" w:sz="8" w:color="0075C9"/>
            </w:tcBorders>
          </w:tcPr>
          <w:p>
            <w:pPr>
              <w:jc w:val="right"/>
              <w:ind w:right="446"/>
              <w:spacing w:after="0"/>
              <w:rPr>
                <w:sz w:val="20"/>
                <w:szCs w:val="20"/>
                <w:color w:val="auto"/>
              </w:rPr>
            </w:pPr>
            <w:r>
              <w:rPr>
                <w:rFonts w:ascii="Arial" w:cs="Arial" w:eastAsia="Arial" w:hAnsi="Arial"/>
                <w:sz w:val="11"/>
                <w:szCs w:val="11"/>
                <w:b w:val="1"/>
                <w:bCs w:val="1"/>
                <w:color w:val="0075C9"/>
              </w:rPr>
              <w:t>(5)</w:t>
            </w:r>
          </w:p>
        </w:tc>
        <w:tc>
          <w:tcPr>
            <w:tcW w:w="260" w:type="dxa"/>
            <w:vAlign w:val="bottom"/>
            <w:tcBorders>
              <w:bottom w:val="single" w:sz="8" w:color="0075C9"/>
            </w:tcBorders>
          </w:tcPr>
          <w:p>
            <w:pPr>
              <w:spacing w:after="0"/>
              <w:rPr>
                <w:sz w:val="11"/>
                <w:szCs w:val="11"/>
                <w:color w:val="auto"/>
              </w:rPr>
            </w:pPr>
          </w:p>
        </w:tc>
        <w:tc>
          <w:tcPr>
            <w:tcW w:w="860" w:type="dxa"/>
            <w:vAlign w:val="bottom"/>
            <w:tcBorders>
              <w:bottom w:val="single" w:sz="8" w:color="0075C9"/>
            </w:tcBorders>
          </w:tcPr>
          <w:p>
            <w:pPr>
              <w:jc w:val="right"/>
              <w:ind w:right="526"/>
              <w:spacing w:after="0"/>
              <w:rPr>
                <w:sz w:val="20"/>
                <w:szCs w:val="20"/>
                <w:color w:val="auto"/>
              </w:rPr>
            </w:pPr>
            <w:r>
              <w:rPr>
                <w:rFonts w:ascii="Arial" w:cs="Arial" w:eastAsia="Arial" w:hAnsi="Arial"/>
                <w:sz w:val="11"/>
                <w:szCs w:val="11"/>
                <w:b w:val="1"/>
                <w:bCs w:val="1"/>
                <w:color w:val="0075C9"/>
              </w:rPr>
              <w:t>(6)</w:t>
            </w:r>
          </w:p>
        </w:tc>
        <w:tc>
          <w:tcPr>
            <w:tcW w:w="100" w:type="dxa"/>
            <w:vAlign w:val="bottom"/>
            <w:tcBorders>
              <w:bottom w:val="single" w:sz="8" w:color="0075C9"/>
            </w:tcBorders>
          </w:tcPr>
          <w:p>
            <w:pPr>
              <w:spacing w:after="0"/>
              <w:rPr>
                <w:sz w:val="11"/>
                <w:szCs w:val="11"/>
                <w:color w:val="auto"/>
              </w:rPr>
            </w:pPr>
          </w:p>
        </w:tc>
        <w:tc>
          <w:tcPr>
            <w:tcW w:w="620" w:type="dxa"/>
            <w:vAlign w:val="bottom"/>
            <w:tcBorders>
              <w:bottom w:val="single" w:sz="8" w:color="0075C9"/>
            </w:tcBorders>
          </w:tcPr>
          <w:p>
            <w:pPr>
              <w:spacing w:after="0"/>
              <w:rPr>
                <w:sz w:val="11"/>
                <w:szCs w:val="11"/>
                <w:color w:val="auto"/>
              </w:rPr>
            </w:pPr>
          </w:p>
        </w:tc>
        <w:tc>
          <w:tcPr>
            <w:tcW w:w="220" w:type="dxa"/>
            <w:vAlign w:val="bottom"/>
            <w:tcBorders>
              <w:bottom w:val="single" w:sz="8" w:color="0075C9"/>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20" w:type="dxa"/>
            <w:vAlign w:val="bottom"/>
            <w:shd w:val="clear" w:color="auto" w:fill="EBEBEC"/>
          </w:tcPr>
          <w:p>
            <w:pPr>
              <w:spacing w:after="0"/>
              <w:rPr>
                <w:sz w:val="8"/>
                <w:szCs w:val="8"/>
                <w:color w:val="auto"/>
              </w:rPr>
            </w:pPr>
          </w:p>
        </w:tc>
        <w:tc>
          <w:tcPr>
            <w:tcW w:w="2480" w:type="dxa"/>
            <w:vAlign w:val="bottom"/>
            <w:shd w:val="clear" w:color="auto" w:fill="EBEBEC"/>
          </w:tcPr>
          <w:p>
            <w:pPr>
              <w:ind w:left="20"/>
              <w:spacing w:after="0" w:line="102" w:lineRule="exact"/>
              <w:rPr>
                <w:sz w:val="20"/>
                <w:szCs w:val="20"/>
                <w:color w:val="auto"/>
              </w:rPr>
            </w:pPr>
            <w:r>
              <w:rPr>
                <w:rFonts w:ascii="Arial" w:cs="Arial" w:eastAsia="Arial" w:hAnsi="Arial"/>
                <w:sz w:val="11"/>
                <w:szCs w:val="11"/>
                <w:b w:val="1"/>
                <w:bCs w:val="1"/>
                <w:color w:val="auto"/>
              </w:rPr>
              <w:t>Francisco J. Leon</w:t>
            </w:r>
          </w:p>
        </w:tc>
        <w:tc>
          <w:tcPr>
            <w:tcW w:w="580" w:type="dxa"/>
            <w:vAlign w:val="bottom"/>
            <w:gridSpan w:val="2"/>
            <w:shd w:val="clear" w:color="auto" w:fill="EBEBEC"/>
          </w:tcPr>
          <w:p>
            <w:pPr>
              <w:ind w:left="240"/>
              <w:spacing w:after="0" w:line="102" w:lineRule="exact"/>
              <w:rPr>
                <w:sz w:val="20"/>
                <w:szCs w:val="20"/>
                <w:color w:val="auto"/>
              </w:rPr>
            </w:pPr>
            <w:r>
              <w:rPr>
                <w:rFonts w:ascii="Arial" w:cs="Arial" w:eastAsia="Arial" w:hAnsi="Arial"/>
                <w:sz w:val="11"/>
                <w:szCs w:val="11"/>
                <w:color w:val="auto"/>
              </w:rPr>
              <w:t>2024</w:t>
            </w:r>
          </w:p>
        </w:tc>
        <w:tc>
          <w:tcPr>
            <w:tcW w:w="260" w:type="dxa"/>
            <w:vAlign w:val="bottom"/>
            <w:shd w:val="clear" w:color="auto" w:fill="EBEBEC"/>
          </w:tcPr>
          <w:p>
            <w:pPr>
              <w:jc w:val="right"/>
              <w:ind w:right="6"/>
              <w:spacing w:after="0" w:line="102" w:lineRule="exact"/>
              <w:rPr>
                <w:sz w:val="20"/>
                <w:szCs w:val="20"/>
                <w:color w:val="auto"/>
              </w:rPr>
            </w:pPr>
            <w:r>
              <w:rPr>
                <w:rFonts w:ascii="Arial" w:cs="Arial" w:eastAsia="Arial" w:hAnsi="Arial"/>
                <w:sz w:val="11"/>
                <w:szCs w:val="11"/>
                <w:color w:val="auto"/>
              </w:rPr>
              <w:t>$</w:t>
            </w:r>
          </w:p>
        </w:tc>
        <w:tc>
          <w:tcPr>
            <w:tcW w:w="720" w:type="dxa"/>
            <w:vAlign w:val="bottom"/>
            <w:shd w:val="clear" w:color="auto" w:fill="EBEBEC"/>
          </w:tcPr>
          <w:p>
            <w:pPr>
              <w:jc w:val="right"/>
              <w:ind w:right="86"/>
              <w:spacing w:after="0" w:line="102" w:lineRule="exact"/>
              <w:rPr>
                <w:sz w:val="20"/>
                <w:szCs w:val="20"/>
                <w:color w:val="auto"/>
              </w:rPr>
            </w:pPr>
            <w:r>
              <w:rPr>
                <w:rFonts w:ascii="Arial" w:cs="Arial" w:eastAsia="Arial" w:hAnsi="Arial"/>
                <w:sz w:val="11"/>
                <w:szCs w:val="11"/>
                <w:color w:val="auto"/>
              </w:rPr>
              <w:t>830,769</w:t>
            </w:r>
          </w:p>
        </w:tc>
        <w:tc>
          <w:tcPr>
            <w:tcW w:w="220" w:type="dxa"/>
            <w:vAlign w:val="bottom"/>
            <w:shd w:val="clear" w:color="auto" w:fill="EBEBEC"/>
          </w:tcPr>
          <w:p>
            <w:pPr>
              <w:jc w:val="right"/>
              <w:spacing w:after="0" w:line="102" w:lineRule="exact"/>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jc w:val="right"/>
              <w:ind w:right="86"/>
              <w:spacing w:after="0" w:line="102" w:lineRule="exact"/>
              <w:rPr>
                <w:sz w:val="20"/>
                <w:szCs w:val="20"/>
                <w:color w:val="auto"/>
              </w:rPr>
            </w:pPr>
            <w:r>
              <w:rPr>
                <w:rFonts w:ascii="Arial" w:cs="Arial" w:eastAsia="Arial" w:hAnsi="Arial"/>
                <w:sz w:val="11"/>
                <w:szCs w:val="11"/>
                <w:color w:val="auto"/>
              </w:rPr>
              <w:t>326,400</w:t>
            </w:r>
          </w:p>
        </w:tc>
        <w:tc>
          <w:tcPr>
            <w:tcW w:w="280" w:type="dxa"/>
            <w:vAlign w:val="bottom"/>
            <w:shd w:val="clear" w:color="auto" w:fill="EBEBEC"/>
          </w:tcPr>
          <w:p>
            <w:pPr>
              <w:jc w:val="right"/>
              <w:ind w:right="46"/>
              <w:spacing w:after="0" w:line="102" w:lineRule="exact"/>
              <w:rPr>
                <w:sz w:val="20"/>
                <w:szCs w:val="20"/>
                <w:color w:val="auto"/>
              </w:rPr>
            </w:pPr>
            <w:r>
              <w:rPr>
                <w:rFonts w:ascii="Arial" w:cs="Arial" w:eastAsia="Arial" w:hAnsi="Arial"/>
                <w:sz w:val="11"/>
                <w:szCs w:val="11"/>
                <w:color w:val="auto"/>
              </w:rPr>
              <w:t>$</w:t>
            </w:r>
          </w:p>
        </w:tc>
        <w:tc>
          <w:tcPr>
            <w:tcW w:w="800" w:type="dxa"/>
            <w:vAlign w:val="bottom"/>
            <w:shd w:val="clear" w:color="auto" w:fill="EBEBEC"/>
          </w:tcPr>
          <w:p>
            <w:pPr>
              <w:jc w:val="right"/>
              <w:ind w:right="126"/>
              <w:spacing w:after="0" w:line="102" w:lineRule="exact"/>
              <w:rPr>
                <w:sz w:val="20"/>
                <w:szCs w:val="20"/>
                <w:color w:val="auto"/>
              </w:rPr>
            </w:pPr>
            <w:r>
              <w:rPr>
                <w:rFonts w:ascii="Arial" w:cs="Arial" w:eastAsia="Arial" w:hAnsi="Arial"/>
                <w:sz w:val="11"/>
                <w:szCs w:val="11"/>
                <w:color w:val="auto"/>
              </w:rPr>
              <w:t>5,564,246</w:t>
            </w:r>
          </w:p>
        </w:tc>
        <w:tc>
          <w:tcPr>
            <w:tcW w:w="260" w:type="dxa"/>
            <w:vAlign w:val="bottom"/>
            <w:shd w:val="clear" w:color="auto" w:fill="EBEBEC"/>
          </w:tcPr>
          <w:p>
            <w:pPr>
              <w:jc w:val="right"/>
              <w:spacing w:after="0" w:line="102" w:lineRule="exact"/>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jc w:val="right"/>
              <w:ind w:right="126"/>
              <w:spacing w:after="0" w:line="102" w:lineRule="exact"/>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80"/>
              <w:spacing w:after="0" w:line="102" w:lineRule="exact"/>
              <w:rPr>
                <w:sz w:val="20"/>
                <w:szCs w:val="20"/>
                <w:color w:val="auto"/>
              </w:rPr>
            </w:pPr>
            <w:r>
              <w:rPr>
                <w:rFonts w:ascii="Arial" w:cs="Arial" w:eastAsia="Arial" w:hAnsi="Arial"/>
                <w:sz w:val="11"/>
                <w:szCs w:val="11"/>
                <w:color w:val="auto"/>
                <w:w w:val="97"/>
              </w:rPr>
              <w:t>$</w:t>
            </w:r>
          </w:p>
        </w:tc>
        <w:tc>
          <w:tcPr>
            <w:tcW w:w="800" w:type="dxa"/>
            <w:vAlign w:val="bottom"/>
            <w:shd w:val="clear" w:color="auto" w:fill="EBEBEC"/>
          </w:tcPr>
          <w:p>
            <w:pPr>
              <w:jc w:val="right"/>
              <w:ind w:right="166"/>
              <w:spacing w:after="0" w:line="102" w:lineRule="exact"/>
              <w:rPr>
                <w:sz w:val="20"/>
                <w:szCs w:val="20"/>
                <w:color w:val="auto"/>
              </w:rPr>
            </w:pPr>
            <w:r>
              <w:rPr>
                <w:rFonts w:ascii="Arial" w:cs="Arial" w:eastAsia="Arial" w:hAnsi="Arial"/>
                <w:sz w:val="11"/>
                <w:szCs w:val="11"/>
                <w:color w:val="auto"/>
              </w:rPr>
              <w:t>1,073,203</w:t>
            </w:r>
          </w:p>
        </w:tc>
        <w:tc>
          <w:tcPr>
            <w:tcW w:w="200" w:type="dxa"/>
            <w:vAlign w:val="bottom"/>
            <w:shd w:val="clear" w:color="auto" w:fill="EBEBEC"/>
          </w:tcPr>
          <w:p>
            <w:pPr>
              <w:jc w:val="right"/>
              <w:spacing w:after="0" w:line="102" w:lineRule="exact"/>
              <w:rPr>
                <w:sz w:val="20"/>
                <w:szCs w:val="20"/>
                <w:color w:val="auto"/>
              </w:rPr>
            </w:pPr>
            <w:r>
              <w:rPr>
                <w:rFonts w:ascii="Arial" w:cs="Arial" w:eastAsia="Arial" w:hAnsi="Arial"/>
                <w:sz w:val="11"/>
                <w:szCs w:val="11"/>
                <w:color w:val="auto"/>
              </w:rPr>
              <w:t>$</w:t>
            </w:r>
          </w:p>
        </w:tc>
        <w:tc>
          <w:tcPr>
            <w:tcW w:w="880" w:type="dxa"/>
            <w:vAlign w:val="bottom"/>
            <w:shd w:val="clear" w:color="auto" w:fill="EBEBEC"/>
          </w:tcPr>
          <w:p>
            <w:pPr>
              <w:jc w:val="right"/>
              <w:ind w:right="126"/>
              <w:spacing w:after="0" w:line="102" w:lineRule="exact"/>
              <w:rPr>
                <w:sz w:val="20"/>
                <w:szCs w:val="20"/>
                <w:color w:val="auto"/>
              </w:rPr>
            </w:pPr>
            <w:r>
              <w:rPr>
                <w:rFonts w:ascii="Arial" w:cs="Arial" w:eastAsia="Arial" w:hAnsi="Arial"/>
                <w:sz w:val="11"/>
                <w:szCs w:val="11"/>
                <w:color w:val="auto"/>
              </w:rPr>
              <w:t>9,629</w:t>
            </w:r>
          </w:p>
        </w:tc>
        <w:tc>
          <w:tcPr>
            <w:tcW w:w="260" w:type="dxa"/>
            <w:vAlign w:val="bottom"/>
            <w:shd w:val="clear" w:color="auto" w:fill="EBEBEC"/>
          </w:tcPr>
          <w:p>
            <w:pPr>
              <w:jc w:val="right"/>
              <w:spacing w:after="0" w:line="102" w:lineRule="exact"/>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286"/>
              <w:spacing w:after="0" w:line="102" w:lineRule="exact"/>
              <w:rPr>
                <w:sz w:val="20"/>
                <w:szCs w:val="20"/>
                <w:color w:val="auto"/>
              </w:rPr>
            </w:pPr>
            <w:r>
              <w:rPr>
                <w:rFonts w:ascii="Arial" w:cs="Arial" w:eastAsia="Arial" w:hAnsi="Arial"/>
                <w:sz w:val="11"/>
                <w:szCs w:val="11"/>
                <w:color w:val="auto"/>
              </w:rPr>
              <w:t>181,684</w:t>
            </w:r>
          </w:p>
        </w:tc>
        <w:tc>
          <w:tcPr>
            <w:tcW w:w="100" w:type="dxa"/>
            <w:vAlign w:val="bottom"/>
            <w:shd w:val="clear" w:color="auto" w:fill="EAEAEA"/>
          </w:tcPr>
          <w:p>
            <w:pPr>
              <w:jc w:val="right"/>
              <w:spacing w:after="0" w:line="102" w:lineRule="exact"/>
              <w:rPr>
                <w:sz w:val="20"/>
                <w:szCs w:val="20"/>
                <w:color w:val="auto"/>
              </w:rPr>
            </w:pPr>
            <w:r>
              <w:rPr>
                <w:rFonts w:ascii="Arial" w:cs="Arial" w:eastAsia="Arial" w:hAnsi="Arial"/>
                <w:sz w:val="10"/>
                <w:szCs w:val="10"/>
                <w:color w:val="auto"/>
                <w:w w:val="71"/>
              </w:rPr>
              <w:t>$</w:t>
            </w:r>
          </w:p>
        </w:tc>
        <w:tc>
          <w:tcPr>
            <w:tcW w:w="620" w:type="dxa"/>
            <w:vAlign w:val="bottom"/>
            <w:shd w:val="clear" w:color="auto" w:fill="EAEAEA"/>
          </w:tcPr>
          <w:p>
            <w:pPr>
              <w:jc w:val="right"/>
              <w:ind w:right="66"/>
              <w:spacing w:after="0" w:line="102" w:lineRule="exact"/>
              <w:rPr>
                <w:sz w:val="20"/>
                <w:szCs w:val="20"/>
                <w:color w:val="auto"/>
              </w:rPr>
            </w:pPr>
            <w:r>
              <w:rPr>
                <w:rFonts w:ascii="Arial" w:cs="Arial" w:eastAsia="Arial" w:hAnsi="Arial"/>
                <w:sz w:val="11"/>
                <w:szCs w:val="11"/>
                <w:color w:val="auto"/>
                <w:w w:val="97"/>
              </w:rPr>
              <w:t>7,985,931</w:t>
            </w:r>
          </w:p>
        </w:tc>
        <w:tc>
          <w:tcPr>
            <w:tcW w:w="220" w:type="dxa"/>
            <w:vAlign w:val="bottom"/>
            <w:shd w:val="clear" w:color="auto" w:fill="EBEBE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20" w:type="dxa"/>
            <w:vAlign w:val="bottom"/>
            <w:shd w:val="clear" w:color="auto" w:fill="EBEBEC"/>
          </w:tcPr>
          <w:p>
            <w:pPr>
              <w:spacing w:after="0"/>
              <w:rPr>
                <w:sz w:val="10"/>
                <w:szCs w:val="10"/>
                <w:color w:val="auto"/>
              </w:rPr>
            </w:pPr>
          </w:p>
        </w:tc>
        <w:tc>
          <w:tcPr>
            <w:tcW w:w="2480" w:type="dxa"/>
            <w:vAlign w:val="bottom"/>
            <w:vMerge w:val="restart"/>
            <w:shd w:val="clear" w:color="auto" w:fill="EBEBEC"/>
          </w:tcPr>
          <w:p>
            <w:pPr>
              <w:ind w:left="20"/>
              <w:spacing w:after="0"/>
              <w:rPr>
                <w:sz w:val="20"/>
                <w:szCs w:val="20"/>
                <w:color w:val="auto"/>
              </w:rPr>
            </w:pPr>
            <w:r>
              <w:rPr>
                <w:rFonts w:ascii="Arial" w:cs="Arial" w:eastAsia="Arial" w:hAnsi="Arial"/>
                <w:sz w:val="11"/>
                <w:szCs w:val="11"/>
                <w:color w:val="auto"/>
              </w:rPr>
              <w:t>President and</w:t>
            </w:r>
          </w:p>
        </w:tc>
        <w:tc>
          <w:tcPr>
            <w:tcW w:w="120" w:type="dxa"/>
            <w:vAlign w:val="bottom"/>
            <w:shd w:val="clear" w:color="auto" w:fill="EBEBEC"/>
          </w:tcPr>
          <w:p>
            <w:pPr>
              <w:spacing w:after="0"/>
              <w:rPr>
                <w:sz w:val="10"/>
                <w:szCs w:val="10"/>
                <w:color w:val="auto"/>
              </w:rPr>
            </w:pPr>
          </w:p>
        </w:tc>
        <w:tc>
          <w:tcPr>
            <w:tcW w:w="460" w:type="dxa"/>
            <w:vAlign w:val="bottom"/>
            <w:shd w:val="clear" w:color="auto" w:fill="EBEBEC"/>
          </w:tcPr>
          <w:p>
            <w:pPr>
              <w:spacing w:after="0"/>
              <w:rPr>
                <w:sz w:val="10"/>
                <w:szCs w:val="10"/>
                <w:color w:val="auto"/>
              </w:rPr>
            </w:pPr>
          </w:p>
        </w:tc>
        <w:tc>
          <w:tcPr>
            <w:tcW w:w="260" w:type="dxa"/>
            <w:vAlign w:val="bottom"/>
            <w:shd w:val="clear" w:color="auto" w:fill="EBEBEC"/>
          </w:tcPr>
          <w:p>
            <w:pPr>
              <w:spacing w:after="0"/>
              <w:rPr>
                <w:sz w:val="10"/>
                <w:szCs w:val="10"/>
                <w:color w:val="auto"/>
              </w:rPr>
            </w:pPr>
          </w:p>
        </w:tc>
        <w:tc>
          <w:tcPr>
            <w:tcW w:w="720" w:type="dxa"/>
            <w:vAlign w:val="bottom"/>
            <w:shd w:val="clear" w:color="auto" w:fill="EBEBEC"/>
          </w:tcPr>
          <w:p>
            <w:pPr>
              <w:spacing w:after="0"/>
              <w:rPr>
                <w:sz w:val="10"/>
                <w:szCs w:val="10"/>
                <w:color w:val="auto"/>
              </w:rPr>
            </w:pPr>
          </w:p>
        </w:tc>
        <w:tc>
          <w:tcPr>
            <w:tcW w:w="220" w:type="dxa"/>
            <w:vAlign w:val="bottom"/>
            <w:shd w:val="clear" w:color="auto" w:fill="EBEBEC"/>
          </w:tcPr>
          <w:p>
            <w:pPr>
              <w:spacing w:after="0"/>
              <w:rPr>
                <w:sz w:val="10"/>
                <w:szCs w:val="10"/>
                <w:color w:val="auto"/>
              </w:rPr>
            </w:pPr>
          </w:p>
        </w:tc>
        <w:tc>
          <w:tcPr>
            <w:tcW w:w="660" w:type="dxa"/>
            <w:vAlign w:val="bottom"/>
            <w:shd w:val="clear" w:color="auto" w:fill="EBEBEC"/>
          </w:tcPr>
          <w:p>
            <w:pPr>
              <w:spacing w:after="0"/>
              <w:rPr>
                <w:sz w:val="10"/>
                <w:szCs w:val="10"/>
                <w:color w:val="auto"/>
              </w:rPr>
            </w:pPr>
          </w:p>
        </w:tc>
        <w:tc>
          <w:tcPr>
            <w:tcW w:w="280" w:type="dxa"/>
            <w:vAlign w:val="bottom"/>
            <w:shd w:val="clear" w:color="auto" w:fill="EBEBEC"/>
          </w:tcPr>
          <w:p>
            <w:pPr>
              <w:spacing w:after="0"/>
              <w:rPr>
                <w:sz w:val="10"/>
                <w:szCs w:val="10"/>
                <w:color w:val="auto"/>
              </w:rPr>
            </w:pPr>
          </w:p>
        </w:tc>
        <w:tc>
          <w:tcPr>
            <w:tcW w:w="800" w:type="dxa"/>
            <w:vAlign w:val="bottom"/>
            <w:shd w:val="clear" w:color="auto" w:fill="EBEBEC"/>
          </w:tcPr>
          <w:p>
            <w:pPr>
              <w:spacing w:after="0"/>
              <w:rPr>
                <w:sz w:val="10"/>
                <w:szCs w:val="10"/>
                <w:color w:val="auto"/>
              </w:rPr>
            </w:pPr>
          </w:p>
        </w:tc>
        <w:tc>
          <w:tcPr>
            <w:tcW w:w="260" w:type="dxa"/>
            <w:vAlign w:val="bottom"/>
            <w:shd w:val="clear" w:color="auto" w:fill="EBEBEC"/>
          </w:tcPr>
          <w:p>
            <w:pPr>
              <w:spacing w:after="0"/>
              <w:rPr>
                <w:sz w:val="10"/>
                <w:szCs w:val="10"/>
                <w:color w:val="auto"/>
              </w:rPr>
            </w:pPr>
          </w:p>
        </w:tc>
        <w:tc>
          <w:tcPr>
            <w:tcW w:w="660" w:type="dxa"/>
            <w:vAlign w:val="bottom"/>
            <w:shd w:val="clear" w:color="auto" w:fill="EBEBEC"/>
          </w:tcPr>
          <w:p>
            <w:pPr>
              <w:spacing w:after="0"/>
              <w:rPr>
                <w:sz w:val="10"/>
                <w:szCs w:val="10"/>
                <w:color w:val="auto"/>
              </w:rPr>
            </w:pPr>
          </w:p>
        </w:tc>
        <w:tc>
          <w:tcPr>
            <w:tcW w:w="260" w:type="dxa"/>
            <w:vAlign w:val="bottom"/>
            <w:shd w:val="clear" w:color="auto" w:fill="EBEBEC"/>
          </w:tcPr>
          <w:p>
            <w:pPr>
              <w:spacing w:after="0"/>
              <w:rPr>
                <w:sz w:val="10"/>
                <w:szCs w:val="10"/>
                <w:color w:val="auto"/>
              </w:rPr>
            </w:pPr>
          </w:p>
        </w:tc>
        <w:tc>
          <w:tcPr>
            <w:tcW w:w="800" w:type="dxa"/>
            <w:vAlign w:val="bottom"/>
            <w:shd w:val="clear" w:color="auto" w:fill="EBEBEC"/>
          </w:tcPr>
          <w:p>
            <w:pPr>
              <w:spacing w:after="0"/>
              <w:rPr>
                <w:sz w:val="10"/>
                <w:szCs w:val="10"/>
                <w:color w:val="auto"/>
              </w:rPr>
            </w:pPr>
          </w:p>
        </w:tc>
        <w:tc>
          <w:tcPr>
            <w:tcW w:w="200" w:type="dxa"/>
            <w:vAlign w:val="bottom"/>
            <w:shd w:val="clear" w:color="auto" w:fill="EBEBEC"/>
          </w:tcPr>
          <w:p>
            <w:pPr>
              <w:spacing w:after="0"/>
              <w:rPr>
                <w:sz w:val="10"/>
                <w:szCs w:val="10"/>
                <w:color w:val="auto"/>
              </w:rPr>
            </w:pPr>
          </w:p>
        </w:tc>
        <w:tc>
          <w:tcPr>
            <w:tcW w:w="880" w:type="dxa"/>
            <w:vAlign w:val="bottom"/>
            <w:shd w:val="clear" w:color="auto" w:fill="EBEBEC"/>
          </w:tcPr>
          <w:p>
            <w:pPr>
              <w:spacing w:after="0"/>
              <w:rPr>
                <w:sz w:val="10"/>
                <w:szCs w:val="10"/>
                <w:color w:val="auto"/>
              </w:rPr>
            </w:pPr>
          </w:p>
        </w:tc>
        <w:tc>
          <w:tcPr>
            <w:tcW w:w="260" w:type="dxa"/>
            <w:vAlign w:val="bottom"/>
            <w:shd w:val="clear" w:color="auto" w:fill="EBEBEC"/>
          </w:tcPr>
          <w:p>
            <w:pPr>
              <w:spacing w:after="0"/>
              <w:rPr>
                <w:sz w:val="10"/>
                <w:szCs w:val="10"/>
                <w:color w:val="auto"/>
              </w:rPr>
            </w:pPr>
          </w:p>
        </w:tc>
        <w:tc>
          <w:tcPr>
            <w:tcW w:w="860" w:type="dxa"/>
            <w:vAlign w:val="bottom"/>
            <w:shd w:val="clear" w:color="auto" w:fill="EBEBEC"/>
          </w:tcPr>
          <w:p>
            <w:pPr>
              <w:spacing w:after="0"/>
              <w:rPr>
                <w:sz w:val="10"/>
                <w:szCs w:val="10"/>
                <w:color w:val="auto"/>
              </w:rPr>
            </w:pPr>
          </w:p>
        </w:tc>
        <w:tc>
          <w:tcPr>
            <w:tcW w:w="100" w:type="dxa"/>
            <w:vAlign w:val="bottom"/>
            <w:shd w:val="clear" w:color="auto" w:fill="EAEAEA"/>
          </w:tcPr>
          <w:p>
            <w:pPr>
              <w:spacing w:after="0"/>
              <w:rPr>
                <w:sz w:val="10"/>
                <w:szCs w:val="10"/>
                <w:color w:val="auto"/>
              </w:rPr>
            </w:pPr>
          </w:p>
        </w:tc>
        <w:tc>
          <w:tcPr>
            <w:tcW w:w="620" w:type="dxa"/>
            <w:vAlign w:val="bottom"/>
            <w:shd w:val="clear" w:color="auto" w:fill="EAEAEA"/>
          </w:tcPr>
          <w:p>
            <w:pPr>
              <w:jc w:val="right"/>
              <w:ind w:right="66"/>
              <w:spacing w:after="0" w:line="122" w:lineRule="exact"/>
              <w:rPr>
                <w:sz w:val="20"/>
                <w:szCs w:val="20"/>
                <w:color w:val="auto"/>
              </w:rPr>
            </w:pPr>
            <w:r>
              <w:rPr>
                <w:rFonts w:ascii="Arial" w:cs="Arial" w:eastAsia="Arial" w:hAnsi="Arial"/>
                <w:sz w:val="11"/>
                <w:szCs w:val="11"/>
                <w:color w:val="auto"/>
                <w:w w:val="97"/>
              </w:rPr>
              <w:t>10,185,66</w:t>
            </w:r>
          </w:p>
        </w:tc>
        <w:tc>
          <w:tcPr>
            <w:tcW w:w="220" w:type="dxa"/>
            <w:vAlign w:val="bottom"/>
            <w:shd w:val="clear" w:color="auto" w:fill="EBEBEC"/>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20" w:type="dxa"/>
            <w:vAlign w:val="bottom"/>
            <w:shd w:val="clear" w:color="auto" w:fill="EBEBEC"/>
          </w:tcPr>
          <w:p>
            <w:pPr>
              <w:spacing w:after="0"/>
              <w:rPr>
                <w:sz w:val="6"/>
                <w:szCs w:val="6"/>
                <w:color w:val="auto"/>
              </w:rPr>
            </w:pPr>
          </w:p>
        </w:tc>
        <w:tc>
          <w:tcPr>
            <w:tcW w:w="2480" w:type="dxa"/>
            <w:vAlign w:val="bottom"/>
            <w:vMerge w:val="continue"/>
            <w:shd w:val="clear" w:color="auto" w:fill="EBEBEC"/>
          </w:tcPr>
          <w:p>
            <w:pPr>
              <w:spacing w:after="0"/>
              <w:rPr>
                <w:sz w:val="6"/>
                <w:szCs w:val="6"/>
                <w:color w:val="auto"/>
              </w:rPr>
            </w:pPr>
          </w:p>
        </w:tc>
        <w:tc>
          <w:tcPr>
            <w:tcW w:w="580" w:type="dxa"/>
            <w:vAlign w:val="bottom"/>
            <w:gridSpan w:val="2"/>
            <w:vMerge w:val="restart"/>
            <w:shd w:val="clear" w:color="auto" w:fill="EBEBEC"/>
          </w:tcPr>
          <w:p>
            <w:pPr>
              <w:ind w:left="240"/>
              <w:spacing w:after="0" w:line="122" w:lineRule="exact"/>
              <w:rPr>
                <w:sz w:val="20"/>
                <w:szCs w:val="20"/>
                <w:color w:val="auto"/>
              </w:rPr>
            </w:pPr>
            <w:r>
              <w:rPr>
                <w:rFonts w:ascii="Arial" w:cs="Arial" w:eastAsia="Arial" w:hAnsi="Arial"/>
                <w:sz w:val="11"/>
                <w:szCs w:val="11"/>
                <w:color w:val="auto"/>
              </w:rPr>
              <w:t>2023</w:t>
            </w:r>
          </w:p>
        </w:tc>
        <w:tc>
          <w:tcPr>
            <w:tcW w:w="260" w:type="dxa"/>
            <w:vAlign w:val="bottom"/>
            <w:vMerge w:val="restart"/>
            <w:shd w:val="clear" w:color="auto" w:fill="EBEBEC"/>
          </w:tcPr>
          <w:p>
            <w:pPr>
              <w:jc w:val="right"/>
              <w:ind w:right="6"/>
              <w:spacing w:after="0" w:line="122" w:lineRule="exact"/>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EBEBEC"/>
          </w:tcPr>
          <w:p>
            <w:pPr>
              <w:jc w:val="right"/>
              <w:ind w:right="86"/>
              <w:spacing w:after="0" w:line="122" w:lineRule="exact"/>
              <w:rPr>
                <w:sz w:val="20"/>
                <w:szCs w:val="20"/>
                <w:color w:val="auto"/>
              </w:rPr>
            </w:pPr>
            <w:r>
              <w:rPr>
                <w:rFonts w:ascii="Arial" w:cs="Arial" w:eastAsia="Arial" w:hAnsi="Arial"/>
                <w:sz w:val="11"/>
                <w:szCs w:val="11"/>
                <w:color w:val="auto"/>
              </w:rPr>
              <w:t>708,654</w:t>
            </w:r>
          </w:p>
        </w:tc>
        <w:tc>
          <w:tcPr>
            <w:tcW w:w="220" w:type="dxa"/>
            <w:vAlign w:val="bottom"/>
            <w:vMerge w:val="restart"/>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EBEBEC"/>
          </w:tcPr>
          <w:p>
            <w:pPr>
              <w:jc w:val="right"/>
              <w:ind w:right="86"/>
              <w:spacing w:after="0" w:line="122" w:lineRule="exact"/>
              <w:rPr>
                <w:sz w:val="20"/>
                <w:szCs w:val="20"/>
                <w:color w:val="auto"/>
              </w:rPr>
            </w:pPr>
            <w:r>
              <w:rPr>
                <w:rFonts w:ascii="Arial" w:cs="Arial" w:eastAsia="Arial" w:hAnsi="Arial"/>
                <w:sz w:val="11"/>
                <w:szCs w:val="11"/>
                <w:color w:val="auto"/>
              </w:rPr>
              <w:t>279,000</w:t>
            </w:r>
          </w:p>
        </w:tc>
        <w:tc>
          <w:tcPr>
            <w:tcW w:w="280" w:type="dxa"/>
            <w:vAlign w:val="bottom"/>
            <w:vMerge w:val="restart"/>
            <w:shd w:val="clear" w:color="auto" w:fill="EBEBEC"/>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800" w:type="dxa"/>
            <w:vAlign w:val="bottom"/>
            <w:vMerge w:val="restart"/>
            <w:shd w:val="clear" w:color="auto" w:fill="EBEBEC"/>
          </w:tcPr>
          <w:p>
            <w:pPr>
              <w:jc w:val="right"/>
              <w:ind w:right="126"/>
              <w:spacing w:after="0" w:line="122" w:lineRule="exact"/>
              <w:rPr>
                <w:sz w:val="20"/>
                <w:szCs w:val="20"/>
                <w:color w:val="auto"/>
              </w:rPr>
            </w:pPr>
            <w:r>
              <w:rPr>
                <w:rFonts w:ascii="Arial" w:cs="Arial" w:eastAsia="Arial" w:hAnsi="Arial"/>
                <w:sz w:val="11"/>
                <w:szCs w:val="11"/>
                <w:color w:val="auto"/>
              </w:rPr>
              <w:t>7,673,589</w:t>
            </w:r>
          </w:p>
        </w:tc>
        <w:tc>
          <w:tcPr>
            <w:tcW w:w="260" w:type="dxa"/>
            <w:vAlign w:val="bottom"/>
            <w:vMerge w:val="restart"/>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EBEBEC"/>
          </w:tcPr>
          <w:p>
            <w:pPr>
              <w:jc w:val="right"/>
              <w:ind w:right="126"/>
              <w:spacing w:after="0" w:line="122" w:lineRule="exact"/>
              <w:rPr>
                <w:sz w:val="20"/>
                <w:szCs w:val="20"/>
                <w:color w:val="auto"/>
              </w:rPr>
            </w:pPr>
            <w:r>
              <w:rPr>
                <w:rFonts w:ascii="Arial" w:cs="Arial" w:eastAsia="Arial" w:hAnsi="Arial"/>
                <w:sz w:val="11"/>
                <w:szCs w:val="11"/>
                <w:color w:val="auto"/>
              </w:rPr>
              <w:t>0</w:t>
            </w:r>
          </w:p>
        </w:tc>
        <w:tc>
          <w:tcPr>
            <w:tcW w:w="260" w:type="dxa"/>
            <w:vAlign w:val="bottom"/>
            <w:vMerge w:val="restart"/>
            <w:shd w:val="clear" w:color="auto" w:fill="EBEBEC"/>
          </w:tcPr>
          <w:p>
            <w:pPr>
              <w:ind w:left="180"/>
              <w:spacing w:after="0" w:line="122" w:lineRule="exact"/>
              <w:rPr>
                <w:sz w:val="20"/>
                <w:szCs w:val="20"/>
                <w:color w:val="auto"/>
              </w:rPr>
            </w:pPr>
            <w:r>
              <w:rPr>
                <w:rFonts w:ascii="Arial" w:cs="Arial" w:eastAsia="Arial" w:hAnsi="Arial"/>
                <w:sz w:val="11"/>
                <w:szCs w:val="11"/>
                <w:color w:val="auto"/>
                <w:w w:val="97"/>
              </w:rPr>
              <w:t>$</w:t>
            </w:r>
          </w:p>
        </w:tc>
        <w:tc>
          <w:tcPr>
            <w:tcW w:w="800" w:type="dxa"/>
            <w:vAlign w:val="bottom"/>
            <w:vMerge w:val="restart"/>
            <w:shd w:val="clear" w:color="auto" w:fill="EBEBEC"/>
          </w:tcPr>
          <w:p>
            <w:pPr>
              <w:jc w:val="right"/>
              <w:ind w:right="166"/>
              <w:spacing w:after="0" w:line="122" w:lineRule="exact"/>
              <w:rPr>
                <w:sz w:val="20"/>
                <w:szCs w:val="20"/>
                <w:color w:val="auto"/>
              </w:rPr>
            </w:pPr>
            <w:r>
              <w:rPr>
                <w:rFonts w:ascii="Arial" w:cs="Arial" w:eastAsia="Arial" w:hAnsi="Arial"/>
                <w:sz w:val="11"/>
                <w:szCs w:val="11"/>
                <w:color w:val="auto"/>
              </w:rPr>
              <w:t>1,221,984</w:t>
            </w:r>
          </w:p>
        </w:tc>
        <w:tc>
          <w:tcPr>
            <w:tcW w:w="200" w:type="dxa"/>
            <w:vAlign w:val="bottom"/>
            <w:vMerge w:val="restart"/>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880" w:type="dxa"/>
            <w:vAlign w:val="bottom"/>
            <w:vMerge w:val="restart"/>
            <w:shd w:val="clear" w:color="auto" w:fill="EBEBEC"/>
          </w:tcPr>
          <w:p>
            <w:pPr>
              <w:jc w:val="right"/>
              <w:ind w:right="126"/>
              <w:spacing w:after="0" w:line="122" w:lineRule="exact"/>
              <w:rPr>
                <w:sz w:val="20"/>
                <w:szCs w:val="20"/>
                <w:color w:val="auto"/>
              </w:rPr>
            </w:pPr>
            <w:r>
              <w:rPr>
                <w:rFonts w:ascii="Arial" w:cs="Arial" w:eastAsia="Arial" w:hAnsi="Arial"/>
                <w:sz w:val="11"/>
                <w:szCs w:val="11"/>
                <w:color w:val="auto"/>
              </w:rPr>
              <w:t>10,234</w:t>
            </w:r>
          </w:p>
        </w:tc>
        <w:tc>
          <w:tcPr>
            <w:tcW w:w="260" w:type="dxa"/>
            <w:vAlign w:val="bottom"/>
            <w:vMerge w:val="restart"/>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860" w:type="dxa"/>
            <w:vAlign w:val="bottom"/>
            <w:vMerge w:val="restart"/>
            <w:shd w:val="clear" w:color="auto" w:fill="EBEBEC"/>
          </w:tcPr>
          <w:p>
            <w:pPr>
              <w:jc w:val="right"/>
              <w:ind w:right="286"/>
              <w:spacing w:after="0" w:line="122" w:lineRule="exact"/>
              <w:rPr>
                <w:sz w:val="20"/>
                <w:szCs w:val="20"/>
                <w:color w:val="auto"/>
              </w:rPr>
            </w:pPr>
            <w:r>
              <w:rPr>
                <w:rFonts w:ascii="Arial" w:cs="Arial" w:eastAsia="Arial" w:hAnsi="Arial"/>
                <w:sz w:val="11"/>
                <w:szCs w:val="11"/>
                <w:color w:val="auto"/>
              </w:rPr>
              <w:t>292,207</w:t>
            </w:r>
          </w:p>
        </w:tc>
        <w:tc>
          <w:tcPr>
            <w:tcW w:w="100" w:type="dxa"/>
            <w:vAlign w:val="bottom"/>
            <w:vMerge w:val="restart"/>
            <w:shd w:val="clear" w:color="auto" w:fill="EAEAEA"/>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vMerge w:val="restart"/>
            <w:shd w:val="clear" w:color="auto" w:fill="EAEAEA"/>
          </w:tcPr>
          <w:p>
            <w:pPr>
              <w:jc w:val="right"/>
              <w:ind w:right="66"/>
              <w:spacing w:after="0" w:line="122" w:lineRule="exact"/>
              <w:rPr>
                <w:sz w:val="20"/>
                <w:szCs w:val="20"/>
                <w:color w:val="auto"/>
              </w:rPr>
            </w:pPr>
            <w:r>
              <w:rPr>
                <w:rFonts w:ascii="Arial" w:cs="Arial" w:eastAsia="Arial" w:hAnsi="Arial"/>
                <w:sz w:val="11"/>
                <w:szCs w:val="11"/>
                <w:color w:val="auto"/>
              </w:rPr>
              <w:t>8</w:t>
            </w:r>
          </w:p>
        </w:tc>
        <w:tc>
          <w:tcPr>
            <w:tcW w:w="220" w:type="dxa"/>
            <w:vAlign w:val="bottom"/>
            <w:shd w:val="clear" w:color="auto" w:fill="EBEBEC"/>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120" w:type="dxa"/>
            <w:vAlign w:val="bottom"/>
            <w:shd w:val="clear" w:color="auto" w:fill="EBEBEC"/>
          </w:tcPr>
          <w:p>
            <w:pPr>
              <w:spacing w:after="0"/>
              <w:rPr>
                <w:sz w:val="5"/>
                <w:szCs w:val="5"/>
                <w:color w:val="auto"/>
              </w:rPr>
            </w:pPr>
          </w:p>
        </w:tc>
        <w:tc>
          <w:tcPr>
            <w:tcW w:w="2480" w:type="dxa"/>
            <w:vAlign w:val="bottom"/>
            <w:shd w:val="clear" w:color="auto" w:fill="EBEBEC"/>
          </w:tcPr>
          <w:p>
            <w:pPr>
              <w:spacing w:after="0"/>
              <w:rPr>
                <w:sz w:val="5"/>
                <w:szCs w:val="5"/>
                <w:color w:val="auto"/>
              </w:rPr>
            </w:pPr>
          </w:p>
        </w:tc>
        <w:tc>
          <w:tcPr>
            <w:tcW w:w="580" w:type="dxa"/>
            <w:vAlign w:val="bottom"/>
            <w:gridSpan w:val="2"/>
            <w:vMerge w:val="continue"/>
            <w:shd w:val="clear" w:color="auto" w:fill="EBEBEC"/>
          </w:tcPr>
          <w:p>
            <w:pPr>
              <w:spacing w:after="0"/>
              <w:rPr>
                <w:sz w:val="5"/>
                <w:szCs w:val="5"/>
                <w:color w:val="auto"/>
              </w:rPr>
            </w:pPr>
          </w:p>
        </w:tc>
        <w:tc>
          <w:tcPr>
            <w:tcW w:w="260" w:type="dxa"/>
            <w:vAlign w:val="bottom"/>
            <w:vMerge w:val="continue"/>
            <w:shd w:val="clear" w:color="auto" w:fill="EBEBEC"/>
          </w:tcPr>
          <w:p>
            <w:pPr>
              <w:spacing w:after="0"/>
              <w:rPr>
                <w:sz w:val="5"/>
                <w:szCs w:val="5"/>
                <w:color w:val="auto"/>
              </w:rPr>
            </w:pPr>
          </w:p>
        </w:tc>
        <w:tc>
          <w:tcPr>
            <w:tcW w:w="720" w:type="dxa"/>
            <w:vAlign w:val="bottom"/>
            <w:vMerge w:val="continue"/>
            <w:shd w:val="clear" w:color="auto" w:fill="EBEBEC"/>
          </w:tcPr>
          <w:p>
            <w:pPr>
              <w:spacing w:after="0"/>
              <w:rPr>
                <w:sz w:val="5"/>
                <w:szCs w:val="5"/>
                <w:color w:val="auto"/>
              </w:rPr>
            </w:pPr>
          </w:p>
        </w:tc>
        <w:tc>
          <w:tcPr>
            <w:tcW w:w="220" w:type="dxa"/>
            <w:vAlign w:val="bottom"/>
            <w:vMerge w:val="continue"/>
            <w:shd w:val="clear" w:color="auto" w:fill="EBEBEC"/>
          </w:tcPr>
          <w:p>
            <w:pPr>
              <w:spacing w:after="0"/>
              <w:rPr>
                <w:sz w:val="5"/>
                <w:szCs w:val="5"/>
                <w:color w:val="auto"/>
              </w:rPr>
            </w:pPr>
          </w:p>
        </w:tc>
        <w:tc>
          <w:tcPr>
            <w:tcW w:w="660" w:type="dxa"/>
            <w:vAlign w:val="bottom"/>
            <w:vMerge w:val="continue"/>
            <w:shd w:val="clear" w:color="auto" w:fill="EBEBEC"/>
          </w:tcPr>
          <w:p>
            <w:pPr>
              <w:spacing w:after="0"/>
              <w:rPr>
                <w:sz w:val="5"/>
                <w:szCs w:val="5"/>
                <w:color w:val="auto"/>
              </w:rPr>
            </w:pPr>
          </w:p>
        </w:tc>
        <w:tc>
          <w:tcPr>
            <w:tcW w:w="280" w:type="dxa"/>
            <w:vAlign w:val="bottom"/>
            <w:vMerge w:val="continue"/>
            <w:shd w:val="clear" w:color="auto" w:fill="EBEBEC"/>
          </w:tcPr>
          <w:p>
            <w:pPr>
              <w:spacing w:after="0"/>
              <w:rPr>
                <w:sz w:val="5"/>
                <w:szCs w:val="5"/>
                <w:color w:val="auto"/>
              </w:rPr>
            </w:pPr>
          </w:p>
        </w:tc>
        <w:tc>
          <w:tcPr>
            <w:tcW w:w="800" w:type="dxa"/>
            <w:vAlign w:val="bottom"/>
            <w:vMerge w:val="continue"/>
            <w:shd w:val="clear" w:color="auto" w:fill="EBEBEC"/>
          </w:tcPr>
          <w:p>
            <w:pPr>
              <w:spacing w:after="0"/>
              <w:rPr>
                <w:sz w:val="5"/>
                <w:szCs w:val="5"/>
                <w:color w:val="auto"/>
              </w:rPr>
            </w:pPr>
          </w:p>
        </w:tc>
        <w:tc>
          <w:tcPr>
            <w:tcW w:w="260" w:type="dxa"/>
            <w:vAlign w:val="bottom"/>
            <w:vMerge w:val="continue"/>
            <w:shd w:val="clear" w:color="auto" w:fill="EBEBEC"/>
          </w:tcPr>
          <w:p>
            <w:pPr>
              <w:spacing w:after="0"/>
              <w:rPr>
                <w:sz w:val="5"/>
                <w:szCs w:val="5"/>
                <w:color w:val="auto"/>
              </w:rPr>
            </w:pPr>
          </w:p>
        </w:tc>
        <w:tc>
          <w:tcPr>
            <w:tcW w:w="660" w:type="dxa"/>
            <w:vAlign w:val="bottom"/>
            <w:vMerge w:val="continue"/>
            <w:shd w:val="clear" w:color="auto" w:fill="EBEBEC"/>
          </w:tcPr>
          <w:p>
            <w:pPr>
              <w:spacing w:after="0"/>
              <w:rPr>
                <w:sz w:val="5"/>
                <w:szCs w:val="5"/>
                <w:color w:val="auto"/>
              </w:rPr>
            </w:pPr>
          </w:p>
        </w:tc>
        <w:tc>
          <w:tcPr>
            <w:tcW w:w="260" w:type="dxa"/>
            <w:vAlign w:val="bottom"/>
            <w:vMerge w:val="continue"/>
            <w:shd w:val="clear" w:color="auto" w:fill="EBEBEC"/>
          </w:tcPr>
          <w:p>
            <w:pPr>
              <w:spacing w:after="0"/>
              <w:rPr>
                <w:sz w:val="5"/>
                <w:szCs w:val="5"/>
                <w:color w:val="auto"/>
              </w:rPr>
            </w:pPr>
          </w:p>
        </w:tc>
        <w:tc>
          <w:tcPr>
            <w:tcW w:w="800" w:type="dxa"/>
            <w:vAlign w:val="bottom"/>
            <w:vMerge w:val="continue"/>
            <w:shd w:val="clear" w:color="auto" w:fill="EBEBEC"/>
          </w:tcPr>
          <w:p>
            <w:pPr>
              <w:spacing w:after="0"/>
              <w:rPr>
                <w:sz w:val="5"/>
                <w:szCs w:val="5"/>
                <w:color w:val="auto"/>
              </w:rPr>
            </w:pPr>
          </w:p>
        </w:tc>
        <w:tc>
          <w:tcPr>
            <w:tcW w:w="200" w:type="dxa"/>
            <w:vAlign w:val="bottom"/>
            <w:vMerge w:val="continue"/>
            <w:shd w:val="clear" w:color="auto" w:fill="EBEBEC"/>
          </w:tcPr>
          <w:p>
            <w:pPr>
              <w:spacing w:after="0"/>
              <w:rPr>
                <w:sz w:val="5"/>
                <w:szCs w:val="5"/>
                <w:color w:val="auto"/>
              </w:rPr>
            </w:pPr>
          </w:p>
        </w:tc>
        <w:tc>
          <w:tcPr>
            <w:tcW w:w="880" w:type="dxa"/>
            <w:vAlign w:val="bottom"/>
            <w:vMerge w:val="continue"/>
            <w:shd w:val="clear" w:color="auto" w:fill="EBEBEC"/>
          </w:tcPr>
          <w:p>
            <w:pPr>
              <w:spacing w:after="0"/>
              <w:rPr>
                <w:sz w:val="5"/>
                <w:szCs w:val="5"/>
                <w:color w:val="auto"/>
              </w:rPr>
            </w:pPr>
          </w:p>
        </w:tc>
        <w:tc>
          <w:tcPr>
            <w:tcW w:w="260" w:type="dxa"/>
            <w:vAlign w:val="bottom"/>
            <w:vMerge w:val="continue"/>
            <w:shd w:val="clear" w:color="auto" w:fill="EBEBEC"/>
          </w:tcPr>
          <w:p>
            <w:pPr>
              <w:spacing w:after="0"/>
              <w:rPr>
                <w:sz w:val="5"/>
                <w:szCs w:val="5"/>
                <w:color w:val="auto"/>
              </w:rPr>
            </w:pPr>
          </w:p>
        </w:tc>
        <w:tc>
          <w:tcPr>
            <w:tcW w:w="860" w:type="dxa"/>
            <w:vAlign w:val="bottom"/>
            <w:vMerge w:val="continue"/>
            <w:shd w:val="clear" w:color="auto" w:fill="EBEBEC"/>
          </w:tcPr>
          <w:p>
            <w:pPr>
              <w:spacing w:after="0"/>
              <w:rPr>
                <w:sz w:val="5"/>
                <w:szCs w:val="5"/>
                <w:color w:val="auto"/>
              </w:rPr>
            </w:pPr>
          </w:p>
        </w:tc>
        <w:tc>
          <w:tcPr>
            <w:tcW w:w="100" w:type="dxa"/>
            <w:vAlign w:val="bottom"/>
            <w:vMerge w:val="continue"/>
            <w:shd w:val="clear" w:color="auto" w:fill="EAEAEA"/>
          </w:tcPr>
          <w:p>
            <w:pPr>
              <w:spacing w:after="0"/>
              <w:rPr>
                <w:sz w:val="5"/>
                <w:szCs w:val="5"/>
                <w:color w:val="auto"/>
              </w:rPr>
            </w:pPr>
          </w:p>
        </w:tc>
        <w:tc>
          <w:tcPr>
            <w:tcW w:w="620" w:type="dxa"/>
            <w:vAlign w:val="bottom"/>
            <w:vMerge w:val="continue"/>
            <w:shd w:val="clear" w:color="auto" w:fill="EAEAEA"/>
          </w:tcPr>
          <w:p>
            <w:pPr>
              <w:spacing w:after="0"/>
              <w:rPr>
                <w:sz w:val="5"/>
                <w:szCs w:val="5"/>
                <w:color w:val="auto"/>
              </w:rPr>
            </w:pPr>
          </w:p>
        </w:tc>
        <w:tc>
          <w:tcPr>
            <w:tcW w:w="220" w:type="dxa"/>
            <w:vAlign w:val="bottom"/>
            <w:shd w:val="clear" w:color="auto" w:fill="EBEBEC"/>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20" w:type="dxa"/>
            <w:vAlign w:val="bottom"/>
            <w:shd w:val="clear" w:color="auto" w:fill="EBEBEC"/>
          </w:tcPr>
          <w:p>
            <w:pPr>
              <w:spacing w:after="0"/>
              <w:rPr>
                <w:sz w:val="10"/>
                <w:szCs w:val="10"/>
                <w:color w:val="auto"/>
              </w:rPr>
            </w:pPr>
          </w:p>
        </w:tc>
        <w:tc>
          <w:tcPr>
            <w:tcW w:w="2480" w:type="dxa"/>
            <w:vAlign w:val="bottom"/>
            <w:shd w:val="clear" w:color="auto" w:fill="EBEBEC"/>
          </w:tcPr>
          <w:p>
            <w:pPr>
              <w:ind w:left="20"/>
              <w:spacing w:after="0" w:line="122" w:lineRule="exact"/>
              <w:rPr>
                <w:sz w:val="20"/>
                <w:szCs w:val="20"/>
                <w:color w:val="auto"/>
              </w:rPr>
            </w:pPr>
            <w:r>
              <w:rPr>
                <w:rFonts w:ascii="Arial" w:cs="Arial" w:eastAsia="Arial" w:hAnsi="Arial"/>
                <w:sz w:val="11"/>
                <w:szCs w:val="11"/>
                <w:color w:val="auto"/>
              </w:rPr>
              <w:t>Chief Executive Officer</w:t>
            </w:r>
          </w:p>
        </w:tc>
        <w:tc>
          <w:tcPr>
            <w:tcW w:w="580" w:type="dxa"/>
            <w:vAlign w:val="bottom"/>
            <w:gridSpan w:val="2"/>
            <w:shd w:val="clear" w:color="auto" w:fill="EBEBEC"/>
          </w:tcPr>
          <w:p>
            <w:pPr>
              <w:ind w:left="240"/>
              <w:spacing w:after="0" w:line="122" w:lineRule="exact"/>
              <w:rPr>
                <w:sz w:val="20"/>
                <w:szCs w:val="20"/>
                <w:color w:val="auto"/>
              </w:rPr>
            </w:pPr>
            <w:r>
              <w:rPr>
                <w:rFonts w:ascii="Arial" w:cs="Arial" w:eastAsia="Arial" w:hAnsi="Arial"/>
                <w:sz w:val="11"/>
                <w:szCs w:val="11"/>
                <w:color w:val="auto"/>
              </w:rPr>
              <w:t>2022</w:t>
            </w:r>
          </w:p>
        </w:tc>
        <w:tc>
          <w:tcPr>
            <w:tcW w:w="260" w:type="dxa"/>
            <w:vAlign w:val="bottom"/>
            <w:shd w:val="clear" w:color="auto" w:fill="EBEBEC"/>
          </w:tcPr>
          <w:p>
            <w:pPr>
              <w:jc w:val="right"/>
              <w:ind w:right="6"/>
              <w:spacing w:after="0" w:line="122" w:lineRule="exact"/>
              <w:rPr>
                <w:sz w:val="20"/>
                <w:szCs w:val="20"/>
                <w:color w:val="auto"/>
              </w:rPr>
            </w:pPr>
            <w:r>
              <w:rPr>
                <w:rFonts w:ascii="Arial" w:cs="Arial" w:eastAsia="Arial" w:hAnsi="Arial"/>
                <w:sz w:val="11"/>
                <w:szCs w:val="11"/>
                <w:color w:val="auto"/>
              </w:rPr>
              <w:t>$</w:t>
            </w:r>
          </w:p>
        </w:tc>
        <w:tc>
          <w:tcPr>
            <w:tcW w:w="720" w:type="dxa"/>
            <w:vAlign w:val="bottom"/>
            <w:shd w:val="clear" w:color="auto" w:fill="EBEBEC"/>
          </w:tcPr>
          <w:p>
            <w:pPr>
              <w:jc w:val="right"/>
              <w:ind w:right="86"/>
              <w:spacing w:after="0" w:line="122" w:lineRule="exact"/>
              <w:rPr>
                <w:sz w:val="20"/>
                <w:szCs w:val="20"/>
                <w:color w:val="auto"/>
              </w:rPr>
            </w:pPr>
            <w:r>
              <w:rPr>
                <w:rFonts w:ascii="Arial" w:cs="Arial" w:eastAsia="Arial" w:hAnsi="Arial"/>
                <w:sz w:val="11"/>
                <w:szCs w:val="11"/>
                <w:color w:val="auto"/>
              </w:rPr>
              <w:t>500,000</w:t>
            </w:r>
          </w:p>
        </w:tc>
        <w:tc>
          <w:tcPr>
            <w:tcW w:w="22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jc w:val="right"/>
              <w:ind w:right="86"/>
              <w:spacing w:after="0" w:line="122" w:lineRule="exact"/>
              <w:rPr>
                <w:sz w:val="20"/>
                <w:szCs w:val="20"/>
                <w:color w:val="auto"/>
              </w:rPr>
            </w:pPr>
            <w:r>
              <w:rPr>
                <w:rFonts w:ascii="Arial" w:cs="Arial" w:eastAsia="Arial" w:hAnsi="Arial"/>
                <w:sz w:val="11"/>
                <w:szCs w:val="11"/>
                <w:color w:val="auto"/>
              </w:rPr>
              <w:t>175,000</w:t>
            </w:r>
          </w:p>
        </w:tc>
        <w:tc>
          <w:tcPr>
            <w:tcW w:w="280" w:type="dxa"/>
            <w:vAlign w:val="bottom"/>
            <w:shd w:val="clear" w:color="auto" w:fill="EBEBEC"/>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EBEBEC"/>
          </w:tcPr>
          <w:p>
            <w:pPr>
              <w:jc w:val="right"/>
              <w:ind w:right="126"/>
              <w:spacing w:after="0" w:line="122" w:lineRule="exact"/>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jc w:val="right"/>
              <w:ind w:right="126"/>
              <w:spacing w:after="0" w:line="122" w:lineRule="exact"/>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80"/>
              <w:spacing w:after="0" w:line="122" w:lineRule="exact"/>
              <w:rPr>
                <w:sz w:val="20"/>
                <w:szCs w:val="20"/>
                <w:color w:val="auto"/>
              </w:rPr>
            </w:pPr>
            <w:r>
              <w:rPr>
                <w:rFonts w:ascii="Arial" w:cs="Arial" w:eastAsia="Arial" w:hAnsi="Arial"/>
                <w:sz w:val="11"/>
                <w:szCs w:val="11"/>
                <w:color w:val="auto"/>
                <w:w w:val="97"/>
              </w:rPr>
              <w:t>$</w:t>
            </w:r>
          </w:p>
        </w:tc>
        <w:tc>
          <w:tcPr>
            <w:tcW w:w="800" w:type="dxa"/>
            <w:vAlign w:val="bottom"/>
            <w:shd w:val="clear" w:color="auto" w:fill="EBEBEC"/>
          </w:tcPr>
          <w:p>
            <w:pPr>
              <w:jc w:val="right"/>
              <w:ind w:right="166"/>
              <w:spacing w:after="0" w:line="122" w:lineRule="exact"/>
              <w:rPr>
                <w:sz w:val="20"/>
                <w:szCs w:val="20"/>
                <w:color w:val="auto"/>
              </w:rPr>
            </w:pPr>
            <w:r>
              <w:rPr>
                <w:rFonts w:ascii="Arial" w:cs="Arial" w:eastAsia="Arial" w:hAnsi="Arial"/>
                <w:sz w:val="11"/>
                <w:szCs w:val="11"/>
                <w:color w:val="auto"/>
              </w:rPr>
              <w:t>483,200</w:t>
            </w:r>
          </w:p>
        </w:tc>
        <w:tc>
          <w:tcPr>
            <w:tcW w:w="20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880" w:type="dxa"/>
            <w:vAlign w:val="bottom"/>
            <w:shd w:val="clear" w:color="auto" w:fill="EBEBEC"/>
          </w:tcPr>
          <w:p>
            <w:pPr>
              <w:jc w:val="right"/>
              <w:ind w:right="126"/>
              <w:spacing w:after="0" w:line="122" w:lineRule="exact"/>
              <w:rPr>
                <w:sz w:val="20"/>
                <w:szCs w:val="20"/>
                <w:color w:val="auto"/>
              </w:rPr>
            </w:pPr>
            <w:r>
              <w:rPr>
                <w:rFonts w:ascii="Arial" w:cs="Arial" w:eastAsia="Arial" w:hAnsi="Arial"/>
                <w:sz w:val="11"/>
                <w:szCs w:val="11"/>
                <w:color w:val="auto"/>
              </w:rPr>
              <w:t>10,245</w:t>
            </w:r>
          </w:p>
        </w:tc>
        <w:tc>
          <w:tcPr>
            <w:tcW w:w="26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286"/>
              <w:spacing w:after="0" w:line="122" w:lineRule="exact"/>
              <w:rPr>
                <w:sz w:val="20"/>
                <w:szCs w:val="20"/>
                <w:color w:val="auto"/>
              </w:rPr>
            </w:pPr>
            <w:r>
              <w:rPr>
                <w:rFonts w:ascii="Arial" w:cs="Arial" w:eastAsia="Arial" w:hAnsi="Arial"/>
                <w:sz w:val="11"/>
                <w:szCs w:val="11"/>
                <w:color w:val="auto"/>
              </w:rPr>
              <w:t>244,557</w:t>
            </w:r>
          </w:p>
        </w:tc>
        <w:tc>
          <w:tcPr>
            <w:tcW w:w="100" w:type="dxa"/>
            <w:vAlign w:val="bottom"/>
            <w:shd w:val="clear" w:color="auto" w:fill="EBEBE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EBEBEC"/>
          </w:tcPr>
          <w:p>
            <w:pPr>
              <w:jc w:val="right"/>
              <w:ind w:right="66"/>
              <w:spacing w:after="0" w:line="122" w:lineRule="exact"/>
              <w:rPr>
                <w:sz w:val="20"/>
                <w:szCs w:val="20"/>
                <w:color w:val="auto"/>
              </w:rPr>
            </w:pPr>
            <w:r>
              <w:rPr>
                <w:rFonts w:ascii="Arial" w:cs="Arial" w:eastAsia="Arial" w:hAnsi="Arial"/>
                <w:sz w:val="11"/>
                <w:szCs w:val="11"/>
                <w:color w:val="auto"/>
                <w:w w:val="97"/>
              </w:rPr>
              <w:t>1,413,002</w:t>
            </w:r>
          </w:p>
        </w:tc>
        <w:tc>
          <w:tcPr>
            <w:tcW w:w="220" w:type="dxa"/>
            <w:vAlign w:val="bottom"/>
            <w:shd w:val="clear" w:color="auto" w:fill="EBEBE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0" w:type="dxa"/>
            <w:vAlign w:val="bottom"/>
            <w:shd w:val="clear" w:color="auto" w:fill="EBEBEC"/>
          </w:tcPr>
          <w:p>
            <w:pPr>
              <w:spacing w:after="0"/>
              <w:rPr>
                <w:sz w:val="10"/>
                <w:szCs w:val="10"/>
                <w:color w:val="auto"/>
              </w:rPr>
            </w:pPr>
          </w:p>
        </w:tc>
        <w:tc>
          <w:tcPr>
            <w:tcW w:w="2480" w:type="dxa"/>
            <w:vAlign w:val="bottom"/>
            <w:vMerge w:val="restart"/>
            <w:shd w:val="clear" w:color="auto" w:fill="EBEBEC"/>
          </w:tcPr>
          <w:p>
            <w:pPr>
              <w:ind w:left="20"/>
              <w:spacing w:after="0"/>
              <w:rPr>
                <w:sz w:val="20"/>
                <w:szCs w:val="20"/>
                <w:color w:val="auto"/>
              </w:rPr>
            </w:pPr>
            <w:r>
              <w:rPr>
                <w:rFonts w:ascii="Arial" w:cs="Arial" w:eastAsia="Arial" w:hAnsi="Arial"/>
                <w:sz w:val="11"/>
                <w:szCs w:val="11"/>
                <w:b w:val="1"/>
                <w:bCs w:val="1"/>
                <w:color w:val="auto"/>
              </w:rPr>
              <w:t>Manuela ("Nelly") Molina (7)</w:t>
            </w:r>
          </w:p>
        </w:tc>
        <w:tc>
          <w:tcPr>
            <w:tcW w:w="120" w:type="dxa"/>
            <w:vAlign w:val="bottom"/>
            <w:shd w:val="clear" w:color="auto" w:fill="EBEBEC"/>
          </w:tcPr>
          <w:p>
            <w:pPr>
              <w:spacing w:after="0"/>
              <w:rPr>
                <w:sz w:val="10"/>
                <w:szCs w:val="10"/>
                <w:color w:val="auto"/>
              </w:rPr>
            </w:pPr>
          </w:p>
        </w:tc>
        <w:tc>
          <w:tcPr>
            <w:tcW w:w="460" w:type="dxa"/>
            <w:vAlign w:val="bottom"/>
            <w:vMerge w:val="restart"/>
            <w:shd w:val="clear" w:color="auto" w:fill="EBEBEC"/>
          </w:tcPr>
          <w:p>
            <w:pPr>
              <w:ind w:left="120"/>
              <w:spacing w:after="0"/>
              <w:rPr>
                <w:sz w:val="20"/>
                <w:szCs w:val="20"/>
                <w:color w:val="auto"/>
              </w:rPr>
            </w:pPr>
            <w:r>
              <w:rPr>
                <w:rFonts w:ascii="Arial" w:cs="Arial" w:eastAsia="Arial" w:hAnsi="Arial"/>
                <w:sz w:val="11"/>
                <w:szCs w:val="11"/>
                <w:color w:val="auto"/>
              </w:rPr>
              <w:t>2024</w:t>
            </w:r>
          </w:p>
        </w:tc>
        <w:tc>
          <w:tcPr>
            <w:tcW w:w="260" w:type="dxa"/>
            <w:vAlign w:val="bottom"/>
            <w:vMerge w:val="restart"/>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EBEBEC"/>
          </w:tcPr>
          <w:p>
            <w:pPr>
              <w:jc w:val="right"/>
              <w:ind w:right="86"/>
              <w:spacing w:after="0"/>
              <w:rPr>
                <w:sz w:val="20"/>
                <w:szCs w:val="20"/>
                <w:color w:val="auto"/>
              </w:rPr>
            </w:pPr>
            <w:r>
              <w:rPr>
                <w:rFonts w:ascii="Arial" w:cs="Arial" w:eastAsia="Arial" w:hAnsi="Arial"/>
                <w:sz w:val="11"/>
                <w:szCs w:val="11"/>
                <w:color w:val="auto"/>
              </w:rPr>
              <w:t>567,769</w:t>
            </w:r>
          </w:p>
        </w:tc>
        <w:tc>
          <w:tcPr>
            <w:tcW w:w="22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EBEBEC"/>
          </w:tcPr>
          <w:p>
            <w:pPr>
              <w:jc w:val="right"/>
              <w:ind w:right="86"/>
              <w:spacing w:after="0"/>
              <w:rPr>
                <w:sz w:val="20"/>
                <w:szCs w:val="20"/>
                <w:color w:val="auto"/>
              </w:rPr>
            </w:pPr>
            <w:r>
              <w:rPr>
                <w:rFonts w:ascii="Arial" w:cs="Arial" w:eastAsia="Arial" w:hAnsi="Arial"/>
                <w:sz w:val="11"/>
                <w:szCs w:val="11"/>
                <w:color w:val="auto"/>
              </w:rPr>
              <w:t>114,400</w:t>
            </w:r>
          </w:p>
        </w:tc>
        <w:tc>
          <w:tcPr>
            <w:tcW w:w="280" w:type="dxa"/>
            <w:vAlign w:val="bottom"/>
            <w:vMerge w:val="restart"/>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00" w:type="dxa"/>
            <w:vAlign w:val="bottom"/>
            <w:vMerge w:val="restart"/>
            <w:shd w:val="clear" w:color="auto" w:fill="EBEBEC"/>
          </w:tcPr>
          <w:p>
            <w:pPr>
              <w:jc w:val="right"/>
              <w:ind w:right="126"/>
              <w:spacing w:after="0"/>
              <w:rPr>
                <w:sz w:val="20"/>
                <w:szCs w:val="20"/>
                <w:color w:val="auto"/>
              </w:rPr>
            </w:pPr>
            <w:r>
              <w:rPr>
                <w:rFonts w:ascii="Arial" w:cs="Arial" w:eastAsia="Arial" w:hAnsi="Arial"/>
                <w:sz w:val="11"/>
                <w:szCs w:val="11"/>
                <w:color w:val="auto"/>
              </w:rPr>
              <w:t>2,496,249</w:t>
            </w:r>
          </w:p>
        </w:tc>
        <w:tc>
          <w:tcPr>
            <w:tcW w:w="26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260" w:type="dxa"/>
            <w:vAlign w:val="bottom"/>
            <w:vMerge w:val="restart"/>
            <w:shd w:val="clear" w:color="auto" w:fill="EBEBEC"/>
          </w:tcPr>
          <w:p>
            <w:pPr>
              <w:ind w:left="180"/>
              <w:spacing w:after="0"/>
              <w:rPr>
                <w:sz w:val="20"/>
                <w:szCs w:val="20"/>
                <w:color w:val="auto"/>
              </w:rPr>
            </w:pPr>
            <w:r>
              <w:rPr>
                <w:rFonts w:ascii="Arial" w:cs="Arial" w:eastAsia="Arial" w:hAnsi="Arial"/>
                <w:sz w:val="11"/>
                <w:szCs w:val="11"/>
                <w:color w:val="auto"/>
                <w:w w:val="97"/>
              </w:rPr>
              <w:t>$</w:t>
            </w:r>
          </w:p>
        </w:tc>
        <w:tc>
          <w:tcPr>
            <w:tcW w:w="800" w:type="dxa"/>
            <w:vAlign w:val="bottom"/>
            <w:vMerge w:val="restart"/>
            <w:shd w:val="clear" w:color="auto" w:fill="EBEBEC"/>
          </w:tcPr>
          <w:p>
            <w:pPr>
              <w:jc w:val="right"/>
              <w:ind w:right="166"/>
              <w:spacing w:after="0"/>
              <w:rPr>
                <w:sz w:val="20"/>
                <w:szCs w:val="20"/>
                <w:color w:val="auto"/>
              </w:rPr>
            </w:pPr>
            <w:r>
              <w:rPr>
                <w:rFonts w:ascii="Arial" w:cs="Arial" w:eastAsia="Arial" w:hAnsi="Arial"/>
                <w:sz w:val="11"/>
                <w:szCs w:val="11"/>
                <w:color w:val="auto"/>
              </w:rPr>
              <w:t>601,836</w:t>
            </w:r>
          </w:p>
        </w:tc>
        <w:tc>
          <w:tcPr>
            <w:tcW w:w="20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80" w:type="dxa"/>
            <w:vAlign w:val="bottom"/>
            <w:vMerge w:val="restart"/>
            <w:shd w:val="clear" w:color="auto" w:fill="EBEBEC"/>
          </w:tcPr>
          <w:p>
            <w:pPr>
              <w:jc w:val="right"/>
              <w:ind w:right="126"/>
              <w:spacing w:after="0"/>
              <w:rPr>
                <w:sz w:val="20"/>
                <w:szCs w:val="20"/>
                <w:color w:val="auto"/>
              </w:rPr>
            </w:pPr>
            <w:r>
              <w:rPr>
                <w:rFonts w:ascii="Arial" w:cs="Arial" w:eastAsia="Arial" w:hAnsi="Arial"/>
                <w:sz w:val="11"/>
                <w:szCs w:val="11"/>
                <w:color w:val="auto"/>
              </w:rPr>
              <w:t>207</w:t>
            </w:r>
          </w:p>
        </w:tc>
        <w:tc>
          <w:tcPr>
            <w:tcW w:w="26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60" w:type="dxa"/>
            <w:vAlign w:val="bottom"/>
            <w:vMerge w:val="restart"/>
            <w:shd w:val="clear" w:color="auto" w:fill="EBEBEC"/>
          </w:tcPr>
          <w:p>
            <w:pPr>
              <w:jc w:val="right"/>
              <w:ind w:right="286"/>
              <w:spacing w:after="0"/>
              <w:rPr>
                <w:sz w:val="20"/>
                <w:szCs w:val="20"/>
                <w:color w:val="auto"/>
              </w:rPr>
            </w:pPr>
            <w:r>
              <w:rPr>
                <w:rFonts w:ascii="Arial" w:cs="Arial" w:eastAsia="Arial" w:hAnsi="Arial"/>
                <w:sz w:val="11"/>
                <w:szCs w:val="11"/>
                <w:color w:val="auto"/>
              </w:rPr>
              <w:t>1,951,092</w:t>
            </w:r>
          </w:p>
        </w:tc>
        <w:tc>
          <w:tcPr>
            <w:tcW w:w="100" w:type="dxa"/>
            <w:vAlign w:val="bottom"/>
            <w:shd w:val="clear" w:color="auto" w:fill="EBEBEC"/>
          </w:tcPr>
          <w:p>
            <w:pPr>
              <w:spacing w:after="0"/>
              <w:rPr>
                <w:sz w:val="10"/>
                <w:szCs w:val="10"/>
                <w:color w:val="auto"/>
              </w:rPr>
            </w:pPr>
          </w:p>
        </w:tc>
        <w:tc>
          <w:tcPr>
            <w:tcW w:w="620" w:type="dxa"/>
            <w:vAlign w:val="bottom"/>
            <w:shd w:val="clear" w:color="auto" w:fill="EBEBEC"/>
          </w:tcPr>
          <w:p>
            <w:pPr>
              <w:spacing w:after="0"/>
              <w:rPr>
                <w:sz w:val="10"/>
                <w:szCs w:val="10"/>
                <w:color w:val="auto"/>
              </w:rPr>
            </w:pPr>
          </w:p>
        </w:tc>
        <w:tc>
          <w:tcPr>
            <w:tcW w:w="220" w:type="dxa"/>
            <w:vAlign w:val="bottom"/>
            <w:shd w:val="clear" w:color="auto" w:fill="EBEBE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 w:type="dxa"/>
            <w:vAlign w:val="bottom"/>
            <w:shd w:val="clear" w:color="auto" w:fill="EBEBEC"/>
          </w:tcPr>
          <w:p>
            <w:pPr>
              <w:spacing w:after="0"/>
              <w:rPr>
                <w:sz w:val="9"/>
                <w:szCs w:val="9"/>
                <w:color w:val="auto"/>
              </w:rPr>
            </w:pPr>
          </w:p>
        </w:tc>
        <w:tc>
          <w:tcPr>
            <w:tcW w:w="2480" w:type="dxa"/>
            <w:vAlign w:val="bottom"/>
            <w:vMerge w:val="continue"/>
            <w:shd w:val="clear" w:color="auto" w:fill="EBEBEC"/>
          </w:tcPr>
          <w:p>
            <w:pPr>
              <w:spacing w:after="0"/>
              <w:rPr>
                <w:sz w:val="9"/>
                <w:szCs w:val="9"/>
                <w:color w:val="auto"/>
              </w:rPr>
            </w:pPr>
          </w:p>
        </w:tc>
        <w:tc>
          <w:tcPr>
            <w:tcW w:w="120" w:type="dxa"/>
            <w:vAlign w:val="bottom"/>
            <w:shd w:val="clear" w:color="auto" w:fill="EBEBEC"/>
          </w:tcPr>
          <w:p>
            <w:pPr>
              <w:spacing w:after="0"/>
              <w:rPr>
                <w:sz w:val="9"/>
                <w:szCs w:val="9"/>
                <w:color w:val="auto"/>
              </w:rPr>
            </w:pPr>
          </w:p>
        </w:tc>
        <w:tc>
          <w:tcPr>
            <w:tcW w:w="460" w:type="dxa"/>
            <w:vAlign w:val="bottom"/>
            <w:vMerge w:val="continue"/>
            <w:shd w:val="clear" w:color="auto" w:fill="EBEBEC"/>
          </w:tcPr>
          <w:p>
            <w:pPr>
              <w:spacing w:after="0"/>
              <w:rPr>
                <w:sz w:val="9"/>
                <w:szCs w:val="9"/>
                <w:color w:val="auto"/>
              </w:rPr>
            </w:pPr>
          </w:p>
        </w:tc>
        <w:tc>
          <w:tcPr>
            <w:tcW w:w="260" w:type="dxa"/>
            <w:vAlign w:val="bottom"/>
            <w:vMerge w:val="continue"/>
            <w:shd w:val="clear" w:color="auto" w:fill="EBEBEC"/>
          </w:tcPr>
          <w:p>
            <w:pPr>
              <w:spacing w:after="0"/>
              <w:rPr>
                <w:sz w:val="9"/>
                <w:szCs w:val="9"/>
                <w:color w:val="auto"/>
              </w:rPr>
            </w:pPr>
          </w:p>
        </w:tc>
        <w:tc>
          <w:tcPr>
            <w:tcW w:w="720" w:type="dxa"/>
            <w:vAlign w:val="bottom"/>
            <w:vMerge w:val="continue"/>
            <w:shd w:val="clear" w:color="auto" w:fill="EBEBEC"/>
          </w:tcPr>
          <w:p>
            <w:pPr>
              <w:spacing w:after="0"/>
              <w:rPr>
                <w:sz w:val="9"/>
                <w:szCs w:val="9"/>
                <w:color w:val="auto"/>
              </w:rPr>
            </w:pPr>
          </w:p>
        </w:tc>
        <w:tc>
          <w:tcPr>
            <w:tcW w:w="220" w:type="dxa"/>
            <w:vAlign w:val="bottom"/>
            <w:vMerge w:val="continue"/>
            <w:shd w:val="clear" w:color="auto" w:fill="EBEBEC"/>
          </w:tcPr>
          <w:p>
            <w:pPr>
              <w:spacing w:after="0"/>
              <w:rPr>
                <w:sz w:val="9"/>
                <w:szCs w:val="9"/>
                <w:color w:val="auto"/>
              </w:rPr>
            </w:pPr>
          </w:p>
        </w:tc>
        <w:tc>
          <w:tcPr>
            <w:tcW w:w="660" w:type="dxa"/>
            <w:vAlign w:val="bottom"/>
            <w:vMerge w:val="continue"/>
            <w:shd w:val="clear" w:color="auto" w:fill="EBEBEC"/>
          </w:tcPr>
          <w:p>
            <w:pPr>
              <w:spacing w:after="0"/>
              <w:rPr>
                <w:sz w:val="9"/>
                <w:szCs w:val="9"/>
                <w:color w:val="auto"/>
              </w:rPr>
            </w:pPr>
          </w:p>
        </w:tc>
        <w:tc>
          <w:tcPr>
            <w:tcW w:w="280" w:type="dxa"/>
            <w:vAlign w:val="bottom"/>
            <w:vMerge w:val="continue"/>
            <w:shd w:val="clear" w:color="auto" w:fill="EBEBEC"/>
          </w:tcPr>
          <w:p>
            <w:pPr>
              <w:spacing w:after="0"/>
              <w:rPr>
                <w:sz w:val="9"/>
                <w:szCs w:val="9"/>
                <w:color w:val="auto"/>
              </w:rPr>
            </w:pPr>
          </w:p>
        </w:tc>
        <w:tc>
          <w:tcPr>
            <w:tcW w:w="800" w:type="dxa"/>
            <w:vAlign w:val="bottom"/>
            <w:vMerge w:val="continue"/>
            <w:shd w:val="clear" w:color="auto" w:fill="EBEBEC"/>
          </w:tcPr>
          <w:p>
            <w:pPr>
              <w:spacing w:after="0"/>
              <w:rPr>
                <w:sz w:val="9"/>
                <w:szCs w:val="9"/>
                <w:color w:val="auto"/>
              </w:rPr>
            </w:pPr>
          </w:p>
        </w:tc>
        <w:tc>
          <w:tcPr>
            <w:tcW w:w="260" w:type="dxa"/>
            <w:vAlign w:val="bottom"/>
            <w:vMerge w:val="continue"/>
            <w:shd w:val="clear" w:color="auto" w:fill="EBEBEC"/>
          </w:tcPr>
          <w:p>
            <w:pPr>
              <w:spacing w:after="0"/>
              <w:rPr>
                <w:sz w:val="9"/>
                <w:szCs w:val="9"/>
                <w:color w:val="auto"/>
              </w:rPr>
            </w:pPr>
          </w:p>
        </w:tc>
        <w:tc>
          <w:tcPr>
            <w:tcW w:w="660" w:type="dxa"/>
            <w:vAlign w:val="bottom"/>
            <w:vMerge w:val="continue"/>
            <w:shd w:val="clear" w:color="auto" w:fill="EBEBEC"/>
          </w:tcPr>
          <w:p>
            <w:pPr>
              <w:spacing w:after="0"/>
              <w:rPr>
                <w:sz w:val="9"/>
                <w:szCs w:val="9"/>
                <w:color w:val="auto"/>
              </w:rPr>
            </w:pPr>
          </w:p>
        </w:tc>
        <w:tc>
          <w:tcPr>
            <w:tcW w:w="260" w:type="dxa"/>
            <w:vAlign w:val="bottom"/>
            <w:vMerge w:val="continue"/>
            <w:shd w:val="clear" w:color="auto" w:fill="EBEBEC"/>
          </w:tcPr>
          <w:p>
            <w:pPr>
              <w:spacing w:after="0"/>
              <w:rPr>
                <w:sz w:val="9"/>
                <w:szCs w:val="9"/>
                <w:color w:val="auto"/>
              </w:rPr>
            </w:pPr>
          </w:p>
        </w:tc>
        <w:tc>
          <w:tcPr>
            <w:tcW w:w="800" w:type="dxa"/>
            <w:vAlign w:val="bottom"/>
            <w:vMerge w:val="continue"/>
            <w:shd w:val="clear" w:color="auto" w:fill="EBEBEC"/>
          </w:tcPr>
          <w:p>
            <w:pPr>
              <w:spacing w:after="0"/>
              <w:rPr>
                <w:sz w:val="9"/>
                <w:szCs w:val="9"/>
                <w:color w:val="auto"/>
              </w:rPr>
            </w:pPr>
          </w:p>
        </w:tc>
        <w:tc>
          <w:tcPr>
            <w:tcW w:w="200" w:type="dxa"/>
            <w:vAlign w:val="bottom"/>
            <w:vMerge w:val="continue"/>
            <w:shd w:val="clear" w:color="auto" w:fill="EBEBEC"/>
          </w:tcPr>
          <w:p>
            <w:pPr>
              <w:spacing w:after="0"/>
              <w:rPr>
                <w:sz w:val="9"/>
                <w:szCs w:val="9"/>
                <w:color w:val="auto"/>
              </w:rPr>
            </w:pPr>
          </w:p>
        </w:tc>
        <w:tc>
          <w:tcPr>
            <w:tcW w:w="880" w:type="dxa"/>
            <w:vAlign w:val="bottom"/>
            <w:vMerge w:val="continue"/>
            <w:shd w:val="clear" w:color="auto" w:fill="EBEBEC"/>
          </w:tcPr>
          <w:p>
            <w:pPr>
              <w:spacing w:after="0"/>
              <w:rPr>
                <w:sz w:val="9"/>
                <w:szCs w:val="9"/>
                <w:color w:val="auto"/>
              </w:rPr>
            </w:pPr>
          </w:p>
        </w:tc>
        <w:tc>
          <w:tcPr>
            <w:tcW w:w="260" w:type="dxa"/>
            <w:vAlign w:val="bottom"/>
            <w:vMerge w:val="continue"/>
            <w:shd w:val="clear" w:color="auto" w:fill="EBEBEC"/>
          </w:tcPr>
          <w:p>
            <w:pPr>
              <w:spacing w:after="0"/>
              <w:rPr>
                <w:sz w:val="9"/>
                <w:szCs w:val="9"/>
                <w:color w:val="auto"/>
              </w:rPr>
            </w:pPr>
          </w:p>
        </w:tc>
        <w:tc>
          <w:tcPr>
            <w:tcW w:w="860" w:type="dxa"/>
            <w:vAlign w:val="bottom"/>
            <w:vMerge w:val="continue"/>
            <w:shd w:val="clear" w:color="auto" w:fill="EBEBEC"/>
          </w:tcPr>
          <w:p>
            <w:pPr>
              <w:spacing w:after="0"/>
              <w:rPr>
                <w:sz w:val="9"/>
                <w:szCs w:val="9"/>
                <w:color w:val="auto"/>
              </w:rPr>
            </w:pPr>
          </w:p>
        </w:tc>
        <w:tc>
          <w:tcPr>
            <w:tcW w:w="10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shd w:val="clear" w:color="auto" w:fill="EAEAEA"/>
          </w:tcPr>
          <w:p>
            <w:pPr>
              <w:jc w:val="right"/>
              <w:ind w:right="66"/>
              <w:spacing w:after="0" w:line="109" w:lineRule="exact"/>
              <w:rPr>
                <w:sz w:val="20"/>
                <w:szCs w:val="20"/>
                <w:color w:val="auto"/>
              </w:rPr>
            </w:pPr>
            <w:r>
              <w:rPr>
                <w:rFonts w:ascii="Arial" w:cs="Arial" w:eastAsia="Arial" w:hAnsi="Arial"/>
                <w:sz w:val="11"/>
                <w:szCs w:val="11"/>
                <w:color w:val="auto"/>
                <w:w w:val="97"/>
              </w:rPr>
              <w:t>5,731,553</w:t>
            </w:r>
          </w:p>
        </w:tc>
        <w:tc>
          <w:tcPr>
            <w:tcW w:w="220" w:type="dxa"/>
            <w:vAlign w:val="bottom"/>
            <w:shd w:val="clear" w:color="auto" w:fill="EBEBE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0" w:type="dxa"/>
            <w:vAlign w:val="bottom"/>
            <w:shd w:val="clear" w:color="auto" w:fill="EBEBEC"/>
          </w:tcPr>
          <w:p>
            <w:pPr>
              <w:spacing w:after="0"/>
              <w:rPr>
                <w:sz w:val="11"/>
                <w:szCs w:val="11"/>
                <w:color w:val="auto"/>
              </w:rPr>
            </w:pPr>
          </w:p>
        </w:tc>
        <w:tc>
          <w:tcPr>
            <w:tcW w:w="2480" w:type="dxa"/>
            <w:vAlign w:val="bottom"/>
            <w:shd w:val="clear" w:color="auto" w:fill="EBEBEC"/>
          </w:tcPr>
          <w:p>
            <w:pPr>
              <w:ind w:left="20"/>
              <w:spacing w:after="0" w:line="122" w:lineRule="exact"/>
              <w:rPr>
                <w:sz w:val="20"/>
                <w:szCs w:val="20"/>
                <w:color w:val="auto"/>
              </w:rPr>
            </w:pPr>
            <w:r>
              <w:rPr>
                <w:rFonts w:ascii="Arial" w:cs="Arial" w:eastAsia="Arial" w:hAnsi="Arial"/>
                <w:sz w:val="11"/>
                <w:szCs w:val="11"/>
                <w:color w:val="auto"/>
              </w:rPr>
              <w:t>Executive Vice President and</w:t>
            </w:r>
          </w:p>
        </w:tc>
        <w:tc>
          <w:tcPr>
            <w:tcW w:w="120" w:type="dxa"/>
            <w:vAlign w:val="bottom"/>
            <w:shd w:val="clear" w:color="auto" w:fill="EBEBEC"/>
          </w:tcPr>
          <w:p>
            <w:pPr>
              <w:spacing w:after="0"/>
              <w:rPr>
                <w:sz w:val="11"/>
                <w:szCs w:val="11"/>
                <w:color w:val="auto"/>
              </w:rPr>
            </w:pPr>
          </w:p>
        </w:tc>
        <w:tc>
          <w:tcPr>
            <w:tcW w:w="460" w:type="dxa"/>
            <w:vAlign w:val="bottom"/>
            <w:shd w:val="clear" w:color="auto" w:fill="EBEBEC"/>
          </w:tcPr>
          <w:p>
            <w:pPr>
              <w:ind w:left="120"/>
              <w:spacing w:after="0" w:line="122" w:lineRule="exact"/>
              <w:rPr>
                <w:sz w:val="20"/>
                <w:szCs w:val="20"/>
                <w:color w:val="auto"/>
              </w:rPr>
            </w:pPr>
            <w:r>
              <w:rPr>
                <w:rFonts w:ascii="Arial" w:cs="Arial" w:eastAsia="Arial" w:hAnsi="Arial"/>
                <w:sz w:val="11"/>
                <w:szCs w:val="11"/>
                <w:color w:val="auto"/>
              </w:rPr>
              <w:t>2023</w:t>
            </w:r>
          </w:p>
        </w:tc>
        <w:tc>
          <w:tcPr>
            <w:tcW w:w="260" w:type="dxa"/>
            <w:vAlign w:val="bottom"/>
            <w:shd w:val="clear" w:color="auto" w:fill="EBEBEC"/>
          </w:tcPr>
          <w:p>
            <w:pPr>
              <w:jc w:val="right"/>
              <w:ind w:right="6"/>
              <w:spacing w:after="0" w:line="122" w:lineRule="exact"/>
              <w:rPr>
                <w:sz w:val="20"/>
                <w:szCs w:val="20"/>
                <w:color w:val="auto"/>
              </w:rPr>
            </w:pPr>
            <w:r>
              <w:rPr>
                <w:rFonts w:ascii="Arial" w:cs="Arial" w:eastAsia="Arial" w:hAnsi="Arial"/>
                <w:sz w:val="11"/>
                <w:szCs w:val="11"/>
                <w:color w:val="auto"/>
              </w:rPr>
              <w:t>$</w:t>
            </w:r>
          </w:p>
        </w:tc>
        <w:tc>
          <w:tcPr>
            <w:tcW w:w="720" w:type="dxa"/>
            <w:vAlign w:val="bottom"/>
            <w:shd w:val="clear" w:color="auto" w:fill="EBEBEC"/>
          </w:tcPr>
          <w:p>
            <w:pPr>
              <w:jc w:val="right"/>
              <w:ind w:right="86"/>
              <w:spacing w:after="0" w:line="122" w:lineRule="exact"/>
              <w:rPr>
                <w:sz w:val="20"/>
                <w:szCs w:val="20"/>
                <w:color w:val="auto"/>
              </w:rPr>
            </w:pPr>
            <w:r>
              <w:rPr>
                <w:rFonts w:ascii="Arial" w:cs="Arial" w:eastAsia="Arial" w:hAnsi="Arial"/>
                <w:sz w:val="11"/>
                <w:szCs w:val="11"/>
                <w:color w:val="auto"/>
              </w:rPr>
              <w:t>349,039</w:t>
            </w:r>
          </w:p>
        </w:tc>
        <w:tc>
          <w:tcPr>
            <w:tcW w:w="22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jc w:val="right"/>
              <w:ind w:right="86"/>
              <w:spacing w:after="0" w:line="122" w:lineRule="exact"/>
              <w:rPr>
                <w:sz w:val="20"/>
                <w:szCs w:val="20"/>
                <w:color w:val="auto"/>
              </w:rPr>
            </w:pPr>
            <w:r>
              <w:rPr>
                <w:rFonts w:ascii="Arial" w:cs="Arial" w:eastAsia="Arial" w:hAnsi="Arial"/>
                <w:sz w:val="11"/>
                <w:szCs w:val="11"/>
                <w:color w:val="auto"/>
              </w:rPr>
              <w:t>239,650</w:t>
            </w:r>
          </w:p>
        </w:tc>
        <w:tc>
          <w:tcPr>
            <w:tcW w:w="280" w:type="dxa"/>
            <w:vAlign w:val="bottom"/>
            <w:shd w:val="clear" w:color="auto" w:fill="EBEBEC"/>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EBEBEC"/>
          </w:tcPr>
          <w:p>
            <w:pPr>
              <w:jc w:val="right"/>
              <w:ind w:right="126"/>
              <w:spacing w:after="0" w:line="122" w:lineRule="exact"/>
              <w:rPr>
                <w:sz w:val="20"/>
                <w:szCs w:val="20"/>
                <w:color w:val="auto"/>
              </w:rPr>
            </w:pPr>
            <w:r>
              <w:rPr>
                <w:rFonts w:ascii="Arial" w:cs="Arial" w:eastAsia="Arial" w:hAnsi="Arial"/>
                <w:sz w:val="11"/>
                <w:szCs w:val="11"/>
                <w:color w:val="auto"/>
              </w:rPr>
              <w:t>2,298,501</w:t>
            </w:r>
          </w:p>
        </w:tc>
        <w:tc>
          <w:tcPr>
            <w:tcW w:w="26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jc w:val="right"/>
              <w:ind w:right="126"/>
              <w:spacing w:after="0" w:line="122" w:lineRule="exact"/>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80"/>
              <w:spacing w:after="0" w:line="122" w:lineRule="exact"/>
              <w:rPr>
                <w:sz w:val="20"/>
                <w:szCs w:val="20"/>
                <w:color w:val="auto"/>
              </w:rPr>
            </w:pPr>
            <w:r>
              <w:rPr>
                <w:rFonts w:ascii="Arial" w:cs="Arial" w:eastAsia="Arial" w:hAnsi="Arial"/>
                <w:sz w:val="11"/>
                <w:szCs w:val="11"/>
                <w:color w:val="auto"/>
                <w:w w:val="97"/>
              </w:rPr>
              <w:t>$</w:t>
            </w:r>
          </w:p>
        </w:tc>
        <w:tc>
          <w:tcPr>
            <w:tcW w:w="800" w:type="dxa"/>
            <w:vAlign w:val="bottom"/>
            <w:shd w:val="clear" w:color="auto" w:fill="EBEBEC"/>
          </w:tcPr>
          <w:p>
            <w:pPr>
              <w:jc w:val="right"/>
              <w:ind w:right="166"/>
              <w:spacing w:after="0" w:line="122" w:lineRule="exact"/>
              <w:rPr>
                <w:sz w:val="20"/>
                <w:szCs w:val="20"/>
                <w:color w:val="auto"/>
              </w:rPr>
            </w:pPr>
            <w:r>
              <w:rPr>
                <w:rFonts w:ascii="Arial" w:cs="Arial" w:eastAsia="Arial" w:hAnsi="Arial"/>
                <w:sz w:val="11"/>
                <w:szCs w:val="11"/>
                <w:color w:val="auto"/>
              </w:rPr>
              <w:t>486,893</w:t>
            </w:r>
          </w:p>
        </w:tc>
        <w:tc>
          <w:tcPr>
            <w:tcW w:w="20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880" w:type="dxa"/>
            <w:vAlign w:val="bottom"/>
            <w:shd w:val="clear" w:color="auto" w:fill="EBEBEC"/>
          </w:tcPr>
          <w:p>
            <w:pPr>
              <w:jc w:val="right"/>
              <w:ind w:right="126"/>
              <w:spacing w:after="0" w:line="122" w:lineRule="exact"/>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286"/>
              <w:spacing w:after="0" w:line="122" w:lineRule="exact"/>
              <w:rPr>
                <w:sz w:val="20"/>
                <w:szCs w:val="20"/>
                <w:color w:val="auto"/>
              </w:rPr>
            </w:pPr>
            <w:r>
              <w:rPr>
                <w:rFonts w:ascii="Arial" w:cs="Arial" w:eastAsia="Arial" w:hAnsi="Arial"/>
                <w:sz w:val="11"/>
                <w:szCs w:val="11"/>
                <w:color w:val="auto"/>
              </w:rPr>
              <w:t>59,474</w:t>
            </w:r>
          </w:p>
        </w:tc>
        <w:tc>
          <w:tcPr>
            <w:tcW w:w="100" w:type="dxa"/>
            <w:vAlign w:val="bottom"/>
            <w:shd w:val="clear" w:color="auto" w:fill="EAEAEA"/>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EAEAEA"/>
          </w:tcPr>
          <w:p>
            <w:pPr>
              <w:jc w:val="right"/>
              <w:ind w:right="66"/>
              <w:spacing w:after="0" w:line="122" w:lineRule="exact"/>
              <w:rPr>
                <w:sz w:val="20"/>
                <w:szCs w:val="20"/>
                <w:color w:val="auto"/>
              </w:rPr>
            </w:pPr>
            <w:r>
              <w:rPr>
                <w:rFonts w:ascii="Arial" w:cs="Arial" w:eastAsia="Arial" w:hAnsi="Arial"/>
                <w:sz w:val="11"/>
                <w:szCs w:val="11"/>
                <w:color w:val="auto"/>
                <w:w w:val="97"/>
              </w:rPr>
              <w:t>3,433,557</w:t>
            </w:r>
          </w:p>
        </w:tc>
        <w:tc>
          <w:tcPr>
            <w:tcW w:w="220" w:type="dxa"/>
            <w:vAlign w:val="bottom"/>
            <w:shd w:val="clear" w:color="auto" w:fill="EBEBE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0" w:type="dxa"/>
            <w:vAlign w:val="bottom"/>
            <w:shd w:val="clear" w:color="auto" w:fill="EBEBEC"/>
          </w:tcPr>
          <w:p>
            <w:pPr>
              <w:spacing w:after="0"/>
              <w:rPr>
                <w:sz w:val="10"/>
                <w:szCs w:val="10"/>
                <w:color w:val="auto"/>
              </w:rPr>
            </w:pPr>
          </w:p>
        </w:tc>
        <w:tc>
          <w:tcPr>
            <w:tcW w:w="2480" w:type="dxa"/>
            <w:vAlign w:val="bottom"/>
            <w:shd w:val="clear" w:color="auto" w:fill="EBEBEC"/>
          </w:tcPr>
          <w:p>
            <w:pPr>
              <w:ind w:left="20"/>
              <w:spacing w:after="0" w:line="122" w:lineRule="exact"/>
              <w:rPr>
                <w:sz w:val="20"/>
                <w:szCs w:val="20"/>
                <w:color w:val="auto"/>
              </w:rPr>
            </w:pPr>
            <w:r>
              <w:rPr>
                <w:rFonts w:ascii="Arial" w:cs="Arial" w:eastAsia="Arial" w:hAnsi="Arial"/>
                <w:sz w:val="11"/>
                <w:szCs w:val="11"/>
                <w:color w:val="auto"/>
              </w:rPr>
              <w:t>Chief Financial Officer</w:t>
            </w:r>
          </w:p>
        </w:tc>
        <w:tc>
          <w:tcPr>
            <w:tcW w:w="120" w:type="dxa"/>
            <w:vAlign w:val="bottom"/>
            <w:shd w:val="clear" w:color="auto" w:fill="EBEBEC"/>
          </w:tcPr>
          <w:p>
            <w:pPr>
              <w:spacing w:after="0"/>
              <w:rPr>
                <w:sz w:val="10"/>
                <w:szCs w:val="10"/>
                <w:color w:val="auto"/>
              </w:rPr>
            </w:pPr>
          </w:p>
        </w:tc>
        <w:tc>
          <w:tcPr>
            <w:tcW w:w="460" w:type="dxa"/>
            <w:vAlign w:val="bottom"/>
            <w:shd w:val="clear" w:color="auto" w:fill="EBEBEC"/>
          </w:tcPr>
          <w:p>
            <w:pPr>
              <w:spacing w:after="0"/>
              <w:rPr>
                <w:sz w:val="10"/>
                <w:szCs w:val="10"/>
                <w:color w:val="auto"/>
              </w:rPr>
            </w:pPr>
          </w:p>
        </w:tc>
        <w:tc>
          <w:tcPr>
            <w:tcW w:w="260" w:type="dxa"/>
            <w:vAlign w:val="bottom"/>
            <w:shd w:val="clear" w:color="auto" w:fill="EBEBEC"/>
          </w:tcPr>
          <w:p>
            <w:pPr>
              <w:spacing w:after="0"/>
              <w:rPr>
                <w:sz w:val="10"/>
                <w:szCs w:val="10"/>
                <w:color w:val="auto"/>
              </w:rPr>
            </w:pPr>
          </w:p>
        </w:tc>
        <w:tc>
          <w:tcPr>
            <w:tcW w:w="720" w:type="dxa"/>
            <w:vAlign w:val="bottom"/>
            <w:shd w:val="clear" w:color="auto" w:fill="EBEBEC"/>
          </w:tcPr>
          <w:p>
            <w:pPr>
              <w:spacing w:after="0"/>
              <w:rPr>
                <w:sz w:val="10"/>
                <w:szCs w:val="10"/>
                <w:color w:val="auto"/>
              </w:rPr>
            </w:pPr>
          </w:p>
        </w:tc>
        <w:tc>
          <w:tcPr>
            <w:tcW w:w="220" w:type="dxa"/>
            <w:vAlign w:val="bottom"/>
            <w:shd w:val="clear" w:color="auto" w:fill="EBEBEC"/>
          </w:tcPr>
          <w:p>
            <w:pPr>
              <w:spacing w:after="0"/>
              <w:rPr>
                <w:sz w:val="10"/>
                <w:szCs w:val="10"/>
                <w:color w:val="auto"/>
              </w:rPr>
            </w:pPr>
          </w:p>
        </w:tc>
        <w:tc>
          <w:tcPr>
            <w:tcW w:w="660" w:type="dxa"/>
            <w:vAlign w:val="bottom"/>
            <w:shd w:val="clear" w:color="auto" w:fill="EBEBEC"/>
          </w:tcPr>
          <w:p>
            <w:pPr>
              <w:spacing w:after="0"/>
              <w:rPr>
                <w:sz w:val="10"/>
                <w:szCs w:val="10"/>
                <w:color w:val="auto"/>
              </w:rPr>
            </w:pPr>
          </w:p>
        </w:tc>
        <w:tc>
          <w:tcPr>
            <w:tcW w:w="280" w:type="dxa"/>
            <w:vAlign w:val="bottom"/>
            <w:shd w:val="clear" w:color="auto" w:fill="EBEBEC"/>
          </w:tcPr>
          <w:p>
            <w:pPr>
              <w:spacing w:after="0"/>
              <w:rPr>
                <w:sz w:val="10"/>
                <w:szCs w:val="10"/>
                <w:color w:val="auto"/>
              </w:rPr>
            </w:pPr>
          </w:p>
        </w:tc>
        <w:tc>
          <w:tcPr>
            <w:tcW w:w="800" w:type="dxa"/>
            <w:vAlign w:val="bottom"/>
            <w:shd w:val="clear" w:color="auto" w:fill="EBEBEC"/>
          </w:tcPr>
          <w:p>
            <w:pPr>
              <w:spacing w:after="0"/>
              <w:rPr>
                <w:sz w:val="10"/>
                <w:szCs w:val="10"/>
                <w:color w:val="auto"/>
              </w:rPr>
            </w:pPr>
          </w:p>
        </w:tc>
        <w:tc>
          <w:tcPr>
            <w:tcW w:w="260" w:type="dxa"/>
            <w:vAlign w:val="bottom"/>
            <w:shd w:val="clear" w:color="auto" w:fill="EBEBEC"/>
          </w:tcPr>
          <w:p>
            <w:pPr>
              <w:spacing w:after="0"/>
              <w:rPr>
                <w:sz w:val="10"/>
                <w:szCs w:val="10"/>
                <w:color w:val="auto"/>
              </w:rPr>
            </w:pPr>
          </w:p>
        </w:tc>
        <w:tc>
          <w:tcPr>
            <w:tcW w:w="660" w:type="dxa"/>
            <w:vAlign w:val="bottom"/>
            <w:shd w:val="clear" w:color="auto" w:fill="EBEBEC"/>
          </w:tcPr>
          <w:p>
            <w:pPr>
              <w:spacing w:after="0"/>
              <w:rPr>
                <w:sz w:val="10"/>
                <w:szCs w:val="10"/>
                <w:color w:val="auto"/>
              </w:rPr>
            </w:pPr>
          </w:p>
        </w:tc>
        <w:tc>
          <w:tcPr>
            <w:tcW w:w="260" w:type="dxa"/>
            <w:vAlign w:val="bottom"/>
            <w:shd w:val="clear" w:color="auto" w:fill="EBEBEC"/>
          </w:tcPr>
          <w:p>
            <w:pPr>
              <w:spacing w:after="0"/>
              <w:rPr>
                <w:sz w:val="10"/>
                <w:szCs w:val="10"/>
                <w:color w:val="auto"/>
              </w:rPr>
            </w:pPr>
          </w:p>
        </w:tc>
        <w:tc>
          <w:tcPr>
            <w:tcW w:w="800" w:type="dxa"/>
            <w:vAlign w:val="bottom"/>
            <w:shd w:val="clear" w:color="auto" w:fill="EBEBEC"/>
          </w:tcPr>
          <w:p>
            <w:pPr>
              <w:spacing w:after="0"/>
              <w:rPr>
                <w:sz w:val="10"/>
                <w:szCs w:val="10"/>
                <w:color w:val="auto"/>
              </w:rPr>
            </w:pPr>
          </w:p>
        </w:tc>
        <w:tc>
          <w:tcPr>
            <w:tcW w:w="200" w:type="dxa"/>
            <w:vAlign w:val="bottom"/>
            <w:shd w:val="clear" w:color="auto" w:fill="EBEBEC"/>
          </w:tcPr>
          <w:p>
            <w:pPr>
              <w:spacing w:after="0"/>
              <w:rPr>
                <w:sz w:val="10"/>
                <w:szCs w:val="10"/>
                <w:color w:val="auto"/>
              </w:rPr>
            </w:pPr>
          </w:p>
        </w:tc>
        <w:tc>
          <w:tcPr>
            <w:tcW w:w="880" w:type="dxa"/>
            <w:vAlign w:val="bottom"/>
            <w:shd w:val="clear" w:color="auto" w:fill="EBEBEC"/>
          </w:tcPr>
          <w:p>
            <w:pPr>
              <w:spacing w:after="0"/>
              <w:rPr>
                <w:sz w:val="10"/>
                <w:szCs w:val="10"/>
                <w:color w:val="auto"/>
              </w:rPr>
            </w:pPr>
          </w:p>
        </w:tc>
        <w:tc>
          <w:tcPr>
            <w:tcW w:w="260" w:type="dxa"/>
            <w:vAlign w:val="bottom"/>
            <w:shd w:val="clear" w:color="auto" w:fill="EBEBEC"/>
          </w:tcPr>
          <w:p>
            <w:pPr>
              <w:spacing w:after="0"/>
              <w:rPr>
                <w:sz w:val="10"/>
                <w:szCs w:val="10"/>
                <w:color w:val="auto"/>
              </w:rPr>
            </w:pPr>
          </w:p>
        </w:tc>
        <w:tc>
          <w:tcPr>
            <w:tcW w:w="860" w:type="dxa"/>
            <w:vAlign w:val="bottom"/>
            <w:shd w:val="clear" w:color="auto" w:fill="EBEBEC"/>
          </w:tcPr>
          <w:p>
            <w:pPr>
              <w:spacing w:after="0"/>
              <w:rPr>
                <w:sz w:val="10"/>
                <w:szCs w:val="10"/>
                <w:color w:val="auto"/>
              </w:rPr>
            </w:pPr>
          </w:p>
        </w:tc>
        <w:tc>
          <w:tcPr>
            <w:tcW w:w="100" w:type="dxa"/>
            <w:vAlign w:val="bottom"/>
            <w:shd w:val="clear" w:color="auto" w:fill="EBEBEC"/>
          </w:tcPr>
          <w:p>
            <w:pPr>
              <w:spacing w:after="0"/>
              <w:rPr>
                <w:sz w:val="10"/>
                <w:szCs w:val="10"/>
                <w:color w:val="auto"/>
              </w:rPr>
            </w:pPr>
          </w:p>
        </w:tc>
        <w:tc>
          <w:tcPr>
            <w:tcW w:w="620" w:type="dxa"/>
            <w:vAlign w:val="bottom"/>
            <w:shd w:val="clear" w:color="auto" w:fill="EBEBEC"/>
          </w:tcPr>
          <w:p>
            <w:pPr>
              <w:spacing w:after="0"/>
              <w:rPr>
                <w:sz w:val="10"/>
                <w:szCs w:val="10"/>
                <w:color w:val="auto"/>
              </w:rPr>
            </w:pPr>
          </w:p>
        </w:tc>
        <w:tc>
          <w:tcPr>
            <w:tcW w:w="220" w:type="dxa"/>
            <w:vAlign w:val="bottom"/>
            <w:shd w:val="clear" w:color="auto" w:fill="EBEBE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 w:type="dxa"/>
            <w:vAlign w:val="bottom"/>
            <w:shd w:val="clear" w:color="auto" w:fill="EBEBEC"/>
          </w:tcPr>
          <w:p>
            <w:pPr>
              <w:spacing w:after="0"/>
              <w:rPr>
                <w:sz w:val="10"/>
                <w:szCs w:val="10"/>
                <w:color w:val="auto"/>
              </w:rPr>
            </w:pPr>
          </w:p>
        </w:tc>
        <w:tc>
          <w:tcPr>
            <w:tcW w:w="2480" w:type="dxa"/>
            <w:vAlign w:val="bottom"/>
            <w:vMerge w:val="restart"/>
            <w:shd w:val="clear" w:color="auto" w:fill="EBEBEC"/>
          </w:tcPr>
          <w:p>
            <w:pPr>
              <w:ind w:left="20"/>
              <w:spacing w:after="0"/>
              <w:rPr>
                <w:sz w:val="20"/>
                <w:szCs w:val="20"/>
                <w:color w:val="auto"/>
              </w:rPr>
            </w:pPr>
            <w:r>
              <w:rPr>
                <w:rFonts w:ascii="Arial" w:cs="Arial" w:eastAsia="Arial" w:hAnsi="Arial"/>
                <w:sz w:val="11"/>
                <w:szCs w:val="11"/>
                <w:b w:val="1"/>
                <w:bCs w:val="1"/>
                <w:color w:val="auto"/>
              </w:rPr>
              <w:t>Jay A. Bys</w:t>
            </w:r>
          </w:p>
        </w:tc>
        <w:tc>
          <w:tcPr>
            <w:tcW w:w="120" w:type="dxa"/>
            <w:vAlign w:val="bottom"/>
            <w:shd w:val="clear" w:color="auto" w:fill="EBEBEC"/>
          </w:tcPr>
          <w:p>
            <w:pPr>
              <w:spacing w:after="0"/>
              <w:rPr>
                <w:sz w:val="10"/>
                <w:szCs w:val="10"/>
                <w:color w:val="auto"/>
              </w:rPr>
            </w:pPr>
          </w:p>
        </w:tc>
        <w:tc>
          <w:tcPr>
            <w:tcW w:w="460" w:type="dxa"/>
            <w:vAlign w:val="bottom"/>
            <w:vMerge w:val="restart"/>
            <w:shd w:val="clear" w:color="auto" w:fill="EBEBEC"/>
          </w:tcPr>
          <w:p>
            <w:pPr>
              <w:ind w:left="120"/>
              <w:spacing w:after="0"/>
              <w:rPr>
                <w:sz w:val="20"/>
                <w:szCs w:val="20"/>
                <w:color w:val="auto"/>
              </w:rPr>
            </w:pPr>
            <w:r>
              <w:rPr>
                <w:rFonts w:ascii="Arial" w:cs="Arial" w:eastAsia="Arial" w:hAnsi="Arial"/>
                <w:sz w:val="11"/>
                <w:szCs w:val="11"/>
                <w:color w:val="auto"/>
              </w:rPr>
              <w:t>2024</w:t>
            </w:r>
          </w:p>
        </w:tc>
        <w:tc>
          <w:tcPr>
            <w:tcW w:w="260" w:type="dxa"/>
            <w:vAlign w:val="bottom"/>
            <w:vMerge w:val="restart"/>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EBEBEC"/>
          </w:tcPr>
          <w:p>
            <w:pPr>
              <w:jc w:val="right"/>
              <w:ind w:right="86"/>
              <w:spacing w:after="0"/>
              <w:rPr>
                <w:sz w:val="20"/>
                <w:szCs w:val="20"/>
                <w:color w:val="auto"/>
              </w:rPr>
            </w:pPr>
            <w:r>
              <w:rPr>
                <w:rFonts w:ascii="Arial" w:cs="Arial" w:eastAsia="Arial" w:hAnsi="Arial"/>
                <w:sz w:val="11"/>
                <w:szCs w:val="11"/>
                <w:color w:val="auto"/>
              </w:rPr>
              <w:t>557,769</w:t>
            </w:r>
          </w:p>
        </w:tc>
        <w:tc>
          <w:tcPr>
            <w:tcW w:w="22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EBEBEC"/>
          </w:tcPr>
          <w:p>
            <w:pPr>
              <w:jc w:val="right"/>
              <w:ind w:right="86"/>
              <w:spacing w:after="0"/>
              <w:rPr>
                <w:sz w:val="20"/>
                <w:szCs w:val="20"/>
                <w:color w:val="auto"/>
              </w:rPr>
            </w:pPr>
            <w:r>
              <w:rPr>
                <w:rFonts w:ascii="Arial" w:cs="Arial" w:eastAsia="Arial" w:hAnsi="Arial"/>
                <w:sz w:val="11"/>
                <w:szCs w:val="11"/>
                <w:color w:val="auto"/>
              </w:rPr>
              <w:t>600,600</w:t>
            </w:r>
          </w:p>
        </w:tc>
        <w:tc>
          <w:tcPr>
            <w:tcW w:w="280" w:type="dxa"/>
            <w:vAlign w:val="bottom"/>
            <w:vMerge w:val="restart"/>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00" w:type="dxa"/>
            <w:vAlign w:val="bottom"/>
            <w:vMerge w:val="restart"/>
            <w:shd w:val="clear" w:color="auto" w:fill="EBEBEC"/>
          </w:tcPr>
          <w:p>
            <w:pPr>
              <w:jc w:val="right"/>
              <w:ind w:right="126"/>
              <w:spacing w:after="0"/>
              <w:rPr>
                <w:sz w:val="20"/>
                <w:szCs w:val="20"/>
                <w:color w:val="auto"/>
              </w:rPr>
            </w:pPr>
            <w:r>
              <w:rPr>
                <w:rFonts w:ascii="Arial" w:cs="Arial" w:eastAsia="Arial" w:hAnsi="Arial"/>
                <w:sz w:val="11"/>
                <w:szCs w:val="11"/>
                <w:color w:val="auto"/>
              </w:rPr>
              <w:t>2,452,602</w:t>
            </w:r>
          </w:p>
        </w:tc>
        <w:tc>
          <w:tcPr>
            <w:tcW w:w="26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260" w:type="dxa"/>
            <w:vAlign w:val="bottom"/>
            <w:vMerge w:val="restart"/>
            <w:shd w:val="clear" w:color="auto" w:fill="EBEBEC"/>
          </w:tcPr>
          <w:p>
            <w:pPr>
              <w:ind w:left="180"/>
              <w:spacing w:after="0"/>
              <w:rPr>
                <w:sz w:val="20"/>
                <w:szCs w:val="20"/>
                <w:color w:val="auto"/>
              </w:rPr>
            </w:pPr>
            <w:r>
              <w:rPr>
                <w:rFonts w:ascii="Arial" w:cs="Arial" w:eastAsia="Arial" w:hAnsi="Arial"/>
                <w:sz w:val="11"/>
                <w:szCs w:val="11"/>
                <w:color w:val="auto"/>
                <w:w w:val="97"/>
              </w:rPr>
              <w:t>$</w:t>
            </w:r>
          </w:p>
        </w:tc>
        <w:tc>
          <w:tcPr>
            <w:tcW w:w="800" w:type="dxa"/>
            <w:vAlign w:val="bottom"/>
            <w:vMerge w:val="restart"/>
            <w:shd w:val="clear" w:color="auto" w:fill="EBEBEC"/>
          </w:tcPr>
          <w:p>
            <w:pPr>
              <w:jc w:val="right"/>
              <w:ind w:right="166"/>
              <w:spacing w:after="0"/>
              <w:rPr>
                <w:sz w:val="20"/>
                <w:szCs w:val="20"/>
                <w:color w:val="auto"/>
              </w:rPr>
            </w:pPr>
            <w:r>
              <w:rPr>
                <w:rFonts w:ascii="Arial" w:cs="Arial" w:eastAsia="Arial" w:hAnsi="Arial"/>
                <w:sz w:val="11"/>
                <w:szCs w:val="11"/>
                <w:color w:val="auto"/>
              </w:rPr>
              <w:t>591,314</w:t>
            </w:r>
          </w:p>
        </w:tc>
        <w:tc>
          <w:tcPr>
            <w:tcW w:w="20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80" w:type="dxa"/>
            <w:vAlign w:val="bottom"/>
            <w:vMerge w:val="restart"/>
            <w:shd w:val="clear" w:color="auto" w:fill="EBEBEC"/>
          </w:tcPr>
          <w:p>
            <w:pPr>
              <w:jc w:val="right"/>
              <w:ind w:right="126"/>
              <w:spacing w:after="0"/>
              <w:rPr>
                <w:sz w:val="20"/>
                <w:szCs w:val="20"/>
                <w:color w:val="auto"/>
              </w:rPr>
            </w:pPr>
            <w:r>
              <w:rPr>
                <w:rFonts w:ascii="Arial" w:cs="Arial" w:eastAsia="Arial" w:hAnsi="Arial"/>
                <w:sz w:val="11"/>
                <w:szCs w:val="11"/>
                <w:color w:val="auto"/>
              </w:rPr>
              <w:t>2,043</w:t>
            </w:r>
          </w:p>
        </w:tc>
        <w:tc>
          <w:tcPr>
            <w:tcW w:w="26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60" w:type="dxa"/>
            <w:vAlign w:val="bottom"/>
            <w:vMerge w:val="restart"/>
            <w:shd w:val="clear" w:color="auto" w:fill="EBEBEC"/>
          </w:tcPr>
          <w:p>
            <w:pPr>
              <w:jc w:val="right"/>
              <w:ind w:right="286"/>
              <w:spacing w:after="0"/>
              <w:rPr>
                <w:sz w:val="20"/>
                <w:szCs w:val="20"/>
                <w:color w:val="auto"/>
              </w:rPr>
            </w:pPr>
            <w:r>
              <w:rPr>
                <w:rFonts w:ascii="Arial" w:cs="Arial" w:eastAsia="Arial" w:hAnsi="Arial"/>
                <w:sz w:val="11"/>
                <w:szCs w:val="11"/>
                <w:color w:val="auto"/>
              </w:rPr>
              <w:t>113,981</w:t>
            </w:r>
          </w:p>
        </w:tc>
        <w:tc>
          <w:tcPr>
            <w:tcW w:w="100" w:type="dxa"/>
            <w:vAlign w:val="bottom"/>
            <w:shd w:val="clear" w:color="auto" w:fill="EBEBEC"/>
          </w:tcPr>
          <w:p>
            <w:pPr>
              <w:spacing w:after="0"/>
              <w:rPr>
                <w:sz w:val="10"/>
                <w:szCs w:val="10"/>
                <w:color w:val="auto"/>
              </w:rPr>
            </w:pPr>
          </w:p>
        </w:tc>
        <w:tc>
          <w:tcPr>
            <w:tcW w:w="620" w:type="dxa"/>
            <w:vAlign w:val="bottom"/>
            <w:shd w:val="clear" w:color="auto" w:fill="EBEBEC"/>
          </w:tcPr>
          <w:p>
            <w:pPr>
              <w:spacing w:after="0"/>
              <w:rPr>
                <w:sz w:val="10"/>
                <w:szCs w:val="10"/>
                <w:color w:val="auto"/>
              </w:rPr>
            </w:pPr>
          </w:p>
        </w:tc>
        <w:tc>
          <w:tcPr>
            <w:tcW w:w="220" w:type="dxa"/>
            <w:vAlign w:val="bottom"/>
            <w:shd w:val="clear" w:color="auto" w:fill="EBEBE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 w:type="dxa"/>
            <w:vAlign w:val="bottom"/>
            <w:shd w:val="clear" w:color="auto" w:fill="EBEBEC"/>
          </w:tcPr>
          <w:p>
            <w:pPr>
              <w:spacing w:after="0"/>
              <w:rPr>
                <w:sz w:val="9"/>
                <w:szCs w:val="9"/>
                <w:color w:val="auto"/>
              </w:rPr>
            </w:pPr>
          </w:p>
        </w:tc>
        <w:tc>
          <w:tcPr>
            <w:tcW w:w="2480" w:type="dxa"/>
            <w:vAlign w:val="bottom"/>
            <w:vMerge w:val="continue"/>
            <w:shd w:val="clear" w:color="auto" w:fill="EBEBEC"/>
          </w:tcPr>
          <w:p>
            <w:pPr>
              <w:spacing w:after="0"/>
              <w:rPr>
                <w:sz w:val="9"/>
                <w:szCs w:val="9"/>
                <w:color w:val="auto"/>
              </w:rPr>
            </w:pPr>
          </w:p>
        </w:tc>
        <w:tc>
          <w:tcPr>
            <w:tcW w:w="120" w:type="dxa"/>
            <w:vAlign w:val="bottom"/>
            <w:shd w:val="clear" w:color="auto" w:fill="EBEBEC"/>
          </w:tcPr>
          <w:p>
            <w:pPr>
              <w:spacing w:after="0"/>
              <w:rPr>
                <w:sz w:val="9"/>
                <w:szCs w:val="9"/>
                <w:color w:val="auto"/>
              </w:rPr>
            </w:pPr>
          </w:p>
        </w:tc>
        <w:tc>
          <w:tcPr>
            <w:tcW w:w="460" w:type="dxa"/>
            <w:vAlign w:val="bottom"/>
            <w:vMerge w:val="continue"/>
            <w:shd w:val="clear" w:color="auto" w:fill="EBEBEC"/>
          </w:tcPr>
          <w:p>
            <w:pPr>
              <w:spacing w:after="0"/>
              <w:rPr>
                <w:sz w:val="9"/>
                <w:szCs w:val="9"/>
                <w:color w:val="auto"/>
              </w:rPr>
            </w:pPr>
          </w:p>
        </w:tc>
        <w:tc>
          <w:tcPr>
            <w:tcW w:w="260" w:type="dxa"/>
            <w:vAlign w:val="bottom"/>
            <w:vMerge w:val="continue"/>
            <w:shd w:val="clear" w:color="auto" w:fill="EBEBEC"/>
          </w:tcPr>
          <w:p>
            <w:pPr>
              <w:spacing w:after="0"/>
              <w:rPr>
                <w:sz w:val="9"/>
                <w:szCs w:val="9"/>
                <w:color w:val="auto"/>
              </w:rPr>
            </w:pPr>
          </w:p>
        </w:tc>
        <w:tc>
          <w:tcPr>
            <w:tcW w:w="720" w:type="dxa"/>
            <w:vAlign w:val="bottom"/>
            <w:vMerge w:val="continue"/>
            <w:shd w:val="clear" w:color="auto" w:fill="EBEBEC"/>
          </w:tcPr>
          <w:p>
            <w:pPr>
              <w:spacing w:after="0"/>
              <w:rPr>
                <w:sz w:val="9"/>
                <w:szCs w:val="9"/>
                <w:color w:val="auto"/>
              </w:rPr>
            </w:pPr>
          </w:p>
        </w:tc>
        <w:tc>
          <w:tcPr>
            <w:tcW w:w="220" w:type="dxa"/>
            <w:vAlign w:val="bottom"/>
            <w:vMerge w:val="continue"/>
            <w:shd w:val="clear" w:color="auto" w:fill="EBEBEC"/>
          </w:tcPr>
          <w:p>
            <w:pPr>
              <w:spacing w:after="0"/>
              <w:rPr>
                <w:sz w:val="9"/>
                <w:szCs w:val="9"/>
                <w:color w:val="auto"/>
              </w:rPr>
            </w:pPr>
          </w:p>
        </w:tc>
        <w:tc>
          <w:tcPr>
            <w:tcW w:w="660" w:type="dxa"/>
            <w:vAlign w:val="bottom"/>
            <w:vMerge w:val="continue"/>
            <w:shd w:val="clear" w:color="auto" w:fill="EBEBEC"/>
          </w:tcPr>
          <w:p>
            <w:pPr>
              <w:spacing w:after="0"/>
              <w:rPr>
                <w:sz w:val="9"/>
                <w:szCs w:val="9"/>
                <w:color w:val="auto"/>
              </w:rPr>
            </w:pPr>
          </w:p>
        </w:tc>
        <w:tc>
          <w:tcPr>
            <w:tcW w:w="280" w:type="dxa"/>
            <w:vAlign w:val="bottom"/>
            <w:vMerge w:val="continue"/>
            <w:shd w:val="clear" w:color="auto" w:fill="EBEBEC"/>
          </w:tcPr>
          <w:p>
            <w:pPr>
              <w:spacing w:after="0"/>
              <w:rPr>
                <w:sz w:val="9"/>
                <w:szCs w:val="9"/>
                <w:color w:val="auto"/>
              </w:rPr>
            </w:pPr>
          </w:p>
        </w:tc>
        <w:tc>
          <w:tcPr>
            <w:tcW w:w="800" w:type="dxa"/>
            <w:vAlign w:val="bottom"/>
            <w:vMerge w:val="continue"/>
            <w:shd w:val="clear" w:color="auto" w:fill="EBEBEC"/>
          </w:tcPr>
          <w:p>
            <w:pPr>
              <w:spacing w:after="0"/>
              <w:rPr>
                <w:sz w:val="9"/>
                <w:szCs w:val="9"/>
                <w:color w:val="auto"/>
              </w:rPr>
            </w:pPr>
          </w:p>
        </w:tc>
        <w:tc>
          <w:tcPr>
            <w:tcW w:w="260" w:type="dxa"/>
            <w:vAlign w:val="bottom"/>
            <w:vMerge w:val="continue"/>
            <w:shd w:val="clear" w:color="auto" w:fill="EBEBEC"/>
          </w:tcPr>
          <w:p>
            <w:pPr>
              <w:spacing w:after="0"/>
              <w:rPr>
                <w:sz w:val="9"/>
                <w:szCs w:val="9"/>
                <w:color w:val="auto"/>
              </w:rPr>
            </w:pPr>
          </w:p>
        </w:tc>
        <w:tc>
          <w:tcPr>
            <w:tcW w:w="660" w:type="dxa"/>
            <w:vAlign w:val="bottom"/>
            <w:vMerge w:val="continue"/>
            <w:shd w:val="clear" w:color="auto" w:fill="EBEBEC"/>
          </w:tcPr>
          <w:p>
            <w:pPr>
              <w:spacing w:after="0"/>
              <w:rPr>
                <w:sz w:val="9"/>
                <w:szCs w:val="9"/>
                <w:color w:val="auto"/>
              </w:rPr>
            </w:pPr>
          </w:p>
        </w:tc>
        <w:tc>
          <w:tcPr>
            <w:tcW w:w="260" w:type="dxa"/>
            <w:vAlign w:val="bottom"/>
            <w:vMerge w:val="continue"/>
            <w:shd w:val="clear" w:color="auto" w:fill="EBEBEC"/>
          </w:tcPr>
          <w:p>
            <w:pPr>
              <w:spacing w:after="0"/>
              <w:rPr>
                <w:sz w:val="9"/>
                <w:szCs w:val="9"/>
                <w:color w:val="auto"/>
              </w:rPr>
            </w:pPr>
          </w:p>
        </w:tc>
        <w:tc>
          <w:tcPr>
            <w:tcW w:w="800" w:type="dxa"/>
            <w:vAlign w:val="bottom"/>
            <w:vMerge w:val="continue"/>
            <w:shd w:val="clear" w:color="auto" w:fill="EBEBEC"/>
          </w:tcPr>
          <w:p>
            <w:pPr>
              <w:spacing w:after="0"/>
              <w:rPr>
                <w:sz w:val="9"/>
                <w:szCs w:val="9"/>
                <w:color w:val="auto"/>
              </w:rPr>
            </w:pPr>
          </w:p>
        </w:tc>
        <w:tc>
          <w:tcPr>
            <w:tcW w:w="200" w:type="dxa"/>
            <w:vAlign w:val="bottom"/>
            <w:vMerge w:val="continue"/>
            <w:shd w:val="clear" w:color="auto" w:fill="EBEBEC"/>
          </w:tcPr>
          <w:p>
            <w:pPr>
              <w:spacing w:after="0"/>
              <w:rPr>
                <w:sz w:val="9"/>
                <w:szCs w:val="9"/>
                <w:color w:val="auto"/>
              </w:rPr>
            </w:pPr>
          </w:p>
        </w:tc>
        <w:tc>
          <w:tcPr>
            <w:tcW w:w="880" w:type="dxa"/>
            <w:vAlign w:val="bottom"/>
            <w:vMerge w:val="continue"/>
            <w:shd w:val="clear" w:color="auto" w:fill="EBEBEC"/>
          </w:tcPr>
          <w:p>
            <w:pPr>
              <w:spacing w:after="0"/>
              <w:rPr>
                <w:sz w:val="9"/>
                <w:szCs w:val="9"/>
                <w:color w:val="auto"/>
              </w:rPr>
            </w:pPr>
          </w:p>
        </w:tc>
        <w:tc>
          <w:tcPr>
            <w:tcW w:w="260" w:type="dxa"/>
            <w:vAlign w:val="bottom"/>
            <w:vMerge w:val="continue"/>
            <w:shd w:val="clear" w:color="auto" w:fill="EBEBEC"/>
          </w:tcPr>
          <w:p>
            <w:pPr>
              <w:spacing w:after="0"/>
              <w:rPr>
                <w:sz w:val="9"/>
                <w:szCs w:val="9"/>
                <w:color w:val="auto"/>
              </w:rPr>
            </w:pPr>
          </w:p>
        </w:tc>
        <w:tc>
          <w:tcPr>
            <w:tcW w:w="860" w:type="dxa"/>
            <w:vAlign w:val="bottom"/>
            <w:vMerge w:val="continue"/>
            <w:shd w:val="clear" w:color="auto" w:fill="EBEBEC"/>
          </w:tcPr>
          <w:p>
            <w:pPr>
              <w:spacing w:after="0"/>
              <w:rPr>
                <w:sz w:val="9"/>
                <w:szCs w:val="9"/>
                <w:color w:val="auto"/>
              </w:rPr>
            </w:pPr>
          </w:p>
        </w:tc>
        <w:tc>
          <w:tcPr>
            <w:tcW w:w="10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shd w:val="clear" w:color="auto" w:fill="EAEAEA"/>
          </w:tcPr>
          <w:p>
            <w:pPr>
              <w:jc w:val="right"/>
              <w:ind w:right="66"/>
              <w:spacing w:after="0" w:line="109" w:lineRule="exact"/>
              <w:rPr>
                <w:sz w:val="20"/>
                <w:szCs w:val="20"/>
                <w:color w:val="auto"/>
              </w:rPr>
            </w:pPr>
            <w:r>
              <w:rPr>
                <w:rFonts w:ascii="Arial" w:cs="Arial" w:eastAsia="Arial" w:hAnsi="Arial"/>
                <w:sz w:val="11"/>
                <w:szCs w:val="11"/>
                <w:color w:val="auto"/>
                <w:w w:val="97"/>
              </w:rPr>
              <w:t>4,318,309</w:t>
            </w:r>
          </w:p>
        </w:tc>
        <w:tc>
          <w:tcPr>
            <w:tcW w:w="220" w:type="dxa"/>
            <w:vAlign w:val="bottom"/>
            <w:shd w:val="clear" w:color="auto" w:fill="EBEBE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0" w:type="dxa"/>
            <w:vAlign w:val="bottom"/>
            <w:shd w:val="clear" w:color="auto" w:fill="EBEBEC"/>
          </w:tcPr>
          <w:p>
            <w:pPr>
              <w:spacing w:after="0"/>
              <w:rPr>
                <w:sz w:val="11"/>
                <w:szCs w:val="11"/>
                <w:color w:val="auto"/>
              </w:rPr>
            </w:pPr>
          </w:p>
        </w:tc>
        <w:tc>
          <w:tcPr>
            <w:tcW w:w="2480" w:type="dxa"/>
            <w:vAlign w:val="bottom"/>
            <w:shd w:val="clear" w:color="auto" w:fill="EBEBEC"/>
          </w:tcPr>
          <w:p>
            <w:pPr>
              <w:ind w:left="20"/>
              <w:spacing w:after="0" w:line="122" w:lineRule="exact"/>
              <w:rPr>
                <w:sz w:val="20"/>
                <w:szCs w:val="20"/>
                <w:color w:val="auto"/>
              </w:rPr>
            </w:pPr>
            <w:r>
              <w:rPr>
                <w:rFonts w:ascii="Arial" w:cs="Arial" w:eastAsia="Arial" w:hAnsi="Arial"/>
                <w:sz w:val="11"/>
                <w:szCs w:val="11"/>
                <w:color w:val="auto"/>
              </w:rPr>
              <w:t>Executive Vice President and</w:t>
            </w:r>
          </w:p>
        </w:tc>
        <w:tc>
          <w:tcPr>
            <w:tcW w:w="120" w:type="dxa"/>
            <w:vAlign w:val="bottom"/>
            <w:shd w:val="clear" w:color="auto" w:fill="EBEBEC"/>
          </w:tcPr>
          <w:p>
            <w:pPr>
              <w:spacing w:after="0"/>
              <w:rPr>
                <w:sz w:val="11"/>
                <w:szCs w:val="11"/>
                <w:color w:val="auto"/>
              </w:rPr>
            </w:pPr>
          </w:p>
        </w:tc>
        <w:tc>
          <w:tcPr>
            <w:tcW w:w="460" w:type="dxa"/>
            <w:vAlign w:val="bottom"/>
            <w:shd w:val="clear" w:color="auto" w:fill="EBEBEC"/>
          </w:tcPr>
          <w:p>
            <w:pPr>
              <w:ind w:left="120"/>
              <w:spacing w:after="0" w:line="122" w:lineRule="exact"/>
              <w:rPr>
                <w:sz w:val="20"/>
                <w:szCs w:val="20"/>
                <w:color w:val="auto"/>
              </w:rPr>
            </w:pPr>
            <w:r>
              <w:rPr>
                <w:rFonts w:ascii="Arial" w:cs="Arial" w:eastAsia="Arial" w:hAnsi="Arial"/>
                <w:sz w:val="11"/>
                <w:szCs w:val="11"/>
                <w:color w:val="auto"/>
              </w:rPr>
              <w:t>2023</w:t>
            </w:r>
          </w:p>
        </w:tc>
        <w:tc>
          <w:tcPr>
            <w:tcW w:w="260" w:type="dxa"/>
            <w:vAlign w:val="bottom"/>
            <w:shd w:val="clear" w:color="auto" w:fill="EBEBEC"/>
          </w:tcPr>
          <w:p>
            <w:pPr>
              <w:jc w:val="right"/>
              <w:ind w:right="6"/>
              <w:spacing w:after="0" w:line="122" w:lineRule="exact"/>
              <w:rPr>
                <w:sz w:val="20"/>
                <w:szCs w:val="20"/>
                <w:color w:val="auto"/>
              </w:rPr>
            </w:pPr>
            <w:r>
              <w:rPr>
                <w:rFonts w:ascii="Arial" w:cs="Arial" w:eastAsia="Arial" w:hAnsi="Arial"/>
                <w:sz w:val="11"/>
                <w:szCs w:val="11"/>
                <w:color w:val="auto"/>
              </w:rPr>
              <w:t>$</w:t>
            </w:r>
          </w:p>
        </w:tc>
        <w:tc>
          <w:tcPr>
            <w:tcW w:w="720" w:type="dxa"/>
            <w:vAlign w:val="bottom"/>
            <w:shd w:val="clear" w:color="auto" w:fill="EBEBEC"/>
          </w:tcPr>
          <w:p>
            <w:pPr>
              <w:jc w:val="right"/>
              <w:ind w:right="86"/>
              <w:spacing w:after="0" w:line="122" w:lineRule="exact"/>
              <w:rPr>
                <w:sz w:val="20"/>
                <w:szCs w:val="20"/>
                <w:color w:val="auto"/>
              </w:rPr>
            </w:pPr>
            <w:r>
              <w:rPr>
                <w:rFonts w:ascii="Arial" w:cs="Arial" w:eastAsia="Arial" w:hAnsi="Arial"/>
                <w:sz w:val="11"/>
                <w:szCs w:val="11"/>
                <w:color w:val="auto"/>
              </w:rPr>
              <w:t>532,308</w:t>
            </w:r>
          </w:p>
        </w:tc>
        <w:tc>
          <w:tcPr>
            <w:tcW w:w="22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jc w:val="right"/>
              <w:ind w:right="86"/>
              <w:spacing w:after="0" w:line="122" w:lineRule="exact"/>
              <w:rPr>
                <w:sz w:val="20"/>
                <w:szCs w:val="20"/>
                <w:color w:val="auto"/>
              </w:rPr>
            </w:pPr>
            <w:r>
              <w:rPr>
                <w:rFonts w:ascii="Arial" w:cs="Arial" w:eastAsia="Arial" w:hAnsi="Arial"/>
                <w:sz w:val="11"/>
                <w:szCs w:val="11"/>
                <w:color w:val="auto"/>
              </w:rPr>
              <w:t>270,000</w:t>
            </w:r>
          </w:p>
        </w:tc>
        <w:tc>
          <w:tcPr>
            <w:tcW w:w="280" w:type="dxa"/>
            <w:vAlign w:val="bottom"/>
            <w:shd w:val="clear" w:color="auto" w:fill="EBEBEC"/>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EBEBEC"/>
          </w:tcPr>
          <w:p>
            <w:pPr>
              <w:jc w:val="right"/>
              <w:ind w:right="126"/>
              <w:spacing w:after="0" w:line="122" w:lineRule="exact"/>
              <w:rPr>
                <w:sz w:val="20"/>
                <w:szCs w:val="20"/>
                <w:color w:val="auto"/>
              </w:rPr>
            </w:pPr>
            <w:r>
              <w:rPr>
                <w:rFonts w:ascii="Arial" w:cs="Arial" w:eastAsia="Arial" w:hAnsi="Arial"/>
                <w:sz w:val="11"/>
                <w:szCs w:val="11"/>
                <w:color w:val="auto"/>
              </w:rPr>
              <w:t>3,683,335</w:t>
            </w:r>
          </w:p>
        </w:tc>
        <w:tc>
          <w:tcPr>
            <w:tcW w:w="26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jc w:val="right"/>
              <w:ind w:right="126"/>
              <w:spacing w:after="0" w:line="122" w:lineRule="exact"/>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80"/>
              <w:spacing w:after="0" w:line="122" w:lineRule="exact"/>
              <w:rPr>
                <w:sz w:val="20"/>
                <w:szCs w:val="20"/>
                <w:color w:val="auto"/>
              </w:rPr>
            </w:pPr>
            <w:r>
              <w:rPr>
                <w:rFonts w:ascii="Arial" w:cs="Arial" w:eastAsia="Arial" w:hAnsi="Arial"/>
                <w:sz w:val="11"/>
                <w:szCs w:val="11"/>
                <w:color w:val="auto"/>
                <w:w w:val="97"/>
              </w:rPr>
              <w:t>$</w:t>
            </w:r>
          </w:p>
        </w:tc>
        <w:tc>
          <w:tcPr>
            <w:tcW w:w="800" w:type="dxa"/>
            <w:vAlign w:val="bottom"/>
            <w:shd w:val="clear" w:color="auto" w:fill="EBEBEC"/>
          </w:tcPr>
          <w:p>
            <w:pPr>
              <w:jc w:val="right"/>
              <w:ind w:right="166"/>
              <w:spacing w:after="0" w:line="122" w:lineRule="exact"/>
              <w:rPr>
                <w:sz w:val="20"/>
                <w:szCs w:val="20"/>
                <w:color w:val="auto"/>
              </w:rPr>
            </w:pPr>
            <w:r>
              <w:rPr>
                <w:rFonts w:ascii="Arial" w:cs="Arial" w:eastAsia="Arial" w:hAnsi="Arial"/>
                <w:sz w:val="11"/>
                <w:szCs w:val="11"/>
                <w:color w:val="auto"/>
              </w:rPr>
              <w:t>733,190</w:t>
            </w:r>
          </w:p>
        </w:tc>
        <w:tc>
          <w:tcPr>
            <w:tcW w:w="20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880" w:type="dxa"/>
            <w:vAlign w:val="bottom"/>
            <w:shd w:val="clear" w:color="auto" w:fill="EBEBEC"/>
          </w:tcPr>
          <w:p>
            <w:pPr>
              <w:jc w:val="right"/>
              <w:ind w:right="126"/>
              <w:spacing w:after="0" w:line="122" w:lineRule="exact"/>
              <w:rPr>
                <w:sz w:val="20"/>
                <w:szCs w:val="20"/>
                <w:color w:val="auto"/>
              </w:rPr>
            </w:pPr>
            <w:r>
              <w:rPr>
                <w:rFonts w:ascii="Arial" w:cs="Arial" w:eastAsia="Arial" w:hAnsi="Arial"/>
                <w:sz w:val="11"/>
                <w:szCs w:val="11"/>
                <w:color w:val="auto"/>
              </w:rPr>
              <w:t>1,517</w:t>
            </w:r>
          </w:p>
        </w:tc>
        <w:tc>
          <w:tcPr>
            <w:tcW w:w="26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286"/>
              <w:spacing w:after="0" w:line="122" w:lineRule="exact"/>
              <w:rPr>
                <w:sz w:val="20"/>
                <w:szCs w:val="20"/>
                <w:color w:val="auto"/>
              </w:rPr>
            </w:pPr>
            <w:r>
              <w:rPr>
                <w:rFonts w:ascii="Arial" w:cs="Arial" w:eastAsia="Arial" w:hAnsi="Arial"/>
                <w:sz w:val="11"/>
                <w:szCs w:val="11"/>
                <w:color w:val="auto"/>
              </w:rPr>
              <w:t>213,928</w:t>
            </w:r>
          </w:p>
        </w:tc>
        <w:tc>
          <w:tcPr>
            <w:tcW w:w="100" w:type="dxa"/>
            <w:vAlign w:val="bottom"/>
            <w:shd w:val="clear" w:color="auto" w:fill="EAEAEA"/>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EAEAEA"/>
          </w:tcPr>
          <w:p>
            <w:pPr>
              <w:jc w:val="right"/>
              <w:ind w:right="66"/>
              <w:spacing w:after="0" w:line="122" w:lineRule="exact"/>
              <w:rPr>
                <w:sz w:val="20"/>
                <w:szCs w:val="20"/>
                <w:color w:val="auto"/>
              </w:rPr>
            </w:pPr>
            <w:r>
              <w:rPr>
                <w:rFonts w:ascii="Arial" w:cs="Arial" w:eastAsia="Arial" w:hAnsi="Arial"/>
                <w:sz w:val="11"/>
                <w:szCs w:val="11"/>
                <w:color w:val="auto"/>
                <w:w w:val="97"/>
              </w:rPr>
              <w:t>5,434,278</w:t>
            </w:r>
          </w:p>
        </w:tc>
        <w:tc>
          <w:tcPr>
            <w:tcW w:w="220" w:type="dxa"/>
            <w:vAlign w:val="bottom"/>
            <w:shd w:val="clear" w:color="auto" w:fill="EBEBE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0" w:type="dxa"/>
            <w:vAlign w:val="bottom"/>
            <w:shd w:val="clear" w:color="auto" w:fill="EBEBEC"/>
          </w:tcPr>
          <w:p>
            <w:pPr>
              <w:spacing w:after="0"/>
              <w:rPr>
                <w:sz w:val="10"/>
                <w:szCs w:val="10"/>
                <w:color w:val="auto"/>
              </w:rPr>
            </w:pPr>
          </w:p>
        </w:tc>
        <w:tc>
          <w:tcPr>
            <w:tcW w:w="2480" w:type="dxa"/>
            <w:vAlign w:val="bottom"/>
            <w:shd w:val="clear" w:color="auto" w:fill="EBEBEC"/>
          </w:tcPr>
          <w:p>
            <w:pPr>
              <w:ind w:left="20"/>
              <w:spacing w:after="0" w:line="122" w:lineRule="exact"/>
              <w:rPr>
                <w:sz w:val="20"/>
                <w:szCs w:val="20"/>
                <w:color w:val="auto"/>
              </w:rPr>
            </w:pPr>
            <w:r>
              <w:rPr>
                <w:rFonts w:ascii="Arial" w:cs="Arial" w:eastAsia="Arial" w:hAnsi="Arial"/>
                <w:sz w:val="11"/>
                <w:szCs w:val="11"/>
                <w:color w:val="auto"/>
              </w:rPr>
              <w:t>Chief Commercial Officer</w:t>
            </w:r>
          </w:p>
        </w:tc>
        <w:tc>
          <w:tcPr>
            <w:tcW w:w="580" w:type="dxa"/>
            <w:vAlign w:val="bottom"/>
            <w:gridSpan w:val="2"/>
            <w:shd w:val="clear" w:color="auto" w:fill="EBEBEC"/>
          </w:tcPr>
          <w:p>
            <w:pPr>
              <w:ind w:left="240"/>
              <w:spacing w:after="0" w:line="122" w:lineRule="exact"/>
              <w:rPr>
                <w:sz w:val="20"/>
                <w:szCs w:val="20"/>
                <w:color w:val="auto"/>
              </w:rPr>
            </w:pPr>
            <w:r>
              <w:rPr>
                <w:rFonts w:ascii="Arial" w:cs="Arial" w:eastAsia="Arial" w:hAnsi="Arial"/>
                <w:sz w:val="11"/>
                <w:szCs w:val="11"/>
                <w:color w:val="auto"/>
              </w:rPr>
              <w:t>2022</w:t>
            </w:r>
          </w:p>
        </w:tc>
        <w:tc>
          <w:tcPr>
            <w:tcW w:w="260" w:type="dxa"/>
            <w:vAlign w:val="bottom"/>
            <w:shd w:val="clear" w:color="auto" w:fill="EBEBEC"/>
          </w:tcPr>
          <w:p>
            <w:pPr>
              <w:jc w:val="right"/>
              <w:ind w:right="6"/>
              <w:spacing w:after="0" w:line="122" w:lineRule="exact"/>
              <w:rPr>
                <w:sz w:val="20"/>
                <w:szCs w:val="20"/>
                <w:color w:val="auto"/>
              </w:rPr>
            </w:pPr>
            <w:r>
              <w:rPr>
                <w:rFonts w:ascii="Arial" w:cs="Arial" w:eastAsia="Arial" w:hAnsi="Arial"/>
                <w:sz w:val="11"/>
                <w:szCs w:val="11"/>
                <w:color w:val="auto"/>
              </w:rPr>
              <w:t>$</w:t>
            </w:r>
          </w:p>
        </w:tc>
        <w:tc>
          <w:tcPr>
            <w:tcW w:w="720" w:type="dxa"/>
            <w:vAlign w:val="bottom"/>
            <w:shd w:val="clear" w:color="auto" w:fill="EBEBEC"/>
          </w:tcPr>
          <w:p>
            <w:pPr>
              <w:jc w:val="right"/>
              <w:ind w:right="86"/>
              <w:spacing w:after="0" w:line="122" w:lineRule="exact"/>
              <w:rPr>
                <w:sz w:val="20"/>
                <w:szCs w:val="20"/>
                <w:color w:val="auto"/>
              </w:rPr>
            </w:pPr>
            <w:r>
              <w:rPr>
                <w:rFonts w:ascii="Arial" w:cs="Arial" w:eastAsia="Arial" w:hAnsi="Arial"/>
                <w:sz w:val="11"/>
                <w:szCs w:val="11"/>
                <w:color w:val="auto"/>
              </w:rPr>
              <w:t>500,000</w:t>
            </w:r>
          </w:p>
        </w:tc>
        <w:tc>
          <w:tcPr>
            <w:tcW w:w="22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jc w:val="right"/>
              <w:ind w:right="86"/>
              <w:spacing w:after="0" w:line="122" w:lineRule="exact"/>
              <w:rPr>
                <w:sz w:val="20"/>
                <w:szCs w:val="20"/>
                <w:color w:val="auto"/>
              </w:rPr>
            </w:pPr>
            <w:r>
              <w:rPr>
                <w:rFonts w:ascii="Arial" w:cs="Arial" w:eastAsia="Arial" w:hAnsi="Arial"/>
                <w:sz w:val="11"/>
                <w:szCs w:val="11"/>
                <w:color w:val="auto"/>
              </w:rPr>
              <w:t>140,000</w:t>
            </w:r>
          </w:p>
        </w:tc>
        <w:tc>
          <w:tcPr>
            <w:tcW w:w="280" w:type="dxa"/>
            <w:vAlign w:val="bottom"/>
            <w:shd w:val="clear" w:color="auto" w:fill="EBEBEC"/>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EBEBEC"/>
          </w:tcPr>
          <w:p>
            <w:pPr>
              <w:jc w:val="right"/>
              <w:ind w:right="126"/>
              <w:spacing w:after="0" w:line="122" w:lineRule="exact"/>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jc w:val="right"/>
              <w:ind w:right="126"/>
              <w:spacing w:after="0" w:line="122" w:lineRule="exact"/>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80"/>
              <w:spacing w:after="0" w:line="122" w:lineRule="exact"/>
              <w:rPr>
                <w:sz w:val="20"/>
                <w:szCs w:val="20"/>
                <w:color w:val="auto"/>
              </w:rPr>
            </w:pPr>
            <w:r>
              <w:rPr>
                <w:rFonts w:ascii="Arial" w:cs="Arial" w:eastAsia="Arial" w:hAnsi="Arial"/>
                <w:sz w:val="11"/>
                <w:szCs w:val="11"/>
                <w:color w:val="auto"/>
                <w:w w:val="97"/>
              </w:rPr>
              <w:t>$</w:t>
            </w:r>
          </w:p>
        </w:tc>
        <w:tc>
          <w:tcPr>
            <w:tcW w:w="800" w:type="dxa"/>
            <w:vAlign w:val="bottom"/>
            <w:shd w:val="clear" w:color="auto" w:fill="EBEBEC"/>
          </w:tcPr>
          <w:p>
            <w:pPr>
              <w:jc w:val="right"/>
              <w:ind w:right="166"/>
              <w:spacing w:after="0" w:line="122" w:lineRule="exact"/>
              <w:rPr>
                <w:sz w:val="20"/>
                <w:szCs w:val="20"/>
                <w:color w:val="auto"/>
              </w:rPr>
            </w:pPr>
            <w:r>
              <w:rPr>
                <w:rFonts w:ascii="Arial" w:cs="Arial" w:eastAsia="Arial" w:hAnsi="Arial"/>
                <w:sz w:val="11"/>
                <w:szCs w:val="11"/>
                <w:color w:val="auto"/>
              </w:rPr>
              <w:t>483,200</w:t>
            </w:r>
          </w:p>
        </w:tc>
        <w:tc>
          <w:tcPr>
            <w:tcW w:w="20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880" w:type="dxa"/>
            <w:vAlign w:val="bottom"/>
            <w:shd w:val="clear" w:color="auto" w:fill="EBEBEC"/>
          </w:tcPr>
          <w:p>
            <w:pPr>
              <w:jc w:val="right"/>
              <w:ind w:right="126"/>
              <w:spacing w:after="0" w:line="122" w:lineRule="exact"/>
              <w:rPr>
                <w:sz w:val="20"/>
                <w:szCs w:val="20"/>
                <w:color w:val="auto"/>
              </w:rPr>
            </w:pPr>
            <w:r>
              <w:rPr>
                <w:rFonts w:ascii="Arial" w:cs="Arial" w:eastAsia="Arial" w:hAnsi="Arial"/>
                <w:sz w:val="11"/>
                <w:szCs w:val="11"/>
                <w:color w:val="auto"/>
              </w:rPr>
              <w:t>431</w:t>
            </w:r>
          </w:p>
        </w:tc>
        <w:tc>
          <w:tcPr>
            <w:tcW w:w="26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286"/>
              <w:spacing w:after="0" w:line="122" w:lineRule="exact"/>
              <w:rPr>
                <w:sz w:val="20"/>
                <w:szCs w:val="20"/>
                <w:color w:val="auto"/>
              </w:rPr>
            </w:pPr>
            <w:r>
              <w:rPr>
                <w:rFonts w:ascii="Arial" w:cs="Arial" w:eastAsia="Arial" w:hAnsi="Arial"/>
                <w:sz w:val="11"/>
                <w:szCs w:val="11"/>
                <w:color w:val="auto"/>
              </w:rPr>
              <w:t>218,688</w:t>
            </w:r>
          </w:p>
        </w:tc>
        <w:tc>
          <w:tcPr>
            <w:tcW w:w="100" w:type="dxa"/>
            <w:vAlign w:val="bottom"/>
            <w:shd w:val="clear" w:color="auto" w:fill="EBEBE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EBEBEC"/>
          </w:tcPr>
          <w:p>
            <w:pPr>
              <w:jc w:val="right"/>
              <w:ind w:right="66"/>
              <w:spacing w:after="0" w:line="122" w:lineRule="exact"/>
              <w:rPr>
                <w:sz w:val="20"/>
                <w:szCs w:val="20"/>
                <w:color w:val="auto"/>
              </w:rPr>
            </w:pPr>
            <w:r>
              <w:rPr>
                <w:rFonts w:ascii="Arial" w:cs="Arial" w:eastAsia="Arial" w:hAnsi="Arial"/>
                <w:sz w:val="11"/>
                <w:szCs w:val="11"/>
                <w:color w:val="auto"/>
                <w:w w:val="97"/>
              </w:rPr>
              <w:t>1,342,319</w:t>
            </w:r>
          </w:p>
        </w:tc>
        <w:tc>
          <w:tcPr>
            <w:tcW w:w="220" w:type="dxa"/>
            <w:vAlign w:val="bottom"/>
            <w:shd w:val="clear" w:color="auto" w:fill="EBEBE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0" w:type="dxa"/>
            <w:vAlign w:val="bottom"/>
            <w:shd w:val="clear" w:color="auto" w:fill="EBEBEC"/>
          </w:tcPr>
          <w:p>
            <w:pPr>
              <w:spacing w:after="0"/>
              <w:rPr>
                <w:sz w:val="10"/>
                <w:szCs w:val="10"/>
                <w:color w:val="auto"/>
              </w:rPr>
            </w:pPr>
          </w:p>
        </w:tc>
        <w:tc>
          <w:tcPr>
            <w:tcW w:w="2480" w:type="dxa"/>
            <w:vAlign w:val="bottom"/>
            <w:vMerge w:val="restart"/>
            <w:shd w:val="clear" w:color="auto" w:fill="EBEBEC"/>
          </w:tcPr>
          <w:p>
            <w:pPr>
              <w:ind w:left="20"/>
              <w:spacing w:after="0"/>
              <w:rPr>
                <w:sz w:val="20"/>
                <w:szCs w:val="20"/>
                <w:color w:val="auto"/>
              </w:rPr>
            </w:pPr>
            <w:r>
              <w:rPr>
                <w:rFonts w:ascii="Arial" w:cs="Arial" w:eastAsia="Arial" w:hAnsi="Arial"/>
                <w:sz w:val="11"/>
                <w:szCs w:val="11"/>
                <w:b w:val="1"/>
                <w:bCs w:val="1"/>
                <w:color w:val="auto"/>
              </w:rPr>
              <w:t>Chris D. Gould (8)</w:t>
            </w:r>
          </w:p>
        </w:tc>
        <w:tc>
          <w:tcPr>
            <w:tcW w:w="580" w:type="dxa"/>
            <w:vAlign w:val="bottom"/>
            <w:gridSpan w:val="2"/>
            <w:vMerge w:val="restart"/>
            <w:shd w:val="clear" w:color="auto" w:fill="EBEBEC"/>
          </w:tcPr>
          <w:p>
            <w:pPr>
              <w:ind w:left="240"/>
              <w:spacing w:after="0"/>
              <w:rPr>
                <w:sz w:val="20"/>
                <w:szCs w:val="20"/>
                <w:color w:val="auto"/>
              </w:rPr>
            </w:pPr>
            <w:r>
              <w:rPr>
                <w:rFonts w:ascii="Arial" w:cs="Arial" w:eastAsia="Arial" w:hAnsi="Arial"/>
                <w:sz w:val="11"/>
                <w:szCs w:val="11"/>
                <w:color w:val="auto"/>
              </w:rPr>
              <w:t>2024</w:t>
            </w:r>
          </w:p>
        </w:tc>
        <w:tc>
          <w:tcPr>
            <w:tcW w:w="260" w:type="dxa"/>
            <w:vAlign w:val="bottom"/>
            <w:vMerge w:val="restart"/>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EBEBEC"/>
          </w:tcPr>
          <w:p>
            <w:pPr>
              <w:jc w:val="right"/>
              <w:ind w:right="86"/>
              <w:spacing w:after="0"/>
              <w:rPr>
                <w:sz w:val="20"/>
                <w:szCs w:val="20"/>
                <w:color w:val="auto"/>
              </w:rPr>
            </w:pPr>
            <w:r>
              <w:rPr>
                <w:rFonts w:ascii="Arial" w:cs="Arial" w:eastAsia="Arial" w:hAnsi="Arial"/>
                <w:sz w:val="11"/>
                <w:szCs w:val="11"/>
                <w:color w:val="auto"/>
              </w:rPr>
              <w:t>612,115</w:t>
            </w:r>
          </w:p>
        </w:tc>
        <w:tc>
          <w:tcPr>
            <w:tcW w:w="22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EBEBEC"/>
          </w:tcPr>
          <w:p>
            <w:pPr>
              <w:jc w:val="right"/>
              <w:ind w:right="86"/>
              <w:spacing w:after="0"/>
              <w:rPr>
                <w:sz w:val="20"/>
                <w:szCs w:val="20"/>
                <w:color w:val="auto"/>
              </w:rPr>
            </w:pPr>
            <w:r>
              <w:rPr>
                <w:rFonts w:ascii="Arial" w:cs="Arial" w:eastAsia="Arial" w:hAnsi="Arial"/>
                <w:sz w:val="11"/>
                <w:szCs w:val="11"/>
                <w:color w:val="auto"/>
              </w:rPr>
              <w:t>618,900</w:t>
            </w:r>
          </w:p>
        </w:tc>
        <w:tc>
          <w:tcPr>
            <w:tcW w:w="280" w:type="dxa"/>
            <w:vAlign w:val="bottom"/>
            <w:vMerge w:val="restart"/>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00" w:type="dxa"/>
            <w:vAlign w:val="bottom"/>
            <w:vMerge w:val="restart"/>
            <w:shd w:val="clear" w:color="auto" w:fill="EBEBEC"/>
          </w:tcPr>
          <w:p>
            <w:pPr>
              <w:jc w:val="right"/>
              <w:ind w:right="126"/>
              <w:spacing w:after="0"/>
              <w:rPr>
                <w:sz w:val="20"/>
                <w:szCs w:val="20"/>
                <w:color w:val="auto"/>
              </w:rPr>
            </w:pPr>
            <w:r>
              <w:rPr>
                <w:rFonts w:ascii="Arial" w:cs="Arial" w:eastAsia="Arial" w:hAnsi="Arial"/>
                <w:sz w:val="11"/>
                <w:szCs w:val="11"/>
                <w:color w:val="auto"/>
              </w:rPr>
              <w:t>2,683,898</w:t>
            </w:r>
          </w:p>
        </w:tc>
        <w:tc>
          <w:tcPr>
            <w:tcW w:w="26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260" w:type="dxa"/>
            <w:vAlign w:val="bottom"/>
            <w:vMerge w:val="restart"/>
            <w:shd w:val="clear" w:color="auto" w:fill="EBEBEC"/>
          </w:tcPr>
          <w:p>
            <w:pPr>
              <w:ind w:left="180"/>
              <w:spacing w:after="0"/>
              <w:rPr>
                <w:sz w:val="20"/>
                <w:szCs w:val="20"/>
                <w:color w:val="auto"/>
              </w:rPr>
            </w:pPr>
            <w:r>
              <w:rPr>
                <w:rFonts w:ascii="Arial" w:cs="Arial" w:eastAsia="Arial" w:hAnsi="Arial"/>
                <w:sz w:val="11"/>
                <w:szCs w:val="11"/>
                <w:color w:val="auto"/>
                <w:w w:val="97"/>
              </w:rPr>
              <w:t>$</w:t>
            </w:r>
          </w:p>
        </w:tc>
        <w:tc>
          <w:tcPr>
            <w:tcW w:w="800" w:type="dxa"/>
            <w:vAlign w:val="bottom"/>
            <w:vMerge w:val="restart"/>
            <w:shd w:val="clear" w:color="auto" w:fill="EBEBEC"/>
          </w:tcPr>
          <w:p>
            <w:pPr>
              <w:jc w:val="right"/>
              <w:ind w:right="166"/>
              <w:spacing w:after="0"/>
              <w:rPr>
                <w:sz w:val="20"/>
                <w:szCs w:val="20"/>
                <w:color w:val="auto"/>
              </w:rPr>
            </w:pPr>
            <w:r>
              <w:rPr>
                <w:rFonts w:ascii="Arial" w:cs="Arial" w:eastAsia="Arial" w:hAnsi="Arial"/>
                <w:sz w:val="11"/>
                <w:szCs w:val="11"/>
                <w:color w:val="auto"/>
              </w:rPr>
              <w:t>647,078</w:t>
            </w:r>
          </w:p>
        </w:tc>
        <w:tc>
          <w:tcPr>
            <w:tcW w:w="20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80" w:type="dxa"/>
            <w:vAlign w:val="bottom"/>
            <w:vMerge w:val="restart"/>
            <w:shd w:val="clear" w:color="auto" w:fill="EBEBEC"/>
          </w:tcPr>
          <w:p>
            <w:pPr>
              <w:jc w:val="right"/>
              <w:ind w:right="126"/>
              <w:spacing w:after="0"/>
              <w:rPr>
                <w:sz w:val="20"/>
                <w:szCs w:val="20"/>
                <w:color w:val="auto"/>
              </w:rPr>
            </w:pPr>
            <w:r>
              <w:rPr>
                <w:rFonts w:ascii="Arial" w:cs="Arial" w:eastAsia="Arial" w:hAnsi="Arial"/>
                <w:sz w:val="11"/>
                <w:szCs w:val="11"/>
                <w:color w:val="auto"/>
              </w:rPr>
              <w:t>1,610</w:t>
            </w:r>
          </w:p>
        </w:tc>
        <w:tc>
          <w:tcPr>
            <w:tcW w:w="26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60" w:type="dxa"/>
            <w:vAlign w:val="bottom"/>
            <w:vMerge w:val="restart"/>
            <w:shd w:val="clear" w:color="auto" w:fill="EBEBEC"/>
          </w:tcPr>
          <w:p>
            <w:pPr>
              <w:jc w:val="right"/>
              <w:ind w:right="286"/>
              <w:spacing w:after="0"/>
              <w:rPr>
                <w:sz w:val="20"/>
                <w:szCs w:val="20"/>
                <w:color w:val="auto"/>
              </w:rPr>
            </w:pPr>
            <w:r>
              <w:rPr>
                <w:rFonts w:ascii="Arial" w:cs="Arial" w:eastAsia="Arial" w:hAnsi="Arial"/>
                <w:sz w:val="11"/>
                <w:szCs w:val="11"/>
                <w:color w:val="auto"/>
              </w:rPr>
              <w:t>136,102</w:t>
            </w:r>
          </w:p>
        </w:tc>
        <w:tc>
          <w:tcPr>
            <w:tcW w:w="100" w:type="dxa"/>
            <w:vAlign w:val="bottom"/>
            <w:shd w:val="clear" w:color="auto" w:fill="EBEBEC"/>
          </w:tcPr>
          <w:p>
            <w:pPr>
              <w:spacing w:after="0"/>
              <w:rPr>
                <w:sz w:val="10"/>
                <w:szCs w:val="10"/>
                <w:color w:val="auto"/>
              </w:rPr>
            </w:pPr>
          </w:p>
        </w:tc>
        <w:tc>
          <w:tcPr>
            <w:tcW w:w="620" w:type="dxa"/>
            <w:vAlign w:val="bottom"/>
            <w:shd w:val="clear" w:color="auto" w:fill="EBEBEC"/>
          </w:tcPr>
          <w:p>
            <w:pPr>
              <w:spacing w:after="0"/>
              <w:rPr>
                <w:sz w:val="10"/>
                <w:szCs w:val="10"/>
                <w:color w:val="auto"/>
              </w:rPr>
            </w:pPr>
          </w:p>
        </w:tc>
        <w:tc>
          <w:tcPr>
            <w:tcW w:w="220" w:type="dxa"/>
            <w:vAlign w:val="bottom"/>
            <w:shd w:val="clear" w:color="auto" w:fill="EBEBE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 w:type="dxa"/>
            <w:vAlign w:val="bottom"/>
            <w:shd w:val="clear" w:color="auto" w:fill="EBEBEC"/>
          </w:tcPr>
          <w:p>
            <w:pPr>
              <w:spacing w:after="0"/>
              <w:rPr>
                <w:sz w:val="10"/>
                <w:szCs w:val="10"/>
                <w:color w:val="auto"/>
              </w:rPr>
            </w:pPr>
          </w:p>
        </w:tc>
        <w:tc>
          <w:tcPr>
            <w:tcW w:w="2480" w:type="dxa"/>
            <w:vAlign w:val="bottom"/>
            <w:vMerge w:val="continue"/>
            <w:shd w:val="clear" w:color="auto" w:fill="EBEBEC"/>
          </w:tcPr>
          <w:p>
            <w:pPr>
              <w:spacing w:after="0"/>
              <w:rPr>
                <w:sz w:val="10"/>
                <w:szCs w:val="10"/>
                <w:color w:val="auto"/>
              </w:rPr>
            </w:pPr>
          </w:p>
        </w:tc>
        <w:tc>
          <w:tcPr>
            <w:tcW w:w="580" w:type="dxa"/>
            <w:vAlign w:val="bottom"/>
            <w:gridSpan w:val="2"/>
            <w:vMerge w:val="continue"/>
            <w:shd w:val="clear" w:color="auto" w:fill="EBEBEC"/>
          </w:tcPr>
          <w:p>
            <w:pPr>
              <w:spacing w:after="0"/>
              <w:rPr>
                <w:sz w:val="10"/>
                <w:szCs w:val="10"/>
                <w:color w:val="auto"/>
              </w:rPr>
            </w:pPr>
          </w:p>
        </w:tc>
        <w:tc>
          <w:tcPr>
            <w:tcW w:w="260" w:type="dxa"/>
            <w:vAlign w:val="bottom"/>
            <w:vMerge w:val="continue"/>
            <w:shd w:val="clear" w:color="auto" w:fill="EBEBEC"/>
          </w:tcPr>
          <w:p>
            <w:pPr>
              <w:spacing w:after="0"/>
              <w:rPr>
                <w:sz w:val="10"/>
                <w:szCs w:val="10"/>
                <w:color w:val="auto"/>
              </w:rPr>
            </w:pPr>
          </w:p>
        </w:tc>
        <w:tc>
          <w:tcPr>
            <w:tcW w:w="720" w:type="dxa"/>
            <w:vAlign w:val="bottom"/>
            <w:vMerge w:val="continue"/>
            <w:shd w:val="clear" w:color="auto" w:fill="EBEBEC"/>
          </w:tcPr>
          <w:p>
            <w:pPr>
              <w:spacing w:after="0"/>
              <w:rPr>
                <w:sz w:val="10"/>
                <w:szCs w:val="10"/>
                <w:color w:val="auto"/>
              </w:rPr>
            </w:pPr>
          </w:p>
        </w:tc>
        <w:tc>
          <w:tcPr>
            <w:tcW w:w="220" w:type="dxa"/>
            <w:vAlign w:val="bottom"/>
            <w:vMerge w:val="continue"/>
            <w:shd w:val="clear" w:color="auto" w:fill="EBEBEC"/>
          </w:tcPr>
          <w:p>
            <w:pPr>
              <w:spacing w:after="0"/>
              <w:rPr>
                <w:sz w:val="10"/>
                <w:szCs w:val="10"/>
                <w:color w:val="auto"/>
              </w:rPr>
            </w:pPr>
          </w:p>
        </w:tc>
        <w:tc>
          <w:tcPr>
            <w:tcW w:w="660" w:type="dxa"/>
            <w:vAlign w:val="bottom"/>
            <w:vMerge w:val="continue"/>
            <w:shd w:val="clear" w:color="auto" w:fill="EBEBEC"/>
          </w:tcPr>
          <w:p>
            <w:pPr>
              <w:spacing w:after="0"/>
              <w:rPr>
                <w:sz w:val="10"/>
                <w:szCs w:val="10"/>
                <w:color w:val="auto"/>
              </w:rPr>
            </w:pPr>
          </w:p>
        </w:tc>
        <w:tc>
          <w:tcPr>
            <w:tcW w:w="280" w:type="dxa"/>
            <w:vAlign w:val="bottom"/>
            <w:vMerge w:val="continue"/>
            <w:shd w:val="clear" w:color="auto" w:fill="EBEBEC"/>
          </w:tcPr>
          <w:p>
            <w:pPr>
              <w:spacing w:after="0"/>
              <w:rPr>
                <w:sz w:val="10"/>
                <w:szCs w:val="10"/>
                <w:color w:val="auto"/>
              </w:rPr>
            </w:pPr>
          </w:p>
        </w:tc>
        <w:tc>
          <w:tcPr>
            <w:tcW w:w="800" w:type="dxa"/>
            <w:vAlign w:val="bottom"/>
            <w:vMerge w:val="continue"/>
            <w:shd w:val="clear" w:color="auto" w:fill="EBEBEC"/>
          </w:tcPr>
          <w:p>
            <w:pPr>
              <w:spacing w:after="0"/>
              <w:rPr>
                <w:sz w:val="10"/>
                <w:szCs w:val="10"/>
                <w:color w:val="auto"/>
              </w:rPr>
            </w:pPr>
          </w:p>
        </w:tc>
        <w:tc>
          <w:tcPr>
            <w:tcW w:w="260" w:type="dxa"/>
            <w:vAlign w:val="bottom"/>
            <w:vMerge w:val="continue"/>
            <w:shd w:val="clear" w:color="auto" w:fill="EBEBEC"/>
          </w:tcPr>
          <w:p>
            <w:pPr>
              <w:spacing w:after="0"/>
              <w:rPr>
                <w:sz w:val="10"/>
                <w:szCs w:val="10"/>
                <w:color w:val="auto"/>
              </w:rPr>
            </w:pPr>
          </w:p>
        </w:tc>
        <w:tc>
          <w:tcPr>
            <w:tcW w:w="660" w:type="dxa"/>
            <w:vAlign w:val="bottom"/>
            <w:vMerge w:val="continue"/>
            <w:shd w:val="clear" w:color="auto" w:fill="EBEBEC"/>
          </w:tcPr>
          <w:p>
            <w:pPr>
              <w:spacing w:after="0"/>
              <w:rPr>
                <w:sz w:val="10"/>
                <w:szCs w:val="10"/>
                <w:color w:val="auto"/>
              </w:rPr>
            </w:pPr>
          </w:p>
        </w:tc>
        <w:tc>
          <w:tcPr>
            <w:tcW w:w="260" w:type="dxa"/>
            <w:vAlign w:val="bottom"/>
            <w:vMerge w:val="continue"/>
            <w:shd w:val="clear" w:color="auto" w:fill="EBEBEC"/>
          </w:tcPr>
          <w:p>
            <w:pPr>
              <w:spacing w:after="0"/>
              <w:rPr>
                <w:sz w:val="10"/>
                <w:szCs w:val="10"/>
                <w:color w:val="auto"/>
              </w:rPr>
            </w:pPr>
          </w:p>
        </w:tc>
        <w:tc>
          <w:tcPr>
            <w:tcW w:w="800" w:type="dxa"/>
            <w:vAlign w:val="bottom"/>
            <w:vMerge w:val="continue"/>
            <w:shd w:val="clear" w:color="auto" w:fill="EBEBEC"/>
          </w:tcPr>
          <w:p>
            <w:pPr>
              <w:spacing w:after="0"/>
              <w:rPr>
                <w:sz w:val="10"/>
                <w:szCs w:val="10"/>
                <w:color w:val="auto"/>
              </w:rPr>
            </w:pPr>
          </w:p>
        </w:tc>
        <w:tc>
          <w:tcPr>
            <w:tcW w:w="200" w:type="dxa"/>
            <w:vAlign w:val="bottom"/>
            <w:vMerge w:val="continue"/>
            <w:shd w:val="clear" w:color="auto" w:fill="EBEBEC"/>
          </w:tcPr>
          <w:p>
            <w:pPr>
              <w:spacing w:after="0"/>
              <w:rPr>
                <w:sz w:val="10"/>
                <w:szCs w:val="10"/>
                <w:color w:val="auto"/>
              </w:rPr>
            </w:pPr>
          </w:p>
        </w:tc>
        <w:tc>
          <w:tcPr>
            <w:tcW w:w="880" w:type="dxa"/>
            <w:vAlign w:val="bottom"/>
            <w:vMerge w:val="continue"/>
            <w:shd w:val="clear" w:color="auto" w:fill="EBEBEC"/>
          </w:tcPr>
          <w:p>
            <w:pPr>
              <w:spacing w:after="0"/>
              <w:rPr>
                <w:sz w:val="10"/>
                <w:szCs w:val="10"/>
                <w:color w:val="auto"/>
              </w:rPr>
            </w:pPr>
          </w:p>
        </w:tc>
        <w:tc>
          <w:tcPr>
            <w:tcW w:w="260" w:type="dxa"/>
            <w:vAlign w:val="bottom"/>
            <w:vMerge w:val="continue"/>
            <w:shd w:val="clear" w:color="auto" w:fill="EBEBEC"/>
          </w:tcPr>
          <w:p>
            <w:pPr>
              <w:spacing w:after="0"/>
              <w:rPr>
                <w:sz w:val="10"/>
                <w:szCs w:val="10"/>
                <w:color w:val="auto"/>
              </w:rPr>
            </w:pPr>
          </w:p>
        </w:tc>
        <w:tc>
          <w:tcPr>
            <w:tcW w:w="860" w:type="dxa"/>
            <w:vAlign w:val="bottom"/>
            <w:vMerge w:val="continue"/>
            <w:shd w:val="clear" w:color="auto" w:fill="EBEBEC"/>
          </w:tcPr>
          <w:p>
            <w:pPr>
              <w:spacing w:after="0"/>
              <w:rPr>
                <w:sz w:val="10"/>
                <w:szCs w:val="10"/>
                <w:color w:val="auto"/>
              </w:rPr>
            </w:pPr>
          </w:p>
        </w:tc>
        <w:tc>
          <w:tcPr>
            <w:tcW w:w="10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shd w:val="clear" w:color="auto" w:fill="EAEAEA"/>
          </w:tcPr>
          <w:p>
            <w:pPr>
              <w:jc w:val="right"/>
              <w:ind w:right="66"/>
              <w:spacing w:after="0" w:line="109" w:lineRule="exact"/>
              <w:rPr>
                <w:sz w:val="20"/>
                <w:szCs w:val="20"/>
                <w:color w:val="auto"/>
              </w:rPr>
            </w:pPr>
            <w:r>
              <w:rPr>
                <w:rFonts w:ascii="Arial" w:cs="Arial" w:eastAsia="Arial" w:hAnsi="Arial"/>
                <w:sz w:val="11"/>
                <w:szCs w:val="11"/>
                <w:color w:val="auto"/>
                <w:w w:val="97"/>
              </w:rPr>
              <w:t>4,699,703</w:t>
            </w:r>
          </w:p>
        </w:tc>
        <w:tc>
          <w:tcPr>
            <w:tcW w:w="220" w:type="dxa"/>
            <w:vAlign w:val="bottom"/>
            <w:shd w:val="clear" w:color="auto" w:fill="EBEBE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 w:type="dxa"/>
            <w:vAlign w:val="bottom"/>
            <w:shd w:val="clear" w:color="auto" w:fill="EBEBEC"/>
          </w:tcPr>
          <w:p>
            <w:pPr>
              <w:spacing w:after="0"/>
              <w:rPr>
                <w:sz w:val="9"/>
                <w:szCs w:val="9"/>
                <w:color w:val="auto"/>
              </w:rPr>
            </w:pPr>
          </w:p>
        </w:tc>
        <w:tc>
          <w:tcPr>
            <w:tcW w:w="2480" w:type="dxa"/>
            <w:vAlign w:val="bottom"/>
            <w:shd w:val="clear" w:color="auto" w:fill="EBEBEC"/>
          </w:tcPr>
          <w:p>
            <w:pPr>
              <w:ind w:left="20"/>
              <w:spacing w:after="0" w:line="109" w:lineRule="exact"/>
              <w:rPr>
                <w:sz w:val="20"/>
                <w:szCs w:val="20"/>
                <w:color w:val="auto"/>
              </w:rPr>
            </w:pPr>
            <w:r>
              <w:rPr>
                <w:rFonts w:ascii="Arial" w:cs="Arial" w:eastAsia="Arial" w:hAnsi="Arial"/>
                <w:sz w:val="11"/>
                <w:szCs w:val="11"/>
                <w:color w:val="auto"/>
              </w:rPr>
              <w:t>Executive Vice President and</w:t>
            </w:r>
          </w:p>
        </w:tc>
        <w:tc>
          <w:tcPr>
            <w:tcW w:w="580" w:type="dxa"/>
            <w:vAlign w:val="bottom"/>
            <w:gridSpan w:val="2"/>
            <w:shd w:val="clear" w:color="auto" w:fill="EBEBEC"/>
          </w:tcPr>
          <w:p>
            <w:pPr>
              <w:ind w:left="240"/>
              <w:spacing w:after="0" w:line="109" w:lineRule="exact"/>
              <w:rPr>
                <w:sz w:val="20"/>
                <w:szCs w:val="20"/>
                <w:color w:val="auto"/>
              </w:rPr>
            </w:pPr>
            <w:r>
              <w:rPr>
                <w:rFonts w:ascii="Arial" w:cs="Arial" w:eastAsia="Arial" w:hAnsi="Arial"/>
                <w:sz w:val="11"/>
                <w:szCs w:val="11"/>
                <w:color w:val="auto"/>
              </w:rPr>
              <w:t>2023</w:t>
            </w:r>
          </w:p>
        </w:tc>
        <w:tc>
          <w:tcPr>
            <w:tcW w:w="260" w:type="dxa"/>
            <w:vAlign w:val="bottom"/>
            <w:shd w:val="clear" w:color="auto" w:fill="EBEBEC"/>
          </w:tcPr>
          <w:p>
            <w:pPr>
              <w:jc w:val="right"/>
              <w:ind w:right="6"/>
              <w:spacing w:after="0" w:line="109" w:lineRule="exact"/>
              <w:rPr>
                <w:sz w:val="20"/>
                <w:szCs w:val="20"/>
                <w:color w:val="auto"/>
              </w:rPr>
            </w:pPr>
            <w:r>
              <w:rPr>
                <w:rFonts w:ascii="Arial" w:cs="Arial" w:eastAsia="Arial" w:hAnsi="Arial"/>
                <w:sz w:val="11"/>
                <w:szCs w:val="11"/>
                <w:color w:val="auto"/>
              </w:rPr>
              <w:t>$</w:t>
            </w:r>
          </w:p>
        </w:tc>
        <w:tc>
          <w:tcPr>
            <w:tcW w:w="720" w:type="dxa"/>
            <w:vAlign w:val="bottom"/>
            <w:shd w:val="clear" w:color="auto" w:fill="EBEBEC"/>
          </w:tcPr>
          <w:p>
            <w:pPr>
              <w:jc w:val="right"/>
              <w:ind w:right="86"/>
              <w:spacing w:after="0" w:line="109" w:lineRule="exact"/>
              <w:rPr>
                <w:sz w:val="20"/>
                <w:szCs w:val="20"/>
                <w:color w:val="auto"/>
              </w:rPr>
            </w:pPr>
            <w:r>
              <w:rPr>
                <w:rFonts w:ascii="Arial" w:cs="Arial" w:eastAsia="Arial" w:hAnsi="Arial"/>
                <w:sz w:val="11"/>
                <w:szCs w:val="11"/>
                <w:color w:val="auto"/>
              </w:rPr>
              <w:t>553,381</w:t>
            </w:r>
          </w:p>
        </w:tc>
        <w:tc>
          <w:tcPr>
            <w:tcW w:w="220" w:type="dxa"/>
            <w:vAlign w:val="bottom"/>
            <w:shd w:val="clear" w:color="auto" w:fill="EBEBEC"/>
          </w:tcPr>
          <w:p>
            <w:pPr>
              <w:jc w:val="right"/>
              <w:spacing w:after="0" w:line="109" w:lineRule="exact"/>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jc w:val="right"/>
              <w:ind w:right="86"/>
              <w:spacing w:after="0" w:line="109" w:lineRule="exact"/>
              <w:rPr>
                <w:sz w:val="20"/>
                <w:szCs w:val="20"/>
                <w:color w:val="auto"/>
              </w:rPr>
            </w:pPr>
            <w:r>
              <w:rPr>
                <w:rFonts w:ascii="Arial" w:cs="Arial" w:eastAsia="Arial" w:hAnsi="Arial"/>
                <w:sz w:val="11"/>
                <w:szCs w:val="11"/>
                <w:color w:val="auto"/>
              </w:rPr>
              <w:t>307,289</w:t>
            </w:r>
          </w:p>
        </w:tc>
        <w:tc>
          <w:tcPr>
            <w:tcW w:w="280" w:type="dxa"/>
            <w:vAlign w:val="bottom"/>
            <w:shd w:val="clear" w:color="auto" w:fill="EBEBEC"/>
          </w:tcPr>
          <w:p>
            <w:pPr>
              <w:jc w:val="right"/>
              <w:ind w:right="46"/>
              <w:spacing w:after="0" w:line="109" w:lineRule="exact"/>
              <w:rPr>
                <w:sz w:val="20"/>
                <w:szCs w:val="20"/>
                <w:color w:val="auto"/>
              </w:rPr>
            </w:pPr>
            <w:r>
              <w:rPr>
                <w:rFonts w:ascii="Arial" w:cs="Arial" w:eastAsia="Arial" w:hAnsi="Arial"/>
                <w:sz w:val="11"/>
                <w:szCs w:val="11"/>
                <w:color w:val="auto"/>
              </w:rPr>
              <w:t>$</w:t>
            </w:r>
          </w:p>
        </w:tc>
        <w:tc>
          <w:tcPr>
            <w:tcW w:w="800" w:type="dxa"/>
            <w:vAlign w:val="bottom"/>
            <w:shd w:val="clear" w:color="auto" w:fill="EBEBEC"/>
          </w:tcPr>
          <w:p>
            <w:pPr>
              <w:jc w:val="right"/>
              <w:ind w:right="126"/>
              <w:spacing w:after="0" w:line="109" w:lineRule="exact"/>
              <w:rPr>
                <w:sz w:val="20"/>
                <w:szCs w:val="20"/>
                <w:color w:val="auto"/>
              </w:rPr>
            </w:pPr>
            <w:r>
              <w:rPr>
                <w:rFonts w:ascii="Arial" w:cs="Arial" w:eastAsia="Arial" w:hAnsi="Arial"/>
                <w:sz w:val="11"/>
                <w:szCs w:val="11"/>
                <w:color w:val="auto"/>
              </w:rPr>
              <w:t>3,703,777</w:t>
            </w:r>
          </w:p>
        </w:tc>
        <w:tc>
          <w:tcPr>
            <w:tcW w:w="260" w:type="dxa"/>
            <w:vAlign w:val="bottom"/>
            <w:shd w:val="clear" w:color="auto" w:fill="EBEBEC"/>
          </w:tcPr>
          <w:p>
            <w:pPr>
              <w:jc w:val="right"/>
              <w:spacing w:after="0" w:line="109" w:lineRule="exact"/>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jc w:val="right"/>
              <w:ind w:right="126"/>
              <w:spacing w:after="0" w:line="109" w:lineRule="exact"/>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80"/>
              <w:spacing w:after="0" w:line="109" w:lineRule="exact"/>
              <w:rPr>
                <w:sz w:val="20"/>
                <w:szCs w:val="20"/>
                <w:color w:val="auto"/>
              </w:rPr>
            </w:pPr>
            <w:r>
              <w:rPr>
                <w:rFonts w:ascii="Arial" w:cs="Arial" w:eastAsia="Arial" w:hAnsi="Arial"/>
                <w:sz w:val="11"/>
                <w:szCs w:val="11"/>
                <w:color w:val="auto"/>
                <w:w w:val="97"/>
              </w:rPr>
              <w:t>$</w:t>
            </w:r>
          </w:p>
        </w:tc>
        <w:tc>
          <w:tcPr>
            <w:tcW w:w="800" w:type="dxa"/>
            <w:vAlign w:val="bottom"/>
            <w:shd w:val="clear" w:color="auto" w:fill="EBEBEC"/>
          </w:tcPr>
          <w:p>
            <w:pPr>
              <w:jc w:val="right"/>
              <w:ind w:right="166"/>
              <w:spacing w:after="0" w:line="109" w:lineRule="exact"/>
              <w:rPr>
                <w:sz w:val="20"/>
                <w:szCs w:val="20"/>
                <w:color w:val="auto"/>
              </w:rPr>
            </w:pPr>
            <w:r>
              <w:rPr>
                <w:rFonts w:ascii="Arial" w:cs="Arial" w:eastAsia="Arial" w:hAnsi="Arial"/>
                <w:sz w:val="11"/>
                <w:szCs w:val="11"/>
                <w:color w:val="auto"/>
              </w:rPr>
              <w:t>770,776</w:t>
            </w:r>
          </w:p>
        </w:tc>
        <w:tc>
          <w:tcPr>
            <w:tcW w:w="200" w:type="dxa"/>
            <w:vAlign w:val="bottom"/>
            <w:shd w:val="clear" w:color="auto" w:fill="EBEBEC"/>
          </w:tcPr>
          <w:p>
            <w:pPr>
              <w:jc w:val="right"/>
              <w:spacing w:after="0" w:line="109" w:lineRule="exact"/>
              <w:rPr>
                <w:sz w:val="20"/>
                <w:szCs w:val="20"/>
                <w:color w:val="auto"/>
              </w:rPr>
            </w:pPr>
            <w:r>
              <w:rPr>
                <w:rFonts w:ascii="Arial" w:cs="Arial" w:eastAsia="Arial" w:hAnsi="Arial"/>
                <w:sz w:val="11"/>
                <w:szCs w:val="11"/>
                <w:color w:val="auto"/>
              </w:rPr>
              <w:t>$</w:t>
            </w:r>
          </w:p>
        </w:tc>
        <w:tc>
          <w:tcPr>
            <w:tcW w:w="880" w:type="dxa"/>
            <w:vAlign w:val="bottom"/>
            <w:shd w:val="clear" w:color="auto" w:fill="EBEBEC"/>
          </w:tcPr>
          <w:p>
            <w:pPr>
              <w:jc w:val="right"/>
              <w:ind w:right="126"/>
              <w:spacing w:after="0" w:line="109" w:lineRule="exact"/>
              <w:rPr>
                <w:sz w:val="20"/>
                <w:szCs w:val="20"/>
                <w:color w:val="auto"/>
              </w:rPr>
            </w:pPr>
            <w:r>
              <w:rPr>
                <w:rFonts w:ascii="Arial" w:cs="Arial" w:eastAsia="Arial" w:hAnsi="Arial"/>
                <w:sz w:val="11"/>
                <w:szCs w:val="11"/>
                <w:color w:val="auto"/>
              </w:rPr>
              <w:t>954</w:t>
            </w:r>
          </w:p>
        </w:tc>
        <w:tc>
          <w:tcPr>
            <w:tcW w:w="260" w:type="dxa"/>
            <w:vAlign w:val="bottom"/>
            <w:shd w:val="clear" w:color="auto" w:fill="EBEBEC"/>
          </w:tcPr>
          <w:p>
            <w:pPr>
              <w:jc w:val="right"/>
              <w:spacing w:after="0" w:line="109" w:lineRule="exact"/>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286"/>
              <w:spacing w:after="0" w:line="109" w:lineRule="exact"/>
              <w:rPr>
                <w:sz w:val="20"/>
                <w:szCs w:val="20"/>
                <w:color w:val="auto"/>
              </w:rPr>
            </w:pPr>
            <w:r>
              <w:rPr>
                <w:rFonts w:ascii="Arial" w:cs="Arial" w:eastAsia="Arial" w:hAnsi="Arial"/>
                <w:sz w:val="11"/>
                <w:szCs w:val="11"/>
                <w:color w:val="auto"/>
              </w:rPr>
              <w:t>157,113</w:t>
            </w:r>
          </w:p>
        </w:tc>
        <w:tc>
          <w:tcPr>
            <w:tcW w:w="100" w:type="dxa"/>
            <w:vAlign w:val="bottom"/>
            <w:shd w:val="clear" w:color="auto" w:fill="EBEBEC"/>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shd w:val="clear" w:color="auto" w:fill="EBEBEC"/>
          </w:tcPr>
          <w:p>
            <w:pPr>
              <w:jc w:val="right"/>
              <w:ind w:right="66"/>
              <w:spacing w:after="0" w:line="109" w:lineRule="exact"/>
              <w:rPr>
                <w:sz w:val="20"/>
                <w:szCs w:val="20"/>
                <w:color w:val="auto"/>
              </w:rPr>
            </w:pPr>
            <w:r>
              <w:rPr>
                <w:rFonts w:ascii="Arial" w:cs="Arial" w:eastAsia="Arial" w:hAnsi="Arial"/>
                <w:sz w:val="11"/>
                <w:szCs w:val="11"/>
                <w:color w:val="auto"/>
                <w:w w:val="97"/>
              </w:rPr>
              <w:t>5,493,290</w:t>
            </w:r>
          </w:p>
        </w:tc>
        <w:tc>
          <w:tcPr>
            <w:tcW w:w="220" w:type="dxa"/>
            <w:vAlign w:val="bottom"/>
            <w:shd w:val="clear" w:color="auto" w:fill="EBEBE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0" w:type="dxa"/>
            <w:vAlign w:val="bottom"/>
            <w:shd w:val="clear" w:color="auto" w:fill="EBEBEC"/>
          </w:tcPr>
          <w:p>
            <w:pPr>
              <w:spacing w:after="0"/>
              <w:rPr>
                <w:sz w:val="11"/>
                <w:szCs w:val="11"/>
                <w:color w:val="auto"/>
              </w:rPr>
            </w:pPr>
          </w:p>
        </w:tc>
        <w:tc>
          <w:tcPr>
            <w:tcW w:w="2480" w:type="dxa"/>
            <w:vAlign w:val="bottom"/>
            <w:shd w:val="clear" w:color="auto" w:fill="EBEBEC"/>
          </w:tcPr>
          <w:p>
            <w:pPr>
              <w:ind w:left="20"/>
              <w:spacing w:after="0"/>
              <w:rPr>
                <w:sz w:val="20"/>
                <w:szCs w:val="20"/>
                <w:color w:val="auto"/>
              </w:rPr>
            </w:pPr>
            <w:r>
              <w:rPr>
                <w:rFonts w:ascii="Arial" w:cs="Arial" w:eastAsia="Arial" w:hAnsi="Arial"/>
                <w:sz w:val="11"/>
                <w:szCs w:val="11"/>
                <w:color w:val="auto"/>
              </w:rPr>
              <w:t>Chief Sustainability Officer</w:t>
            </w:r>
          </w:p>
        </w:tc>
        <w:tc>
          <w:tcPr>
            <w:tcW w:w="120" w:type="dxa"/>
            <w:vAlign w:val="bottom"/>
            <w:shd w:val="clear" w:color="auto" w:fill="EBEBEC"/>
          </w:tcPr>
          <w:p>
            <w:pPr>
              <w:spacing w:after="0"/>
              <w:rPr>
                <w:sz w:val="11"/>
                <w:szCs w:val="11"/>
                <w:color w:val="auto"/>
              </w:rPr>
            </w:pPr>
          </w:p>
        </w:tc>
        <w:tc>
          <w:tcPr>
            <w:tcW w:w="460" w:type="dxa"/>
            <w:vAlign w:val="bottom"/>
            <w:shd w:val="clear" w:color="auto" w:fill="EBEBEC"/>
          </w:tcPr>
          <w:p>
            <w:pPr>
              <w:spacing w:after="0"/>
              <w:rPr>
                <w:sz w:val="11"/>
                <w:szCs w:val="11"/>
                <w:color w:val="auto"/>
              </w:rPr>
            </w:pPr>
          </w:p>
        </w:tc>
        <w:tc>
          <w:tcPr>
            <w:tcW w:w="260" w:type="dxa"/>
            <w:vAlign w:val="bottom"/>
            <w:shd w:val="clear" w:color="auto" w:fill="EBEBEC"/>
          </w:tcPr>
          <w:p>
            <w:pPr>
              <w:spacing w:after="0"/>
              <w:rPr>
                <w:sz w:val="11"/>
                <w:szCs w:val="11"/>
                <w:color w:val="auto"/>
              </w:rPr>
            </w:pPr>
          </w:p>
        </w:tc>
        <w:tc>
          <w:tcPr>
            <w:tcW w:w="720" w:type="dxa"/>
            <w:vAlign w:val="bottom"/>
            <w:shd w:val="clear" w:color="auto" w:fill="EBEBEC"/>
          </w:tcPr>
          <w:p>
            <w:pPr>
              <w:spacing w:after="0"/>
              <w:rPr>
                <w:sz w:val="11"/>
                <w:szCs w:val="11"/>
                <w:color w:val="auto"/>
              </w:rPr>
            </w:pPr>
          </w:p>
        </w:tc>
        <w:tc>
          <w:tcPr>
            <w:tcW w:w="220" w:type="dxa"/>
            <w:vAlign w:val="bottom"/>
            <w:shd w:val="clear" w:color="auto" w:fill="EBEBEC"/>
          </w:tcPr>
          <w:p>
            <w:pPr>
              <w:spacing w:after="0"/>
              <w:rPr>
                <w:sz w:val="11"/>
                <w:szCs w:val="11"/>
                <w:color w:val="auto"/>
              </w:rPr>
            </w:pPr>
          </w:p>
        </w:tc>
        <w:tc>
          <w:tcPr>
            <w:tcW w:w="660" w:type="dxa"/>
            <w:vAlign w:val="bottom"/>
            <w:shd w:val="clear" w:color="auto" w:fill="EBEBEC"/>
          </w:tcPr>
          <w:p>
            <w:pPr>
              <w:spacing w:after="0"/>
              <w:rPr>
                <w:sz w:val="11"/>
                <w:szCs w:val="11"/>
                <w:color w:val="auto"/>
              </w:rPr>
            </w:pPr>
          </w:p>
        </w:tc>
        <w:tc>
          <w:tcPr>
            <w:tcW w:w="280" w:type="dxa"/>
            <w:vAlign w:val="bottom"/>
            <w:shd w:val="clear" w:color="auto" w:fill="EBEBEC"/>
          </w:tcPr>
          <w:p>
            <w:pPr>
              <w:spacing w:after="0"/>
              <w:rPr>
                <w:sz w:val="11"/>
                <w:szCs w:val="11"/>
                <w:color w:val="auto"/>
              </w:rPr>
            </w:pPr>
          </w:p>
        </w:tc>
        <w:tc>
          <w:tcPr>
            <w:tcW w:w="800" w:type="dxa"/>
            <w:vAlign w:val="bottom"/>
            <w:shd w:val="clear" w:color="auto" w:fill="EBEBEC"/>
          </w:tcPr>
          <w:p>
            <w:pPr>
              <w:spacing w:after="0"/>
              <w:rPr>
                <w:sz w:val="11"/>
                <w:szCs w:val="11"/>
                <w:color w:val="auto"/>
              </w:rPr>
            </w:pPr>
          </w:p>
        </w:tc>
        <w:tc>
          <w:tcPr>
            <w:tcW w:w="260" w:type="dxa"/>
            <w:vAlign w:val="bottom"/>
            <w:shd w:val="clear" w:color="auto" w:fill="EBEBEC"/>
          </w:tcPr>
          <w:p>
            <w:pPr>
              <w:spacing w:after="0"/>
              <w:rPr>
                <w:sz w:val="11"/>
                <w:szCs w:val="11"/>
                <w:color w:val="auto"/>
              </w:rPr>
            </w:pPr>
          </w:p>
        </w:tc>
        <w:tc>
          <w:tcPr>
            <w:tcW w:w="660" w:type="dxa"/>
            <w:vAlign w:val="bottom"/>
            <w:shd w:val="clear" w:color="auto" w:fill="EBEBEC"/>
          </w:tcPr>
          <w:p>
            <w:pPr>
              <w:spacing w:after="0"/>
              <w:rPr>
                <w:sz w:val="11"/>
                <w:szCs w:val="11"/>
                <w:color w:val="auto"/>
              </w:rPr>
            </w:pPr>
          </w:p>
        </w:tc>
        <w:tc>
          <w:tcPr>
            <w:tcW w:w="260" w:type="dxa"/>
            <w:vAlign w:val="bottom"/>
            <w:shd w:val="clear" w:color="auto" w:fill="EBEBEC"/>
          </w:tcPr>
          <w:p>
            <w:pPr>
              <w:spacing w:after="0"/>
              <w:rPr>
                <w:sz w:val="11"/>
                <w:szCs w:val="11"/>
                <w:color w:val="auto"/>
              </w:rPr>
            </w:pPr>
          </w:p>
        </w:tc>
        <w:tc>
          <w:tcPr>
            <w:tcW w:w="800" w:type="dxa"/>
            <w:vAlign w:val="bottom"/>
            <w:shd w:val="clear" w:color="auto" w:fill="EBEBEC"/>
          </w:tcPr>
          <w:p>
            <w:pPr>
              <w:spacing w:after="0"/>
              <w:rPr>
                <w:sz w:val="11"/>
                <w:szCs w:val="11"/>
                <w:color w:val="auto"/>
              </w:rPr>
            </w:pPr>
          </w:p>
        </w:tc>
        <w:tc>
          <w:tcPr>
            <w:tcW w:w="200" w:type="dxa"/>
            <w:vAlign w:val="bottom"/>
            <w:shd w:val="clear" w:color="auto" w:fill="EBEBEC"/>
          </w:tcPr>
          <w:p>
            <w:pPr>
              <w:spacing w:after="0"/>
              <w:rPr>
                <w:sz w:val="11"/>
                <w:szCs w:val="11"/>
                <w:color w:val="auto"/>
              </w:rPr>
            </w:pPr>
          </w:p>
        </w:tc>
        <w:tc>
          <w:tcPr>
            <w:tcW w:w="880" w:type="dxa"/>
            <w:vAlign w:val="bottom"/>
            <w:shd w:val="clear" w:color="auto" w:fill="EBEBEC"/>
          </w:tcPr>
          <w:p>
            <w:pPr>
              <w:spacing w:after="0"/>
              <w:rPr>
                <w:sz w:val="11"/>
                <w:szCs w:val="11"/>
                <w:color w:val="auto"/>
              </w:rPr>
            </w:pPr>
          </w:p>
        </w:tc>
        <w:tc>
          <w:tcPr>
            <w:tcW w:w="260" w:type="dxa"/>
            <w:vAlign w:val="bottom"/>
            <w:shd w:val="clear" w:color="auto" w:fill="EBEBEC"/>
          </w:tcPr>
          <w:p>
            <w:pPr>
              <w:spacing w:after="0"/>
              <w:rPr>
                <w:sz w:val="11"/>
                <w:szCs w:val="11"/>
                <w:color w:val="auto"/>
              </w:rPr>
            </w:pPr>
          </w:p>
        </w:tc>
        <w:tc>
          <w:tcPr>
            <w:tcW w:w="860" w:type="dxa"/>
            <w:vAlign w:val="bottom"/>
            <w:shd w:val="clear" w:color="auto" w:fill="EBEBEC"/>
          </w:tcPr>
          <w:p>
            <w:pPr>
              <w:spacing w:after="0"/>
              <w:rPr>
                <w:sz w:val="11"/>
                <w:szCs w:val="11"/>
                <w:color w:val="auto"/>
              </w:rPr>
            </w:pPr>
          </w:p>
        </w:tc>
        <w:tc>
          <w:tcPr>
            <w:tcW w:w="100" w:type="dxa"/>
            <w:vAlign w:val="bottom"/>
            <w:shd w:val="clear" w:color="auto" w:fill="EBEBEC"/>
          </w:tcPr>
          <w:p>
            <w:pPr>
              <w:spacing w:after="0"/>
              <w:rPr>
                <w:sz w:val="11"/>
                <w:szCs w:val="11"/>
                <w:color w:val="auto"/>
              </w:rPr>
            </w:pPr>
          </w:p>
        </w:tc>
        <w:tc>
          <w:tcPr>
            <w:tcW w:w="620" w:type="dxa"/>
            <w:vAlign w:val="bottom"/>
            <w:shd w:val="clear" w:color="auto" w:fill="EBEBEC"/>
          </w:tcPr>
          <w:p>
            <w:pPr>
              <w:spacing w:after="0"/>
              <w:rPr>
                <w:sz w:val="11"/>
                <w:szCs w:val="11"/>
                <w:color w:val="auto"/>
              </w:rPr>
            </w:pPr>
          </w:p>
        </w:tc>
        <w:tc>
          <w:tcPr>
            <w:tcW w:w="220" w:type="dxa"/>
            <w:vAlign w:val="bottom"/>
            <w:shd w:val="clear" w:color="auto" w:fill="EBEBE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0" w:type="dxa"/>
            <w:vAlign w:val="bottom"/>
            <w:shd w:val="clear" w:color="auto" w:fill="EBEBEC"/>
          </w:tcPr>
          <w:p>
            <w:pPr>
              <w:spacing w:after="0"/>
              <w:rPr>
                <w:sz w:val="10"/>
                <w:szCs w:val="10"/>
                <w:color w:val="auto"/>
              </w:rPr>
            </w:pPr>
          </w:p>
        </w:tc>
        <w:tc>
          <w:tcPr>
            <w:tcW w:w="2480" w:type="dxa"/>
            <w:vAlign w:val="bottom"/>
            <w:vMerge w:val="restart"/>
            <w:shd w:val="clear" w:color="auto" w:fill="EBEBEC"/>
          </w:tcPr>
          <w:p>
            <w:pPr>
              <w:ind w:left="20"/>
              <w:spacing w:after="0"/>
              <w:rPr>
                <w:sz w:val="20"/>
                <w:szCs w:val="20"/>
                <w:color w:val="auto"/>
              </w:rPr>
            </w:pPr>
            <w:r>
              <w:rPr>
                <w:rFonts w:ascii="Arial" w:cs="Arial" w:eastAsia="Arial" w:hAnsi="Arial"/>
                <w:sz w:val="11"/>
                <w:szCs w:val="11"/>
                <w:b w:val="1"/>
                <w:bCs w:val="1"/>
                <w:color w:val="auto"/>
              </w:rPr>
              <w:t>Michael L. Preston</w:t>
            </w:r>
          </w:p>
        </w:tc>
        <w:tc>
          <w:tcPr>
            <w:tcW w:w="120" w:type="dxa"/>
            <w:vAlign w:val="bottom"/>
            <w:shd w:val="clear" w:color="auto" w:fill="EBEBEC"/>
          </w:tcPr>
          <w:p>
            <w:pPr>
              <w:spacing w:after="0"/>
              <w:rPr>
                <w:sz w:val="10"/>
                <w:szCs w:val="10"/>
                <w:color w:val="auto"/>
              </w:rPr>
            </w:pPr>
          </w:p>
        </w:tc>
        <w:tc>
          <w:tcPr>
            <w:tcW w:w="460" w:type="dxa"/>
            <w:vAlign w:val="bottom"/>
            <w:vMerge w:val="restart"/>
            <w:shd w:val="clear" w:color="auto" w:fill="EBEBEC"/>
          </w:tcPr>
          <w:p>
            <w:pPr>
              <w:ind w:left="120"/>
              <w:spacing w:after="0"/>
              <w:rPr>
                <w:sz w:val="20"/>
                <w:szCs w:val="20"/>
                <w:color w:val="auto"/>
              </w:rPr>
            </w:pPr>
            <w:r>
              <w:rPr>
                <w:rFonts w:ascii="Arial" w:cs="Arial" w:eastAsia="Arial" w:hAnsi="Arial"/>
                <w:sz w:val="11"/>
                <w:szCs w:val="11"/>
                <w:color w:val="auto"/>
              </w:rPr>
              <w:t>2024</w:t>
            </w:r>
          </w:p>
        </w:tc>
        <w:tc>
          <w:tcPr>
            <w:tcW w:w="260" w:type="dxa"/>
            <w:vAlign w:val="bottom"/>
            <w:vMerge w:val="restart"/>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EBEBEC"/>
          </w:tcPr>
          <w:p>
            <w:pPr>
              <w:jc w:val="right"/>
              <w:ind w:right="86"/>
              <w:spacing w:after="0"/>
              <w:rPr>
                <w:sz w:val="20"/>
                <w:szCs w:val="20"/>
                <w:color w:val="auto"/>
              </w:rPr>
            </w:pPr>
            <w:r>
              <w:rPr>
                <w:rFonts w:ascii="Arial" w:cs="Arial" w:eastAsia="Arial" w:hAnsi="Arial"/>
                <w:sz w:val="11"/>
                <w:szCs w:val="11"/>
                <w:color w:val="auto"/>
              </w:rPr>
              <w:t>622,115</w:t>
            </w:r>
          </w:p>
        </w:tc>
        <w:tc>
          <w:tcPr>
            <w:tcW w:w="22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EBEBEC"/>
          </w:tcPr>
          <w:p>
            <w:pPr>
              <w:jc w:val="right"/>
              <w:ind w:right="86"/>
              <w:spacing w:after="0"/>
              <w:rPr>
                <w:sz w:val="20"/>
                <w:szCs w:val="20"/>
                <w:color w:val="auto"/>
              </w:rPr>
            </w:pPr>
            <w:r>
              <w:rPr>
                <w:rFonts w:ascii="Arial" w:cs="Arial" w:eastAsia="Arial" w:hAnsi="Arial"/>
                <w:sz w:val="11"/>
                <w:szCs w:val="11"/>
                <w:color w:val="auto"/>
              </w:rPr>
              <w:t>648,000</w:t>
            </w:r>
          </w:p>
        </w:tc>
        <w:tc>
          <w:tcPr>
            <w:tcW w:w="280" w:type="dxa"/>
            <w:vAlign w:val="bottom"/>
            <w:vMerge w:val="restart"/>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00" w:type="dxa"/>
            <w:vAlign w:val="bottom"/>
            <w:vMerge w:val="restart"/>
            <w:shd w:val="clear" w:color="auto" w:fill="EBEBEC"/>
          </w:tcPr>
          <w:p>
            <w:pPr>
              <w:jc w:val="right"/>
              <w:ind w:right="126"/>
              <w:spacing w:after="0"/>
              <w:rPr>
                <w:sz w:val="20"/>
                <w:szCs w:val="20"/>
                <w:color w:val="auto"/>
              </w:rPr>
            </w:pPr>
            <w:r>
              <w:rPr>
                <w:rFonts w:ascii="Arial" w:cs="Arial" w:eastAsia="Arial" w:hAnsi="Arial"/>
                <w:sz w:val="11"/>
                <w:szCs w:val="11"/>
                <w:color w:val="auto"/>
              </w:rPr>
              <w:t>2,727,604</w:t>
            </w:r>
          </w:p>
        </w:tc>
        <w:tc>
          <w:tcPr>
            <w:tcW w:w="26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260" w:type="dxa"/>
            <w:vAlign w:val="bottom"/>
            <w:vMerge w:val="restart"/>
            <w:shd w:val="clear" w:color="auto" w:fill="EBEBEC"/>
          </w:tcPr>
          <w:p>
            <w:pPr>
              <w:ind w:left="180"/>
              <w:spacing w:after="0"/>
              <w:rPr>
                <w:sz w:val="20"/>
                <w:szCs w:val="20"/>
                <w:color w:val="auto"/>
              </w:rPr>
            </w:pPr>
            <w:r>
              <w:rPr>
                <w:rFonts w:ascii="Arial" w:cs="Arial" w:eastAsia="Arial" w:hAnsi="Arial"/>
                <w:sz w:val="11"/>
                <w:szCs w:val="11"/>
                <w:color w:val="auto"/>
                <w:w w:val="97"/>
              </w:rPr>
              <w:t>$</w:t>
            </w:r>
          </w:p>
        </w:tc>
        <w:tc>
          <w:tcPr>
            <w:tcW w:w="800" w:type="dxa"/>
            <w:vAlign w:val="bottom"/>
            <w:vMerge w:val="restart"/>
            <w:shd w:val="clear" w:color="auto" w:fill="EBEBEC"/>
          </w:tcPr>
          <w:p>
            <w:pPr>
              <w:jc w:val="right"/>
              <w:ind w:right="166"/>
              <w:spacing w:after="0"/>
              <w:rPr>
                <w:sz w:val="20"/>
                <w:szCs w:val="20"/>
                <w:color w:val="auto"/>
              </w:rPr>
            </w:pPr>
            <w:r>
              <w:rPr>
                <w:rFonts w:ascii="Arial" w:cs="Arial" w:eastAsia="Arial" w:hAnsi="Arial"/>
                <w:sz w:val="11"/>
                <w:szCs w:val="11"/>
                <w:color w:val="auto"/>
              </w:rPr>
              <w:t>657,600</w:t>
            </w:r>
          </w:p>
        </w:tc>
        <w:tc>
          <w:tcPr>
            <w:tcW w:w="20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80" w:type="dxa"/>
            <w:vAlign w:val="bottom"/>
            <w:vMerge w:val="restart"/>
            <w:shd w:val="clear" w:color="auto" w:fill="EBEBEC"/>
          </w:tcPr>
          <w:p>
            <w:pPr>
              <w:jc w:val="right"/>
              <w:ind w:right="126"/>
              <w:spacing w:after="0"/>
              <w:rPr>
                <w:sz w:val="20"/>
                <w:szCs w:val="20"/>
                <w:color w:val="auto"/>
              </w:rPr>
            </w:pPr>
            <w:r>
              <w:rPr>
                <w:rFonts w:ascii="Arial" w:cs="Arial" w:eastAsia="Arial" w:hAnsi="Arial"/>
                <w:sz w:val="11"/>
                <w:szCs w:val="11"/>
                <w:color w:val="auto"/>
              </w:rPr>
              <w:t>23,567</w:t>
            </w:r>
          </w:p>
        </w:tc>
        <w:tc>
          <w:tcPr>
            <w:tcW w:w="26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60" w:type="dxa"/>
            <w:vAlign w:val="bottom"/>
            <w:vMerge w:val="restart"/>
            <w:shd w:val="clear" w:color="auto" w:fill="EBEBEC"/>
          </w:tcPr>
          <w:p>
            <w:pPr>
              <w:jc w:val="right"/>
              <w:ind w:right="286"/>
              <w:spacing w:after="0"/>
              <w:rPr>
                <w:sz w:val="20"/>
                <w:szCs w:val="20"/>
                <w:color w:val="auto"/>
              </w:rPr>
            </w:pPr>
            <w:r>
              <w:rPr>
                <w:rFonts w:ascii="Arial" w:cs="Arial" w:eastAsia="Arial" w:hAnsi="Arial"/>
                <w:sz w:val="11"/>
                <w:szCs w:val="11"/>
                <w:color w:val="auto"/>
              </w:rPr>
              <w:t>138,016</w:t>
            </w:r>
          </w:p>
        </w:tc>
        <w:tc>
          <w:tcPr>
            <w:tcW w:w="100" w:type="dxa"/>
            <w:vAlign w:val="bottom"/>
            <w:shd w:val="clear" w:color="auto" w:fill="EBEBEC"/>
          </w:tcPr>
          <w:p>
            <w:pPr>
              <w:spacing w:after="0"/>
              <w:rPr>
                <w:sz w:val="10"/>
                <w:szCs w:val="10"/>
                <w:color w:val="auto"/>
              </w:rPr>
            </w:pPr>
          </w:p>
        </w:tc>
        <w:tc>
          <w:tcPr>
            <w:tcW w:w="620" w:type="dxa"/>
            <w:vAlign w:val="bottom"/>
            <w:shd w:val="clear" w:color="auto" w:fill="EBEBEC"/>
          </w:tcPr>
          <w:p>
            <w:pPr>
              <w:spacing w:after="0"/>
              <w:rPr>
                <w:sz w:val="10"/>
                <w:szCs w:val="10"/>
                <w:color w:val="auto"/>
              </w:rPr>
            </w:pPr>
          </w:p>
        </w:tc>
        <w:tc>
          <w:tcPr>
            <w:tcW w:w="220" w:type="dxa"/>
            <w:vAlign w:val="bottom"/>
            <w:shd w:val="clear" w:color="auto" w:fill="EBEBE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 w:type="dxa"/>
            <w:vAlign w:val="bottom"/>
            <w:shd w:val="clear" w:color="auto" w:fill="EBEBEC"/>
          </w:tcPr>
          <w:p>
            <w:pPr>
              <w:spacing w:after="0"/>
              <w:rPr>
                <w:sz w:val="9"/>
                <w:szCs w:val="9"/>
                <w:color w:val="auto"/>
              </w:rPr>
            </w:pPr>
          </w:p>
        </w:tc>
        <w:tc>
          <w:tcPr>
            <w:tcW w:w="2480" w:type="dxa"/>
            <w:vAlign w:val="bottom"/>
            <w:vMerge w:val="continue"/>
            <w:shd w:val="clear" w:color="auto" w:fill="EBEBEC"/>
          </w:tcPr>
          <w:p>
            <w:pPr>
              <w:spacing w:after="0"/>
              <w:rPr>
                <w:sz w:val="9"/>
                <w:szCs w:val="9"/>
                <w:color w:val="auto"/>
              </w:rPr>
            </w:pPr>
          </w:p>
        </w:tc>
        <w:tc>
          <w:tcPr>
            <w:tcW w:w="120" w:type="dxa"/>
            <w:vAlign w:val="bottom"/>
            <w:shd w:val="clear" w:color="auto" w:fill="EBEBEC"/>
          </w:tcPr>
          <w:p>
            <w:pPr>
              <w:spacing w:after="0"/>
              <w:rPr>
                <w:sz w:val="9"/>
                <w:szCs w:val="9"/>
                <w:color w:val="auto"/>
              </w:rPr>
            </w:pPr>
          </w:p>
        </w:tc>
        <w:tc>
          <w:tcPr>
            <w:tcW w:w="460" w:type="dxa"/>
            <w:vAlign w:val="bottom"/>
            <w:vMerge w:val="continue"/>
            <w:shd w:val="clear" w:color="auto" w:fill="EBEBEC"/>
          </w:tcPr>
          <w:p>
            <w:pPr>
              <w:spacing w:after="0"/>
              <w:rPr>
                <w:sz w:val="9"/>
                <w:szCs w:val="9"/>
                <w:color w:val="auto"/>
              </w:rPr>
            </w:pPr>
          </w:p>
        </w:tc>
        <w:tc>
          <w:tcPr>
            <w:tcW w:w="260" w:type="dxa"/>
            <w:vAlign w:val="bottom"/>
            <w:vMerge w:val="continue"/>
            <w:shd w:val="clear" w:color="auto" w:fill="EBEBEC"/>
          </w:tcPr>
          <w:p>
            <w:pPr>
              <w:spacing w:after="0"/>
              <w:rPr>
                <w:sz w:val="9"/>
                <w:szCs w:val="9"/>
                <w:color w:val="auto"/>
              </w:rPr>
            </w:pPr>
          </w:p>
        </w:tc>
        <w:tc>
          <w:tcPr>
            <w:tcW w:w="720" w:type="dxa"/>
            <w:vAlign w:val="bottom"/>
            <w:vMerge w:val="continue"/>
            <w:shd w:val="clear" w:color="auto" w:fill="EBEBEC"/>
          </w:tcPr>
          <w:p>
            <w:pPr>
              <w:spacing w:after="0"/>
              <w:rPr>
                <w:sz w:val="9"/>
                <w:szCs w:val="9"/>
                <w:color w:val="auto"/>
              </w:rPr>
            </w:pPr>
          </w:p>
        </w:tc>
        <w:tc>
          <w:tcPr>
            <w:tcW w:w="220" w:type="dxa"/>
            <w:vAlign w:val="bottom"/>
            <w:vMerge w:val="continue"/>
            <w:shd w:val="clear" w:color="auto" w:fill="EBEBEC"/>
          </w:tcPr>
          <w:p>
            <w:pPr>
              <w:spacing w:after="0"/>
              <w:rPr>
                <w:sz w:val="9"/>
                <w:szCs w:val="9"/>
                <w:color w:val="auto"/>
              </w:rPr>
            </w:pPr>
          </w:p>
        </w:tc>
        <w:tc>
          <w:tcPr>
            <w:tcW w:w="660" w:type="dxa"/>
            <w:vAlign w:val="bottom"/>
            <w:vMerge w:val="continue"/>
            <w:shd w:val="clear" w:color="auto" w:fill="EBEBEC"/>
          </w:tcPr>
          <w:p>
            <w:pPr>
              <w:spacing w:after="0"/>
              <w:rPr>
                <w:sz w:val="9"/>
                <w:szCs w:val="9"/>
                <w:color w:val="auto"/>
              </w:rPr>
            </w:pPr>
          </w:p>
        </w:tc>
        <w:tc>
          <w:tcPr>
            <w:tcW w:w="280" w:type="dxa"/>
            <w:vAlign w:val="bottom"/>
            <w:vMerge w:val="continue"/>
            <w:shd w:val="clear" w:color="auto" w:fill="EBEBEC"/>
          </w:tcPr>
          <w:p>
            <w:pPr>
              <w:spacing w:after="0"/>
              <w:rPr>
                <w:sz w:val="9"/>
                <w:szCs w:val="9"/>
                <w:color w:val="auto"/>
              </w:rPr>
            </w:pPr>
          </w:p>
        </w:tc>
        <w:tc>
          <w:tcPr>
            <w:tcW w:w="800" w:type="dxa"/>
            <w:vAlign w:val="bottom"/>
            <w:vMerge w:val="continue"/>
            <w:shd w:val="clear" w:color="auto" w:fill="EBEBEC"/>
          </w:tcPr>
          <w:p>
            <w:pPr>
              <w:spacing w:after="0"/>
              <w:rPr>
                <w:sz w:val="9"/>
                <w:szCs w:val="9"/>
                <w:color w:val="auto"/>
              </w:rPr>
            </w:pPr>
          </w:p>
        </w:tc>
        <w:tc>
          <w:tcPr>
            <w:tcW w:w="260" w:type="dxa"/>
            <w:vAlign w:val="bottom"/>
            <w:vMerge w:val="continue"/>
            <w:shd w:val="clear" w:color="auto" w:fill="EBEBEC"/>
          </w:tcPr>
          <w:p>
            <w:pPr>
              <w:spacing w:after="0"/>
              <w:rPr>
                <w:sz w:val="9"/>
                <w:szCs w:val="9"/>
                <w:color w:val="auto"/>
              </w:rPr>
            </w:pPr>
          </w:p>
        </w:tc>
        <w:tc>
          <w:tcPr>
            <w:tcW w:w="660" w:type="dxa"/>
            <w:vAlign w:val="bottom"/>
            <w:vMerge w:val="continue"/>
            <w:shd w:val="clear" w:color="auto" w:fill="EBEBEC"/>
          </w:tcPr>
          <w:p>
            <w:pPr>
              <w:spacing w:after="0"/>
              <w:rPr>
                <w:sz w:val="9"/>
                <w:szCs w:val="9"/>
                <w:color w:val="auto"/>
              </w:rPr>
            </w:pPr>
          </w:p>
        </w:tc>
        <w:tc>
          <w:tcPr>
            <w:tcW w:w="260" w:type="dxa"/>
            <w:vAlign w:val="bottom"/>
            <w:vMerge w:val="continue"/>
            <w:shd w:val="clear" w:color="auto" w:fill="EBEBEC"/>
          </w:tcPr>
          <w:p>
            <w:pPr>
              <w:spacing w:after="0"/>
              <w:rPr>
                <w:sz w:val="9"/>
                <w:szCs w:val="9"/>
                <w:color w:val="auto"/>
              </w:rPr>
            </w:pPr>
          </w:p>
        </w:tc>
        <w:tc>
          <w:tcPr>
            <w:tcW w:w="800" w:type="dxa"/>
            <w:vAlign w:val="bottom"/>
            <w:vMerge w:val="continue"/>
            <w:shd w:val="clear" w:color="auto" w:fill="EBEBEC"/>
          </w:tcPr>
          <w:p>
            <w:pPr>
              <w:spacing w:after="0"/>
              <w:rPr>
                <w:sz w:val="9"/>
                <w:szCs w:val="9"/>
                <w:color w:val="auto"/>
              </w:rPr>
            </w:pPr>
          </w:p>
        </w:tc>
        <w:tc>
          <w:tcPr>
            <w:tcW w:w="200" w:type="dxa"/>
            <w:vAlign w:val="bottom"/>
            <w:vMerge w:val="continue"/>
            <w:shd w:val="clear" w:color="auto" w:fill="EBEBEC"/>
          </w:tcPr>
          <w:p>
            <w:pPr>
              <w:spacing w:after="0"/>
              <w:rPr>
                <w:sz w:val="9"/>
                <w:szCs w:val="9"/>
                <w:color w:val="auto"/>
              </w:rPr>
            </w:pPr>
          </w:p>
        </w:tc>
        <w:tc>
          <w:tcPr>
            <w:tcW w:w="880" w:type="dxa"/>
            <w:vAlign w:val="bottom"/>
            <w:vMerge w:val="continue"/>
            <w:shd w:val="clear" w:color="auto" w:fill="EBEBEC"/>
          </w:tcPr>
          <w:p>
            <w:pPr>
              <w:spacing w:after="0"/>
              <w:rPr>
                <w:sz w:val="9"/>
                <w:szCs w:val="9"/>
                <w:color w:val="auto"/>
              </w:rPr>
            </w:pPr>
          </w:p>
        </w:tc>
        <w:tc>
          <w:tcPr>
            <w:tcW w:w="260" w:type="dxa"/>
            <w:vAlign w:val="bottom"/>
            <w:vMerge w:val="continue"/>
            <w:shd w:val="clear" w:color="auto" w:fill="EBEBEC"/>
          </w:tcPr>
          <w:p>
            <w:pPr>
              <w:spacing w:after="0"/>
              <w:rPr>
                <w:sz w:val="9"/>
                <w:szCs w:val="9"/>
                <w:color w:val="auto"/>
              </w:rPr>
            </w:pPr>
          </w:p>
        </w:tc>
        <w:tc>
          <w:tcPr>
            <w:tcW w:w="860" w:type="dxa"/>
            <w:vAlign w:val="bottom"/>
            <w:vMerge w:val="continue"/>
            <w:shd w:val="clear" w:color="auto" w:fill="EBEBEC"/>
          </w:tcPr>
          <w:p>
            <w:pPr>
              <w:spacing w:after="0"/>
              <w:rPr>
                <w:sz w:val="9"/>
                <w:szCs w:val="9"/>
                <w:color w:val="auto"/>
              </w:rPr>
            </w:pPr>
          </w:p>
        </w:tc>
        <w:tc>
          <w:tcPr>
            <w:tcW w:w="10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shd w:val="clear" w:color="auto" w:fill="EAEAEA"/>
          </w:tcPr>
          <w:p>
            <w:pPr>
              <w:jc w:val="right"/>
              <w:ind w:right="66"/>
              <w:spacing w:after="0" w:line="109" w:lineRule="exact"/>
              <w:rPr>
                <w:sz w:val="20"/>
                <w:szCs w:val="20"/>
                <w:color w:val="auto"/>
              </w:rPr>
            </w:pPr>
            <w:r>
              <w:rPr>
                <w:rFonts w:ascii="Arial" w:cs="Arial" w:eastAsia="Arial" w:hAnsi="Arial"/>
                <w:sz w:val="11"/>
                <w:szCs w:val="11"/>
                <w:color w:val="auto"/>
                <w:w w:val="97"/>
              </w:rPr>
              <w:t>4,816,902</w:t>
            </w:r>
          </w:p>
        </w:tc>
        <w:tc>
          <w:tcPr>
            <w:tcW w:w="220" w:type="dxa"/>
            <w:vAlign w:val="bottom"/>
            <w:shd w:val="clear" w:color="auto" w:fill="EBEBE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0" w:type="dxa"/>
            <w:vAlign w:val="bottom"/>
            <w:shd w:val="clear" w:color="auto" w:fill="EBEBEC"/>
          </w:tcPr>
          <w:p>
            <w:pPr>
              <w:spacing w:after="0"/>
              <w:rPr>
                <w:sz w:val="11"/>
                <w:szCs w:val="11"/>
                <w:color w:val="auto"/>
              </w:rPr>
            </w:pPr>
          </w:p>
        </w:tc>
        <w:tc>
          <w:tcPr>
            <w:tcW w:w="2480" w:type="dxa"/>
            <w:vAlign w:val="bottom"/>
            <w:shd w:val="clear" w:color="auto" w:fill="EBEBEC"/>
          </w:tcPr>
          <w:p>
            <w:pPr>
              <w:ind w:left="20"/>
              <w:spacing w:after="0" w:line="122" w:lineRule="exact"/>
              <w:rPr>
                <w:sz w:val="20"/>
                <w:szCs w:val="20"/>
                <w:color w:val="auto"/>
              </w:rPr>
            </w:pPr>
            <w:r>
              <w:rPr>
                <w:rFonts w:ascii="Arial" w:cs="Arial" w:eastAsia="Arial" w:hAnsi="Arial"/>
                <w:sz w:val="11"/>
                <w:szCs w:val="11"/>
                <w:color w:val="auto"/>
              </w:rPr>
              <w:t>Executive Vice President,</w:t>
            </w:r>
          </w:p>
        </w:tc>
        <w:tc>
          <w:tcPr>
            <w:tcW w:w="120" w:type="dxa"/>
            <w:vAlign w:val="bottom"/>
            <w:shd w:val="clear" w:color="auto" w:fill="EBEBEC"/>
          </w:tcPr>
          <w:p>
            <w:pPr>
              <w:spacing w:after="0"/>
              <w:rPr>
                <w:sz w:val="11"/>
                <w:szCs w:val="11"/>
                <w:color w:val="auto"/>
              </w:rPr>
            </w:pPr>
          </w:p>
        </w:tc>
        <w:tc>
          <w:tcPr>
            <w:tcW w:w="460" w:type="dxa"/>
            <w:vAlign w:val="bottom"/>
            <w:shd w:val="clear" w:color="auto" w:fill="EBEBEC"/>
          </w:tcPr>
          <w:p>
            <w:pPr>
              <w:ind w:left="120"/>
              <w:spacing w:after="0" w:line="122" w:lineRule="exact"/>
              <w:rPr>
                <w:sz w:val="20"/>
                <w:szCs w:val="20"/>
                <w:color w:val="auto"/>
              </w:rPr>
            </w:pPr>
            <w:r>
              <w:rPr>
                <w:rFonts w:ascii="Arial" w:cs="Arial" w:eastAsia="Arial" w:hAnsi="Arial"/>
                <w:sz w:val="11"/>
                <w:szCs w:val="11"/>
                <w:color w:val="auto"/>
              </w:rPr>
              <w:t>2023</w:t>
            </w:r>
          </w:p>
        </w:tc>
        <w:tc>
          <w:tcPr>
            <w:tcW w:w="260" w:type="dxa"/>
            <w:vAlign w:val="bottom"/>
            <w:shd w:val="clear" w:color="auto" w:fill="EBEBEC"/>
          </w:tcPr>
          <w:p>
            <w:pPr>
              <w:jc w:val="right"/>
              <w:ind w:right="6"/>
              <w:spacing w:after="0" w:line="122" w:lineRule="exact"/>
              <w:rPr>
                <w:sz w:val="20"/>
                <w:szCs w:val="20"/>
                <w:color w:val="auto"/>
              </w:rPr>
            </w:pPr>
            <w:r>
              <w:rPr>
                <w:rFonts w:ascii="Arial" w:cs="Arial" w:eastAsia="Arial" w:hAnsi="Arial"/>
                <w:sz w:val="11"/>
                <w:szCs w:val="11"/>
                <w:color w:val="auto"/>
              </w:rPr>
              <w:t>$</w:t>
            </w:r>
          </w:p>
        </w:tc>
        <w:tc>
          <w:tcPr>
            <w:tcW w:w="720" w:type="dxa"/>
            <w:vAlign w:val="bottom"/>
            <w:shd w:val="clear" w:color="auto" w:fill="EBEBEC"/>
          </w:tcPr>
          <w:p>
            <w:pPr>
              <w:jc w:val="right"/>
              <w:ind w:right="86"/>
              <w:spacing w:after="0" w:line="122" w:lineRule="exact"/>
              <w:rPr>
                <w:sz w:val="20"/>
                <w:szCs w:val="20"/>
                <w:color w:val="auto"/>
              </w:rPr>
            </w:pPr>
            <w:r>
              <w:rPr>
                <w:rFonts w:ascii="Arial" w:cs="Arial" w:eastAsia="Arial" w:hAnsi="Arial"/>
                <w:sz w:val="11"/>
                <w:szCs w:val="11"/>
                <w:color w:val="auto"/>
              </w:rPr>
              <w:t>569,038</w:t>
            </w:r>
          </w:p>
        </w:tc>
        <w:tc>
          <w:tcPr>
            <w:tcW w:w="22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jc w:val="right"/>
              <w:ind w:right="86"/>
              <w:spacing w:after="0" w:line="122" w:lineRule="exact"/>
              <w:rPr>
                <w:sz w:val="20"/>
                <w:szCs w:val="20"/>
                <w:color w:val="auto"/>
              </w:rPr>
            </w:pPr>
            <w:r>
              <w:rPr>
                <w:rFonts w:ascii="Arial" w:cs="Arial" w:eastAsia="Arial" w:hAnsi="Arial"/>
                <w:sz w:val="11"/>
                <w:szCs w:val="11"/>
                <w:color w:val="auto"/>
              </w:rPr>
              <w:t>298,128</w:t>
            </w:r>
          </w:p>
        </w:tc>
        <w:tc>
          <w:tcPr>
            <w:tcW w:w="280" w:type="dxa"/>
            <w:vAlign w:val="bottom"/>
            <w:shd w:val="clear" w:color="auto" w:fill="EBEBEC"/>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EBEBEC"/>
          </w:tcPr>
          <w:p>
            <w:pPr>
              <w:jc w:val="right"/>
              <w:ind w:right="126"/>
              <w:spacing w:after="0" w:line="122" w:lineRule="exact"/>
              <w:rPr>
                <w:sz w:val="20"/>
                <w:szCs w:val="20"/>
                <w:color w:val="auto"/>
              </w:rPr>
            </w:pPr>
            <w:r>
              <w:rPr>
                <w:rFonts w:ascii="Arial" w:cs="Arial" w:eastAsia="Arial" w:hAnsi="Arial"/>
                <w:sz w:val="11"/>
                <w:szCs w:val="11"/>
                <w:color w:val="auto"/>
              </w:rPr>
              <w:t>3,819,735</w:t>
            </w:r>
          </w:p>
        </w:tc>
        <w:tc>
          <w:tcPr>
            <w:tcW w:w="26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jc w:val="right"/>
              <w:ind w:right="126"/>
              <w:spacing w:after="0" w:line="122" w:lineRule="exact"/>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80"/>
              <w:spacing w:after="0" w:line="122" w:lineRule="exact"/>
              <w:rPr>
                <w:sz w:val="20"/>
                <w:szCs w:val="20"/>
                <w:color w:val="auto"/>
              </w:rPr>
            </w:pPr>
            <w:r>
              <w:rPr>
                <w:rFonts w:ascii="Arial" w:cs="Arial" w:eastAsia="Arial" w:hAnsi="Arial"/>
                <w:sz w:val="11"/>
                <w:szCs w:val="11"/>
                <w:color w:val="auto"/>
                <w:w w:val="97"/>
              </w:rPr>
              <w:t>$</w:t>
            </w:r>
          </w:p>
        </w:tc>
        <w:tc>
          <w:tcPr>
            <w:tcW w:w="800" w:type="dxa"/>
            <w:vAlign w:val="bottom"/>
            <w:shd w:val="clear" w:color="auto" w:fill="EBEBEC"/>
          </w:tcPr>
          <w:p>
            <w:pPr>
              <w:jc w:val="right"/>
              <w:ind w:right="166"/>
              <w:spacing w:after="0" w:line="122" w:lineRule="exact"/>
              <w:rPr>
                <w:sz w:val="20"/>
                <w:szCs w:val="20"/>
                <w:color w:val="auto"/>
              </w:rPr>
            </w:pPr>
            <w:r>
              <w:rPr>
                <w:rFonts w:ascii="Arial" w:cs="Arial" w:eastAsia="Arial" w:hAnsi="Arial"/>
                <w:sz w:val="11"/>
                <w:szCs w:val="11"/>
                <w:color w:val="auto"/>
              </w:rPr>
              <w:t>789,742</w:t>
            </w:r>
          </w:p>
        </w:tc>
        <w:tc>
          <w:tcPr>
            <w:tcW w:w="20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880" w:type="dxa"/>
            <w:vAlign w:val="bottom"/>
            <w:shd w:val="clear" w:color="auto" w:fill="EBEBEC"/>
          </w:tcPr>
          <w:p>
            <w:pPr>
              <w:jc w:val="right"/>
              <w:ind w:right="126"/>
              <w:spacing w:after="0" w:line="122" w:lineRule="exact"/>
              <w:rPr>
                <w:sz w:val="20"/>
                <w:szCs w:val="20"/>
                <w:color w:val="auto"/>
              </w:rPr>
            </w:pPr>
            <w:r>
              <w:rPr>
                <w:rFonts w:ascii="Arial" w:cs="Arial" w:eastAsia="Arial" w:hAnsi="Arial"/>
                <w:sz w:val="11"/>
                <w:szCs w:val="11"/>
                <w:color w:val="auto"/>
              </w:rPr>
              <w:t>27,431</w:t>
            </w:r>
          </w:p>
        </w:tc>
        <w:tc>
          <w:tcPr>
            <w:tcW w:w="26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286"/>
              <w:spacing w:after="0" w:line="122" w:lineRule="exact"/>
              <w:rPr>
                <w:sz w:val="20"/>
                <w:szCs w:val="20"/>
                <w:color w:val="auto"/>
              </w:rPr>
            </w:pPr>
            <w:r>
              <w:rPr>
                <w:rFonts w:ascii="Arial" w:cs="Arial" w:eastAsia="Arial" w:hAnsi="Arial"/>
                <w:sz w:val="11"/>
                <w:szCs w:val="11"/>
                <w:color w:val="auto"/>
              </w:rPr>
              <w:t>253,195</w:t>
            </w:r>
          </w:p>
        </w:tc>
        <w:tc>
          <w:tcPr>
            <w:tcW w:w="100" w:type="dxa"/>
            <w:vAlign w:val="bottom"/>
            <w:shd w:val="clear" w:color="auto" w:fill="EAEAEA"/>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EAEAEA"/>
          </w:tcPr>
          <w:p>
            <w:pPr>
              <w:jc w:val="right"/>
              <w:ind w:right="66"/>
              <w:spacing w:after="0" w:line="122" w:lineRule="exact"/>
              <w:rPr>
                <w:sz w:val="20"/>
                <w:szCs w:val="20"/>
                <w:color w:val="auto"/>
              </w:rPr>
            </w:pPr>
            <w:r>
              <w:rPr>
                <w:rFonts w:ascii="Arial" w:cs="Arial" w:eastAsia="Arial" w:hAnsi="Arial"/>
                <w:sz w:val="11"/>
                <w:szCs w:val="11"/>
                <w:color w:val="auto"/>
                <w:w w:val="97"/>
              </w:rPr>
              <w:t>5,757,269</w:t>
            </w:r>
          </w:p>
        </w:tc>
        <w:tc>
          <w:tcPr>
            <w:tcW w:w="220" w:type="dxa"/>
            <w:vAlign w:val="bottom"/>
            <w:shd w:val="clear" w:color="auto" w:fill="EBEBE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20" w:type="dxa"/>
            <w:vAlign w:val="bottom"/>
            <w:shd w:val="clear" w:color="auto" w:fill="EBEBEC"/>
          </w:tcPr>
          <w:p>
            <w:pPr>
              <w:spacing w:after="0"/>
              <w:rPr>
                <w:sz w:val="9"/>
                <w:szCs w:val="9"/>
                <w:color w:val="auto"/>
              </w:rPr>
            </w:pPr>
          </w:p>
        </w:tc>
        <w:tc>
          <w:tcPr>
            <w:tcW w:w="2480" w:type="dxa"/>
            <w:vAlign w:val="bottom"/>
            <w:shd w:val="clear" w:color="auto" w:fill="EBEBEC"/>
          </w:tcPr>
          <w:p>
            <w:pPr>
              <w:ind w:left="20"/>
              <w:spacing w:after="0" w:line="109" w:lineRule="exact"/>
              <w:rPr>
                <w:sz w:val="20"/>
                <w:szCs w:val="20"/>
                <w:color w:val="auto"/>
              </w:rPr>
            </w:pPr>
            <w:r>
              <w:rPr>
                <w:rFonts w:ascii="Arial" w:cs="Arial" w:eastAsia="Arial" w:hAnsi="Arial"/>
                <w:sz w:val="11"/>
                <w:szCs w:val="11"/>
                <w:color w:val="auto"/>
              </w:rPr>
              <w:t>Chief Strategy Officer</w:t>
            </w:r>
          </w:p>
        </w:tc>
        <w:tc>
          <w:tcPr>
            <w:tcW w:w="580" w:type="dxa"/>
            <w:vAlign w:val="bottom"/>
            <w:gridSpan w:val="2"/>
            <w:shd w:val="clear" w:color="auto" w:fill="EBEBEC"/>
          </w:tcPr>
          <w:p>
            <w:pPr>
              <w:ind w:left="240"/>
              <w:spacing w:after="0" w:line="109" w:lineRule="exact"/>
              <w:rPr>
                <w:sz w:val="20"/>
                <w:szCs w:val="20"/>
                <w:color w:val="auto"/>
              </w:rPr>
            </w:pPr>
            <w:r>
              <w:rPr>
                <w:rFonts w:ascii="Arial" w:cs="Arial" w:eastAsia="Arial" w:hAnsi="Arial"/>
                <w:sz w:val="11"/>
                <w:szCs w:val="11"/>
                <w:color w:val="auto"/>
              </w:rPr>
              <w:t>2022</w:t>
            </w:r>
          </w:p>
        </w:tc>
        <w:tc>
          <w:tcPr>
            <w:tcW w:w="260" w:type="dxa"/>
            <w:vAlign w:val="bottom"/>
            <w:shd w:val="clear" w:color="auto" w:fill="EBEBEC"/>
          </w:tcPr>
          <w:p>
            <w:pPr>
              <w:jc w:val="right"/>
              <w:ind w:right="6"/>
              <w:spacing w:after="0" w:line="109" w:lineRule="exact"/>
              <w:rPr>
                <w:sz w:val="20"/>
                <w:szCs w:val="20"/>
                <w:color w:val="auto"/>
              </w:rPr>
            </w:pPr>
            <w:r>
              <w:rPr>
                <w:rFonts w:ascii="Arial" w:cs="Arial" w:eastAsia="Arial" w:hAnsi="Arial"/>
                <w:sz w:val="11"/>
                <w:szCs w:val="11"/>
                <w:color w:val="auto"/>
              </w:rPr>
              <w:t>$</w:t>
            </w:r>
          </w:p>
        </w:tc>
        <w:tc>
          <w:tcPr>
            <w:tcW w:w="720" w:type="dxa"/>
            <w:vAlign w:val="bottom"/>
            <w:shd w:val="clear" w:color="auto" w:fill="EBEBEC"/>
          </w:tcPr>
          <w:p>
            <w:pPr>
              <w:jc w:val="right"/>
              <w:ind w:right="86"/>
              <w:spacing w:after="0" w:line="109" w:lineRule="exact"/>
              <w:rPr>
                <w:sz w:val="20"/>
                <w:szCs w:val="20"/>
                <w:color w:val="auto"/>
              </w:rPr>
            </w:pPr>
            <w:r>
              <w:rPr>
                <w:rFonts w:ascii="Arial" w:cs="Arial" w:eastAsia="Arial" w:hAnsi="Arial"/>
                <w:sz w:val="11"/>
                <w:szCs w:val="11"/>
                <w:color w:val="auto"/>
              </w:rPr>
              <w:t>500,000</w:t>
            </w:r>
          </w:p>
        </w:tc>
        <w:tc>
          <w:tcPr>
            <w:tcW w:w="220" w:type="dxa"/>
            <w:vAlign w:val="bottom"/>
            <w:shd w:val="clear" w:color="auto" w:fill="EBEBEC"/>
          </w:tcPr>
          <w:p>
            <w:pPr>
              <w:jc w:val="right"/>
              <w:spacing w:after="0" w:line="109" w:lineRule="exact"/>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jc w:val="right"/>
              <w:ind w:right="86"/>
              <w:spacing w:after="0" w:line="109" w:lineRule="exact"/>
              <w:rPr>
                <w:sz w:val="20"/>
                <w:szCs w:val="20"/>
                <w:color w:val="auto"/>
              </w:rPr>
            </w:pPr>
            <w:r>
              <w:rPr>
                <w:rFonts w:ascii="Arial" w:cs="Arial" w:eastAsia="Arial" w:hAnsi="Arial"/>
                <w:sz w:val="11"/>
                <w:szCs w:val="11"/>
                <w:color w:val="auto"/>
              </w:rPr>
              <w:t>150,000</w:t>
            </w:r>
          </w:p>
        </w:tc>
        <w:tc>
          <w:tcPr>
            <w:tcW w:w="280" w:type="dxa"/>
            <w:vAlign w:val="bottom"/>
            <w:shd w:val="clear" w:color="auto" w:fill="EBEBEC"/>
          </w:tcPr>
          <w:p>
            <w:pPr>
              <w:jc w:val="right"/>
              <w:ind w:right="46"/>
              <w:spacing w:after="0" w:line="109" w:lineRule="exact"/>
              <w:rPr>
                <w:sz w:val="20"/>
                <w:szCs w:val="20"/>
                <w:color w:val="auto"/>
              </w:rPr>
            </w:pPr>
            <w:r>
              <w:rPr>
                <w:rFonts w:ascii="Arial" w:cs="Arial" w:eastAsia="Arial" w:hAnsi="Arial"/>
                <w:sz w:val="11"/>
                <w:szCs w:val="11"/>
                <w:color w:val="auto"/>
              </w:rPr>
              <w:t>$</w:t>
            </w:r>
          </w:p>
        </w:tc>
        <w:tc>
          <w:tcPr>
            <w:tcW w:w="800" w:type="dxa"/>
            <w:vAlign w:val="bottom"/>
            <w:shd w:val="clear" w:color="auto" w:fill="EBEBEC"/>
          </w:tcPr>
          <w:p>
            <w:pPr>
              <w:jc w:val="right"/>
              <w:ind w:right="126"/>
              <w:spacing w:after="0" w:line="109" w:lineRule="exact"/>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line="109" w:lineRule="exact"/>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jc w:val="right"/>
              <w:ind w:right="126"/>
              <w:spacing w:after="0" w:line="109" w:lineRule="exact"/>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80"/>
              <w:spacing w:after="0" w:line="109" w:lineRule="exact"/>
              <w:rPr>
                <w:sz w:val="20"/>
                <w:szCs w:val="20"/>
                <w:color w:val="auto"/>
              </w:rPr>
            </w:pPr>
            <w:r>
              <w:rPr>
                <w:rFonts w:ascii="Arial" w:cs="Arial" w:eastAsia="Arial" w:hAnsi="Arial"/>
                <w:sz w:val="11"/>
                <w:szCs w:val="11"/>
                <w:color w:val="auto"/>
                <w:w w:val="97"/>
              </w:rPr>
              <w:t>$</w:t>
            </w:r>
          </w:p>
        </w:tc>
        <w:tc>
          <w:tcPr>
            <w:tcW w:w="800" w:type="dxa"/>
            <w:vAlign w:val="bottom"/>
            <w:shd w:val="clear" w:color="auto" w:fill="EBEBEC"/>
          </w:tcPr>
          <w:p>
            <w:pPr>
              <w:jc w:val="right"/>
              <w:ind w:right="166"/>
              <w:spacing w:after="0" w:line="109" w:lineRule="exact"/>
              <w:rPr>
                <w:sz w:val="20"/>
                <w:szCs w:val="20"/>
                <w:color w:val="auto"/>
              </w:rPr>
            </w:pPr>
            <w:r>
              <w:rPr>
                <w:rFonts w:ascii="Arial" w:cs="Arial" w:eastAsia="Arial" w:hAnsi="Arial"/>
                <w:sz w:val="11"/>
                <w:szCs w:val="11"/>
                <w:color w:val="auto"/>
              </w:rPr>
              <w:t>483,200</w:t>
            </w:r>
          </w:p>
        </w:tc>
        <w:tc>
          <w:tcPr>
            <w:tcW w:w="200" w:type="dxa"/>
            <w:vAlign w:val="bottom"/>
            <w:shd w:val="clear" w:color="auto" w:fill="EBEBEC"/>
          </w:tcPr>
          <w:p>
            <w:pPr>
              <w:jc w:val="right"/>
              <w:spacing w:after="0" w:line="109" w:lineRule="exact"/>
              <w:rPr>
                <w:sz w:val="20"/>
                <w:szCs w:val="20"/>
                <w:color w:val="auto"/>
              </w:rPr>
            </w:pPr>
            <w:r>
              <w:rPr>
                <w:rFonts w:ascii="Arial" w:cs="Arial" w:eastAsia="Arial" w:hAnsi="Arial"/>
                <w:sz w:val="11"/>
                <w:szCs w:val="11"/>
                <w:color w:val="auto"/>
              </w:rPr>
              <w:t>$</w:t>
            </w:r>
          </w:p>
        </w:tc>
        <w:tc>
          <w:tcPr>
            <w:tcW w:w="880" w:type="dxa"/>
            <w:vAlign w:val="bottom"/>
            <w:shd w:val="clear" w:color="auto" w:fill="EBEBEC"/>
          </w:tcPr>
          <w:p>
            <w:pPr>
              <w:jc w:val="right"/>
              <w:ind w:right="126"/>
              <w:spacing w:after="0" w:line="109" w:lineRule="exact"/>
              <w:rPr>
                <w:sz w:val="20"/>
                <w:szCs w:val="20"/>
                <w:color w:val="auto"/>
              </w:rPr>
            </w:pPr>
            <w:r>
              <w:rPr>
                <w:rFonts w:ascii="Arial" w:cs="Arial" w:eastAsia="Arial" w:hAnsi="Arial"/>
                <w:sz w:val="11"/>
                <w:szCs w:val="11"/>
                <w:color w:val="auto"/>
              </w:rPr>
              <w:t>30,044</w:t>
            </w:r>
          </w:p>
        </w:tc>
        <w:tc>
          <w:tcPr>
            <w:tcW w:w="260" w:type="dxa"/>
            <w:vAlign w:val="bottom"/>
            <w:shd w:val="clear" w:color="auto" w:fill="EBEBEC"/>
          </w:tcPr>
          <w:p>
            <w:pPr>
              <w:jc w:val="right"/>
              <w:spacing w:after="0" w:line="109" w:lineRule="exact"/>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286"/>
              <w:spacing w:after="0" w:line="109" w:lineRule="exact"/>
              <w:rPr>
                <w:sz w:val="20"/>
                <w:szCs w:val="20"/>
                <w:color w:val="auto"/>
              </w:rPr>
            </w:pPr>
            <w:r>
              <w:rPr>
                <w:rFonts w:ascii="Arial" w:cs="Arial" w:eastAsia="Arial" w:hAnsi="Arial"/>
                <w:sz w:val="11"/>
                <w:szCs w:val="11"/>
                <w:color w:val="auto"/>
              </w:rPr>
              <w:t>244,557</w:t>
            </w:r>
          </w:p>
        </w:tc>
        <w:tc>
          <w:tcPr>
            <w:tcW w:w="100" w:type="dxa"/>
            <w:vAlign w:val="bottom"/>
            <w:shd w:val="clear" w:color="auto" w:fill="EBEBEC"/>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shd w:val="clear" w:color="auto" w:fill="EBEBEC"/>
          </w:tcPr>
          <w:p>
            <w:pPr>
              <w:jc w:val="right"/>
              <w:ind w:right="66"/>
              <w:spacing w:after="0" w:line="109" w:lineRule="exact"/>
              <w:rPr>
                <w:sz w:val="20"/>
                <w:szCs w:val="20"/>
                <w:color w:val="auto"/>
              </w:rPr>
            </w:pPr>
            <w:r>
              <w:rPr>
                <w:rFonts w:ascii="Arial" w:cs="Arial" w:eastAsia="Arial" w:hAnsi="Arial"/>
                <w:sz w:val="11"/>
                <w:szCs w:val="11"/>
                <w:color w:val="auto"/>
                <w:w w:val="97"/>
              </w:rPr>
              <w:t>1,407,801</w:t>
            </w:r>
          </w:p>
        </w:tc>
        <w:tc>
          <w:tcPr>
            <w:tcW w:w="220" w:type="dxa"/>
            <w:vAlign w:val="bottom"/>
            <w:shd w:val="clear" w:color="auto" w:fill="EBEBE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0" w:type="dxa"/>
            <w:vAlign w:val="bottom"/>
            <w:shd w:val="clear" w:color="auto" w:fill="EBEBEC"/>
          </w:tcPr>
          <w:p>
            <w:pPr>
              <w:spacing w:after="0"/>
              <w:rPr>
                <w:sz w:val="11"/>
                <w:szCs w:val="11"/>
                <w:color w:val="auto"/>
              </w:rPr>
            </w:pPr>
          </w:p>
        </w:tc>
        <w:tc>
          <w:tcPr>
            <w:tcW w:w="2480" w:type="dxa"/>
            <w:vAlign w:val="bottom"/>
            <w:shd w:val="clear" w:color="auto" w:fill="EBEBEC"/>
          </w:tcPr>
          <w:p>
            <w:pPr>
              <w:ind w:left="20"/>
              <w:spacing w:after="0"/>
              <w:rPr>
                <w:sz w:val="20"/>
                <w:szCs w:val="20"/>
                <w:color w:val="auto"/>
              </w:rPr>
            </w:pPr>
            <w:r>
              <w:rPr>
                <w:rFonts w:ascii="Arial" w:cs="Arial" w:eastAsia="Arial" w:hAnsi="Arial"/>
                <w:sz w:val="11"/>
                <w:szCs w:val="11"/>
                <w:color w:val="auto"/>
              </w:rPr>
              <w:t>and General Counsel</w:t>
            </w:r>
          </w:p>
        </w:tc>
        <w:tc>
          <w:tcPr>
            <w:tcW w:w="120" w:type="dxa"/>
            <w:vAlign w:val="bottom"/>
            <w:shd w:val="clear" w:color="auto" w:fill="EBEBEC"/>
          </w:tcPr>
          <w:p>
            <w:pPr>
              <w:spacing w:after="0"/>
              <w:rPr>
                <w:sz w:val="11"/>
                <w:szCs w:val="11"/>
                <w:color w:val="auto"/>
              </w:rPr>
            </w:pPr>
          </w:p>
        </w:tc>
        <w:tc>
          <w:tcPr>
            <w:tcW w:w="460" w:type="dxa"/>
            <w:vAlign w:val="bottom"/>
            <w:shd w:val="clear" w:color="auto" w:fill="EAEAEA"/>
          </w:tcPr>
          <w:p>
            <w:pPr>
              <w:spacing w:after="0"/>
              <w:rPr>
                <w:sz w:val="11"/>
                <w:szCs w:val="11"/>
                <w:color w:val="auto"/>
              </w:rPr>
            </w:pPr>
          </w:p>
        </w:tc>
        <w:tc>
          <w:tcPr>
            <w:tcW w:w="260" w:type="dxa"/>
            <w:vAlign w:val="bottom"/>
            <w:shd w:val="clear" w:color="auto" w:fill="EAEAEA"/>
          </w:tcPr>
          <w:p>
            <w:pPr>
              <w:spacing w:after="0"/>
              <w:rPr>
                <w:sz w:val="11"/>
                <w:szCs w:val="11"/>
                <w:color w:val="auto"/>
              </w:rPr>
            </w:pPr>
          </w:p>
        </w:tc>
        <w:tc>
          <w:tcPr>
            <w:tcW w:w="720" w:type="dxa"/>
            <w:vAlign w:val="bottom"/>
            <w:shd w:val="clear" w:color="auto" w:fill="EAEAEA"/>
          </w:tcPr>
          <w:p>
            <w:pPr>
              <w:spacing w:after="0"/>
              <w:rPr>
                <w:sz w:val="11"/>
                <w:szCs w:val="11"/>
                <w:color w:val="auto"/>
              </w:rPr>
            </w:pPr>
          </w:p>
        </w:tc>
        <w:tc>
          <w:tcPr>
            <w:tcW w:w="220" w:type="dxa"/>
            <w:vAlign w:val="bottom"/>
            <w:shd w:val="clear" w:color="auto" w:fill="EAEAEA"/>
          </w:tcPr>
          <w:p>
            <w:pPr>
              <w:spacing w:after="0"/>
              <w:rPr>
                <w:sz w:val="11"/>
                <w:szCs w:val="11"/>
                <w:color w:val="auto"/>
              </w:rPr>
            </w:pPr>
          </w:p>
        </w:tc>
        <w:tc>
          <w:tcPr>
            <w:tcW w:w="660" w:type="dxa"/>
            <w:vAlign w:val="bottom"/>
            <w:shd w:val="clear" w:color="auto" w:fill="EAEAEA"/>
          </w:tcPr>
          <w:p>
            <w:pPr>
              <w:spacing w:after="0"/>
              <w:rPr>
                <w:sz w:val="11"/>
                <w:szCs w:val="11"/>
                <w:color w:val="auto"/>
              </w:rPr>
            </w:pPr>
          </w:p>
        </w:tc>
        <w:tc>
          <w:tcPr>
            <w:tcW w:w="280" w:type="dxa"/>
            <w:vAlign w:val="bottom"/>
            <w:shd w:val="clear" w:color="auto" w:fill="EAEAEA"/>
          </w:tcPr>
          <w:p>
            <w:pPr>
              <w:spacing w:after="0"/>
              <w:rPr>
                <w:sz w:val="11"/>
                <w:szCs w:val="11"/>
                <w:color w:val="auto"/>
              </w:rPr>
            </w:pPr>
          </w:p>
        </w:tc>
        <w:tc>
          <w:tcPr>
            <w:tcW w:w="800" w:type="dxa"/>
            <w:vAlign w:val="bottom"/>
            <w:shd w:val="clear" w:color="auto" w:fill="EAEAEA"/>
          </w:tcPr>
          <w:p>
            <w:pPr>
              <w:spacing w:after="0"/>
              <w:rPr>
                <w:sz w:val="11"/>
                <w:szCs w:val="11"/>
                <w:color w:val="auto"/>
              </w:rPr>
            </w:pPr>
          </w:p>
        </w:tc>
        <w:tc>
          <w:tcPr>
            <w:tcW w:w="260" w:type="dxa"/>
            <w:vAlign w:val="bottom"/>
            <w:shd w:val="clear" w:color="auto" w:fill="EAEAEA"/>
          </w:tcPr>
          <w:p>
            <w:pPr>
              <w:spacing w:after="0"/>
              <w:rPr>
                <w:sz w:val="11"/>
                <w:szCs w:val="11"/>
                <w:color w:val="auto"/>
              </w:rPr>
            </w:pPr>
          </w:p>
        </w:tc>
        <w:tc>
          <w:tcPr>
            <w:tcW w:w="660" w:type="dxa"/>
            <w:vAlign w:val="bottom"/>
            <w:shd w:val="clear" w:color="auto" w:fill="EAEAEA"/>
          </w:tcPr>
          <w:p>
            <w:pPr>
              <w:spacing w:after="0"/>
              <w:rPr>
                <w:sz w:val="11"/>
                <w:szCs w:val="11"/>
                <w:color w:val="auto"/>
              </w:rPr>
            </w:pPr>
          </w:p>
        </w:tc>
        <w:tc>
          <w:tcPr>
            <w:tcW w:w="260" w:type="dxa"/>
            <w:vAlign w:val="bottom"/>
            <w:shd w:val="clear" w:color="auto" w:fill="EAEAEA"/>
          </w:tcPr>
          <w:p>
            <w:pPr>
              <w:spacing w:after="0"/>
              <w:rPr>
                <w:sz w:val="11"/>
                <w:szCs w:val="11"/>
                <w:color w:val="auto"/>
              </w:rPr>
            </w:pPr>
          </w:p>
        </w:tc>
        <w:tc>
          <w:tcPr>
            <w:tcW w:w="800" w:type="dxa"/>
            <w:vAlign w:val="bottom"/>
            <w:shd w:val="clear" w:color="auto" w:fill="EAEAEA"/>
          </w:tcPr>
          <w:p>
            <w:pPr>
              <w:spacing w:after="0"/>
              <w:rPr>
                <w:sz w:val="11"/>
                <w:szCs w:val="11"/>
                <w:color w:val="auto"/>
              </w:rPr>
            </w:pPr>
          </w:p>
        </w:tc>
        <w:tc>
          <w:tcPr>
            <w:tcW w:w="200" w:type="dxa"/>
            <w:vAlign w:val="bottom"/>
            <w:shd w:val="clear" w:color="auto" w:fill="EAEAEA"/>
          </w:tcPr>
          <w:p>
            <w:pPr>
              <w:spacing w:after="0"/>
              <w:rPr>
                <w:sz w:val="11"/>
                <w:szCs w:val="11"/>
                <w:color w:val="auto"/>
              </w:rPr>
            </w:pPr>
          </w:p>
        </w:tc>
        <w:tc>
          <w:tcPr>
            <w:tcW w:w="880" w:type="dxa"/>
            <w:vAlign w:val="bottom"/>
            <w:shd w:val="clear" w:color="auto" w:fill="EAEAEA"/>
          </w:tcPr>
          <w:p>
            <w:pPr>
              <w:spacing w:after="0"/>
              <w:rPr>
                <w:sz w:val="11"/>
                <w:szCs w:val="11"/>
                <w:color w:val="auto"/>
              </w:rPr>
            </w:pPr>
          </w:p>
        </w:tc>
        <w:tc>
          <w:tcPr>
            <w:tcW w:w="260" w:type="dxa"/>
            <w:vAlign w:val="bottom"/>
            <w:shd w:val="clear" w:color="auto" w:fill="EAEAEA"/>
          </w:tcPr>
          <w:p>
            <w:pPr>
              <w:spacing w:after="0"/>
              <w:rPr>
                <w:sz w:val="11"/>
                <w:szCs w:val="11"/>
                <w:color w:val="auto"/>
              </w:rPr>
            </w:pPr>
          </w:p>
        </w:tc>
        <w:tc>
          <w:tcPr>
            <w:tcW w:w="860" w:type="dxa"/>
            <w:vAlign w:val="bottom"/>
            <w:shd w:val="clear" w:color="auto" w:fill="EAEAEA"/>
          </w:tcPr>
          <w:p>
            <w:pPr>
              <w:spacing w:after="0"/>
              <w:rPr>
                <w:sz w:val="11"/>
                <w:szCs w:val="11"/>
                <w:color w:val="auto"/>
              </w:rPr>
            </w:pPr>
          </w:p>
        </w:tc>
        <w:tc>
          <w:tcPr>
            <w:tcW w:w="100" w:type="dxa"/>
            <w:vAlign w:val="bottom"/>
            <w:shd w:val="clear" w:color="auto" w:fill="EAEAEA"/>
          </w:tcPr>
          <w:p>
            <w:pPr>
              <w:spacing w:after="0"/>
              <w:rPr>
                <w:sz w:val="11"/>
                <w:szCs w:val="11"/>
                <w:color w:val="auto"/>
              </w:rPr>
            </w:pPr>
          </w:p>
        </w:tc>
        <w:tc>
          <w:tcPr>
            <w:tcW w:w="620" w:type="dxa"/>
            <w:vAlign w:val="bottom"/>
            <w:shd w:val="clear" w:color="auto" w:fill="EAEAEA"/>
          </w:tcPr>
          <w:p>
            <w:pPr>
              <w:spacing w:after="0"/>
              <w:rPr>
                <w:sz w:val="11"/>
                <w:szCs w:val="11"/>
                <w:color w:val="auto"/>
              </w:rPr>
            </w:pPr>
          </w:p>
        </w:tc>
        <w:tc>
          <w:tcPr>
            <w:tcW w:w="220" w:type="dxa"/>
            <w:vAlign w:val="bottom"/>
            <w:shd w:val="clear" w:color="auto" w:fill="EBEBEC"/>
          </w:tcPr>
          <w:p>
            <w:pPr>
              <w:spacing w:after="0"/>
              <w:rPr>
                <w:sz w:val="11"/>
                <w:szCs w:val="1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2"/>
          <w:szCs w:val="12"/>
          <w:color w:val="auto"/>
        </w:rPr>
      </w:pPr>
      <w:r>
        <w:rPr>
          <w:rFonts w:ascii="Arial" w:cs="Arial" w:eastAsia="Arial" w:hAnsi="Arial"/>
          <w:sz w:val="14"/>
          <w:szCs w:val="14"/>
          <w:color w:val="auto"/>
        </w:rPr>
        <w:t>Amount shown for 2023 reflects a partial year for Ms. Molina. Ms. Molina was hired in May 2023.</w:t>
      </w:r>
    </w:p>
    <w:p>
      <w:pPr>
        <w:spacing w:after="0" w:line="109" w:lineRule="exact"/>
        <w:rPr>
          <w:rFonts w:ascii="Arial" w:cs="Arial" w:eastAsia="Arial" w:hAnsi="Arial"/>
          <w:sz w:val="12"/>
          <w:szCs w:val="12"/>
          <w:color w:val="auto"/>
        </w:rPr>
      </w:pPr>
    </w:p>
    <w:p>
      <w:pPr>
        <w:ind w:left="320" w:right="100" w:hanging="312"/>
        <w:spacing w:after="0" w:line="256" w:lineRule="auto"/>
        <w:tabs>
          <w:tab w:leader="none" w:pos="320" w:val="left"/>
        </w:tabs>
        <w:numPr>
          <w:ilvl w:val="0"/>
          <w:numId w:val="27"/>
        </w:numPr>
        <w:rPr>
          <w:rFonts w:ascii="Arial" w:cs="Arial" w:eastAsia="Arial" w:hAnsi="Arial"/>
          <w:sz w:val="12"/>
          <w:szCs w:val="12"/>
          <w:color w:val="auto"/>
        </w:rPr>
      </w:pPr>
      <w:r>
        <w:rPr>
          <w:rFonts w:ascii="Arial" w:cs="Arial" w:eastAsia="Arial" w:hAnsi="Arial"/>
          <w:sz w:val="14"/>
          <w:szCs w:val="14"/>
          <w:color w:val="auto"/>
        </w:rPr>
        <w:t>The amounts shown for 2024 for Messrs. Bys, Gould and Preston include the final 80% of the Retention Bonus Awards granted in February 2023 which were paid in February and August 2024. There are no amounts remaining payable under the Retention Bonus Awards. The amount shown for 2023 for Ms. Molina includes a $150,000 sign-on bonus which was subject to repayment if Ms. Molina voluntarily terminated employment without good reason before the second anniversary of her employment date. The amounts shown for all years include the individual performance portion of the AIP bonus payouts.</w:t>
      </w:r>
    </w:p>
    <w:p>
      <w:pPr>
        <w:spacing w:after="0" w:line="69" w:lineRule="exact"/>
        <w:rPr>
          <w:rFonts w:ascii="Arial" w:cs="Arial" w:eastAsia="Arial" w:hAnsi="Arial"/>
          <w:sz w:val="12"/>
          <w:szCs w:val="12"/>
          <w:color w:val="auto"/>
        </w:rPr>
      </w:pPr>
    </w:p>
    <w:p>
      <w:pPr>
        <w:ind w:left="320" w:right="20" w:hanging="312"/>
        <w:spacing w:after="0" w:line="247" w:lineRule="auto"/>
        <w:tabs>
          <w:tab w:leader="none" w:pos="320" w:val="left"/>
        </w:tabs>
        <w:numPr>
          <w:ilvl w:val="0"/>
          <w:numId w:val="27"/>
        </w:numPr>
        <w:rPr>
          <w:rFonts w:ascii="Arial" w:cs="Arial" w:eastAsia="Arial" w:hAnsi="Arial"/>
          <w:sz w:val="12"/>
          <w:szCs w:val="12"/>
          <w:color w:val="auto"/>
        </w:rPr>
      </w:pPr>
      <w:r>
        <w:rPr>
          <w:rFonts w:ascii="Arial" w:cs="Arial" w:eastAsia="Arial" w:hAnsi="Arial"/>
          <w:sz w:val="14"/>
          <w:szCs w:val="14"/>
          <w:color w:val="auto"/>
        </w:rPr>
        <w:t>See the Grants of Plan-Based Awards Table below for detail regarding the 2024 awards. As required by the SEC rules, the amounts shown represent the grant date fair value of the awards granted in that year as computed in accordance with U.S. generally accepted accounting principles (GAAP) and Financial Accounting Standards Board (FASB) Accounting Standards Codification (ASC) Topic 718, as more fully described in Note 10 in our Annual Report for the year ended December 31, 2024 and Note 9 for the year ended December 31, 2023. Awards reported in the Stock Awards column reflect the value of both time-vested RSUs and performance-earned PSUs. Depending on the market price of CRC stock on the award certification date, the final payout value could be significantly higher or lower that the amount shown in the table. For PSUs, there was a possibility of no payout depending on the outcome of the performance criteria. Performance-based awards are reflected at probable grant date values in the table below, although the maximum grant date values are as follows: Leon - $8,486,684, Molina - $3,807,304, Bys - $3,740,752, Gould - $4,093,519, Preston - $4,160,180. There were no stock awards granted to the NEOs in 2022 and no option awards granted in any year.</w:t>
      </w:r>
    </w:p>
    <w:p>
      <w:pPr>
        <w:spacing w:after="0" w:line="78" w:lineRule="exact"/>
        <w:rPr>
          <w:rFonts w:ascii="Arial" w:cs="Arial" w:eastAsia="Arial" w:hAnsi="Arial"/>
          <w:sz w:val="12"/>
          <w:szCs w:val="12"/>
          <w:color w:val="auto"/>
        </w:rPr>
      </w:pPr>
    </w:p>
    <w:p>
      <w:pPr>
        <w:ind w:left="320" w:hanging="312"/>
        <w:spacing w:after="0"/>
        <w:tabs>
          <w:tab w:leader="none" w:pos="320" w:val="left"/>
        </w:tabs>
        <w:numPr>
          <w:ilvl w:val="0"/>
          <w:numId w:val="27"/>
        </w:numPr>
        <w:rPr>
          <w:rFonts w:ascii="Arial" w:cs="Arial" w:eastAsia="Arial" w:hAnsi="Arial"/>
          <w:sz w:val="12"/>
          <w:szCs w:val="12"/>
          <w:color w:val="auto"/>
        </w:rPr>
      </w:pPr>
      <w:r>
        <w:rPr>
          <w:rFonts w:ascii="Arial" w:cs="Arial" w:eastAsia="Arial" w:hAnsi="Arial"/>
          <w:sz w:val="14"/>
          <w:szCs w:val="14"/>
          <w:color w:val="auto"/>
        </w:rPr>
        <w:t>The amounts shown are the scorecard portion of the payouts under the AIP, which are based on Company performance.</w:t>
      </w:r>
    </w:p>
    <w:p>
      <w:pPr>
        <w:spacing w:after="0" w:line="149" w:lineRule="exact"/>
        <w:rPr>
          <w:rFonts w:ascii="Arial" w:cs="Arial" w:eastAsia="Arial" w:hAnsi="Arial"/>
          <w:sz w:val="12"/>
          <w:szCs w:val="12"/>
          <w:color w:val="auto"/>
        </w:rPr>
      </w:pPr>
    </w:p>
    <w:p>
      <w:pPr>
        <w:ind w:left="320" w:right="40" w:hanging="312"/>
        <w:spacing w:after="0" w:line="285" w:lineRule="auto"/>
        <w:tabs>
          <w:tab w:leader="none" w:pos="320" w:val="left"/>
        </w:tabs>
        <w:numPr>
          <w:ilvl w:val="0"/>
          <w:numId w:val="27"/>
        </w:numPr>
        <w:rPr>
          <w:rFonts w:ascii="Arial" w:cs="Arial" w:eastAsia="Arial" w:hAnsi="Arial"/>
          <w:sz w:val="12"/>
          <w:szCs w:val="12"/>
          <w:color w:val="auto"/>
        </w:rPr>
      </w:pPr>
      <w:r>
        <w:rPr>
          <w:rFonts w:ascii="Arial" w:cs="Arial" w:eastAsia="Arial" w:hAnsi="Arial"/>
          <w:sz w:val="14"/>
          <w:szCs w:val="14"/>
          <w:color w:val="auto"/>
        </w:rPr>
        <w:t>The amounts shown are the portion of each executive’s interest credited on nonqualified deferred compensation plan balances that was in excess of 120% of the long-term applicable federal rate, compounded monthly, as prescribed under Section 1274(d) of the Code.</w:t>
      </w:r>
    </w:p>
    <w:p>
      <w:pPr>
        <w:spacing w:after="0" w:line="18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3" w:name="page54"/>
    <w:bookmarkEnd w:id="53"/>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74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59" w:lineRule="exact"/>
        <w:rPr>
          <w:sz w:val="20"/>
          <w:szCs w:val="20"/>
          <w:color w:val="auto"/>
        </w:rPr>
      </w:pPr>
    </w:p>
    <w:p>
      <w:pPr>
        <w:ind w:left="9180"/>
        <w:spacing w:after="0"/>
        <w:rPr>
          <w:sz w:val="20"/>
          <w:szCs w:val="20"/>
          <w:color w:val="auto"/>
        </w:rPr>
      </w:pPr>
      <w:r>
        <w:rPr>
          <w:rFonts w:ascii="Arial" w:cs="Arial" w:eastAsia="Arial" w:hAnsi="Arial"/>
          <w:sz w:val="14"/>
          <w:szCs w:val="14"/>
          <w:color w:val="auto"/>
        </w:rPr>
        <w:t>Executive Compensation Tables</w:t>
      </w:r>
    </w:p>
    <w:p>
      <w:pPr>
        <w:spacing w:after="0" w:line="298"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2"/>
          <w:szCs w:val="12"/>
          <w:color w:val="auto"/>
        </w:rPr>
      </w:pPr>
      <w:r>
        <w:rPr>
          <w:rFonts w:ascii="Arial" w:cs="Arial" w:eastAsia="Arial" w:hAnsi="Arial"/>
          <w:sz w:val="14"/>
          <w:szCs w:val="14"/>
          <w:color w:val="auto"/>
        </w:rPr>
        <w:t>The following table shows “All Other Compensation” amounts for 2024.</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0075C9"/>
        </w:rPr>
        <w:t>All Other Compensation</w:t>
      </w:r>
    </w:p>
    <w:tbl>
      <w:tblPr>
        <w:tblLayout w:type="fixed"/>
        <w:tblInd w:w="460" w:type="dxa"/>
        <w:tblCellMar>
          <w:top w:w="0" w:type="dxa"/>
          <w:left w:w="0" w:type="dxa"/>
          <w:bottom w:w="0" w:type="dxa"/>
          <w:right w:w="0" w:type="dxa"/>
        </w:tblCellMar>
      </w:tblPr>
      <w:tr>
        <w:trPr>
          <w:trHeight w:val="129"/>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ind w:right="378"/>
              <w:spacing w:after="0" w:line="129" w:lineRule="exact"/>
              <w:rPr>
                <w:sz w:val="20"/>
                <w:szCs w:val="20"/>
                <w:color w:val="auto"/>
              </w:rPr>
            </w:pPr>
            <w:r>
              <w:rPr>
                <w:rFonts w:ascii="Arial" w:cs="Arial" w:eastAsia="Arial" w:hAnsi="Arial"/>
                <w:sz w:val="13"/>
                <w:szCs w:val="13"/>
                <w:b w:val="1"/>
                <w:bCs w:val="1"/>
                <w:color w:val="0075C9"/>
              </w:rPr>
              <w:t>Mr.</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jc w:val="right"/>
              <w:ind w:right="458"/>
              <w:spacing w:after="0" w:line="129" w:lineRule="exact"/>
              <w:rPr>
                <w:sz w:val="20"/>
                <w:szCs w:val="20"/>
                <w:color w:val="auto"/>
              </w:rPr>
            </w:pPr>
            <w:r>
              <w:rPr>
                <w:rFonts w:ascii="Arial" w:cs="Arial" w:eastAsia="Arial" w:hAnsi="Arial"/>
                <w:sz w:val="13"/>
                <w:szCs w:val="13"/>
                <w:b w:val="1"/>
                <w:bCs w:val="1"/>
                <w:color w:val="0075C9"/>
              </w:rPr>
              <w:t>Ms.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jc w:val="right"/>
              <w:ind w:right="458"/>
              <w:spacing w:after="0" w:line="129" w:lineRule="exact"/>
              <w:rPr>
                <w:sz w:val="20"/>
                <w:szCs w:val="20"/>
                <w:color w:val="auto"/>
              </w:rPr>
            </w:pPr>
            <w:r>
              <w:rPr>
                <w:rFonts w:ascii="Arial" w:cs="Arial" w:eastAsia="Arial" w:hAnsi="Arial"/>
                <w:sz w:val="13"/>
                <w:szCs w:val="13"/>
                <w:b w:val="1"/>
                <w:bCs w:val="1"/>
                <w:color w:val="0075C9"/>
              </w:rPr>
              <w:t>Mr.</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jc w:val="right"/>
              <w:ind w:right="338"/>
              <w:spacing w:after="0" w:line="129" w:lineRule="exact"/>
              <w:rPr>
                <w:sz w:val="20"/>
                <w:szCs w:val="20"/>
                <w:color w:val="auto"/>
              </w:rPr>
            </w:pPr>
            <w:r>
              <w:rPr>
                <w:rFonts w:ascii="Arial" w:cs="Arial" w:eastAsia="Arial" w:hAnsi="Arial"/>
                <w:sz w:val="13"/>
                <w:szCs w:val="13"/>
                <w:b w:val="1"/>
                <w:bCs w:val="1"/>
                <w:color w:val="0075C9"/>
              </w:rPr>
              <w:t>Mr.</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2"/>
          </w:tcPr>
          <w:p>
            <w:pPr>
              <w:jc w:val="center"/>
              <w:ind w:right="300"/>
              <w:spacing w:after="0" w:line="129" w:lineRule="exact"/>
              <w:rPr>
                <w:sz w:val="20"/>
                <w:szCs w:val="20"/>
                <w:color w:val="auto"/>
              </w:rPr>
            </w:pPr>
            <w:r>
              <w:rPr>
                <w:rFonts w:ascii="Arial" w:cs="Arial" w:eastAsia="Arial" w:hAnsi="Arial"/>
                <w:sz w:val="13"/>
                <w:szCs w:val="13"/>
                <w:b w:val="1"/>
                <w:bCs w:val="1"/>
                <w:color w:val="0075C9"/>
                <w:w w:val="92"/>
              </w:rPr>
              <w:t>Mr.</w:t>
            </w:r>
          </w:p>
        </w:tc>
      </w:tr>
      <w:tr>
        <w:trPr>
          <w:trHeight w:val="153"/>
        </w:trPr>
        <w:tc>
          <w:tcPr>
            <w:tcW w:w="3080" w:type="dxa"/>
            <w:vAlign w:val="bottom"/>
          </w:tcPr>
          <w:p>
            <w:pPr>
              <w:spacing w:after="0"/>
              <w:rPr>
                <w:sz w:val="13"/>
                <w:szCs w:val="13"/>
                <w:color w:val="auto"/>
              </w:rPr>
            </w:pPr>
          </w:p>
        </w:tc>
        <w:tc>
          <w:tcPr>
            <w:tcW w:w="120" w:type="dxa"/>
            <w:vAlign w:val="bottom"/>
            <w:tcBorders>
              <w:bottom w:val="single" w:sz="8" w:color="0075C9"/>
            </w:tcBorders>
          </w:tcPr>
          <w:p>
            <w:pPr>
              <w:spacing w:after="0"/>
              <w:rPr>
                <w:sz w:val="13"/>
                <w:szCs w:val="13"/>
                <w:color w:val="auto"/>
              </w:rPr>
            </w:pPr>
          </w:p>
        </w:tc>
        <w:tc>
          <w:tcPr>
            <w:tcW w:w="120" w:type="dxa"/>
            <w:vAlign w:val="bottom"/>
            <w:tcBorders>
              <w:bottom w:val="single" w:sz="8" w:color="0075C9"/>
            </w:tcBorders>
          </w:tcPr>
          <w:p>
            <w:pPr>
              <w:spacing w:after="0"/>
              <w:rPr>
                <w:sz w:val="13"/>
                <w:szCs w:val="13"/>
                <w:color w:val="auto"/>
              </w:rPr>
            </w:pPr>
          </w:p>
        </w:tc>
        <w:tc>
          <w:tcPr>
            <w:tcW w:w="1080" w:type="dxa"/>
            <w:vAlign w:val="bottom"/>
            <w:tcBorders>
              <w:bottom w:val="single" w:sz="8" w:color="0075C9"/>
            </w:tcBorders>
          </w:tcPr>
          <w:p>
            <w:pPr>
              <w:jc w:val="right"/>
              <w:ind w:right="318"/>
              <w:spacing w:after="0"/>
              <w:rPr>
                <w:sz w:val="20"/>
                <w:szCs w:val="20"/>
                <w:color w:val="auto"/>
              </w:rPr>
            </w:pPr>
            <w:r>
              <w:rPr>
                <w:rFonts w:ascii="Arial" w:cs="Arial" w:eastAsia="Arial" w:hAnsi="Arial"/>
                <w:sz w:val="13"/>
                <w:szCs w:val="13"/>
                <w:b w:val="1"/>
                <w:bCs w:val="1"/>
                <w:color w:val="0075C9"/>
              </w:rPr>
              <w:t>Leon</w:t>
            </w:r>
          </w:p>
        </w:tc>
        <w:tc>
          <w:tcPr>
            <w:tcW w:w="80" w:type="dxa"/>
            <w:vAlign w:val="bottom"/>
            <w:tcBorders>
              <w:bottom w:val="single" w:sz="8" w:color="0075C9"/>
            </w:tcBorders>
          </w:tcPr>
          <w:p>
            <w:pPr>
              <w:spacing w:after="0"/>
              <w:rPr>
                <w:sz w:val="13"/>
                <w:szCs w:val="13"/>
                <w:color w:val="auto"/>
              </w:rPr>
            </w:pPr>
          </w:p>
        </w:tc>
        <w:tc>
          <w:tcPr>
            <w:tcW w:w="300" w:type="dxa"/>
            <w:vAlign w:val="bottom"/>
            <w:tcBorders>
              <w:bottom w:val="single" w:sz="8" w:color="0075C9"/>
            </w:tcBorders>
          </w:tcPr>
          <w:p>
            <w:pPr>
              <w:spacing w:after="0"/>
              <w:rPr>
                <w:sz w:val="13"/>
                <w:szCs w:val="13"/>
                <w:color w:val="auto"/>
              </w:rPr>
            </w:pPr>
          </w:p>
        </w:tc>
        <w:tc>
          <w:tcPr>
            <w:tcW w:w="260" w:type="dxa"/>
            <w:vAlign w:val="bottom"/>
            <w:tcBorders>
              <w:bottom w:val="single" w:sz="8" w:color="0075C9"/>
            </w:tcBorders>
          </w:tcPr>
          <w:p>
            <w:pPr>
              <w:spacing w:after="0"/>
              <w:rPr>
                <w:sz w:val="13"/>
                <w:szCs w:val="13"/>
                <w:color w:val="auto"/>
              </w:rPr>
            </w:pPr>
          </w:p>
        </w:tc>
        <w:tc>
          <w:tcPr>
            <w:tcW w:w="1020" w:type="dxa"/>
            <w:vAlign w:val="bottom"/>
            <w:tcBorders>
              <w:bottom w:val="single" w:sz="8" w:color="0075C9"/>
            </w:tcBorders>
          </w:tcPr>
          <w:p>
            <w:pPr>
              <w:jc w:val="right"/>
              <w:ind w:right="378"/>
              <w:spacing w:after="0"/>
              <w:rPr>
                <w:sz w:val="20"/>
                <w:szCs w:val="20"/>
                <w:color w:val="auto"/>
              </w:rPr>
            </w:pPr>
            <w:r>
              <w:rPr>
                <w:rFonts w:ascii="Arial" w:cs="Arial" w:eastAsia="Arial" w:hAnsi="Arial"/>
                <w:sz w:val="13"/>
                <w:szCs w:val="13"/>
                <w:b w:val="1"/>
                <w:bCs w:val="1"/>
                <w:color w:val="0075C9"/>
              </w:rPr>
              <w:t>Molina</w:t>
            </w:r>
          </w:p>
        </w:tc>
        <w:tc>
          <w:tcPr>
            <w:tcW w:w="260" w:type="dxa"/>
            <w:vAlign w:val="bottom"/>
            <w:tcBorders>
              <w:bottom w:val="single" w:sz="8" w:color="0075C9"/>
            </w:tcBorders>
          </w:tcPr>
          <w:p>
            <w:pPr>
              <w:spacing w:after="0"/>
              <w:rPr>
                <w:sz w:val="13"/>
                <w:szCs w:val="13"/>
                <w:color w:val="auto"/>
              </w:rPr>
            </w:pPr>
          </w:p>
        </w:tc>
        <w:tc>
          <w:tcPr>
            <w:tcW w:w="300" w:type="dxa"/>
            <w:vAlign w:val="bottom"/>
            <w:tcBorders>
              <w:bottom w:val="single" w:sz="8" w:color="0075C9"/>
            </w:tcBorders>
          </w:tcPr>
          <w:p>
            <w:pPr>
              <w:spacing w:after="0"/>
              <w:rPr>
                <w:sz w:val="13"/>
                <w:szCs w:val="13"/>
                <w:color w:val="auto"/>
              </w:rPr>
            </w:pPr>
          </w:p>
        </w:tc>
        <w:tc>
          <w:tcPr>
            <w:tcW w:w="940" w:type="dxa"/>
            <w:vAlign w:val="bottom"/>
            <w:tcBorders>
              <w:bottom w:val="single" w:sz="8" w:color="0075C9"/>
            </w:tcBorders>
          </w:tcPr>
          <w:p>
            <w:pPr>
              <w:jc w:val="right"/>
              <w:ind w:right="438"/>
              <w:spacing w:after="0"/>
              <w:rPr>
                <w:sz w:val="20"/>
                <w:szCs w:val="20"/>
                <w:color w:val="auto"/>
              </w:rPr>
            </w:pPr>
            <w:r>
              <w:rPr>
                <w:rFonts w:ascii="Arial" w:cs="Arial" w:eastAsia="Arial" w:hAnsi="Arial"/>
                <w:sz w:val="13"/>
                <w:szCs w:val="13"/>
                <w:b w:val="1"/>
                <w:bCs w:val="1"/>
                <w:color w:val="0075C9"/>
              </w:rPr>
              <w:t>Bys</w:t>
            </w:r>
          </w:p>
        </w:tc>
        <w:tc>
          <w:tcPr>
            <w:tcW w:w="260" w:type="dxa"/>
            <w:vAlign w:val="bottom"/>
            <w:tcBorders>
              <w:bottom w:val="single" w:sz="8" w:color="0075C9"/>
            </w:tcBorders>
          </w:tcPr>
          <w:p>
            <w:pPr>
              <w:spacing w:after="0"/>
              <w:rPr>
                <w:sz w:val="13"/>
                <w:szCs w:val="13"/>
                <w:color w:val="auto"/>
              </w:rPr>
            </w:pPr>
          </w:p>
        </w:tc>
        <w:tc>
          <w:tcPr>
            <w:tcW w:w="320" w:type="dxa"/>
            <w:vAlign w:val="bottom"/>
            <w:tcBorders>
              <w:bottom w:val="single" w:sz="8" w:color="0075C9"/>
            </w:tcBorders>
          </w:tcPr>
          <w:p>
            <w:pPr>
              <w:spacing w:after="0"/>
              <w:rPr>
                <w:sz w:val="13"/>
                <w:szCs w:val="13"/>
                <w:color w:val="auto"/>
              </w:rPr>
            </w:pPr>
          </w:p>
        </w:tc>
        <w:tc>
          <w:tcPr>
            <w:tcW w:w="920" w:type="dxa"/>
            <w:vAlign w:val="bottom"/>
            <w:tcBorders>
              <w:bottom w:val="single" w:sz="8" w:color="0075C9"/>
            </w:tcBorders>
          </w:tcPr>
          <w:p>
            <w:pPr>
              <w:jc w:val="right"/>
              <w:ind w:right="238"/>
              <w:spacing w:after="0"/>
              <w:rPr>
                <w:sz w:val="20"/>
                <w:szCs w:val="20"/>
                <w:color w:val="auto"/>
              </w:rPr>
            </w:pPr>
            <w:r>
              <w:rPr>
                <w:rFonts w:ascii="Arial" w:cs="Arial" w:eastAsia="Arial" w:hAnsi="Arial"/>
                <w:sz w:val="13"/>
                <w:szCs w:val="13"/>
                <w:b w:val="1"/>
                <w:bCs w:val="1"/>
                <w:color w:val="0075C9"/>
              </w:rPr>
              <w:t>Gould</w:t>
            </w:r>
          </w:p>
        </w:tc>
        <w:tc>
          <w:tcPr>
            <w:tcW w:w="260" w:type="dxa"/>
            <w:vAlign w:val="bottom"/>
            <w:tcBorders>
              <w:bottom w:val="single" w:sz="8" w:color="0075C9"/>
            </w:tcBorders>
          </w:tcPr>
          <w:p>
            <w:pPr>
              <w:spacing w:after="0"/>
              <w:rPr>
                <w:sz w:val="13"/>
                <w:szCs w:val="13"/>
                <w:color w:val="auto"/>
              </w:rPr>
            </w:pPr>
          </w:p>
        </w:tc>
        <w:tc>
          <w:tcPr>
            <w:tcW w:w="300" w:type="dxa"/>
            <w:vAlign w:val="bottom"/>
            <w:tcBorders>
              <w:bottom w:val="single" w:sz="8" w:color="0075C9"/>
            </w:tcBorders>
          </w:tcPr>
          <w:p>
            <w:pPr>
              <w:spacing w:after="0"/>
              <w:rPr>
                <w:sz w:val="13"/>
                <w:szCs w:val="13"/>
                <w:color w:val="auto"/>
              </w:rPr>
            </w:pPr>
          </w:p>
        </w:tc>
        <w:tc>
          <w:tcPr>
            <w:tcW w:w="1160" w:type="dxa"/>
            <w:vAlign w:val="bottom"/>
            <w:tcBorders>
              <w:bottom w:val="single" w:sz="8" w:color="0075C9"/>
            </w:tcBorders>
            <w:gridSpan w:val="2"/>
          </w:tcPr>
          <w:p>
            <w:pPr>
              <w:jc w:val="center"/>
              <w:ind w:right="300"/>
              <w:spacing w:after="0"/>
              <w:rPr>
                <w:sz w:val="20"/>
                <w:szCs w:val="20"/>
                <w:color w:val="auto"/>
              </w:rPr>
            </w:pPr>
            <w:r>
              <w:rPr>
                <w:rFonts w:ascii="Arial" w:cs="Arial" w:eastAsia="Arial" w:hAnsi="Arial"/>
                <w:sz w:val="13"/>
                <w:szCs w:val="13"/>
                <w:b w:val="1"/>
                <w:bCs w:val="1"/>
                <w:color w:val="0075C9"/>
                <w:w w:val="94"/>
              </w:rPr>
              <w:t>Preston</w:t>
            </w:r>
          </w:p>
        </w:tc>
      </w:tr>
      <w:tr>
        <w:trPr>
          <w:trHeight w:val="111"/>
        </w:trPr>
        <w:tc>
          <w:tcPr>
            <w:tcW w:w="3080" w:type="dxa"/>
            <w:vAlign w:val="bottom"/>
            <w:shd w:val="clear" w:color="auto" w:fill="EBEBEC"/>
          </w:tcPr>
          <w:p>
            <w:pPr>
              <w:ind w:left="120"/>
              <w:spacing w:after="0" w:line="111" w:lineRule="exact"/>
              <w:rPr>
                <w:sz w:val="20"/>
                <w:szCs w:val="20"/>
                <w:color w:val="auto"/>
              </w:rPr>
            </w:pPr>
            <w:r>
              <w:rPr>
                <w:rFonts w:ascii="Arial" w:cs="Arial" w:eastAsia="Arial" w:hAnsi="Arial"/>
                <w:sz w:val="12"/>
                <w:szCs w:val="12"/>
                <w:color w:val="auto"/>
              </w:rPr>
              <w:t>Qualified Plan (a)</w:t>
            </w:r>
          </w:p>
        </w:tc>
        <w:tc>
          <w:tcPr>
            <w:tcW w:w="240" w:type="dxa"/>
            <w:vAlign w:val="bottom"/>
            <w:gridSpan w:val="2"/>
            <w:shd w:val="clear" w:color="auto" w:fill="EBEBEC"/>
          </w:tcPr>
          <w:p>
            <w:pPr>
              <w:jc w:val="right"/>
              <w:spacing w:after="0" w:line="111" w:lineRule="exact"/>
              <w:rPr>
                <w:sz w:val="20"/>
                <w:szCs w:val="20"/>
                <w:color w:val="auto"/>
              </w:rPr>
            </w:pPr>
            <w:r>
              <w:rPr>
                <w:rFonts w:ascii="Arial" w:cs="Arial" w:eastAsia="Arial" w:hAnsi="Arial"/>
                <w:sz w:val="12"/>
                <w:szCs w:val="12"/>
                <w:color w:val="auto"/>
              </w:rPr>
              <w:t>$</w:t>
            </w:r>
          </w:p>
        </w:tc>
        <w:tc>
          <w:tcPr>
            <w:tcW w:w="1080" w:type="dxa"/>
            <w:vAlign w:val="bottom"/>
            <w:shd w:val="clear" w:color="auto" w:fill="EBEBEC"/>
          </w:tcPr>
          <w:p>
            <w:pPr>
              <w:jc w:val="right"/>
              <w:spacing w:after="0" w:line="111" w:lineRule="exact"/>
              <w:rPr>
                <w:sz w:val="20"/>
                <w:szCs w:val="20"/>
                <w:color w:val="auto"/>
              </w:rPr>
            </w:pPr>
            <w:r>
              <w:rPr>
                <w:rFonts w:ascii="Arial" w:cs="Arial" w:eastAsia="Arial" w:hAnsi="Arial"/>
                <w:sz w:val="12"/>
                <w:szCs w:val="12"/>
                <w:color w:val="auto"/>
              </w:rPr>
              <w:t>25,300</w:t>
            </w:r>
          </w:p>
        </w:tc>
        <w:tc>
          <w:tcPr>
            <w:tcW w:w="640" w:type="dxa"/>
            <w:vAlign w:val="bottom"/>
            <w:gridSpan w:val="3"/>
            <w:shd w:val="clear" w:color="auto" w:fill="EBEBEC"/>
          </w:tcPr>
          <w:p>
            <w:pPr>
              <w:jc w:val="right"/>
              <w:ind w:right="180"/>
              <w:spacing w:after="0" w:line="111" w:lineRule="exact"/>
              <w:rPr>
                <w:sz w:val="20"/>
                <w:szCs w:val="20"/>
                <w:color w:val="auto"/>
              </w:rPr>
            </w:pPr>
            <w:r>
              <w:rPr>
                <w:rFonts w:ascii="Arial" w:cs="Arial" w:eastAsia="Arial" w:hAnsi="Arial"/>
                <w:sz w:val="12"/>
                <w:szCs w:val="12"/>
                <w:color w:val="auto"/>
              </w:rPr>
              <w:t>$</w:t>
            </w:r>
          </w:p>
        </w:tc>
        <w:tc>
          <w:tcPr>
            <w:tcW w:w="1020" w:type="dxa"/>
            <w:vAlign w:val="bottom"/>
            <w:shd w:val="clear" w:color="auto" w:fill="EBEBEC"/>
          </w:tcPr>
          <w:p>
            <w:pPr>
              <w:jc w:val="right"/>
              <w:ind w:right="58"/>
              <w:spacing w:after="0" w:line="111" w:lineRule="exact"/>
              <w:rPr>
                <w:sz w:val="20"/>
                <w:szCs w:val="20"/>
                <w:color w:val="auto"/>
              </w:rPr>
            </w:pPr>
            <w:r>
              <w:rPr>
                <w:rFonts w:ascii="Arial" w:cs="Arial" w:eastAsia="Arial" w:hAnsi="Arial"/>
                <w:sz w:val="12"/>
                <w:szCs w:val="12"/>
                <w:color w:val="auto"/>
              </w:rPr>
              <w:t>34,500</w:t>
            </w:r>
          </w:p>
        </w:tc>
        <w:tc>
          <w:tcPr>
            <w:tcW w:w="560" w:type="dxa"/>
            <w:vAlign w:val="bottom"/>
            <w:gridSpan w:val="2"/>
            <w:shd w:val="clear" w:color="auto" w:fill="EBEBEC"/>
          </w:tcPr>
          <w:p>
            <w:pPr>
              <w:jc w:val="right"/>
              <w:ind w:right="220"/>
              <w:spacing w:after="0" w:line="111" w:lineRule="exact"/>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58"/>
              <w:spacing w:after="0" w:line="111" w:lineRule="exact"/>
              <w:rPr>
                <w:sz w:val="20"/>
                <w:szCs w:val="20"/>
                <w:color w:val="auto"/>
              </w:rPr>
            </w:pPr>
            <w:r>
              <w:rPr>
                <w:rFonts w:ascii="Arial" w:cs="Arial" w:eastAsia="Arial" w:hAnsi="Arial"/>
                <w:sz w:val="12"/>
                <w:szCs w:val="12"/>
                <w:color w:val="auto"/>
              </w:rPr>
              <w:t>34,500</w:t>
            </w:r>
          </w:p>
        </w:tc>
        <w:tc>
          <w:tcPr>
            <w:tcW w:w="580" w:type="dxa"/>
            <w:vAlign w:val="bottom"/>
            <w:gridSpan w:val="2"/>
            <w:shd w:val="clear" w:color="auto" w:fill="EBEBEC"/>
          </w:tcPr>
          <w:p>
            <w:pPr>
              <w:jc w:val="right"/>
              <w:ind w:right="240"/>
              <w:spacing w:after="0" w:line="111" w:lineRule="exact"/>
              <w:rPr>
                <w:sz w:val="20"/>
                <w:szCs w:val="20"/>
                <w:color w:val="auto"/>
              </w:rPr>
            </w:pPr>
            <w:r>
              <w:rPr>
                <w:rFonts w:ascii="Arial" w:cs="Arial" w:eastAsia="Arial" w:hAnsi="Arial"/>
                <w:sz w:val="12"/>
                <w:szCs w:val="12"/>
                <w:color w:val="auto"/>
              </w:rPr>
              <w:t>$</w:t>
            </w:r>
          </w:p>
        </w:tc>
        <w:tc>
          <w:tcPr>
            <w:tcW w:w="920" w:type="dxa"/>
            <w:vAlign w:val="bottom"/>
            <w:shd w:val="clear" w:color="auto" w:fill="EBEBEC"/>
          </w:tcPr>
          <w:p>
            <w:pPr>
              <w:jc w:val="right"/>
              <w:ind w:right="58"/>
              <w:spacing w:after="0" w:line="111" w:lineRule="exact"/>
              <w:rPr>
                <w:sz w:val="20"/>
                <w:szCs w:val="20"/>
                <w:color w:val="auto"/>
              </w:rPr>
            </w:pPr>
            <w:r>
              <w:rPr>
                <w:rFonts w:ascii="Arial" w:cs="Arial" w:eastAsia="Arial" w:hAnsi="Arial"/>
                <w:sz w:val="12"/>
                <w:szCs w:val="12"/>
                <w:color w:val="auto"/>
              </w:rPr>
              <w:t>28,750</w:t>
            </w:r>
          </w:p>
        </w:tc>
        <w:tc>
          <w:tcPr>
            <w:tcW w:w="560" w:type="dxa"/>
            <w:vAlign w:val="bottom"/>
            <w:gridSpan w:val="2"/>
            <w:shd w:val="clear" w:color="auto" w:fill="EBEBEC"/>
          </w:tcPr>
          <w:p>
            <w:pPr>
              <w:jc w:val="right"/>
              <w:ind w:right="220"/>
              <w:spacing w:after="0" w:line="111" w:lineRule="exact"/>
              <w:rPr>
                <w:sz w:val="20"/>
                <w:szCs w:val="20"/>
                <w:color w:val="auto"/>
              </w:rPr>
            </w:pPr>
            <w:r>
              <w:rPr>
                <w:rFonts w:ascii="Arial" w:cs="Arial" w:eastAsia="Arial" w:hAnsi="Arial"/>
                <w:sz w:val="12"/>
                <w:szCs w:val="12"/>
                <w:color w:val="auto"/>
              </w:rPr>
              <w:t>$</w:t>
            </w:r>
          </w:p>
        </w:tc>
        <w:tc>
          <w:tcPr>
            <w:tcW w:w="840" w:type="dxa"/>
            <w:vAlign w:val="bottom"/>
            <w:shd w:val="clear" w:color="auto" w:fill="EBEBEC"/>
          </w:tcPr>
          <w:p>
            <w:pPr>
              <w:jc w:val="right"/>
              <w:ind w:right="38"/>
              <w:spacing w:after="0" w:line="111" w:lineRule="exact"/>
              <w:rPr>
                <w:sz w:val="20"/>
                <w:szCs w:val="20"/>
                <w:color w:val="auto"/>
              </w:rPr>
            </w:pPr>
            <w:r>
              <w:rPr>
                <w:rFonts w:ascii="Arial" w:cs="Arial" w:eastAsia="Arial" w:hAnsi="Arial"/>
                <w:sz w:val="12"/>
                <w:szCs w:val="12"/>
                <w:color w:val="auto"/>
              </w:rPr>
              <w:t>11,500</w:t>
            </w:r>
          </w:p>
        </w:tc>
        <w:tc>
          <w:tcPr>
            <w:tcW w:w="320" w:type="dxa"/>
            <w:vAlign w:val="bottom"/>
            <w:shd w:val="clear" w:color="auto" w:fill="EBEBEC"/>
          </w:tcPr>
          <w:p>
            <w:pPr>
              <w:spacing w:after="0"/>
              <w:rPr>
                <w:sz w:val="9"/>
                <w:szCs w:val="9"/>
                <w:color w:val="auto"/>
              </w:rPr>
            </w:pPr>
          </w:p>
        </w:tc>
      </w:tr>
      <w:tr>
        <w:trPr>
          <w:trHeight w:val="135"/>
        </w:trPr>
        <w:tc>
          <w:tcPr>
            <w:tcW w:w="3080" w:type="dxa"/>
            <w:vAlign w:val="bottom"/>
            <w:shd w:val="clear" w:color="auto" w:fill="EBEBEC"/>
          </w:tcPr>
          <w:p>
            <w:pPr>
              <w:ind w:left="120"/>
              <w:spacing w:after="0" w:line="135" w:lineRule="exact"/>
              <w:rPr>
                <w:sz w:val="20"/>
                <w:szCs w:val="20"/>
                <w:color w:val="auto"/>
              </w:rPr>
            </w:pPr>
            <w:r>
              <w:rPr>
                <w:rFonts w:ascii="Arial" w:cs="Arial" w:eastAsia="Arial" w:hAnsi="Arial"/>
                <w:sz w:val="13"/>
                <w:szCs w:val="13"/>
                <w:color w:val="auto"/>
              </w:rPr>
              <w:t>Supplemental Plan (b)</w:t>
            </w:r>
          </w:p>
        </w:tc>
        <w:tc>
          <w:tcPr>
            <w:tcW w:w="120" w:type="dxa"/>
            <w:vAlign w:val="bottom"/>
            <w:shd w:val="clear" w:color="auto" w:fill="EBEBEC"/>
          </w:tcPr>
          <w:p>
            <w:pPr>
              <w:spacing w:after="0"/>
              <w:rPr>
                <w:sz w:val="11"/>
                <w:szCs w:val="11"/>
                <w:color w:val="auto"/>
              </w:rPr>
            </w:pPr>
          </w:p>
        </w:tc>
        <w:tc>
          <w:tcPr>
            <w:tcW w:w="120" w:type="dxa"/>
            <w:vAlign w:val="bottom"/>
            <w:shd w:val="clear" w:color="auto" w:fill="EBEBEC"/>
          </w:tcPr>
          <w:p>
            <w:pPr>
              <w:spacing w:after="0"/>
              <w:rPr>
                <w:sz w:val="11"/>
                <w:szCs w:val="11"/>
                <w:color w:val="auto"/>
              </w:rPr>
            </w:pPr>
          </w:p>
        </w:tc>
        <w:tc>
          <w:tcPr>
            <w:tcW w:w="108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156,384</w:t>
            </w:r>
          </w:p>
        </w:tc>
        <w:tc>
          <w:tcPr>
            <w:tcW w:w="80" w:type="dxa"/>
            <w:vAlign w:val="bottom"/>
            <w:shd w:val="clear" w:color="auto" w:fill="EBEBEC"/>
          </w:tcPr>
          <w:p>
            <w:pPr>
              <w:spacing w:after="0"/>
              <w:rPr>
                <w:sz w:val="11"/>
                <w:szCs w:val="11"/>
                <w:color w:val="auto"/>
              </w:rPr>
            </w:pPr>
          </w:p>
        </w:tc>
        <w:tc>
          <w:tcPr>
            <w:tcW w:w="300" w:type="dxa"/>
            <w:vAlign w:val="bottom"/>
            <w:shd w:val="clear" w:color="auto" w:fill="EBEBEC"/>
          </w:tcPr>
          <w:p>
            <w:pPr>
              <w:spacing w:after="0"/>
              <w:rPr>
                <w:sz w:val="11"/>
                <w:szCs w:val="11"/>
                <w:color w:val="auto"/>
              </w:rPr>
            </w:pPr>
          </w:p>
        </w:tc>
        <w:tc>
          <w:tcPr>
            <w:tcW w:w="260" w:type="dxa"/>
            <w:vAlign w:val="bottom"/>
            <w:shd w:val="clear" w:color="auto" w:fill="EBEBEC"/>
          </w:tcPr>
          <w:p>
            <w:pPr>
              <w:spacing w:after="0"/>
              <w:rPr>
                <w:sz w:val="11"/>
                <w:szCs w:val="11"/>
                <w:color w:val="auto"/>
              </w:rPr>
            </w:pPr>
          </w:p>
        </w:tc>
        <w:tc>
          <w:tcPr>
            <w:tcW w:w="1020" w:type="dxa"/>
            <w:vAlign w:val="bottom"/>
            <w:shd w:val="clear" w:color="auto" w:fill="EBEBEC"/>
          </w:tcPr>
          <w:p>
            <w:pPr>
              <w:jc w:val="right"/>
              <w:ind w:right="58"/>
              <w:spacing w:after="0" w:line="135" w:lineRule="exact"/>
              <w:rPr>
                <w:sz w:val="20"/>
                <w:szCs w:val="20"/>
                <w:color w:val="auto"/>
              </w:rPr>
            </w:pPr>
            <w:r>
              <w:rPr>
                <w:rFonts w:ascii="Arial" w:cs="Arial" w:eastAsia="Arial" w:hAnsi="Arial"/>
                <w:sz w:val="13"/>
                <w:szCs w:val="13"/>
                <w:color w:val="auto"/>
              </w:rPr>
              <w:t>59,453</w:t>
            </w:r>
          </w:p>
        </w:tc>
        <w:tc>
          <w:tcPr>
            <w:tcW w:w="260" w:type="dxa"/>
            <w:vAlign w:val="bottom"/>
            <w:shd w:val="clear" w:color="auto" w:fill="EBEBEC"/>
          </w:tcPr>
          <w:p>
            <w:pPr>
              <w:spacing w:after="0"/>
              <w:rPr>
                <w:sz w:val="11"/>
                <w:szCs w:val="11"/>
                <w:color w:val="auto"/>
              </w:rPr>
            </w:pPr>
          </w:p>
        </w:tc>
        <w:tc>
          <w:tcPr>
            <w:tcW w:w="300" w:type="dxa"/>
            <w:vAlign w:val="bottom"/>
            <w:shd w:val="clear" w:color="auto" w:fill="EBEBEC"/>
          </w:tcPr>
          <w:p>
            <w:pPr>
              <w:spacing w:after="0"/>
              <w:rPr>
                <w:sz w:val="11"/>
                <w:szCs w:val="11"/>
                <w:color w:val="auto"/>
              </w:rPr>
            </w:pPr>
          </w:p>
        </w:tc>
        <w:tc>
          <w:tcPr>
            <w:tcW w:w="940" w:type="dxa"/>
            <w:vAlign w:val="bottom"/>
            <w:shd w:val="clear" w:color="auto" w:fill="EBEBEC"/>
          </w:tcPr>
          <w:p>
            <w:pPr>
              <w:jc w:val="right"/>
              <w:ind w:right="58"/>
              <w:spacing w:after="0" w:line="135" w:lineRule="exact"/>
              <w:rPr>
                <w:sz w:val="20"/>
                <w:szCs w:val="20"/>
                <w:color w:val="auto"/>
              </w:rPr>
            </w:pPr>
            <w:r>
              <w:rPr>
                <w:rFonts w:ascii="Arial" w:cs="Arial" w:eastAsia="Arial" w:hAnsi="Arial"/>
                <w:sz w:val="13"/>
                <w:szCs w:val="13"/>
                <w:color w:val="auto"/>
              </w:rPr>
              <w:t>79,481</w:t>
            </w:r>
          </w:p>
        </w:tc>
        <w:tc>
          <w:tcPr>
            <w:tcW w:w="260" w:type="dxa"/>
            <w:vAlign w:val="bottom"/>
            <w:shd w:val="clear" w:color="auto" w:fill="EBEBEC"/>
          </w:tcPr>
          <w:p>
            <w:pPr>
              <w:spacing w:after="0"/>
              <w:rPr>
                <w:sz w:val="11"/>
                <w:szCs w:val="11"/>
                <w:color w:val="auto"/>
              </w:rPr>
            </w:pPr>
          </w:p>
        </w:tc>
        <w:tc>
          <w:tcPr>
            <w:tcW w:w="320" w:type="dxa"/>
            <w:vAlign w:val="bottom"/>
            <w:shd w:val="clear" w:color="auto" w:fill="EBEBEC"/>
          </w:tcPr>
          <w:p>
            <w:pPr>
              <w:spacing w:after="0"/>
              <w:rPr>
                <w:sz w:val="11"/>
                <w:szCs w:val="11"/>
                <w:color w:val="auto"/>
              </w:rPr>
            </w:pPr>
          </w:p>
        </w:tc>
        <w:tc>
          <w:tcPr>
            <w:tcW w:w="920" w:type="dxa"/>
            <w:vAlign w:val="bottom"/>
            <w:shd w:val="clear" w:color="auto" w:fill="EBEBEC"/>
          </w:tcPr>
          <w:p>
            <w:pPr>
              <w:jc w:val="right"/>
              <w:ind w:right="58"/>
              <w:spacing w:after="0" w:line="135" w:lineRule="exact"/>
              <w:rPr>
                <w:sz w:val="20"/>
                <w:szCs w:val="20"/>
                <w:color w:val="auto"/>
              </w:rPr>
            </w:pPr>
            <w:r>
              <w:rPr>
                <w:rFonts w:ascii="Arial" w:cs="Arial" w:eastAsia="Arial" w:hAnsi="Arial"/>
                <w:sz w:val="13"/>
                <w:szCs w:val="13"/>
                <w:color w:val="auto"/>
              </w:rPr>
              <w:t>96,847</w:t>
            </w:r>
          </w:p>
        </w:tc>
        <w:tc>
          <w:tcPr>
            <w:tcW w:w="260" w:type="dxa"/>
            <w:vAlign w:val="bottom"/>
            <w:shd w:val="clear" w:color="auto" w:fill="EBEBEC"/>
          </w:tcPr>
          <w:p>
            <w:pPr>
              <w:spacing w:after="0"/>
              <w:rPr>
                <w:sz w:val="11"/>
                <w:szCs w:val="11"/>
                <w:color w:val="auto"/>
              </w:rPr>
            </w:pPr>
          </w:p>
        </w:tc>
        <w:tc>
          <w:tcPr>
            <w:tcW w:w="300" w:type="dxa"/>
            <w:vAlign w:val="bottom"/>
            <w:shd w:val="clear" w:color="auto" w:fill="EBEBEC"/>
          </w:tcPr>
          <w:p>
            <w:pPr>
              <w:spacing w:after="0"/>
              <w:rPr>
                <w:sz w:val="11"/>
                <w:szCs w:val="11"/>
                <w:color w:val="auto"/>
              </w:rPr>
            </w:pPr>
          </w:p>
        </w:tc>
        <w:tc>
          <w:tcPr>
            <w:tcW w:w="840" w:type="dxa"/>
            <w:vAlign w:val="bottom"/>
            <w:shd w:val="clear" w:color="auto" w:fill="EBEBEC"/>
          </w:tcPr>
          <w:p>
            <w:pPr>
              <w:jc w:val="right"/>
              <w:ind w:right="38"/>
              <w:spacing w:after="0" w:line="135" w:lineRule="exact"/>
              <w:rPr>
                <w:sz w:val="20"/>
                <w:szCs w:val="20"/>
                <w:color w:val="auto"/>
              </w:rPr>
            </w:pPr>
            <w:r>
              <w:rPr>
                <w:rFonts w:ascii="Arial" w:cs="Arial" w:eastAsia="Arial" w:hAnsi="Arial"/>
                <w:sz w:val="13"/>
                <w:szCs w:val="13"/>
                <w:color w:val="auto"/>
              </w:rPr>
              <w:t>114,866</w:t>
            </w:r>
          </w:p>
        </w:tc>
        <w:tc>
          <w:tcPr>
            <w:tcW w:w="320" w:type="dxa"/>
            <w:vAlign w:val="bottom"/>
            <w:shd w:val="clear" w:color="auto" w:fill="EBEBEC"/>
          </w:tcPr>
          <w:p>
            <w:pPr>
              <w:spacing w:after="0"/>
              <w:rPr>
                <w:sz w:val="11"/>
                <w:szCs w:val="11"/>
                <w:color w:val="auto"/>
              </w:rPr>
            </w:pPr>
          </w:p>
        </w:tc>
      </w:tr>
      <w:tr>
        <w:trPr>
          <w:trHeight w:val="135"/>
        </w:trPr>
        <w:tc>
          <w:tcPr>
            <w:tcW w:w="3080" w:type="dxa"/>
            <w:vAlign w:val="bottom"/>
            <w:shd w:val="clear" w:color="auto" w:fill="EBEBEC"/>
          </w:tcPr>
          <w:p>
            <w:pPr>
              <w:ind w:left="120"/>
              <w:spacing w:after="0" w:line="135" w:lineRule="exact"/>
              <w:rPr>
                <w:sz w:val="20"/>
                <w:szCs w:val="20"/>
                <w:color w:val="auto"/>
              </w:rPr>
            </w:pPr>
            <w:r>
              <w:rPr>
                <w:rFonts w:ascii="Arial" w:cs="Arial" w:eastAsia="Arial" w:hAnsi="Arial"/>
                <w:sz w:val="13"/>
                <w:szCs w:val="13"/>
                <w:color w:val="auto"/>
              </w:rPr>
              <w:t>Accrued Vacation Payout (c)</w:t>
            </w:r>
          </w:p>
        </w:tc>
        <w:tc>
          <w:tcPr>
            <w:tcW w:w="120" w:type="dxa"/>
            <w:vAlign w:val="bottom"/>
            <w:shd w:val="clear" w:color="auto" w:fill="EBEBEC"/>
          </w:tcPr>
          <w:p>
            <w:pPr>
              <w:spacing w:after="0"/>
              <w:rPr>
                <w:sz w:val="11"/>
                <w:szCs w:val="11"/>
                <w:color w:val="auto"/>
              </w:rPr>
            </w:pPr>
          </w:p>
        </w:tc>
        <w:tc>
          <w:tcPr>
            <w:tcW w:w="120" w:type="dxa"/>
            <w:vAlign w:val="bottom"/>
            <w:shd w:val="clear" w:color="auto" w:fill="EBEBEC"/>
          </w:tcPr>
          <w:p>
            <w:pPr>
              <w:spacing w:after="0"/>
              <w:rPr>
                <w:sz w:val="11"/>
                <w:szCs w:val="11"/>
                <w:color w:val="auto"/>
              </w:rPr>
            </w:pPr>
          </w:p>
        </w:tc>
        <w:tc>
          <w:tcPr>
            <w:tcW w:w="108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EBEBEC"/>
          </w:tcPr>
          <w:p>
            <w:pPr>
              <w:spacing w:after="0"/>
              <w:rPr>
                <w:sz w:val="11"/>
                <w:szCs w:val="11"/>
                <w:color w:val="auto"/>
              </w:rPr>
            </w:pPr>
          </w:p>
        </w:tc>
        <w:tc>
          <w:tcPr>
            <w:tcW w:w="300" w:type="dxa"/>
            <w:vAlign w:val="bottom"/>
            <w:shd w:val="clear" w:color="auto" w:fill="EBEBEC"/>
          </w:tcPr>
          <w:p>
            <w:pPr>
              <w:spacing w:after="0"/>
              <w:rPr>
                <w:sz w:val="11"/>
                <w:szCs w:val="11"/>
                <w:color w:val="auto"/>
              </w:rPr>
            </w:pPr>
          </w:p>
        </w:tc>
        <w:tc>
          <w:tcPr>
            <w:tcW w:w="260" w:type="dxa"/>
            <w:vAlign w:val="bottom"/>
            <w:shd w:val="clear" w:color="auto" w:fill="EBEBEC"/>
          </w:tcPr>
          <w:p>
            <w:pPr>
              <w:spacing w:after="0"/>
              <w:rPr>
                <w:sz w:val="11"/>
                <w:szCs w:val="11"/>
                <w:color w:val="auto"/>
              </w:rPr>
            </w:pPr>
          </w:p>
        </w:tc>
        <w:tc>
          <w:tcPr>
            <w:tcW w:w="1020" w:type="dxa"/>
            <w:vAlign w:val="bottom"/>
            <w:shd w:val="clear" w:color="auto" w:fill="EBEBEC"/>
          </w:tcPr>
          <w:p>
            <w:pPr>
              <w:jc w:val="right"/>
              <w:ind w:right="58"/>
              <w:spacing w:after="0" w:line="135" w:lineRule="exact"/>
              <w:rPr>
                <w:sz w:val="20"/>
                <w:szCs w:val="20"/>
                <w:color w:val="auto"/>
              </w:rPr>
            </w:pPr>
            <w:r>
              <w:rPr>
                <w:rFonts w:ascii="Arial" w:cs="Arial" w:eastAsia="Arial" w:hAnsi="Arial"/>
                <w:sz w:val="13"/>
                <w:szCs w:val="13"/>
                <w:color w:val="auto"/>
              </w:rPr>
              <w:t>87,175</w:t>
            </w:r>
          </w:p>
        </w:tc>
        <w:tc>
          <w:tcPr>
            <w:tcW w:w="260" w:type="dxa"/>
            <w:vAlign w:val="bottom"/>
            <w:shd w:val="clear" w:color="auto" w:fill="EBEBEC"/>
          </w:tcPr>
          <w:p>
            <w:pPr>
              <w:spacing w:after="0"/>
              <w:rPr>
                <w:sz w:val="11"/>
                <w:szCs w:val="11"/>
                <w:color w:val="auto"/>
              </w:rPr>
            </w:pPr>
          </w:p>
        </w:tc>
        <w:tc>
          <w:tcPr>
            <w:tcW w:w="300" w:type="dxa"/>
            <w:vAlign w:val="bottom"/>
            <w:shd w:val="clear" w:color="auto" w:fill="EBEBEC"/>
          </w:tcPr>
          <w:p>
            <w:pPr>
              <w:spacing w:after="0"/>
              <w:rPr>
                <w:sz w:val="11"/>
                <w:szCs w:val="11"/>
                <w:color w:val="auto"/>
              </w:rPr>
            </w:pPr>
          </w:p>
        </w:tc>
        <w:tc>
          <w:tcPr>
            <w:tcW w:w="940" w:type="dxa"/>
            <w:vAlign w:val="bottom"/>
            <w:shd w:val="clear" w:color="auto" w:fill="EBEBEC"/>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EBEBEC"/>
          </w:tcPr>
          <w:p>
            <w:pPr>
              <w:spacing w:after="0"/>
              <w:rPr>
                <w:sz w:val="11"/>
                <w:szCs w:val="11"/>
                <w:color w:val="auto"/>
              </w:rPr>
            </w:pPr>
          </w:p>
        </w:tc>
        <w:tc>
          <w:tcPr>
            <w:tcW w:w="320" w:type="dxa"/>
            <w:vAlign w:val="bottom"/>
            <w:shd w:val="clear" w:color="auto" w:fill="EBEBEC"/>
          </w:tcPr>
          <w:p>
            <w:pPr>
              <w:spacing w:after="0"/>
              <w:rPr>
                <w:sz w:val="11"/>
                <w:szCs w:val="11"/>
                <w:color w:val="auto"/>
              </w:rPr>
            </w:pPr>
          </w:p>
        </w:tc>
        <w:tc>
          <w:tcPr>
            <w:tcW w:w="920" w:type="dxa"/>
            <w:vAlign w:val="bottom"/>
            <w:shd w:val="clear" w:color="auto" w:fill="EBEBEC"/>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EBEBEC"/>
          </w:tcPr>
          <w:p>
            <w:pPr>
              <w:spacing w:after="0"/>
              <w:rPr>
                <w:sz w:val="11"/>
                <w:szCs w:val="11"/>
                <w:color w:val="auto"/>
              </w:rPr>
            </w:pPr>
          </w:p>
        </w:tc>
        <w:tc>
          <w:tcPr>
            <w:tcW w:w="300" w:type="dxa"/>
            <w:vAlign w:val="bottom"/>
            <w:shd w:val="clear" w:color="auto" w:fill="EBEBEC"/>
          </w:tcPr>
          <w:p>
            <w:pPr>
              <w:spacing w:after="0"/>
              <w:rPr>
                <w:sz w:val="11"/>
                <w:szCs w:val="11"/>
                <w:color w:val="auto"/>
              </w:rPr>
            </w:pPr>
          </w:p>
        </w:tc>
        <w:tc>
          <w:tcPr>
            <w:tcW w:w="840" w:type="dxa"/>
            <w:vAlign w:val="bottom"/>
            <w:shd w:val="clear" w:color="auto" w:fill="EBEBEC"/>
          </w:tcPr>
          <w:p>
            <w:pPr>
              <w:jc w:val="right"/>
              <w:ind w:right="38"/>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EBEBEC"/>
          </w:tcPr>
          <w:p>
            <w:pPr>
              <w:spacing w:after="0"/>
              <w:rPr>
                <w:sz w:val="11"/>
                <w:szCs w:val="11"/>
                <w:color w:val="auto"/>
              </w:rPr>
            </w:pPr>
          </w:p>
        </w:tc>
      </w:tr>
      <w:tr>
        <w:trPr>
          <w:trHeight w:val="135"/>
        </w:trPr>
        <w:tc>
          <w:tcPr>
            <w:tcW w:w="3080" w:type="dxa"/>
            <w:vAlign w:val="bottom"/>
            <w:shd w:val="clear" w:color="auto" w:fill="EBEBEC"/>
          </w:tcPr>
          <w:p>
            <w:pPr>
              <w:ind w:left="120"/>
              <w:spacing w:after="0" w:line="135" w:lineRule="exact"/>
              <w:rPr>
                <w:sz w:val="20"/>
                <w:szCs w:val="20"/>
                <w:color w:val="auto"/>
              </w:rPr>
            </w:pPr>
            <w:r>
              <w:rPr>
                <w:rFonts w:ascii="Arial" w:cs="Arial" w:eastAsia="Arial" w:hAnsi="Arial"/>
                <w:sz w:val="13"/>
                <w:szCs w:val="13"/>
                <w:color w:val="auto"/>
              </w:rPr>
              <w:t>Severance (d)</w:t>
            </w:r>
          </w:p>
        </w:tc>
        <w:tc>
          <w:tcPr>
            <w:tcW w:w="120" w:type="dxa"/>
            <w:vAlign w:val="bottom"/>
            <w:shd w:val="clear" w:color="auto" w:fill="EBEBEC"/>
          </w:tcPr>
          <w:p>
            <w:pPr>
              <w:spacing w:after="0"/>
              <w:rPr>
                <w:sz w:val="11"/>
                <w:szCs w:val="11"/>
                <w:color w:val="auto"/>
              </w:rPr>
            </w:pPr>
          </w:p>
        </w:tc>
        <w:tc>
          <w:tcPr>
            <w:tcW w:w="120" w:type="dxa"/>
            <w:vAlign w:val="bottom"/>
            <w:shd w:val="clear" w:color="auto" w:fill="EBEBEC"/>
          </w:tcPr>
          <w:p>
            <w:pPr>
              <w:spacing w:after="0"/>
              <w:rPr>
                <w:sz w:val="11"/>
                <w:szCs w:val="11"/>
                <w:color w:val="auto"/>
              </w:rPr>
            </w:pPr>
          </w:p>
        </w:tc>
        <w:tc>
          <w:tcPr>
            <w:tcW w:w="108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EBEBEC"/>
          </w:tcPr>
          <w:p>
            <w:pPr>
              <w:spacing w:after="0"/>
              <w:rPr>
                <w:sz w:val="11"/>
                <w:szCs w:val="11"/>
                <w:color w:val="auto"/>
              </w:rPr>
            </w:pPr>
          </w:p>
        </w:tc>
        <w:tc>
          <w:tcPr>
            <w:tcW w:w="300" w:type="dxa"/>
            <w:vAlign w:val="bottom"/>
            <w:shd w:val="clear" w:color="auto" w:fill="EBEBEC"/>
          </w:tcPr>
          <w:p>
            <w:pPr>
              <w:spacing w:after="0"/>
              <w:rPr>
                <w:sz w:val="11"/>
                <w:szCs w:val="11"/>
                <w:color w:val="auto"/>
              </w:rPr>
            </w:pPr>
          </w:p>
        </w:tc>
        <w:tc>
          <w:tcPr>
            <w:tcW w:w="260" w:type="dxa"/>
            <w:vAlign w:val="bottom"/>
            <w:shd w:val="clear" w:color="auto" w:fill="EBEBEC"/>
          </w:tcPr>
          <w:p>
            <w:pPr>
              <w:spacing w:after="0"/>
              <w:rPr>
                <w:sz w:val="11"/>
                <w:szCs w:val="11"/>
                <w:color w:val="auto"/>
              </w:rPr>
            </w:pPr>
          </w:p>
        </w:tc>
        <w:tc>
          <w:tcPr>
            <w:tcW w:w="1020" w:type="dxa"/>
            <w:vAlign w:val="bottom"/>
            <w:shd w:val="clear" w:color="auto" w:fill="EBEBEC"/>
          </w:tcPr>
          <w:p>
            <w:pPr>
              <w:jc w:val="right"/>
              <w:ind w:right="58"/>
              <w:spacing w:after="0" w:line="135" w:lineRule="exact"/>
              <w:rPr>
                <w:sz w:val="20"/>
                <w:szCs w:val="20"/>
                <w:color w:val="auto"/>
              </w:rPr>
            </w:pPr>
            <w:r>
              <w:rPr>
                <w:rFonts w:ascii="Arial" w:cs="Arial" w:eastAsia="Arial" w:hAnsi="Arial"/>
                <w:sz w:val="13"/>
                <w:szCs w:val="13"/>
                <w:color w:val="auto"/>
              </w:rPr>
              <w:t>1,754,964</w:t>
            </w:r>
          </w:p>
        </w:tc>
        <w:tc>
          <w:tcPr>
            <w:tcW w:w="260" w:type="dxa"/>
            <w:vAlign w:val="bottom"/>
            <w:shd w:val="clear" w:color="auto" w:fill="EBEBEC"/>
          </w:tcPr>
          <w:p>
            <w:pPr>
              <w:spacing w:after="0"/>
              <w:rPr>
                <w:sz w:val="11"/>
                <w:szCs w:val="11"/>
                <w:color w:val="auto"/>
              </w:rPr>
            </w:pPr>
          </w:p>
        </w:tc>
        <w:tc>
          <w:tcPr>
            <w:tcW w:w="300" w:type="dxa"/>
            <w:vAlign w:val="bottom"/>
            <w:shd w:val="clear" w:color="auto" w:fill="EBEBEC"/>
          </w:tcPr>
          <w:p>
            <w:pPr>
              <w:spacing w:after="0"/>
              <w:rPr>
                <w:sz w:val="11"/>
                <w:szCs w:val="11"/>
                <w:color w:val="auto"/>
              </w:rPr>
            </w:pPr>
          </w:p>
        </w:tc>
        <w:tc>
          <w:tcPr>
            <w:tcW w:w="940" w:type="dxa"/>
            <w:vAlign w:val="bottom"/>
            <w:shd w:val="clear" w:color="auto" w:fill="EBEBEC"/>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EBEBEC"/>
          </w:tcPr>
          <w:p>
            <w:pPr>
              <w:spacing w:after="0"/>
              <w:rPr>
                <w:sz w:val="11"/>
                <w:szCs w:val="11"/>
                <w:color w:val="auto"/>
              </w:rPr>
            </w:pPr>
          </w:p>
        </w:tc>
        <w:tc>
          <w:tcPr>
            <w:tcW w:w="320" w:type="dxa"/>
            <w:vAlign w:val="bottom"/>
            <w:shd w:val="clear" w:color="auto" w:fill="EBEBEC"/>
          </w:tcPr>
          <w:p>
            <w:pPr>
              <w:spacing w:after="0"/>
              <w:rPr>
                <w:sz w:val="11"/>
                <w:szCs w:val="11"/>
                <w:color w:val="auto"/>
              </w:rPr>
            </w:pPr>
          </w:p>
        </w:tc>
        <w:tc>
          <w:tcPr>
            <w:tcW w:w="920" w:type="dxa"/>
            <w:vAlign w:val="bottom"/>
            <w:shd w:val="clear" w:color="auto" w:fill="EBEBEC"/>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EBEBEC"/>
          </w:tcPr>
          <w:p>
            <w:pPr>
              <w:spacing w:after="0"/>
              <w:rPr>
                <w:sz w:val="11"/>
                <w:szCs w:val="11"/>
                <w:color w:val="auto"/>
              </w:rPr>
            </w:pPr>
          </w:p>
        </w:tc>
        <w:tc>
          <w:tcPr>
            <w:tcW w:w="300" w:type="dxa"/>
            <w:vAlign w:val="bottom"/>
            <w:shd w:val="clear" w:color="auto" w:fill="EBEBEC"/>
          </w:tcPr>
          <w:p>
            <w:pPr>
              <w:spacing w:after="0"/>
              <w:rPr>
                <w:sz w:val="11"/>
                <w:szCs w:val="11"/>
                <w:color w:val="auto"/>
              </w:rPr>
            </w:pPr>
          </w:p>
        </w:tc>
        <w:tc>
          <w:tcPr>
            <w:tcW w:w="840" w:type="dxa"/>
            <w:vAlign w:val="bottom"/>
            <w:shd w:val="clear" w:color="auto" w:fill="EBEBEC"/>
          </w:tcPr>
          <w:p>
            <w:pPr>
              <w:jc w:val="right"/>
              <w:ind w:right="38"/>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EBEBEC"/>
          </w:tcPr>
          <w:p>
            <w:pPr>
              <w:spacing w:after="0"/>
              <w:rPr>
                <w:sz w:val="11"/>
                <w:szCs w:val="11"/>
                <w:color w:val="auto"/>
              </w:rPr>
            </w:pPr>
          </w:p>
        </w:tc>
      </w:tr>
      <w:tr>
        <w:trPr>
          <w:trHeight w:val="153"/>
        </w:trPr>
        <w:tc>
          <w:tcPr>
            <w:tcW w:w="3080" w:type="dxa"/>
            <w:vAlign w:val="bottom"/>
            <w:tcBorders>
              <w:bottom w:val="single" w:sz="8" w:color="EBEBEC"/>
            </w:tcBorders>
            <w:shd w:val="clear" w:color="auto" w:fill="EBEBEC"/>
          </w:tcPr>
          <w:p>
            <w:pPr>
              <w:ind w:left="120"/>
              <w:spacing w:after="0"/>
              <w:rPr>
                <w:sz w:val="20"/>
                <w:szCs w:val="20"/>
                <w:color w:val="auto"/>
              </w:rPr>
            </w:pPr>
            <w:r>
              <w:rPr>
                <w:rFonts w:ascii="Arial" w:cs="Arial" w:eastAsia="Arial" w:hAnsi="Arial"/>
                <w:sz w:val="13"/>
                <w:szCs w:val="13"/>
                <w:color w:val="auto"/>
              </w:rPr>
              <w:t>Personal Benefits (e)</w:t>
            </w:r>
          </w:p>
        </w:tc>
        <w:tc>
          <w:tcPr>
            <w:tcW w:w="120" w:type="dxa"/>
            <w:vAlign w:val="bottom"/>
            <w:tcBorders>
              <w:bottom w:val="single" w:sz="8" w:color="EBEBEC"/>
            </w:tcBorders>
            <w:shd w:val="clear" w:color="auto" w:fill="EBEBEC"/>
          </w:tcPr>
          <w:p>
            <w:pPr>
              <w:spacing w:after="0"/>
              <w:rPr>
                <w:sz w:val="13"/>
                <w:szCs w:val="13"/>
                <w:color w:val="auto"/>
              </w:rPr>
            </w:pPr>
          </w:p>
        </w:tc>
        <w:tc>
          <w:tcPr>
            <w:tcW w:w="120" w:type="dxa"/>
            <w:vAlign w:val="bottom"/>
            <w:tcBorders>
              <w:bottom w:val="single" w:sz="8" w:color="auto"/>
            </w:tcBorders>
            <w:shd w:val="clear" w:color="auto" w:fill="EBEBEC"/>
          </w:tcPr>
          <w:p>
            <w:pPr>
              <w:spacing w:after="0"/>
              <w:rPr>
                <w:sz w:val="13"/>
                <w:szCs w:val="13"/>
                <w:color w:val="auto"/>
              </w:rPr>
            </w:pPr>
          </w:p>
        </w:tc>
        <w:tc>
          <w:tcPr>
            <w:tcW w:w="1080" w:type="dxa"/>
            <w:vAlign w:val="bottom"/>
            <w:tcBorders>
              <w:bottom w:val="single" w:sz="8" w:color="auto"/>
            </w:tcBorders>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shd w:val="clear" w:color="auto" w:fill="EBEBEC"/>
          </w:tcPr>
          <w:p>
            <w:pPr>
              <w:spacing w:after="0"/>
              <w:rPr>
                <w:sz w:val="13"/>
                <w:szCs w:val="13"/>
                <w:color w:val="auto"/>
              </w:rPr>
            </w:pPr>
          </w:p>
        </w:tc>
        <w:tc>
          <w:tcPr>
            <w:tcW w:w="300" w:type="dxa"/>
            <w:vAlign w:val="bottom"/>
            <w:tcBorders>
              <w:bottom w:val="single" w:sz="8" w:color="EBEBEC"/>
            </w:tcBorders>
            <w:shd w:val="clear" w:color="auto" w:fill="EBEBEC"/>
          </w:tcPr>
          <w:p>
            <w:pPr>
              <w:spacing w:after="0"/>
              <w:rPr>
                <w:sz w:val="13"/>
                <w:szCs w:val="13"/>
                <w:color w:val="auto"/>
              </w:rPr>
            </w:pPr>
          </w:p>
        </w:tc>
        <w:tc>
          <w:tcPr>
            <w:tcW w:w="260" w:type="dxa"/>
            <w:vAlign w:val="bottom"/>
            <w:tcBorders>
              <w:bottom w:val="single" w:sz="8" w:color="auto"/>
            </w:tcBorders>
            <w:shd w:val="clear" w:color="auto" w:fill="EBEBEC"/>
          </w:tcPr>
          <w:p>
            <w:pPr>
              <w:spacing w:after="0"/>
              <w:rPr>
                <w:sz w:val="13"/>
                <w:szCs w:val="13"/>
                <w:color w:val="auto"/>
              </w:rPr>
            </w:pPr>
          </w:p>
        </w:tc>
        <w:tc>
          <w:tcPr>
            <w:tcW w:w="1020" w:type="dxa"/>
            <w:vAlign w:val="bottom"/>
            <w:tcBorders>
              <w:bottom w:val="single" w:sz="8" w:color="auto"/>
            </w:tcBorders>
            <w:shd w:val="clear" w:color="auto" w:fill="EBEBEC"/>
          </w:tcPr>
          <w:p>
            <w:pPr>
              <w:jc w:val="right"/>
              <w:ind w:right="58"/>
              <w:spacing w:after="0"/>
              <w:rPr>
                <w:sz w:val="20"/>
                <w:szCs w:val="20"/>
                <w:color w:val="auto"/>
              </w:rPr>
            </w:pPr>
            <w:r>
              <w:rPr>
                <w:rFonts w:ascii="Arial" w:cs="Arial" w:eastAsia="Arial" w:hAnsi="Arial"/>
                <w:sz w:val="13"/>
                <w:szCs w:val="13"/>
                <w:color w:val="auto"/>
              </w:rPr>
              <w:t>15,000</w:t>
            </w:r>
          </w:p>
        </w:tc>
        <w:tc>
          <w:tcPr>
            <w:tcW w:w="260" w:type="dxa"/>
            <w:vAlign w:val="bottom"/>
            <w:tcBorders>
              <w:bottom w:val="single" w:sz="8" w:color="EBEBEC"/>
            </w:tcBorders>
            <w:shd w:val="clear" w:color="auto" w:fill="EBEBEC"/>
          </w:tcPr>
          <w:p>
            <w:pPr>
              <w:spacing w:after="0"/>
              <w:rPr>
                <w:sz w:val="13"/>
                <w:szCs w:val="13"/>
                <w:color w:val="auto"/>
              </w:rPr>
            </w:pPr>
          </w:p>
        </w:tc>
        <w:tc>
          <w:tcPr>
            <w:tcW w:w="300" w:type="dxa"/>
            <w:vAlign w:val="bottom"/>
            <w:tcBorders>
              <w:bottom w:val="single" w:sz="8" w:color="auto"/>
            </w:tcBorders>
            <w:shd w:val="clear" w:color="auto" w:fill="EBEBEC"/>
          </w:tcPr>
          <w:p>
            <w:pPr>
              <w:spacing w:after="0"/>
              <w:rPr>
                <w:sz w:val="13"/>
                <w:szCs w:val="13"/>
                <w:color w:val="auto"/>
              </w:rPr>
            </w:pPr>
          </w:p>
        </w:tc>
        <w:tc>
          <w:tcPr>
            <w:tcW w:w="940" w:type="dxa"/>
            <w:vAlign w:val="bottom"/>
            <w:tcBorders>
              <w:bottom w:val="single" w:sz="8" w:color="auto"/>
            </w:tcBorders>
            <w:shd w:val="clear" w:color="auto" w:fill="EBEBEC"/>
          </w:tcPr>
          <w:p>
            <w:pPr>
              <w:jc w:val="right"/>
              <w:ind w:right="58"/>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EBEBEC"/>
            </w:tcBorders>
            <w:shd w:val="clear" w:color="auto" w:fill="EBEBEC"/>
          </w:tcPr>
          <w:p>
            <w:pPr>
              <w:spacing w:after="0"/>
              <w:rPr>
                <w:sz w:val="13"/>
                <w:szCs w:val="13"/>
                <w:color w:val="auto"/>
              </w:rPr>
            </w:pPr>
          </w:p>
        </w:tc>
        <w:tc>
          <w:tcPr>
            <w:tcW w:w="320" w:type="dxa"/>
            <w:vAlign w:val="bottom"/>
            <w:tcBorders>
              <w:bottom w:val="single" w:sz="8" w:color="auto"/>
            </w:tcBorders>
            <w:shd w:val="clear" w:color="auto" w:fill="EBEBEC"/>
          </w:tcPr>
          <w:p>
            <w:pPr>
              <w:spacing w:after="0"/>
              <w:rPr>
                <w:sz w:val="13"/>
                <w:szCs w:val="13"/>
                <w:color w:val="auto"/>
              </w:rPr>
            </w:pPr>
          </w:p>
        </w:tc>
        <w:tc>
          <w:tcPr>
            <w:tcW w:w="920" w:type="dxa"/>
            <w:vAlign w:val="bottom"/>
            <w:tcBorders>
              <w:bottom w:val="single" w:sz="8" w:color="auto"/>
            </w:tcBorders>
            <w:shd w:val="clear" w:color="auto" w:fill="EBEBEC"/>
          </w:tcPr>
          <w:p>
            <w:pPr>
              <w:jc w:val="right"/>
              <w:ind w:right="58"/>
              <w:spacing w:after="0"/>
              <w:rPr>
                <w:sz w:val="20"/>
                <w:szCs w:val="20"/>
                <w:color w:val="auto"/>
              </w:rPr>
            </w:pPr>
            <w:r>
              <w:rPr>
                <w:rFonts w:ascii="Arial" w:cs="Arial" w:eastAsia="Arial" w:hAnsi="Arial"/>
                <w:sz w:val="13"/>
                <w:szCs w:val="13"/>
                <w:color w:val="auto"/>
              </w:rPr>
              <w:t>10,505</w:t>
            </w:r>
          </w:p>
        </w:tc>
        <w:tc>
          <w:tcPr>
            <w:tcW w:w="260" w:type="dxa"/>
            <w:vAlign w:val="bottom"/>
            <w:tcBorders>
              <w:bottom w:val="single" w:sz="8" w:color="EBEBEC"/>
            </w:tcBorders>
            <w:shd w:val="clear" w:color="auto" w:fill="EBEBEC"/>
          </w:tcPr>
          <w:p>
            <w:pPr>
              <w:spacing w:after="0"/>
              <w:rPr>
                <w:sz w:val="13"/>
                <w:szCs w:val="13"/>
                <w:color w:val="auto"/>
              </w:rPr>
            </w:pPr>
          </w:p>
        </w:tc>
        <w:tc>
          <w:tcPr>
            <w:tcW w:w="300" w:type="dxa"/>
            <w:vAlign w:val="bottom"/>
            <w:tcBorders>
              <w:bottom w:val="single" w:sz="8" w:color="auto"/>
            </w:tcBorders>
            <w:shd w:val="clear" w:color="auto" w:fill="EBEBEC"/>
          </w:tcPr>
          <w:p>
            <w:pPr>
              <w:spacing w:after="0"/>
              <w:rPr>
                <w:sz w:val="13"/>
                <w:szCs w:val="13"/>
                <w:color w:val="auto"/>
              </w:rPr>
            </w:pPr>
          </w:p>
        </w:tc>
        <w:tc>
          <w:tcPr>
            <w:tcW w:w="840" w:type="dxa"/>
            <w:vAlign w:val="bottom"/>
            <w:tcBorders>
              <w:bottom w:val="single" w:sz="8" w:color="auto"/>
            </w:tcBorders>
            <w:shd w:val="clear" w:color="auto" w:fill="EBEBEC"/>
          </w:tcPr>
          <w:p>
            <w:pPr>
              <w:jc w:val="right"/>
              <w:ind w:right="38"/>
              <w:spacing w:after="0"/>
              <w:rPr>
                <w:sz w:val="20"/>
                <w:szCs w:val="20"/>
                <w:color w:val="auto"/>
              </w:rPr>
            </w:pPr>
            <w:r>
              <w:rPr>
                <w:rFonts w:ascii="Arial" w:cs="Arial" w:eastAsia="Arial" w:hAnsi="Arial"/>
                <w:sz w:val="13"/>
                <w:szCs w:val="13"/>
                <w:color w:val="auto"/>
              </w:rPr>
              <w:t>11,650</w:t>
            </w:r>
          </w:p>
        </w:tc>
        <w:tc>
          <w:tcPr>
            <w:tcW w:w="320" w:type="dxa"/>
            <w:vAlign w:val="bottom"/>
            <w:tcBorders>
              <w:bottom w:val="single" w:sz="8" w:color="EBEBEC"/>
            </w:tcBorders>
            <w:shd w:val="clear" w:color="auto" w:fill="EBEBEC"/>
          </w:tcPr>
          <w:p>
            <w:pPr>
              <w:spacing w:after="0"/>
              <w:rPr>
                <w:sz w:val="13"/>
                <w:szCs w:val="13"/>
                <w:color w:val="auto"/>
              </w:rPr>
            </w:pPr>
          </w:p>
        </w:tc>
      </w:tr>
      <w:tr>
        <w:trPr>
          <w:trHeight w:val="128"/>
        </w:trPr>
        <w:tc>
          <w:tcPr>
            <w:tcW w:w="3080" w:type="dxa"/>
            <w:vAlign w:val="bottom"/>
            <w:shd w:val="clear" w:color="auto" w:fill="EBEBEC"/>
          </w:tcPr>
          <w:p>
            <w:pPr>
              <w:ind w:left="120"/>
              <w:spacing w:after="0" w:line="129" w:lineRule="exact"/>
              <w:rPr>
                <w:sz w:val="20"/>
                <w:szCs w:val="20"/>
                <w:color w:val="auto"/>
              </w:rPr>
            </w:pPr>
            <w:r>
              <w:rPr>
                <w:rFonts w:ascii="Arial" w:cs="Arial" w:eastAsia="Arial" w:hAnsi="Arial"/>
                <w:sz w:val="13"/>
                <w:szCs w:val="13"/>
                <w:color w:val="auto"/>
              </w:rPr>
              <w:t>Total</w:t>
            </w:r>
          </w:p>
        </w:tc>
        <w:tc>
          <w:tcPr>
            <w:tcW w:w="120" w:type="dxa"/>
            <w:vAlign w:val="bottom"/>
            <w:shd w:val="clear" w:color="auto" w:fill="EBEBEC"/>
          </w:tcPr>
          <w:p>
            <w:pPr>
              <w:spacing w:after="0"/>
              <w:rPr>
                <w:sz w:val="11"/>
                <w:szCs w:val="11"/>
                <w:color w:val="auto"/>
              </w:rPr>
            </w:pPr>
          </w:p>
        </w:tc>
        <w:tc>
          <w:tcPr>
            <w:tcW w:w="120" w:type="dxa"/>
            <w:vAlign w:val="bottom"/>
            <w:shd w:val="clear" w:color="auto" w:fill="EBEBEC"/>
          </w:tcPr>
          <w:p>
            <w:pPr>
              <w:jc w:val="right"/>
              <w:spacing w:after="0" w:line="129" w:lineRule="exact"/>
              <w:rPr>
                <w:sz w:val="20"/>
                <w:szCs w:val="20"/>
                <w:color w:val="auto"/>
              </w:rPr>
            </w:pPr>
            <w:r>
              <w:rPr>
                <w:rFonts w:ascii="Arial" w:cs="Arial" w:eastAsia="Arial" w:hAnsi="Arial"/>
                <w:sz w:val="13"/>
                <w:szCs w:val="13"/>
                <w:color w:val="auto"/>
              </w:rPr>
              <w:t>$</w:t>
            </w:r>
          </w:p>
        </w:tc>
        <w:tc>
          <w:tcPr>
            <w:tcW w:w="1080" w:type="dxa"/>
            <w:vAlign w:val="bottom"/>
            <w:shd w:val="clear" w:color="auto" w:fill="EBEBEC"/>
          </w:tcPr>
          <w:p>
            <w:pPr>
              <w:jc w:val="right"/>
              <w:spacing w:after="0" w:line="129" w:lineRule="exact"/>
              <w:rPr>
                <w:sz w:val="20"/>
                <w:szCs w:val="20"/>
                <w:color w:val="auto"/>
              </w:rPr>
            </w:pPr>
            <w:r>
              <w:rPr>
                <w:rFonts w:ascii="Arial" w:cs="Arial" w:eastAsia="Arial" w:hAnsi="Arial"/>
                <w:sz w:val="13"/>
                <w:szCs w:val="13"/>
                <w:color w:val="auto"/>
              </w:rPr>
              <w:t>181,684</w:t>
            </w:r>
          </w:p>
        </w:tc>
        <w:tc>
          <w:tcPr>
            <w:tcW w:w="80" w:type="dxa"/>
            <w:vAlign w:val="bottom"/>
            <w:shd w:val="clear" w:color="auto" w:fill="EBEBEC"/>
          </w:tcPr>
          <w:p>
            <w:pPr>
              <w:spacing w:after="0"/>
              <w:rPr>
                <w:sz w:val="11"/>
                <w:szCs w:val="11"/>
                <w:color w:val="auto"/>
              </w:rPr>
            </w:pPr>
          </w:p>
        </w:tc>
        <w:tc>
          <w:tcPr>
            <w:tcW w:w="560" w:type="dxa"/>
            <w:vAlign w:val="bottom"/>
            <w:gridSpan w:val="2"/>
            <w:shd w:val="clear" w:color="auto" w:fill="EBEBEC"/>
          </w:tcPr>
          <w:p>
            <w:pPr>
              <w:jc w:val="right"/>
              <w:ind w:right="180"/>
              <w:spacing w:after="0" w:line="129" w:lineRule="exact"/>
              <w:rPr>
                <w:sz w:val="20"/>
                <w:szCs w:val="20"/>
                <w:color w:val="auto"/>
              </w:rPr>
            </w:pPr>
            <w:r>
              <w:rPr>
                <w:rFonts w:ascii="Arial" w:cs="Arial" w:eastAsia="Arial" w:hAnsi="Arial"/>
                <w:sz w:val="13"/>
                <w:szCs w:val="13"/>
                <w:color w:val="auto"/>
              </w:rPr>
              <w:t>$</w:t>
            </w:r>
          </w:p>
        </w:tc>
        <w:tc>
          <w:tcPr>
            <w:tcW w:w="1020" w:type="dxa"/>
            <w:vAlign w:val="bottom"/>
            <w:shd w:val="clear" w:color="auto" w:fill="EBEBEC"/>
          </w:tcPr>
          <w:p>
            <w:pPr>
              <w:jc w:val="right"/>
              <w:ind w:right="58"/>
              <w:spacing w:after="0" w:line="129" w:lineRule="exact"/>
              <w:rPr>
                <w:sz w:val="20"/>
                <w:szCs w:val="20"/>
                <w:color w:val="auto"/>
              </w:rPr>
            </w:pPr>
            <w:r>
              <w:rPr>
                <w:rFonts w:ascii="Arial" w:cs="Arial" w:eastAsia="Arial" w:hAnsi="Arial"/>
                <w:sz w:val="13"/>
                <w:szCs w:val="13"/>
                <w:color w:val="auto"/>
              </w:rPr>
              <w:t>1,951,092</w:t>
            </w:r>
          </w:p>
        </w:tc>
        <w:tc>
          <w:tcPr>
            <w:tcW w:w="560" w:type="dxa"/>
            <w:vAlign w:val="bottom"/>
            <w:gridSpan w:val="2"/>
            <w:shd w:val="clear" w:color="auto" w:fill="EBEBEC"/>
          </w:tcPr>
          <w:p>
            <w:pPr>
              <w:jc w:val="right"/>
              <w:ind w:right="220"/>
              <w:spacing w:after="0" w:line="129" w:lineRule="exact"/>
              <w:rPr>
                <w:sz w:val="20"/>
                <w:szCs w:val="20"/>
                <w:color w:val="auto"/>
              </w:rPr>
            </w:pPr>
            <w:r>
              <w:rPr>
                <w:rFonts w:ascii="Arial" w:cs="Arial" w:eastAsia="Arial" w:hAnsi="Arial"/>
                <w:sz w:val="13"/>
                <w:szCs w:val="13"/>
                <w:color w:val="auto"/>
              </w:rPr>
              <w:t>$</w:t>
            </w:r>
          </w:p>
        </w:tc>
        <w:tc>
          <w:tcPr>
            <w:tcW w:w="940" w:type="dxa"/>
            <w:vAlign w:val="bottom"/>
            <w:shd w:val="clear" w:color="auto" w:fill="EBEBEC"/>
          </w:tcPr>
          <w:p>
            <w:pPr>
              <w:jc w:val="right"/>
              <w:ind w:right="58"/>
              <w:spacing w:after="0" w:line="129" w:lineRule="exact"/>
              <w:rPr>
                <w:sz w:val="20"/>
                <w:szCs w:val="20"/>
                <w:color w:val="auto"/>
              </w:rPr>
            </w:pPr>
            <w:r>
              <w:rPr>
                <w:rFonts w:ascii="Arial" w:cs="Arial" w:eastAsia="Arial" w:hAnsi="Arial"/>
                <w:sz w:val="13"/>
                <w:szCs w:val="13"/>
                <w:color w:val="auto"/>
              </w:rPr>
              <w:t>113,981</w:t>
            </w:r>
          </w:p>
        </w:tc>
        <w:tc>
          <w:tcPr>
            <w:tcW w:w="580" w:type="dxa"/>
            <w:vAlign w:val="bottom"/>
            <w:gridSpan w:val="2"/>
            <w:shd w:val="clear" w:color="auto" w:fill="EBEBEC"/>
          </w:tcPr>
          <w:p>
            <w:pPr>
              <w:jc w:val="right"/>
              <w:ind w:right="240"/>
              <w:spacing w:after="0" w:line="129" w:lineRule="exact"/>
              <w:rPr>
                <w:sz w:val="20"/>
                <w:szCs w:val="20"/>
                <w:color w:val="auto"/>
              </w:rPr>
            </w:pPr>
            <w:r>
              <w:rPr>
                <w:rFonts w:ascii="Arial" w:cs="Arial" w:eastAsia="Arial" w:hAnsi="Arial"/>
                <w:sz w:val="13"/>
                <w:szCs w:val="13"/>
                <w:color w:val="auto"/>
              </w:rPr>
              <w:t>$</w:t>
            </w:r>
          </w:p>
        </w:tc>
        <w:tc>
          <w:tcPr>
            <w:tcW w:w="920" w:type="dxa"/>
            <w:vAlign w:val="bottom"/>
            <w:shd w:val="clear" w:color="auto" w:fill="EBEBEC"/>
          </w:tcPr>
          <w:p>
            <w:pPr>
              <w:jc w:val="right"/>
              <w:ind w:right="58"/>
              <w:spacing w:after="0" w:line="129" w:lineRule="exact"/>
              <w:rPr>
                <w:sz w:val="20"/>
                <w:szCs w:val="20"/>
                <w:color w:val="auto"/>
              </w:rPr>
            </w:pPr>
            <w:r>
              <w:rPr>
                <w:rFonts w:ascii="Arial" w:cs="Arial" w:eastAsia="Arial" w:hAnsi="Arial"/>
                <w:sz w:val="13"/>
                <w:szCs w:val="13"/>
                <w:color w:val="auto"/>
              </w:rPr>
              <w:t>136,102</w:t>
            </w:r>
          </w:p>
        </w:tc>
        <w:tc>
          <w:tcPr>
            <w:tcW w:w="560" w:type="dxa"/>
            <w:vAlign w:val="bottom"/>
            <w:gridSpan w:val="2"/>
            <w:shd w:val="clear" w:color="auto" w:fill="EBEBEC"/>
          </w:tcPr>
          <w:p>
            <w:pPr>
              <w:jc w:val="right"/>
              <w:ind w:right="220"/>
              <w:spacing w:after="0" w:line="129" w:lineRule="exact"/>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38"/>
              <w:spacing w:after="0" w:line="129" w:lineRule="exact"/>
              <w:rPr>
                <w:sz w:val="20"/>
                <w:szCs w:val="20"/>
                <w:color w:val="auto"/>
              </w:rPr>
            </w:pPr>
            <w:r>
              <w:rPr>
                <w:rFonts w:ascii="Arial" w:cs="Arial" w:eastAsia="Arial" w:hAnsi="Arial"/>
                <w:sz w:val="13"/>
                <w:szCs w:val="13"/>
                <w:color w:val="auto"/>
              </w:rPr>
              <w:t>138,016</w:t>
            </w:r>
          </w:p>
        </w:tc>
        <w:tc>
          <w:tcPr>
            <w:tcW w:w="320" w:type="dxa"/>
            <w:vAlign w:val="bottom"/>
            <w:shd w:val="clear" w:color="auto" w:fill="EBEBEC"/>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-93345</wp:posOffset>
            </wp:positionV>
            <wp:extent cx="1028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-93345</wp:posOffset>
            </wp:positionV>
            <wp:extent cx="939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-93345</wp:posOffset>
            </wp:positionV>
            <wp:extent cx="939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-93345</wp:posOffset>
            </wp:positionV>
            <wp:extent cx="939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-93345</wp:posOffset>
            </wp:positionV>
            <wp:extent cx="946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33" w:lineRule="exact"/>
        <w:rPr>
          <w:sz w:val="20"/>
          <w:szCs w:val="20"/>
          <w:color w:val="auto"/>
        </w:rPr>
      </w:pPr>
    </w:p>
    <w:p>
      <w:pPr>
        <w:ind w:left="660" w:right="580" w:hanging="307"/>
        <w:spacing w:after="0" w:line="285" w:lineRule="auto"/>
        <w:tabs>
          <w:tab w:leader="none" w:pos="660" w:val="left"/>
        </w:tabs>
        <w:numPr>
          <w:ilvl w:val="1"/>
          <w:numId w:val="29"/>
        </w:numPr>
        <w:rPr>
          <w:rFonts w:ascii="Arial" w:cs="Arial" w:eastAsia="Arial" w:hAnsi="Arial"/>
          <w:sz w:val="14"/>
          <w:szCs w:val="14"/>
          <w:color w:val="auto"/>
        </w:rPr>
      </w:pPr>
      <w:r>
        <w:rPr>
          <w:rFonts w:ascii="Arial" w:cs="Arial" w:eastAsia="Arial" w:hAnsi="Arial"/>
          <w:sz w:val="14"/>
          <w:szCs w:val="14"/>
          <w:color w:val="auto"/>
        </w:rPr>
        <w:t>The amount shown reflects the Company matching and profit-sharing retirement contributions to the qualified defined contribution savings plan–the California Resources Corporation Savings Plan (the “Qualified Plan”).</w:t>
      </w:r>
    </w:p>
    <w:p>
      <w:pPr>
        <w:spacing w:after="0" w:line="90" w:lineRule="exact"/>
        <w:rPr>
          <w:rFonts w:ascii="Arial" w:cs="Arial" w:eastAsia="Arial" w:hAnsi="Arial"/>
          <w:sz w:val="14"/>
          <w:szCs w:val="14"/>
          <w:color w:val="auto"/>
        </w:rPr>
      </w:pPr>
    </w:p>
    <w:p>
      <w:pPr>
        <w:ind w:left="660" w:right="100" w:hanging="307"/>
        <w:spacing w:after="0" w:line="285" w:lineRule="auto"/>
        <w:tabs>
          <w:tab w:leader="none" w:pos="660" w:val="left"/>
        </w:tabs>
        <w:numPr>
          <w:ilvl w:val="1"/>
          <w:numId w:val="29"/>
        </w:numPr>
        <w:rPr>
          <w:rFonts w:ascii="Arial" w:cs="Arial" w:eastAsia="Arial" w:hAnsi="Arial"/>
          <w:sz w:val="14"/>
          <w:szCs w:val="14"/>
          <w:color w:val="auto"/>
        </w:rPr>
      </w:pPr>
      <w:r>
        <w:rPr>
          <w:rFonts w:ascii="Arial" w:cs="Arial" w:eastAsia="Arial" w:hAnsi="Arial"/>
          <w:sz w:val="14"/>
          <w:szCs w:val="14"/>
          <w:color w:val="auto"/>
        </w:rPr>
        <w:t>The amount shown is the Company contributions to the nonqualified defined contribution plan–the California Resources Corporation Supplemental Savings Plan (the “Supplemental Plan”), which restores amounts limited by the IRS to the Qualified Plan.</w:t>
      </w:r>
    </w:p>
    <w:p>
      <w:pPr>
        <w:spacing w:after="0" w:line="76" w:lineRule="exact"/>
        <w:rPr>
          <w:rFonts w:ascii="Arial" w:cs="Arial" w:eastAsia="Arial" w:hAnsi="Arial"/>
          <w:sz w:val="14"/>
          <w:szCs w:val="14"/>
          <w:color w:val="auto"/>
        </w:rPr>
      </w:pPr>
    </w:p>
    <w:p>
      <w:pPr>
        <w:ind w:left="660" w:hanging="307"/>
        <w:spacing w:after="0"/>
        <w:tabs>
          <w:tab w:leader="none" w:pos="660" w:val="left"/>
        </w:tabs>
        <w:numPr>
          <w:ilvl w:val="1"/>
          <w:numId w:val="29"/>
        </w:numPr>
        <w:rPr>
          <w:rFonts w:ascii="Arial" w:cs="Arial" w:eastAsia="Arial" w:hAnsi="Arial"/>
          <w:sz w:val="14"/>
          <w:szCs w:val="14"/>
          <w:color w:val="auto"/>
        </w:rPr>
      </w:pPr>
      <w:r>
        <w:rPr>
          <w:rFonts w:ascii="Arial" w:cs="Arial" w:eastAsia="Arial" w:hAnsi="Arial"/>
          <w:sz w:val="14"/>
          <w:szCs w:val="14"/>
          <w:color w:val="auto"/>
        </w:rPr>
        <w:t>Reflects payouts of unused accrued vacation following termination of employment.</w:t>
      </w:r>
    </w:p>
    <w:p>
      <w:pPr>
        <w:spacing w:after="0" w:line="149" w:lineRule="exact"/>
        <w:rPr>
          <w:rFonts w:ascii="Arial" w:cs="Arial" w:eastAsia="Arial" w:hAnsi="Arial"/>
          <w:sz w:val="14"/>
          <w:szCs w:val="14"/>
          <w:color w:val="auto"/>
        </w:rPr>
      </w:pPr>
    </w:p>
    <w:p>
      <w:pPr>
        <w:ind w:left="660" w:right="480" w:hanging="307"/>
        <w:spacing w:after="0" w:line="285" w:lineRule="auto"/>
        <w:tabs>
          <w:tab w:leader="none" w:pos="660" w:val="left"/>
        </w:tabs>
        <w:numPr>
          <w:ilvl w:val="1"/>
          <w:numId w:val="29"/>
        </w:numPr>
        <w:rPr>
          <w:rFonts w:ascii="Arial" w:cs="Arial" w:eastAsia="Arial" w:hAnsi="Arial"/>
          <w:sz w:val="14"/>
          <w:szCs w:val="14"/>
          <w:color w:val="auto"/>
        </w:rPr>
      </w:pPr>
      <w:r>
        <w:rPr>
          <w:rFonts w:ascii="Arial" w:cs="Arial" w:eastAsia="Arial" w:hAnsi="Arial"/>
          <w:sz w:val="14"/>
          <w:szCs w:val="14"/>
          <w:color w:val="auto"/>
        </w:rPr>
        <w:t>Reflects the value of severance payments Ms. Molina received for her termination on December 31, 2024, under the terms of her employment agreement. See footnote 7 below.</w:t>
      </w:r>
    </w:p>
    <w:p>
      <w:pPr>
        <w:spacing w:after="0" w:line="90" w:lineRule="exact"/>
        <w:rPr>
          <w:rFonts w:ascii="Arial" w:cs="Arial" w:eastAsia="Arial" w:hAnsi="Arial"/>
          <w:sz w:val="14"/>
          <w:szCs w:val="14"/>
          <w:color w:val="auto"/>
        </w:rPr>
      </w:pPr>
    </w:p>
    <w:p>
      <w:pPr>
        <w:ind w:left="660" w:right="560" w:hanging="307"/>
        <w:spacing w:after="0" w:line="285" w:lineRule="auto"/>
        <w:tabs>
          <w:tab w:leader="none" w:pos="660" w:val="left"/>
        </w:tabs>
        <w:numPr>
          <w:ilvl w:val="1"/>
          <w:numId w:val="29"/>
        </w:numPr>
        <w:rPr>
          <w:rFonts w:ascii="Arial" w:cs="Arial" w:eastAsia="Arial" w:hAnsi="Arial"/>
          <w:sz w:val="14"/>
          <w:szCs w:val="14"/>
          <w:color w:val="auto"/>
        </w:rPr>
      </w:pPr>
      <w:r>
        <w:rPr>
          <w:rFonts w:ascii="Arial" w:cs="Arial" w:eastAsia="Arial" w:hAnsi="Arial"/>
          <w:sz w:val="14"/>
          <w:szCs w:val="14"/>
          <w:color w:val="auto"/>
        </w:rPr>
        <w:t>Reflects financial counseling benefits for all. For Mr. Preston, also includes $10,000 for charitable matching gifts under the Company's charitable matching gift program.</w:t>
      </w:r>
    </w:p>
    <w:p>
      <w:pPr>
        <w:spacing w:after="0" w:line="49" w:lineRule="exact"/>
        <w:rPr>
          <w:rFonts w:ascii="Arial" w:cs="Arial" w:eastAsia="Arial" w:hAnsi="Arial"/>
          <w:sz w:val="14"/>
          <w:szCs w:val="14"/>
          <w:color w:val="auto"/>
        </w:rPr>
      </w:pPr>
    </w:p>
    <w:p>
      <w:pPr>
        <w:ind w:left="320" w:right="140" w:hanging="312"/>
        <w:spacing w:after="0" w:line="263" w:lineRule="auto"/>
        <w:tabs>
          <w:tab w:leader="none" w:pos="320" w:val="left"/>
        </w:tabs>
        <w:numPr>
          <w:ilvl w:val="0"/>
          <w:numId w:val="30"/>
        </w:numPr>
        <w:rPr>
          <w:rFonts w:ascii="Arial" w:cs="Arial" w:eastAsia="Arial" w:hAnsi="Arial"/>
          <w:sz w:val="12"/>
          <w:szCs w:val="12"/>
          <w:color w:val="auto"/>
        </w:rPr>
      </w:pPr>
      <w:r>
        <w:rPr>
          <w:rFonts w:ascii="Arial" w:cs="Arial" w:eastAsia="Arial" w:hAnsi="Arial"/>
          <w:sz w:val="14"/>
          <w:szCs w:val="14"/>
          <w:color w:val="auto"/>
        </w:rPr>
        <w:t>Ms. Molina was not an NEO in 2022. Compensation paid for years in which the executive was not an NEO are not disclosed in the SCT. As a result of her termination for the convenience of the Company on December 31, 2024, under the terms of her employment agreement, Ms. Molina was eligible for certain severance benefits, including 18 months of base salary plus annual target bonus and continued medical coverage at active contribution rates for 18 months.</w:t>
      </w:r>
    </w:p>
    <w:p>
      <w:pPr>
        <w:spacing w:after="0" w:line="64" w:lineRule="exact"/>
        <w:rPr>
          <w:rFonts w:ascii="Arial" w:cs="Arial" w:eastAsia="Arial" w:hAnsi="Arial"/>
          <w:sz w:val="12"/>
          <w:szCs w:val="12"/>
          <w:color w:val="auto"/>
        </w:rPr>
      </w:pPr>
    </w:p>
    <w:p>
      <w:pPr>
        <w:ind w:left="320" w:hanging="312"/>
        <w:spacing w:after="0"/>
        <w:tabs>
          <w:tab w:leader="none" w:pos="320" w:val="left"/>
        </w:tabs>
        <w:numPr>
          <w:ilvl w:val="0"/>
          <w:numId w:val="30"/>
        </w:numPr>
        <w:rPr>
          <w:rFonts w:ascii="Arial" w:cs="Arial" w:eastAsia="Arial" w:hAnsi="Arial"/>
          <w:sz w:val="12"/>
          <w:szCs w:val="12"/>
          <w:color w:val="auto"/>
        </w:rPr>
      </w:pPr>
      <w:r>
        <w:rPr>
          <w:rFonts w:ascii="Arial" w:cs="Arial" w:eastAsia="Arial" w:hAnsi="Arial"/>
          <w:sz w:val="14"/>
          <w:szCs w:val="14"/>
          <w:color w:val="auto"/>
        </w:rPr>
        <w:t>Mr. Gould was not an NEO in 2022. Compensation paid for years in which the executive was not an NEO are not disclosed in the SCT.</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Grants of Plan-Based Awards</w:t>
      </w:r>
    </w:p>
    <w:p>
      <w:pPr>
        <w:spacing w:after="0" w:line="12"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The table below summarizes the plan-based awards granted in 2024 to our NEOs, which included AIP awards (Annual Incentive), Restricted Stock Unit awards (RSU) and Performance Stock Unit awards (PSU).</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62"/>
              <w:spacing w:after="0"/>
              <w:rPr>
                <w:sz w:val="20"/>
                <w:szCs w:val="20"/>
                <w:color w:val="auto"/>
              </w:rPr>
            </w:pPr>
            <w:r>
              <w:rPr>
                <w:rFonts w:ascii="Arial" w:cs="Arial" w:eastAsia="Arial" w:hAnsi="Arial"/>
                <w:sz w:val="12"/>
                <w:szCs w:val="12"/>
                <w:b w:val="1"/>
                <w:bCs w:val="1"/>
                <w:color w:val="0075C9"/>
                <w:w w:val="98"/>
              </w:rPr>
              <w:t>All 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35"/>
        </w:trPr>
        <w:tc>
          <w:tcPr>
            <w:tcW w:w="1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42"/>
              <w:spacing w:after="0" w:line="135" w:lineRule="exact"/>
              <w:rPr>
                <w:sz w:val="20"/>
                <w:szCs w:val="20"/>
                <w:color w:val="auto"/>
              </w:rPr>
            </w:pPr>
            <w:r>
              <w:rPr>
                <w:rFonts w:ascii="Arial" w:cs="Arial" w:eastAsia="Arial" w:hAnsi="Arial"/>
                <w:sz w:val="12"/>
                <w:szCs w:val="12"/>
                <w:b w:val="1"/>
                <w:bCs w:val="1"/>
                <w:color w:val="0075C9"/>
                <w:w w:val="97"/>
              </w:rPr>
              <w:t>Stock</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1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62"/>
              <w:spacing w:after="0" w:line="135" w:lineRule="exact"/>
              <w:rPr>
                <w:sz w:val="20"/>
                <w:szCs w:val="20"/>
                <w:color w:val="auto"/>
              </w:rPr>
            </w:pPr>
            <w:r>
              <w:rPr>
                <w:rFonts w:ascii="Arial" w:cs="Arial" w:eastAsia="Arial" w:hAnsi="Arial"/>
                <w:sz w:val="12"/>
                <w:szCs w:val="12"/>
                <w:b w:val="1"/>
                <w:bCs w:val="1"/>
                <w:color w:val="0075C9"/>
                <w:w w:val="97"/>
              </w:rPr>
              <w:t>Awards: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1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62"/>
              <w:spacing w:after="0" w:line="135" w:lineRule="exact"/>
              <w:rPr>
                <w:sz w:val="20"/>
                <w:szCs w:val="20"/>
                <w:color w:val="auto"/>
              </w:rPr>
            </w:pPr>
            <w:r>
              <w:rPr>
                <w:rFonts w:ascii="Arial" w:cs="Arial" w:eastAsia="Arial" w:hAnsi="Arial"/>
                <w:sz w:val="12"/>
                <w:szCs w:val="12"/>
                <w:b w:val="1"/>
                <w:bCs w:val="1"/>
                <w:color w:val="0075C9"/>
                <w:w w:val="96"/>
              </w:rPr>
              <w:t>Number of</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202"/>
              <w:spacing w:after="0" w:line="135" w:lineRule="exact"/>
              <w:rPr>
                <w:sz w:val="20"/>
                <w:szCs w:val="20"/>
                <w:color w:val="auto"/>
              </w:rPr>
            </w:pPr>
            <w:r>
              <w:rPr>
                <w:rFonts w:ascii="Arial" w:cs="Arial" w:eastAsia="Arial" w:hAnsi="Arial"/>
                <w:sz w:val="12"/>
                <w:szCs w:val="12"/>
                <w:b w:val="1"/>
                <w:bCs w:val="1"/>
                <w:color w:val="0075C9"/>
                <w:w w:val="97"/>
              </w:rPr>
              <w:t>Grant Date</w:t>
            </w:r>
          </w:p>
        </w:tc>
      </w:tr>
      <w:tr>
        <w:trPr>
          <w:trHeight w:val="135"/>
        </w:trPr>
        <w:tc>
          <w:tcPr>
            <w:tcW w:w="1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20" w:type="dxa"/>
            <w:vAlign w:val="bottom"/>
            <w:gridSpan w:val="4"/>
          </w:tcPr>
          <w:p>
            <w:pPr>
              <w:jc w:val="center"/>
              <w:ind w:left="503"/>
              <w:spacing w:after="0" w:line="135" w:lineRule="exact"/>
              <w:rPr>
                <w:sz w:val="20"/>
                <w:szCs w:val="20"/>
                <w:color w:val="auto"/>
              </w:rPr>
            </w:pPr>
            <w:r>
              <w:rPr>
                <w:rFonts w:ascii="Arial" w:cs="Arial" w:eastAsia="Arial" w:hAnsi="Arial"/>
                <w:sz w:val="12"/>
                <w:szCs w:val="12"/>
                <w:b w:val="1"/>
                <w:bCs w:val="1"/>
                <w:color w:val="0075C9"/>
                <w:w w:val="97"/>
              </w:rPr>
              <w:t>Estimated Future Payouts</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20" w:type="dxa"/>
            <w:vAlign w:val="bottom"/>
            <w:gridSpan w:val="2"/>
          </w:tcPr>
          <w:p>
            <w:pPr>
              <w:jc w:val="center"/>
              <w:ind w:left="703"/>
              <w:spacing w:after="0" w:line="135" w:lineRule="exact"/>
              <w:rPr>
                <w:sz w:val="20"/>
                <w:szCs w:val="20"/>
                <w:color w:val="auto"/>
              </w:rPr>
            </w:pPr>
            <w:r>
              <w:rPr>
                <w:rFonts w:ascii="Arial" w:cs="Arial" w:eastAsia="Arial" w:hAnsi="Arial"/>
                <w:sz w:val="12"/>
                <w:szCs w:val="12"/>
                <w:b w:val="1"/>
                <w:bCs w:val="1"/>
                <w:color w:val="0075C9"/>
                <w:w w:val="97"/>
              </w:rPr>
              <w:t>Estimated Future Payouts</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62"/>
              <w:spacing w:after="0" w:line="135" w:lineRule="exact"/>
              <w:rPr>
                <w:sz w:val="20"/>
                <w:szCs w:val="20"/>
                <w:color w:val="auto"/>
              </w:rPr>
            </w:pPr>
            <w:r>
              <w:rPr>
                <w:rFonts w:ascii="Arial" w:cs="Arial" w:eastAsia="Arial" w:hAnsi="Arial"/>
                <w:sz w:val="12"/>
                <w:szCs w:val="12"/>
                <w:b w:val="1"/>
                <w:bCs w:val="1"/>
                <w:color w:val="0075C9"/>
                <w:w w:val="98"/>
              </w:rPr>
              <w:t>Shares of</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202"/>
              <w:spacing w:after="0" w:line="135" w:lineRule="exact"/>
              <w:rPr>
                <w:sz w:val="20"/>
                <w:szCs w:val="20"/>
                <w:color w:val="auto"/>
              </w:rPr>
            </w:pPr>
            <w:r>
              <w:rPr>
                <w:rFonts w:ascii="Arial" w:cs="Arial" w:eastAsia="Arial" w:hAnsi="Arial"/>
                <w:sz w:val="12"/>
                <w:szCs w:val="12"/>
                <w:b w:val="1"/>
                <w:bCs w:val="1"/>
                <w:color w:val="0075C9"/>
                <w:w w:val="97"/>
              </w:rPr>
              <w:t>Fair Value</w:t>
            </w:r>
          </w:p>
        </w:tc>
      </w:tr>
      <w:tr>
        <w:trPr>
          <w:trHeight w:val="135"/>
        </w:trPr>
        <w:tc>
          <w:tcPr>
            <w:tcW w:w="1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20" w:type="dxa"/>
            <w:vAlign w:val="bottom"/>
            <w:gridSpan w:val="4"/>
          </w:tcPr>
          <w:p>
            <w:pPr>
              <w:jc w:val="center"/>
              <w:ind w:left="523"/>
              <w:spacing w:after="0" w:line="135" w:lineRule="exact"/>
              <w:rPr>
                <w:sz w:val="20"/>
                <w:szCs w:val="20"/>
                <w:color w:val="auto"/>
              </w:rPr>
            </w:pPr>
            <w:r>
              <w:rPr>
                <w:rFonts w:ascii="Arial" w:cs="Arial" w:eastAsia="Arial" w:hAnsi="Arial"/>
                <w:sz w:val="12"/>
                <w:szCs w:val="12"/>
                <w:b w:val="1"/>
                <w:bCs w:val="1"/>
                <w:color w:val="0075C9"/>
                <w:w w:val="97"/>
              </w:rPr>
              <w:t>Under Non-Equity Incentive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20" w:type="dxa"/>
            <w:vAlign w:val="bottom"/>
            <w:gridSpan w:val="2"/>
          </w:tcPr>
          <w:p>
            <w:pPr>
              <w:jc w:val="center"/>
              <w:ind w:left="703"/>
              <w:spacing w:after="0" w:line="135" w:lineRule="exact"/>
              <w:rPr>
                <w:sz w:val="20"/>
                <w:szCs w:val="20"/>
                <w:color w:val="auto"/>
              </w:rPr>
            </w:pPr>
            <w:r>
              <w:rPr>
                <w:rFonts w:ascii="Arial" w:cs="Arial" w:eastAsia="Arial" w:hAnsi="Arial"/>
                <w:sz w:val="12"/>
                <w:szCs w:val="12"/>
                <w:b w:val="1"/>
                <w:bCs w:val="1"/>
                <w:color w:val="0075C9"/>
                <w:w w:val="98"/>
              </w:rPr>
              <w:t>Under Equity Incentive</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42"/>
              <w:spacing w:after="0" w:line="135" w:lineRule="exact"/>
              <w:rPr>
                <w:sz w:val="20"/>
                <w:szCs w:val="20"/>
                <w:color w:val="auto"/>
              </w:rPr>
            </w:pPr>
            <w:r>
              <w:rPr>
                <w:rFonts w:ascii="Arial" w:cs="Arial" w:eastAsia="Arial" w:hAnsi="Arial"/>
                <w:sz w:val="12"/>
                <w:szCs w:val="12"/>
                <w:b w:val="1"/>
                <w:bCs w:val="1"/>
                <w:color w:val="0075C9"/>
                <w:w w:val="97"/>
              </w:rPr>
              <w:t>Stock</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182"/>
              <w:spacing w:after="0" w:line="135" w:lineRule="exact"/>
              <w:rPr>
                <w:sz w:val="20"/>
                <w:szCs w:val="20"/>
                <w:color w:val="auto"/>
              </w:rPr>
            </w:pPr>
            <w:r>
              <w:rPr>
                <w:rFonts w:ascii="Arial" w:cs="Arial" w:eastAsia="Arial" w:hAnsi="Arial"/>
                <w:sz w:val="12"/>
                <w:szCs w:val="12"/>
                <w:b w:val="1"/>
                <w:bCs w:val="1"/>
                <w:color w:val="0075C9"/>
                <w:w w:val="97"/>
              </w:rPr>
              <w:t>of Stock</w:t>
            </w:r>
          </w:p>
        </w:tc>
      </w:tr>
      <w:tr>
        <w:trPr>
          <w:trHeight w:val="145"/>
        </w:trPr>
        <w:tc>
          <w:tcPr>
            <w:tcW w:w="1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Borders>
              <w:bottom w:val="single" w:sz="8" w:color="0075C9"/>
            </w:tcBorders>
          </w:tcPr>
          <w:p>
            <w:pPr>
              <w:spacing w:after="0"/>
              <w:rPr>
                <w:sz w:val="12"/>
                <w:szCs w:val="12"/>
                <w:color w:val="auto"/>
              </w:rPr>
            </w:pPr>
          </w:p>
        </w:tc>
        <w:tc>
          <w:tcPr>
            <w:tcW w:w="740" w:type="dxa"/>
            <w:vAlign w:val="bottom"/>
            <w:tcBorders>
              <w:bottom w:val="single" w:sz="8" w:color="0075C9"/>
            </w:tcBorders>
          </w:tcPr>
          <w:p>
            <w:pPr>
              <w:spacing w:after="0"/>
              <w:rPr>
                <w:sz w:val="12"/>
                <w:szCs w:val="12"/>
                <w:color w:val="auto"/>
              </w:rPr>
            </w:pPr>
          </w:p>
        </w:tc>
        <w:tc>
          <w:tcPr>
            <w:tcW w:w="980" w:type="dxa"/>
            <w:vAlign w:val="bottom"/>
            <w:tcBorders>
              <w:bottom w:val="single" w:sz="8" w:color="0075C9"/>
            </w:tcBorders>
            <w:gridSpan w:val="2"/>
          </w:tcPr>
          <w:p>
            <w:pPr>
              <w:jc w:val="center"/>
              <w:ind w:left="182"/>
              <w:spacing w:after="0"/>
              <w:rPr>
                <w:sz w:val="20"/>
                <w:szCs w:val="20"/>
                <w:color w:val="auto"/>
              </w:rPr>
            </w:pPr>
            <w:r>
              <w:rPr>
                <w:rFonts w:ascii="Arial" w:cs="Arial" w:eastAsia="Arial" w:hAnsi="Arial"/>
                <w:sz w:val="12"/>
                <w:szCs w:val="12"/>
                <w:b w:val="1"/>
                <w:bCs w:val="1"/>
                <w:color w:val="0075C9"/>
                <w:w w:val="97"/>
              </w:rPr>
              <w:t>Plan Awards</w:t>
            </w:r>
          </w:p>
        </w:tc>
        <w:tc>
          <w:tcPr>
            <w:tcW w:w="400" w:type="dxa"/>
            <w:vAlign w:val="bottom"/>
            <w:tcBorders>
              <w:bottom w:val="single" w:sz="8" w:color="0075C9"/>
            </w:tcBorders>
          </w:tcPr>
          <w:p>
            <w:pPr>
              <w:spacing w:after="0"/>
              <w:rPr>
                <w:sz w:val="12"/>
                <w:szCs w:val="12"/>
                <w:color w:val="auto"/>
              </w:rPr>
            </w:pPr>
          </w:p>
        </w:tc>
        <w:tc>
          <w:tcPr>
            <w:tcW w:w="700" w:type="dxa"/>
            <w:vAlign w:val="bottom"/>
            <w:tcBorders>
              <w:bottom w:val="single" w:sz="8" w:color="0075C9"/>
            </w:tcBorders>
          </w:tcPr>
          <w:p>
            <w:pPr>
              <w:spacing w:after="0"/>
              <w:rPr>
                <w:sz w:val="12"/>
                <w:szCs w:val="12"/>
                <w:color w:val="auto"/>
              </w:rPr>
            </w:pPr>
          </w:p>
        </w:tc>
        <w:tc>
          <w:tcPr>
            <w:tcW w:w="100" w:type="dxa"/>
            <w:vAlign w:val="bottom"/>
            <w:tcBorders>
              <w:bottom w:val="single" w:sz="8" w:color="0075C9"/>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bottom w:val="single" w:sz="8" w:color="0075C9"/>
            </w:tcBorders>
          </w:tcPr>
          <w:p>
            <w:pPr>
              <w:spacing w:after="0"/>
              <w:rPr>
                <w:sz w:val="12"/>
                <w:szCs w:val="12"/>
                <w:color w:val="auto"/>
              </w:rPr>
            </w:pPr>
          </w:p>
        </w:tc>
        <w:tc>
          <w:tcPr>
            <w:tcW w:w="1400" w:type="dxa"/>
            <w:vAlign w:val="bottom"/>
            <w:tcBorders>
              <w:bottom w:val="single" w:sz="8" w:color="0075C9"/>
            </w:tcBorders>
          </w:tcPr>
          <w:p>
            <w:pPr>
              <w:jc w:val="center"/>
              <w:ind w:right="123"/>
              <w:spacing w:after="0"/>
              <w:rPr>
                <w:sz w:val="20"/>
                <w:szCs w:val="20"/>
                <w:color w:val="auto"/>
              </w:rPr>
            </w:pPr>
            <w:r>
              <w:rPr>
                <w:rFonts w:ascii="Arial" w:cs="Arial" w:eastAsia="Arial" w:hAnsi="Arial"/>
                <w:sz w:val="12"/>
                <w:szCs w:val="12"/>
                <w:b w:val="1"/>
                <w:bCs w:val="1"/>
                <w:color w:val="0075C9"/>
                <w:w w:val="97"/>
              </w:rPr>
              <w:t>Plan Awards</w:t>
            </w:r>
          </w:p>
        </w:tc>
        <w:tc>
          <w:tcPr>
            <w:tcW w:w="880" w:type="dxa"/>
            <w:vAlign w:val="bottom"/>
            <w:tcBorders>
              <w:bottom w:val="single" w:sz="8" w:color="0075C9"/>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bottom w:val="single" w:sz="8" w:color="0075C9"/>
            </w:tcBorders>
          </w:tcPr>
          <w:p>
            <w:pPr>
              <w:jc w:val="center"/>
              <w:ind w:right="42"/>
              <w:spacing w:after="0"/>
              <w:rPr>
                <w:sz w:val="20"/>
                <w:szCs w:val="20"/>
                <w:color w:val="auto"/>
              </w:rPr>
            </w:pPr>
            <w:r>
              <w:rPr>
                <w:rFonts w:ascii="Arial" w:cs="Arial" w:eastAsia="Arial" w:hAnsi="Arial"/>
                <w:sz w:val="12"/>
                <w:szCs w:val="12"/>
                <w:b w:val="1"/>
                <w:bCs w:val="1"/>
                <w:color w:val="0075C9"/>
                <w:w w:val="96"/>
              </w:rPr>
              <w:t>or Units</w:t>
            </w:r>
          </w:p>
        </w:tc>
        <w:tc>
          <w:tcPr>
            <w:tcW w:w="100" w:type="dxa"/>
            <w:vAlign w:val="bottom"/>
          </w:tcPr>
          <w:p>
            <w:pPr>
              <w:spacing w:after="0"/>
              <w:rPr>
                <w:sz w:val="12"/>
                <w:szCs w:val="12"/>
                <w:color w:val="auto"/>
              </w:rPr>
            </w:pPr>
          </w:p>
        </w:tc>
        <w:tc>
          <w:tcPr>
            <w:tcW w:w="140" w:type="dxa"/>
            <w:vAlign w:val="bottom"/>
            <w:tcBorders>
              <w:bottom w:val="single" w:sz="8" w:color="0075C9"/>
            </w:tcBorders>
          </w:tcPr>
          <w:p>
            <w:pPr>
              <w:spacing w:after="0"/>
              <w:rPr>
                <w:sz w:val="12"/>
                <w:szCs w:val="12"/>
                <w:color w:val="auto"/>
              </w:rPr>
            </w:pPr>
          </w:p>
        </w:tc>
        <w:tc>
          <w:tcPr>
            <w:tcW w:w="980" w:type="dxa"/>
            <w:vAlign w:val="bottom"/>
            <w:tcBorders>
              <w:bottom w:val="single" w:sz="8" w:color="0075C9"/>
            </w:tcBorders>
          </w:tcPr>
          <w:p>
            <w:pPr>
              <w:jc w:val="center"/>
              <w:ind w:right="182"/>
              <w:spacing w:after="0"/>
              <w:rPr>
                <w:sz w:val="20"/>
                <w:szCs w:val="20"/>
                <w:color w:val="auto"/>
              </w:rPr>
            </w:pPr>
            <w:r>
              <w:rPr>
                <w:rFonts w:ascii="Arial" w:cs="Arial" w:eastAsia="Arial" w:hAnsi="Arial"/>
                <w:sz w:val="12"/>
                <w:szCs w:val="12"/>
                <w:b w:val="1"/>
                <w:bCs w:val="1"/>
                <w:color w:val="0075C9"/>
                <w:w w:val="96"/>
              </w:rPr>
              <w:t>Awards</w:t>
            </w:r>
          </w:p>
        </w:tc>
      </w:tr>
      <w:tr>
        <w:trPr>
          <w:trHeight w:val="119"/>
        </w:trPr>
        <w:tc>
          <w:tcPr>
            <w:tcW w:w="1760" w:type="dxa"/>
            <w:vAlign w:val="bottom"/>
          </w:tcPr>
          <w:p>
            <w:pPr>
              <w:ind w:left="120"/>
              <w:spacing w:after="0" w:line="119" w:lineRule="exact"/>
              <w:rPr>
                <w:sz w:val="20"/>
                <w:szCs w:val="20"/>
                <w:color w:val="auto"/>
              </w:rPr>
            </w:pPr>
            <w:r>
              <w:rPr>
                <w:rFonts w:ascii="Arial" w:cs="Arial" w:eastAsia="Arial" w:hAnsi="Arial"/>
                <w:sz w:val="12"/>
                <w:szCs w:val="12"/>
                <w:b w:val="1"/>
                <w:bCs w:val="1"/>
                <w:color w:val="0075C9"/>
              </w:rPr>
              <w:t>Name /</w:t>
            </w:r>
          </w:p>
        </w:tc>
        <w:tc>
          <w:tcPr>
            <w:tcW w:w="780" w:type="dxa"/>
            <w:vAlign w:val="bottom"/>
          </w:tcPr>
          <w:p>
            <w:pPr>
              <w:jc w:val="center"/>
              <w:spacing w:after="0" w:line="119" w:lineRule="exact"/>
              <w:rPr>
                <w:sz w:val="20"/>
                <w:szCs w:val="20"/>
                <w:color w:val="auto"/>
              </w:rPr>
            </w:pPr>
            <w:r>
              <w:rPr>
                <w:rFonts w:ascii="Arial" w:cs="Arial" w:eastAsia="Arial" w:hAnsi="Arial"/>
                <w:sz w:val="12"/>
                <w:szCs w:val="12"/>
                <w:b w:val="1"/>
                <w:bCs w:val="1"/>
                <w:color w:val="0075C9"/>
                <w:w w:val="93"/>
              </w:rPr>
              <w:t>Grant</w:t>
            </w:r>
          </w:p>
        </w:tc>
        <w:tc>
          <w:tcPr>
            <w:tcW w:w="120" w:type="dxa"/>
            <w:vAlign w:val="bottom"/>
          </w:tcPr>
          <w:p>
            <w:pPr>
              <w:spacing w:after="0"/>
              <w:rPr>
                <w:sz w:val="10"/>
                <w:szCs w:val="10"/>
                <w:color w:val="auto"/>
              </w:rPr>
            </w:pPr>
          </w:p>
        </w:tc>
        <w:tc>
          <w:tcPr>
            <w:tcW w:w="740" w:type="dxa"/>
            <w:vAlign w:val="bottom"/>
          </w:tcPr>
          <w:p>
            <w:pPr>
              <w:jc w:val="right"/>
              <w:ind w:right="123"/>
              <w:spacing w:after="0" w:line="119" w:lineRule="exact"/>
              <w:rPr>
                <w:sz w:val="20"/>
                <w:szCs w:val="20"/>
                <w:color w:val="auto"/>
              </w:rPr>
            </w:pPr>
            <w:r>
              <w:rPr>
                <w:rFonts w:ascii="Arial" w:cs="Arial" w:eastAsia="Arial" w:hAnsi="Arial"/>
                <w:sz w:val="11"/>
                <w:szCs w:val="11"/>
                <w:b w:val="1"/>
                <w:bCs w:val="1"/>
                <w:color w:val="0075C9"/>
              </w:rPr>
              <w:t>Threshold</w:t>
            </w:r>
          </w:p>
        </w:tc>
        <w:tc>
          <w:tcPr>
            <w:tcW w:w="360" w:type="dxa"/>
            <w:vAlign w:val="bottom"/>
          </w:tcPr>
          <w:p>
            <w:pPr>
              <w:spacing w:after="0"/>
              <w:rPr>
                <w:sz w:val="10"/>
                <w:szCs w:val="10"/>
                <w:color w:val="auto"/>
              </w:rPr>
            </w:pPr>
          </w:p>
        </w:tc>
        <w:tc>
          <w:tcPr>
            <w:tcW w:w="620" w:type="dxa"/>
            <w:vAlign w:val="bottom"/>
          </w:tcPr>
          <w:p>
            <w:pPr>
              <w:jc w:val="center"/>
              <w:ind w:right="83"/>
              <w:spacing w:after="0" w:line="119" w:lineRule="exact"/>
              <w:rPr>
                <w:sz w:val="20"/>
                <w:szCs w:val="20"/>
                <w:color w:val="auto"/>
              </w:rPr>
            </w:pPr>
            <w:r>
              <w:rPr>
                <w:rFonts w:ascii="Arial" w:cs="Arial" w:eastAsia="Arial" w:hAnsi="Arial"/>
                <w:sz w:val="11"/>
                <w:szCs w:val="11"/>
                <w:b w:val="1"/>
                <w:bCs w:val="1"/>
                <w:color w:val="0075C9"/>
                <w:w w:val="95"/>
              </w:rPr>
              <w:t>Target</w:t>
            </w:r>
          </w:p>
        </w:tc>
        <w:tc>
          <w:tcPr>
            <w:tcW w:w="400" w:type="dxa"/>
            <w:vAlign w:val="bottom"/>
          </w:tcPr>
          <w:p>
            <w:pPr>
              <w:spacing w:after="0"/>
              <w:rPr>
                <w:sz w:val="10"/>
                <w:szCs w:val="10"/>
                <w:color w:val="auto"/>
              </w:rPr>
            </w:pPr>
          </w:p>
        </w:tc>
        <w:tc>
          <w:tcPr>
            <w:tcW w:w="700" w:type="dxa"/>
            <w:vAlign w:val="bottom"/>
          </w:tcPr>
          <w:p>
            <w:pPr>
              <w:jc w:val="right"/>
              <w:ind w:right="143"/>
              <w:spacing w:after="0" w:line="119" w:lineRule="exact"/>
              <w:rPr>
                <w:sz w:val="20"/>
                <w:szCs w:val="20"/>
                <w:color w:val="auto"/>
              </w:rPr>
            </w:pPr>
            <w:r>
              <w:rPr>
                <w:rFonts w:ascii="Arial" w:cs="Arial" w:eastAsia="Arial" w:hAnsi="Arial"/>
                <w:sz w:val="11"/>
                <w:szCs w:val="11"/>
                <w:b w:val="1"/>
                <w:bCs w:val="1"/>
                <w:color w:val="0075C9"/>
                <w:w w:val="94"/>
              </w:rPr>
              <w:t>Maximum</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right"/>
              <w:ind w:right="143"/>
              <w:spacing w:after="0" w:line="119" w:lineRule="exact"/>
              <w:rPr>
                <w:sz w:val="20"/>
                <w:szCs w:val="20"/>
                <w:color w:val="auto"/>
              </w:rPr>
            </w:pPr>
            <w:r>
              <w:rPr>
                <w:rFonts w:ascii="Arial" w:cs="Arial" w:eastAsia="Arial" w:hAnsi="Arial"/>
                <w:sz w:val="11"/>
                <w:szCs w:val="11"/>
                <w:b w:val="1"/>
                <w:bCs w:val="1"/>
                <w:color w:val="0075C9"/>
              </w:rPr>
              <w:t>Threshold</w:t>
            </w:r>
          </w:p>
        </w:tc>
        <w:tc>
          <w:tcPr>
            <w:tcW w:w="1400" w:type="dxa"/>
            <w:vAlign w:val="bottom"/>
          </w:tcPr>
          <w:p>
            <w:pPr>
              <w:jc w:val="center"/>
              <w:ind w:right="103"/>
              <w:spacing w:after="0" w:line="119" w:lineRule="exact"/>
              <w:rPr>
                <w:sz w:val="20"/>
                <w:szCs w:val="20"/>
                <w:color w:val="auto"/>
              </w:rPr>
            </w:pPr>
            <w:r>
              <w:rPr>
                <w:rFonts w:ascii="Arial" w:cs="Arial" w:eastAsia="Arial" w:hAnsi="Arial"/>
                <w:sz w:val="11"/>
                <w:szCs w:val="11"/>
                <w:b w:val="1"/>
                <w:bCs w:val="1"/>
                <w:color w:val="0075C9"/>
                <w:w w:val="95"/>
              </w:rPr>
              <w:t>Target</w:t>
            </w:r>
          </w:p>
        </w:tc>
        <w:tc>
          <w:tcPr>
            <w:tcW w:w="880" w:type="dxa"/>
            <w:vAlign w:val="bottom"/>
          </w:tcPr>
          <w:p>
            <w:pPr>
              <w:jc w:val="right"/>
              <w:ind w:right="263"/>
              <w:spacing w:after="0" w:line="119" w:lineRule="exact"/>
              <w:rPr>
                <w:sz w:val="20"/>
                <w:szCs w:val="20"/>
                <w:color w:val="auto"/>
              </w:rPr>
            </w:pPr>
            <w:r>
              <w:rPr>
                <w:rFonts w:ascii="Arial" w:cs="Arial" w:eastAsia="Arial" w:hAnsi="Arial"/>
                <w:sz w:val="11"/>
                <w:szCs w:val="11"/>
                <w:b w:val="1"/>
                <w:bCs w:val="1"/>
                <w:color w:val="0075C9"/>
              </w:rPr>
              <w:t>Maximum</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45"/>
        </w:trPr>
        <w:tc>
          <w:tcPr>
            <w:tcW w:w="1760" w:type="dxa"/>
            <w:vAlign w:val="bottom"/>
            <w:tcBorders>
              <w:bottom w:val="single" w:sz="8" w:color="0075C9"/>
            </w:tcBorders>
          </w:tcPr>
          <w:p>
            <w:pPr>
              <w:ind w:left="120"/>
              <w:spacing w:after="0"/>
              <w:rPr>
                <w:sz w:val="20"/>
                <w:szCs w:val="20"/>
                <w:color w:val="auto"/>
              </w:rPr>
            </w:pPr>
            <w:r>
              <w:rPr>
                <w:rFonts w:ascii="Arial" w:cs="Arial" w:eastAsia="Arial" w:hAnsi="Arial"/>
                <w:sz w:val="12"/>
                <w:szCs w:val="12"/>
                <w:b w:val="1"/>
                <w:bCs w:val="1"/>
                <w:color w:val="0075C9"/>
              </w:rPr>
              <w:t>Type of Grant</w:t>
            </w:r>
          </w:p>
        </w:tc>
        <w:tc>
          <w:tcPr>
            <w:tcW w:w="900" w:type="dxa"/>
            <w:vAlign w:val="bottom"/>
            <w:tcBorders>
              <w:bottom w:val="single" w:sz="8" w:color="0075C9"/>
            </w:tcBorders>
            <w:gridSpan w:val="2"/>
          </w:tcPr>
          <w:p>
            <w:pPr>
              <w:jc w:val="center"/>
              <w:ind w:right="62"/>
              <w:spacing w:after="0"/>
              <w:rPr>
                <w:sz w:val="20"/>
                <w:szCs w:val="20"/>
                <w:color w:val="auto"/>
              </w:rPr>
            </w:pPr>
            <w:r>
              <w:rPr>
                <w:rFonts w:ascii="Arial" w:cs="Arial" w:eastAsia="Arial" w:hAnsi="Arial"/>
                <w:sz w:val="12"/>
                <w:szCs w:val="12"/>
                <w:b w:val="1"/>
                <w:bCs w:val="1"/>
                <w:color w:val="0075C9"/>
                <w:w w:val="99"/>
              </w:rPr>
              <w:t>Date</w:t>
            </w:r>
          </w:p>
        </w:tc>
        <w:tc>
          <w:tcPr>
            <w:tcW w:w="740" w:type="dxa"/>
            <w:vAlign w:val="bottom"/>
            <w:tcBorders>
              <w:bottom w:val="single" w:sz="8" w:color="0075C9"/>
            </w:tcBorders>
          </w:tcPr>
          <w:p>
            <w:pPr>
              <w:jc w:val="right"/>
              <w:ind w:right="243"/>
              <w:spacing w:after="0"/>
              <w:rPr>
                <w:sz w:val="20"/>
                <w:szCs w:val="20"/>
                <w:color w:val="auto"/>
              </w:rPr>
            </w:pPr>
            <w:r>
              <w:rPr>
                <w:rFonts w:ascii="Arial" w:cs="Arial" w:eastAsia="Arial" w:hAnsi="Arial"/>
                <w:sz w:val="11"/>
                <w:szCs w:val="11"/>
                <w:b w:val="1"/>
                <w:bCs w:val="1"/>
                <w:color w:val="0075C9"/>
              </w:rPr>
              <w:t>($)(1)</w:t>
            </w:r>
          </w:p>
        </w:tc>
        <w:tc>
          <w:tcPr>
            <w:tcW w:w="360" w:type="dxa"/>
            <w:vAlign w:val="bottom"/>
            <w:tcBorders>
              <w:bottom w:val="single" w:sz="8" w:color="0075C9"/>
            </w:tcBorders>
          </w:tcPr>
          <w:p>
            <w:pPr>
              <w:spacing w:after="0"/>
              <w:rPr>
                <w:sz w:val="12"/>
                <w:szCs w:val="12"/>
                <w:color w:val="auto"/>
              </w:rPr>
            </w:pPr>
          </w:p>
        </w:tc>
        <w:tc>
          <w:tcPr>
            <w:tcW w:w="620" w:type="dxa"/>
            <w:vAlign w:val="bottom"/>
            <w:tcBorders>
              <w:bottom w:val="single" w:sz="8" w:color="0075C9"/>
            </w:tcBorders>
          </w:tcPr>
          <w:p>
            <w:pPr>
              <w:ind w:left="180"/>
              <w:spacing w:after="0"/>
              <w:rPr>
                <w:sz w:val="20"/>
                <w:szCs w:val="20"/>
                <w:color w:val="auto"/>
              </w:rPr>
            </w:pPr>
            <w:r>
              <w:rPr>
                <w:rFonts w:ascii="Arial" w:cs="Arial" w:eastAsia="Arial" w:hAnsi="Arial"/>
                <w:sz w:val="11"/>
                <w:szCs w:val="11"/>
                <w:b w:val="1"/>
                <w:bCs w:val="1"/>
                <w:color w:val="0075C9"/>
              </w:rPr>
              <w:t>($)</w:t>
            </w:r>
          </w:p>
        </w:tc>
        <w:tc>
          <w:tcPr>
            <w:tcW w:w="400" w:type="dxa"/>
            <w:vAlign w:val="bottom"/>
            <w:tcBorders>
              <w:bottom w:val="single" w:sz="8" w:color="0075C9"/>
            </w:tcBorders>
          </w:tcPr>
          <w:p>
            <w:pPr>
              <w:spacing w:after="0"/>
              <w:rPr>
                <w:sz w:val="12"/>
                <w:szCs w:val="12"/>
                <w:color w:val="auto"/>
              </w:rPr>
            </w:pPr>
          </w:p>
        </w:tc>
        <w:tc>
          <w:tcPr>
            <w:tcW w:w="700" w:type="dxa"/>
            <w:vAlign w:val="bottom"/>
            <w:tcBorders>
              <w:bottom w:val="single" w:sz="8" w:color="0075C9"/>
            </w:tcBorders>
          </w:tcPr>
          <w:p>
            <w:pPr>
              <w:jc w:val="right"/>
              <w:ind w:right="323"/>
              <w:spacing w:after="0"/>
              <w:rPr>
                <w:sz w:val="20"/>
                <w:szCs w:val="20"/>
                <w:color w:val="auto"/>
              </w:rPr>
            </w:pPr>
            <w:r>
              <w:rPr>
                <w:rFonts w:ascii="Arial" w:cs="Arial" w:eastAsia="Arial" w:hAnsi="Arial"/>
                <w:sz w:val="11"/>
                <w:szCs w:val="11"/>
                <w:b w:val="1"/>
                <w:bCs w:val="1"/>
                <w:color w:val="0075C9"/>
              </w:rPr>
              <w:t>($)</w:t>
            </w:r>
          </w:p>
        </w:tc>
        <w:tc>
          <w:tcPr>
            <w:tcW w:w="100" w:type="dxa"/>
            <w:vAlign w:val="bottom"/>
            <w:tcBorders>
              <w:bottom w:val="single" w:sz="8" w:color="0075C9"/>
            </w:tcBorders>
          </w:tcPr>
          <w:p>
            <w:pPr>
              <w:spacing w:after="0"/>
              <w:rPr>
                <w:sz w:val="12"/>
                <w:szCs w:val="12"/>
                <w:color w:val="auto"/>
              </w:rPr>
            </w:pPr>
          </w:p>
        </w:tc>
        <w:tc>
          <w:tcPr>
            <w:tcW w:w="120" w:type="dxa"/>
            <w:vAlign w:val="bottom"/>
            <w:tcBorders>
              <w:bottom w:val="single" w:sz="8" w:color="0075C9"/>
            </w:tcBorders>
          </w:tcPr>
          <w:p>
            <w:pPr>
              <w:spacing w:after="0"/>
              <w:rPr>
                <w:sz w:val="12"/>
                <w:szCs w:val="12"/>
                <w:color w:val="auto"/>
              </w:rPr>
            </w:pPr>
          </w:p>
        </w:tc>
        <w:tc>
          <w:tcPr>
            <w:tcW w:w="920" w:type="dxa"/>
            <w:vAlign w:val="bottom"/>
            <w:tcBorders>
              <w:bottom w:val="single" w:sz="8" w:color="0075C9"/>
            </w:tcBorders>
          </w:tcPr>
          <w:p>
            <w:pPr>
              <w:jc w:val="right"/>
              <w:ind w:right="83"/>
              <w:spacing w:after="0"/>
              <w:rPr>
                <w:sz w:val="20"/>
                <w:szCs w:val="20"/>
                <w:color w:val="auto"/>
              </w:rPr>
            </w:pPr>
            <w:r>
              <w:rPr>
                <w:rFonts w:ascii="Arial" w:cs="Arial" w:eastAsia="Arial" w:hAnsi="Arial"/>
                <w:sz w:val="11"/>
                <w:szCs w:val="11"/>
                <w:b w:val="1"/>
                <w:bCs w:val="1"/>
                <w:color w:val="0075C9"/>
              </w:rPr>
              <w:t>(# Shares)(2)</w:t>
            </w:r>
          </w:p>
        </w:tc>
        <w:tc>
          <w:tcPr>
            <w:tcW w:w="1400" w:type="dxa"/>
            <w:vAlign w:val="bottom"/>
            <w:tcBorders>
              <w:bottom w:val="single" w:sz="8" w:color="0075C9"/>
            </w:tcBorders>
          </w:tcPr>
          <w:p>
            <w:pPr>
              <w:jc w:val="center"/>
              <w:ind w:right="103"/>
              <w:spacing w:after="0"/>
              <w:rPr>
                <w:sz w:val="20"/>
                <w:szCs w:val="20"/>
                <w:color w:val="auto"/>
              </w:rPr>
            </w:pPr>
            <w:r>
              <w:rPr>
                <w:rFonts w:ascii="Arial" w:cs="Arial" w:eastAsia="Arial" w:hAnsi="Arial"/>
                <w:sz w:val="11"/>
                <w:szCs w:val="11"/>
                <w:b w:val="1"/>
                <w:bCs w:val="1"/>
                <w:color w:val="0075C9"/>
                <w:w w:val="97"/>
              </w:rPr>
              <w:t>(# Shares)</w:t>
            </w:r>
          </w:p>
        </w:tc>
        <w:tc>
          <w:tcPr>
            <w:tcW w:w="880" w:type="dxa"/>
            <w:vAlign w:val="bottom"/>
            <w:tcBorders>
              <w:bottom w:val="single" w:sz="8" w:color="0075C9"/>
            </w:tcBorders>
          </w:tcPr>
          <w:p>
            <w:pPr>
              <w:jc w:val="right"/>
              <w:ind w:right="263"/>
              <w:spacing w:after="0"/>
              <w:rPr>
                <w:sz w:val="20"/>
                <w:szCs w:val="20"/>
                <w:color w:val="auto"/>
              </w:rPr>
            </w:pPr>
            <w:r>
              <w:rPr>
                <w:rFonts w:ascii="Arial" w:cs="Arial" w:eastAsia="Arial" w:hAnsi="Arial"/>
                <w:sz w:val="11"/>
                <w:szCs w:val="11"/>
                <w:b w:val="1"/>
                <w:bCs w:val="1"/>
                <w:color w:val="0075C9"/>
              </w:rPr>
              <w:t>(# Shares)</w:t>
            </w:r>
          </w:p>
        </w:tc>
        <w:tc>
          <w:tcPr>
            <w:tcW w:w="100" w:type="dxa"/>
            <w:vAlign w:val="bottom"/>
            <w:tcBorders>
              <w:bottom w:val="single" w:sz="8" w:color="0075C9"/>
            </w:tcBorders>
          </w:tcPr>
          <w:p>
            <w:pPr>
              <w:spacing w:after="0"/>
              <w:rPr>
                <w:sz w:val="12"/>
                <w:szCs w:val="12"/>
                <w:color w:val="auto"/>
              </w:rPr>
            </w:pPr>
          </w:p>
        </w:tc>
        <w:tc>
          <w:tcPr>
            <w:tcW w:w="1020" w:type="dxa"/>
            <w:vAlign w:val="bottom"/>
            <w:tcBorders>
              <w:bottom w:val="single" w:sz="8" w:color="0075C9"/>
            </w:tcBorders>
          </w:tcPr>
          <w:p>
            <w:pPr>
              <w:jc w:val="center"/>
              <w:ind w:right="42"/>
              <w:spacing w:after="0"/>
              <w:rPr>
                <w:sz w:val="20"/>
                <w:szCs w:val="20"/>
                <w:color w:val="auto"/>
              </w:rPr>
            </w:pPr>
            <w:r>
              <w:rPr>
                <w:rFonts w:ascii="Arial" w:cs="Arial" w:eastAsia="Arial" w:hAnsi="Arial"/>
                <w:sz w:val="11"/>
                <w:szCs w:val="11"/>
                <w:b w:val="1"/>
                <w:bCs w:val="1"/>
                <w:color w:val="0075C9"/>
                <w:w w:val="97"/>
              </w:rPr>
              <w:t>(# Shares)</w:t>
            </w:r>
          </w:p>
        </w:tc>
        <w:tc>
          <w:tcPr>
            <w:tcW w:w="100" w:type="dxa"/>
            <w:vAlign w:val="bottom"/>
            <w:tcBorders>
              <w:bottom w:val="single" w:sz="8" w:color="0075C9"/>
            </w:tcBorders>
          </w:tcPr>
          <w:p>
            <w:pPr>
              <w:spacing w:after="0"/>
              <w:rPr>
                <w:sz w:val="12"/>
                <w:szCs w:val="12"/>
                <w:color w:val="auto"/>
              </w:rPr>
            </w:pPr>
          </w:p>
        </w:tc>
        <w:tc>
          <w:tcPr>
            <w:tcW w:w="140" w:type="dxa"/>
            <w:vAlign w:val="bottom"/>
            <w:tcBorders>
              <w:bottom w:val="single" w:sz="8" w:color="0075C9"/>
            </w:tcBorders>
          </w:tcPr>
          <w:p>
            <w:pPr>
              <w:spacing w:after="0"/>
              <w:rPr>
                <w:sz w:val="12"/>
                <w:szCs w:val="12"/>
                <w:color w:val="auto"/>
              </w:rPr>
            </w:pPr>
          </w:p>
        </w:tc>
        <w:tc>
          <w:tcPr>
            <w:tcW w:w="980" w:type="dxa"/>
            <w:vAlign w:val="bottom"/>
            <w:tcBorders>
              <w:bottom w:val="single" w:sz="8" w:color="0075C9"/>
            </w:tcBorders>
          </w:tcPr>
          <w:p>
            <w:pPr>
              <w:jc w:val="center"/>
              <w:ind w:right="182"/>
              <w:spacing w:after="0"/>
              <w:rPr>
                <w:sz w:val="20"/>
                <w:szCs w:val="20"/>
                <w:color w:val="auto"/>
              </w:rPr>
            </w:pPr>
            <w:r>
              <w:rPr>
                <w:rFonts w:ascii="Arial" w:cs="Arial" w:eastAsia="Arial" w:hAnsi="Arial"/>
                <w:sz w:val="11"/>
                <w:szCs w:val="11"/>
                <w:b w:val="1"/>
                <w:bCs w:val="1"/>
                <w:color w:val="0075C9"/>
              </w:rPr>
              <w:t>($)</w:t>
            </w:r>
          </w:p>
        </w:tc>
      </w:tr>
      <w:tr>
        <w:trPr>
          <w:trHeight w:val="128"/>
        </w:trPr>
        <w:tc>
          <w:tcPr>
            <w:tcW w:w="1760" w:type="dxa"/>
            <w:vAlign w:val="bottom"/>
            <w:shd w:val="clear" w:color="auto" w:fill="EBEBEC"/>
          </w:tcPr>
          <w:p>
            <w:pPr>
              <w:ind w:left="120"/>
              <w:spacing w:after="0" w:line="129" w:lineRule="exact"/>
              <w:rPr>
                <w:sz w:val="20"/>
                <w:szCs w:val="20"/>
                <w:color w:val="auto"/>
              </w:rPr>
            </w:pPr>
            <w:r>
              <w:rPr>
                <w:rFonts w:ascii="Arial" w:cs="Arial" w:eastAsia="Arial" w:hAnsi="Arial"/>
                <w:sz w:val="12"/>
                <w:szCs w:val="12"/>
                <w:b w:val="1"/>
                <w:bCs w:val="1"/>
                <w:color w:val="auto"/>
              </w:rPr>
              <w:t>Francisco J. Leon</w:t>
            </w:r>
          </w:p>
        </w:tc>
        <w:tc>
          <w:tcPr>
            <w:tcW w:w="780" w:type="dxa"/>
            <w:vAlign w:val="bottom"/>
            <w:shd w:val="clear" w:color="auto" w:fill="EBEBEC"/>
          </w:tcPr>
          <w:p>
            <w:pPr>
              <w:spacing w:after="0"/>
              <w:rPr>
                <w:sz w:val="11"/>
                <w:szCs w:val="11"/>
                <w:color w:val="auto"/>
              </w:rPr>
            </w:pPr>
          </w:p>
        </w:tc>
        <w:tc>
          <w:tcPr>
            <w:tcW w:w="120" w:type="dxa"/>
            <w:vAlign w:val="bottom"/>
            <w:shd w:val="clear" w:color="auto" w:fill="EBEBEC"/>
          </w:tcPr>
          <w:p>
            <w:pPr>
              <w:spacing w:after="0"/>
              <w:rPr>
                <w:sz w:val="11"/>
                <w:szCs w:val="11"/>
                <w:color w:val="auto"/>
              </w:rPr>
            </w:pPr>
          </w:p>
        </w:tc>
        <w:tc>
          <w:tcPr>
            <w:tcW w:w="740" w:type="dxa"/>
            <w:vAlign w:val="bottom"/>
            <w:shd w:val="clear" w:color="auto" w:fill="EBEBEC"/>
          </w:tcPr>
          <w:p>
            <w:pPr>
              <w:spacing w:after="0"/>
              <w:rPr>
                <w:sz w:val="11"/>
                <w:szCs w:val="11"/>
                <w:color w:val="auto"/>
              </w:rPr>
            </w:pPr>
          </w:p>
        </w:tc>
        <w:tc>
          <w:tcPr>
            <w:tcW w:w="360" w:type="dxa"/>
            <w:vAlign w:val="bottom"/>
            <w:shd w:val="clear" w:color="auto" w:fill="EBEBEC"/>
          </w:tcPr>
          <w:p>
            <w:pPr>
              <w:spacing w:after="0"/>
              <w:rPr>
                <w:sz w:val="11"/>
                <w:szCs w:val="11"/>
                <w:color w:val="auto"/>
              </w:rPr>
            </w:pPr>
          </w:p>
        </w:tc>
        <w:tc>
          <w:tcPr>
            <w:tcW w:w="620" w:type="dxa"/>
            <w:vAlign w:val="bottom"/>
            <w:shd w:val="clear" w:color="auto" w:fill="EBEBEC"/>
          </w:tcPr>
          <w:p>
            <w:pPr>
              <w:spacing w:after="0"/>
              <w:rPr>
                <w:sz w:val="11"/>
                <w:szCs w:val="11"/>
                <w:color w:val="auto"/>
              </w:rPr>
            </w:pPr>
          </w:p>
        </w:tc>
        <w:tc>
          <w:tcPr>
            <w:tcW w:w="400" w:type="dxa"/>
            <w:vAlign w:val="bottom"/>
            <w:shd w:val="clear" w:color="auto" w:fill="EBEBEC"/>
          </w:tcPr>
          <w:p>
            <w:pPr>
              <w:spacing w:after="0"/>
              <w:rPr>
                <w:sz w:val="11"/>
                <w:szCs w:val="11"/>
                <w:color w:val="auto"/>
              </w:rPr>
            </w:pPr>
          </w:p>
        </w:tc>
        <w:tc>
          <w:tcPr>
            <w:tcW w:w="700" w:type="dxa"/>
            <w:vAlign w:val="bottom"/>
            <w:shd w:val="clear" w:color="auto" w:fill="EBEBEC"/>
          </w:tcPr>
          <w:p>
            <w:pPr>
              <w:spacing w:after="0"/>
              <w:rPr>
                <w:sz w:val="11"/>
                <w:szCs w:val="11"/>
                <w:color w:val="auto"/>
              </w:rPr>
            </w:pPr>
          </w:p>
        </w:tc>
        <w:tc>
          <w:tcPr>
            <w:tcW w:w="100" w:type="dxa"/>
            <w:vAlign w:val="bottom"/>
            <w:shd w:val="clear" w:color="auto" w:fill="EBEBEC"/>
          </w:tcPr>
          <w:p>
            <w:pPr>
              <w:spacing w:after="0"/>
              <w:rPr>
                <w:sz w:val="11"/>
                <w:szCs w:val="11"/>
                <w:color w:val="auto"/>
              </w:rPr>
            </w:pPr>
          </w:p>
        </w:tc>
        <w:tc>
          <w:tcPr>
            <w:tcW w:w="120" w:type="dxa"/>
            <w:vAlign w:val="bottom"/>
            <w:shd w:val="clear" w:color="auto" w:fill="EBEBEC"/>
          </w:tcPr>
          <w:p>
            <w:pPr>
              <w:spacing w:after="0"/>
              <w:rPr>
                <w:sz w:val="11"/>
                <w:szCs w:val="11"/>
                <w:color w:val="auto"/>
              </w:rPr>
            </w:pPr>
          </w:p>
        </w:tc>
        <w:tc>
          <w:tcPr>
            <w:tcW w:w="920" w:type="dxa"/>
            <w:vAlign w:val="bottom"/>
            <w:shd w:val="clear" w:color="auto" w:fill="EBEBEC"/>
          </w:tcPr>
          <w:p>
            <w:pPr>
              <w:spacing w:after="0"/>
              <w:rPr>
                <w:sz w:val="11"/>
                <w:szCs w:val="11"/>
                <w:color w:val="auto"/>
              </w:rPr>
            </w:pPr>
          </w:p>
        </w:tc>
        <w:tc>
          <w:tcPr>
            <w:tcW w:w="1400" w:type="dxa"/>
            <w:vAlign w:val="bottom"/>
            <w:shd w:val="clear" w:color="auto" w:fill="EBEBEC"/>
          </w:tcPr>
          <w:p>
            <w:pPr>
              <w:spacing w:after="0"/>
              <w:rPr>
                <w:sz w:val="11"/>
                <w:szCs w:val="11"/>
                <w:color w:val="auto"/>
              </w:rPr>
            </w:pPr>
          </w:p>
        </w:tc>
        <w:tc>
          <w:tcPr>
            <w:tcW w:w="880" w:type="dxa"/>
            <w:vAlign w:val="bottom"/>
            <w:shd w:val="clear" w:color="auto" w:fill="EBEBEC"/>
          </w:tcPr>
          <w:p>
            <w:pPr>
              <w:spacing w:after="0"/>
              <w:rPr>
                <w:sz w:val="11"/>
                <w:szCs w:val="11"/>
                <w:color w:val="auto"/>
              </w:rPr>
            </w:pPr>
          </w:p>
        </w:tc>
        <w:tc>
          <w:tcPr>
            <w:tcW w:w="100" w:type="dxa"/>
            <w:vAlign w:val="bottom"/>
            <w:shd w:val="clear" w:color="auto" w:fill="EBEBEC"/>
          </w:tcPr>
          <w:p>
            <w:pPr>
              <w:spacing w:after="0"/>
              <w:rPr>
                <w:sz w:val="11"/>
                <w:szCs w:val="11"/>
                <w:color w:val="auto"/>
              </w:rPr>
            </w:pPr>
          </w:p>
        </w:tc>
        <w:tc>
          <w:tcPr>
            <w:tcW w:w="1020" w:type="dxa"/>
            <w:vAlign w:val="bottom"/>
            <w:shd w:val="clear" w:color="auto" w:fill="EBEBEC"/>
          </w:tcPr>
          <w:p>
            <w:pPr>
              <w:spacing w:after="0"/>
              <w:rPr>
                <w:sz w:val="11"/>
                <w:szCs w:val="11"/>
                <w:color w:val="auto"/>
              </w:rPr>
            </w:pPr>
          </w:p>
        </w:tc>
        <w:tc>
          <w:tcPr>
            <w:tcW w:w="100" w:type="dxa"/>
            <w:vAlign w:val="bottom"/>
            <w:shd w:val="clear" w:color="auto" w:fill="EBEBEC"/>
          </w:tcPr>
          <w:p>
            <w:pPr>
              <w:spacing w:after="0"/>
              <w:rPr>
                <w:sz w:val="11"/>
                <w:szCs w:val="11"/>
                <w:color w:val="auto"/>
              </w:rPr>
            </w:pPr>
          </w:p>
        </w:tc>
        <w:tc>
          <w:tcPr>
            <w:tcW w:w="140" w:type="dxa"/>
            <w:vAlign w:val="bottom"/>
            <w:shd w:val="clear" w:color="auto" w:fill="EBEBEC"/>
          </w:tcPr>
          <w:p>
            <w:pPr>
              <w:spacing w:after="0"/>
              <w:rPr>
                <w:sz w:val="11"/>
                <w:szCs w:val="11"/>
                <w:color w:val="auto"/>
              </w:rPr>
            </w:pPr>
          </w:p>
        </w:tc>
        <w:tc>
          <w:tcPr>
            <w:tcW w:w="980" w:type="dxa"/>
            <w:vAlign w:val="bottom"/>
            <w:shd w:val="clear" w:color="auto" w:fill="EBEBEC"/>
          </w:tcPr>
          <w:p>
            <w:pPr>
              <w:spacing w:after="0"/>
              <w:rPr>
                <w:sz w:val="11"/>
                <w:szCs w:val="11"/>
                <w:color w:val="auto"/>
              </w:rPr>
            </w:pPr>
          </w:p>
        </w:tc>
      </w:tr>
      <w:tr>
        <w:trPr>
          <w:trHeight w:val="135"/>
        </w:trPr>
        <w:tc>
          <w:tcPr>
            <w:tcW w:w="1760" w:type="dxa"/>
            <w:vAlign w:val="bottom"/>
            <w:shd w:val="clear" w:color="auto" w:fill="EBEBEC"/>
          </w:tcPr>
          <w:p>
            <w:pPr>
              <w:ind w:left="180"/>
              <w:spacing w:after="0" w:line="135" w:lineRule="exact"/>
              <w:rPr>
                <w:sz w:val="20"/>
                <w:szCs w:val="20"/>
                <w:color w:val="auto"/>
              </w:rPr>
            </w:pPr>
            <w:r>
              <w:rPr>
                <w:rFonts w:ascii="Arial" w:cs="Arial" w:eastAsia="Arial" w:hAnsi="Arial"/>
                <w:sz w:val="12"/>
                <w:szCs w:val="12"/>
                <w:color w:val="auto"/>
              </w:rPr>
              <w:t>Annual Incentive</w:t>
            </w:r>
          </w:p>
        </w:tc>
        <w:tc>
          <w:tcPr>
            <w:tcW w:w="900" w:type="dxa"/>
            <w:vAlign w:val="bottom"/>
            <w:gridSpan w:val="2"/>
            <w:shd w:val="clear" w:color="auto" w:fill="EBEBEC"/>
          </w:tcPr>
          <w:p>
            <w:pPr>
              <w:jc w:val="right"/>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line="135" w:lineRule="exact"/>
              <w:rPr>
                <w:sz w:val="20"/>
                <w:szCs w:val="20"/>
                <w:color w:val="auto"/>
              </w:rPr>
            </w:pPr>
            <w:r>
              <w:rPr>
                <w:rFonts w:ascii="Arial" w:cs="Arial" w:eastAsia="Arial" w:hAnsi="Arial"/>
                <w:sz w:val="12"/>
                <w:szCs w:val="12"/>
                <w:color w:val="auto"/>
              </w:rPr>
              <w:t>5,100</w:t>
            </w:r>
          </w:p>
        </w:tc>
        <w:tc>
          <w:tcPr>
            <w:tcW w:w="360" w:type="dxa"/>
            <w:vAlign w:val="bottom"/>
            <w:shd w:val="clear" w:color="auto" w:fill="EBEBEC"/>
          </w:tcPr>
          <w:p>
            <w:pPr>
              <w:jc w:val="right"/>
              <w:ind w:right="2"/>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EBEBEC"/>
          </w:tcPr>
          <w:p>
            <w:pPr>
              <w:ind w:left="180"/>
              <w:spacing w:after="0" w:line="135" w:lineRule="exact"/>
              <w:rPr>
                <w:sz w:val="20"/>
                <w:szCs w:val="20"/>
                <w:color w:val="auto"/>
              </w:rPr>
            </w:pPr>
            <w:r>
              <w:rPr>
                <w:rFonts w:ascii="Arial" w:cs="Arial" w:eastAsia="Arial" w:hAnsi="Arial"/>
                <w:sz w:val="12"/>
                <w:szCs w:val="12"/>
                <w:color w:val="auto"/>
                <w:w w:val="96"/>
              </w:rPr>
              <w:t>816,000</w:t>
            </w:r>
          </w:p>
        </w:tc>
        <w:tc>
          <w:tcPr>
            <w:tcW w:w="400" w:type="dxa"/>
            <w:vAlign w:val="bottom"/>
            <w:shd w:val="clear" w:color="auto" w:fill="EBEBEC"/>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EBEBEC"/>
          </w:tcPr>
          <w:p>
            <w:pPr>
              <w:jc w:val="right"/>
              <w:spacing w:after="0" w:line="135" w:lineRule="exact"/>
              <w:rPr>
                <w:sz w:val="20"/>
                <w:szCs w:val="20"/>
                <w:color w:val="auto"/>
              </w:rPr>
            </w:pPr>
            <w:r>
              <w:rPr>
                <w:rFonts w:ascii="Arial" w:cs="Arial" w:eastAsia="Arial" w:hAnsi="Arial"/>
                <w:sz w:val="12"/>
                <w:szCs w:val="12"/>
                <w:color w:val="auto"/>
              </w:rPr>
              <w:t>1,632,000</w:t>
            </w:r>
          </w:p>
        </w:tc>
        <w:tc>
          <w:tcPr>
            <w:tcW w:w="100" w:type="dxa"/>
            <w:vAlign w:val="bottom"/>
            <w:shd w:val="clear" w:color="auto" w:fill="EBEBEC"/>
          </w:tcPr>
          <w:p>
            <w:pPr>
              <w:spacing w:after="0"/>
              <w:rPr>
                <w:sz w:val="11"/>
                <w:szCs w:val="11"/>
                <w:color w:val="auto"/>
              </w:rPr>
            </w:pPr>
          </w:p>
        </w:tc>
        <w:tc>
          <w:tcPr>
            <w:tcW w:w="120" w:type="dxa"/>
            <w:vAlign w:val="bottom"/>
            <w:shd w:val="clear" w:color="auto" w:fill="EBEBEC"/>
          </w:tcPr>
          <w:p>
            <w:pPr>
              <w:spacing w:after="0"/>
              <w:rPr>
                <w:sz w:val="11"/>
                <w:szCs w:val="11"/>
                <w:color w:val="auto"/>
              </w:rPr>
            </w:pPr>
          </w:p>
        </w:tc>
        <w:tc>
          <w:tcPr>
            <w:tcW w:w="920" w:type="dxa"/>
            <w:vAlign w:val="bottom"/>
            <w:shd w:val="clear" w:color="auto" w:fill="EBEBEC"/>
          </w:tcPr>
          <w:p>
            <w:pPr>
              <w:spacing w:after="0"/>
              <w:rPr>
                <w:sz w:val="11"/>
                <w:szCs w:val="11"/>
                <w:color w:val="auto"/>
              </w:rPr>
            </w:pPr>
          </w:p>
        </w:tc>
        <w:tc>
          <w:tcPr>
            <w:tcW w:w="1400" w:type="dxa"/>
            <w:vAlign w:val="bottom"/>
            <w:shd w:val="clear" w:color="auto" w:fill="EBEBEC"/>
          </w:tcPr>
          <w:p>
            <w:pPr>
              <w:spacing w:after="0"/>
              <w:rPr>
                <w:sz w:val="11"/>
                <w:szCs w:val="11"/>
                <w:color w:val="auto"/>
              </w:rPr>
            </w:pPr>
          </w:p>
        </w:tc>
        <w:tc>
          <w:tcPr>
            <w:tcW w:w="880" w:type="dxa"/>
            <w:vAlign w:val="bottom"/>
            <w:shd w:val="clear" w:color="auto" w:fill="EBEBEC"/>
          </w:tcPr>
          <w:p>
            <w:pPr>
              <w:spacing w:after="0"/>
              <w:rPr>
                <w:sz w:val="11"/>
                <w:szCs w:val="11"/>
                <w:color w:val="auto"/>
              </w:rPr>
            </w:pPr>
          </w:p>
        </w:tc>
        <w:tc>
          <w:tcPr>
            <w:tcW w:w="100" w:type="dxa"/>
            <w:vAlign w:val="bottom"/>
            <w:shd w:val="clear" w:color="auto" w:fill="EBEBEC"/>
          </w:tcPr>
          <w:p>
            <w:pPr>
              <w:spacing w:after="0"/>
              <w:rPr>
                <w:sz w:val="11"/>
                <w:szCs w:val="11"/>
                <w:color w:val="auto"/>
              </w:rPr>
            </w:pPr>
          </w:p>
        </w:tc>
        <w:tc>
          <w:tcPr>
            <w:tcW w:w="1020" w:type="dxa"/>
            <w:vAlign w:val="bottom"/>
            <w:shd w:val="clear" w:color="auto" w:fill="EBEBEC"/>
          </w:tcPr>
          <w:p>
            <w:pPr>
              <w:spacing w:after="0"/>
              <w:rPr>
                <w:sz w:val="11"/>
                <w:szCs w:val="11"/>
                <w:color w:val="auto"/>
              </w:rPr>
            </w:pPr>
          </w:p>
        </w:tc>
        <w:tc>
          <w:tcPr>
            <w:tcW w:w="100" w:type="dxa"/>
            <w:vAlign w:val="bottom"/>
            <w:shd w:val="clear" w:color="auto" w:fill="EBEBEC"/>
          </w:tcPr>
          <w:p>
            <w:pPr>
              <w:spacing w:after="0"/>
              <w:rPr>
                <w:sz w:val="11"/>
                <w:szCs w:val="11"/>
                <w:color w:val="auto"/>
              </w:rPr>
            </w:pPr>
          </w:p>
        </w:tc>
        <w:tc>
          <w:tcPr>
            <w:tcW w:w="140" w:type="dxa"/>
            <w:vAlign w:val="bottom"/>
            <w:shd w:val="clear" w:color="auto" w:fill="EBEBEC"/>
          </w:tcPr>
          <w:p>
            <w:pPr>
              <w:spacing w:after="0"/>
              <w:rPr>
                <w:sz w:val="11"/>
                <w:szCs w:val="11"/>
                <w:color w:val="auto"/>
              </w:rPr>
            </w:pPr>
          </w:p>
        </w:tc>
        <w:tc>
          <w:tcPr>
            <w:tcW w:w="980" w:type="dxa"/>
            <w:vAlign w:val="bottom"/>
            <w:shd w:val="clear" w:color="auto" w:fill="EBEBEC"/>
          </w:tcPr>
          <w:p>
            <w:pPr>
              <w:spacing w:after="0"/>
              <w:rPr>
                <w:sz w:val="11"/>
                <w:szCs w:val="11"/>
                <w:color w:val="auto"/>
              </w:rPr>
            </w:pPr>
          </w:p>
        </w:tc>
      </w:tr>
      <w:tr>
        <w:trPr>
          <w:trHeight w:val="135"/>
        </w:trPr>
        <w:tc>
          <w:tcPr>
            <w:tcW w:w="1760" w:type="dxa"/>
            <w:vAlign w:val="bottom"/>
            <w:shd w:val="clear" w:color="auto" w:fill="EBEBEC"/>
          </w:tcPr>
          <w:p>
            <w:pPr>
              <w:ind w:left="180"/>
              <w:spacing w:after="0" w:line="135" w:lineRule="exact"/>
              <w:rPr>
                <w:sz w:val="20"/>
                <w:szCs w:val="20"/>
                <w:color w:val="auto"/>
              </w:rPr>
            </w:pPr>
            <w:r>
              <w:rPr>
                <w:rFonts w:ascii="Arial" w:cs="Arial" w:eastAsia="Arial" w:hAnsi="Arial"/>
                <w:sz w:val="12"/>
                <w:szCs w:val="12"/>
                <w:color w:val="auto"/>
              </w:rPr>
              <w:t>RSU(3)</w:t>
            </w:r>
          </w:p>
        </w:tc>
        <w:tc>
          <w:tcPr>
            <w:tcW w:w="780" w:type="dxa"/>
            <w:vAlign w:val="bottom"/>
            <w:shd w:val="clear" w:color="auto" w:fill="EBEBEC"/>
          </w:tcPr>
          <w:p>
            <w:pPr>
              <w:jc w:val="center"/>
              <w:spacing w:after="0" w:line="135" w:lineRule="exact"/>
              <w:rPr>
                <w:sz w:val="20"/>
                <w:szCs w:val="20"/>
                <w:color w:val="auto"/>
              </w:rPr>
            </w:pPr>
            <w:r>
              <w:rPr>
                <w:rFonts w:ascii="Arial" w:cs="Arial" w:eastAsia="Arial" w:hAnsi="Arial"/>
                <w:sz w:val="12"/>
                <w:szCs w:val="12"/>
                <w:color w:val="auto"/>
                <w:w w:val="97"/>
              </w:rPr>
              <w:t>2/22/2024</w:t>
            </w:r>
          </w:p>
        </w:tc>
        <w:tc>
          <w:tcPr>
            <w:tcW w:w="120" w:type="dxa"/>
            <w:vAlign w:val="bottom"/>
            <w:shd w:val="clear" w:color="auto" w:fill="EBEBEC"/>
          </w:tcPr>
          <w:p>
            <w:pPr>
              <w:spacing w:after="0"/>
              <w:rPr>
                <w:sz w:val="11"/>
                <w:szCs w:val="11"/>
                <w:color w:val="auto"/>
              </w:rPr>
            </w:pPr>
          </w:p>
        </w:tc>
        <w:tc>
          <w:tcPr>
            <w:tcW w:w="740" w:type="dxa"/>
            <w:vAlign w:val="bottom"/>
            <w:shd w:val="clear" w:color="auto" w:fill="EBEBEC"/>
          </w:tcPr>
          <w:p>
            <w:pPr>
              <w:spacing w:after="0"/>
              <w:rPr>
                <w:sz w:val="11"/>
                <w:szCs w:val="11"/>
                <w:color w:val="auto"/>
              </w:rPr>
            </w:pPr>
          </w:p>
        </w:tc>
        <w:tc>
          <w:tcPr>
            <w:tcW w:w="360" w:type="dxa"/>
            <w:vAlign w:val="bottom"/>
            <w:shd w:val="clear" w:color="auto" w:fill="EBEBEC"/>
          </w:tcPr>
          <w:p>
            <w:pPr>
              <w:spacing w:after="0"/>
              <w:rPr>
                <w:sz w:val="11"/>
                <w:szCs w:val="11"/>
                <w:color w:val="auto"/>
              </w:rPr>
            </w:pPr>
          </w:p>
        </w:tc>
        <w:tc>
          <w:tcPr>
            <w:tcW w:w="620" w:type="dxa"/>
            <w:vAlign w:val="bottom"/>
            <w:shd w:val="clear" w:color="auto" w:fill="EBEBEC"/>
          </w:tcPr>
          <w:p>
            <w:pPr>
              <w:spacing w:after="0"/>
              <w:rPr>
                <w:sz w:val="11"/>
                <w:szCs w:val="11"/>
                <w:color w:val="auto"/>
              </w:rPr>
            </w:pPr>
          </w:p>
        </w:tc>
        <w:tc>
          <w:tcPr>
            <w:tcW w:w="400" w:type="dxa"/>
            <w:vAlign w:val="bottom"/>
            <w:shd w:val="clear" w:color="auto" w:fill="EBEBEC"/>
          </w:tcPr>
          <w:p>
            <w:pPr>
              <w:spacing w:after="0"/>
              <w:rPr>
                <w:sz w:val="11"/>
                <w:szCs w:val="11"/>
                <w:color w:val="auto"/>
              </w:rPr>
            </w:pPr>
          </w:p>
        </w:tc>
        <w:tc>
          <w:tcPr>
            <w:tcW w:w="700" w:type="dxa"/>
            <w:vAlign w:val="bottom"/>
            <w:shd w:val="clear" w:color="auto" w:fill="EBEBEC"/>
          </w:tcPr>
          <w:p>
            <w:pPr>
              <w:spacing w:after="0"/>
              <w:rPr>
                <w:sz w:val="11"/>
                <w:szCs w:val="11"/>
                <w:color w:val="auto"/>
              </w:rPr>
            </w:pPr>
          </w:p>
        </w:tc>
        <w:tc>
          <w:tcPr>
            <w:tcW w:w="100" w:type="dxa"/>
            <w:vAlign w:val="bottom"/>
            <w:shd w:val="clear" w:color="auto" w:fill="EBEBEC"/>
          </w:tcPr>
          <w:p>
            <w:pPr>
              <w:spacing w:after="0"/>
              <w:rPr>
                <w:sz w:val="11"/>
                <w:szCs w:val="11"/>
                <w:color w:val="auto"/>
              </w:rPr>
            </w:pPr>
          </w:p>
        </w:tc>
        <w:tc>
          <w:tcPr>
            <w:tcW w:w="120" w:type="dxa"/>
            <w:vAlign w:val="bottom"/>
            <w:shd w:val="clear" w:color="auto" w:fill="EBEBEC"/>
          </w:tcPr>
          <w:p>
            <w:pPr>
              <w:spacing w:after="0"/>
              <w:rPr>
                <w:sz w:val="11"/>
                <w:szCs w:val="11"/>
                <w:color w:val="auto"/>
              </w:rPr>
            </w:pPr>
          </w:p>
        </w:tc>
        <w:tc>
          <w:tcPr>
            <w:tcW w:w="920" w:type="dxa"/>
            <w:vAlign w:val="bottom"/>
            <w:shd w:val="clear" w:color="auto" w:fill="EBEBEC"/>
          </w:tcPr>
          <w:p>
            <w:pPr>
              <w:spacing w:after="0"/>
              <w:rPr>
                <w:sz w:val="11"/>
                <w:szCs w:val="11"/>
                <w:color w:val="auto"/>
              </w:rPr>
            </w:pPr>
          </w:p>
        </w:tc>
        <w:tc>
          <w:tcPr>
            <w:tcW w:w="1400" w:type="dxa"/>
            <w:vAlign w:val="bottom"/>
            <w:shd w:val="clear" w:color="auto" w:fill="EBEBEC"/>
          </w:tcPr>
          <w:p>
            <w:pPr>
              <w:spacing w:after="0"/>
              <w:rPr>
                <w:sz w:val="11"/>
                <w:szCs w:val="11"/>
                <w:color w:val="auto"/>
              </w:rPr>
            </w:pPr>
          </w:p>
        </w:tc>
        <w:tc>
          <w:tcPr>
            <w:tcW w:w="880" w:type="dxa"/>
            <w:vAlign w:val="bottom"/>
            <w:shd w:val="clear" w:color="auto" w:fill="EBEBEC"/>
          </w:tcPr>
          <w:p>
            <w:pPr>
              <w:spacing w:after="0"/>
              <w:rPr>
                <w:sz w:val="11"/>
                <w:szCs w:val="11"/>
                <w:color w:val="auto"/>
              </w:rPr>
            </w:pPr>
          </w:p>
        </w:tc>
        <w:tc>
          <w:tcPr>
            <w:tcW w:w="1120" w:type="dxa"/>
            <w:vAlign w:val="bottom"/>
            <w:gridSpan w:val="2"/>
            <w:shd w:val="clear" w:color="auto" w:fill="EBEBEC"/>
          </w:tcPr>
          <w:p>
            <w:pPr>
              <w:jc w:val="right"/>
              <w:ind w:right="62"/>
              <w:spacing w:after="0" w:line="135" w:lineRule="exact"/>
              <w:rPr>
                <w:sz w:val="20"/>
                <w:szCs w:val="20"/>
                <w:color w:val="auto"/>
              </w:rPr>
            </w:pPr>
            <w:r>
              <w:rPr>
                <w:rFonts w:ascii="Arial" w:cs="Arial" w:eastAsia="Arial" w:hAnsi="Arial"/>
                <w:sz w:val="12"/>
                <w:szCs w:val="12"/>
                <w:color w:val="auto"/>
              </w:rPr>
              <w:t>38,702</w:t>
            </w:r>
          </w:p>
        </w:tc>
        <w:tc>
          <w:tcPr>
            <w:tcW w:w="240" w:type="dxa"/>
            <w:vAlign w:val="bottom"/>
            <w:gridSpan w:val="2"/>
            <w:shd w:val="clear" w:color="auto" w:fill="EBEBEC"/>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980" w:type="dxa"/>
            <w:vAlign w:val="bottom"/>
            <w:shd w:val="clear" w:color="auto" w:fill="EBEBEC"/>
          </w:tcPr>
          <w:p>
            <w:pPr>
              <w:jc w:val="right"/>
              <w:ind w:right="62"/>
              <w:spacing w:after="0" w:line="135" w:lineRule="exact"/>
              <w:rPr>
                <w:sz w:val="20"/>
                <w:szCs w:val="20"/>
                <w:color w:val="auto"/>
              </w:rPr>
            </w:pPr>
            <w:r>
              <w:rPr>
                <w:rFonts w:ascii="Arial" w:cs="Arial" w:eastAsia="Arial" w:hAnsi="Arial"/>
                <w:sz w:val="12"/>
                <w:szCs w:val="12"/>
                <w:color w:val="auto"/>
              </w:rPr>
              <w:t>2,121,644</w:t>
            </w:r>
          </w:p>
        </w:tc>
      </w:tr>
      <w:tr>
        <w:trPr>
          <w:trHeight w:val="135"/>
        </w:trPr>
        <w:tc>
          <w:tcPr>
            <w:tcW w:w="1760" w:type="dxa"/>
            <w:vAlign w:val="bottom"/>
            <w:shd w:val="clear" w:color="auto" w:fill="EBEBEC"/>
          </w:tcPr>
          <w:p>
            <w:pPr>
              <w:ind w:left="180"/>
              <w:spacing w:after="0" w:line="135" w:lineRule="exact"/>
              <w:rPr>
                <w:sz w:val="20"/>
                <w:szCs w:val="20"/>
                <w:color w:val="auto"/>
              </w:rPr>
            </w:pPr>
            <w:r>
              <w:rPr>
                <w:rFonts w:ascii="Arial" w:cs="Arial" w:eastAsia="Arial" w:hAnsi="Arial"/>
                <w:sz w:val="12"/>
                <w:szCs w:val="12"/>
                <w:color w:val="auto"/>
              </w:rPr>
              <w:t>PSU(4)</w:t>
            </w:r>
          </w:p>
        </w:tc>
        <w:tc>
          <w:tcPr>
            <w:tcW w:w="780" w:type="dxa"/>
            <w:vAlign w:val="bottom"/>
            <w:shd w:val="clear" w:color="auto" w:fill="EBEBEC"/>
          </w:tcPr>
          <w:p>
            <w:pPr>
              <w:jc w:val="center"/>
              <w:spacing w:after="0" w:line="135" w:lineRule="exact"/>
              <w:rPr>
                <w:sz w:val="20"/>
                <w:szCs w:val="20"/>
                <w:color w:val="auto"/>
              </w:rPr>
            </w:pPr>
            <w:r>
              <w:rPr>
                <w:rFonts w:ascii="Arial" w:cs="Arial" w:eastAsia="Arial" w:hAnsi="Arial"/>
                <w:sz w:val="12"/>
                <w:szCs w:val="12"/>
                <w:color w:val="auto"/>
                <w:w w:val="97"/>
              </w:rPr>
              <w:t>2/22/2024</w:t>
            </w:r>
          </w:p>
        </w:tc>
        <w:tc>
          <w:tcPr>
            <w:tcW w:w="120" w:type="dxa"/>
            <w:vAlign w:val="bottom"/>
            <w:shd w:val="clear" w:color="auto" w:fill="EBEBEC"/>
          </w:tcPr>
          <w:p>
            <w:pPr>
              <w:spacing w:after="0"/>
              <w:rPr>
                <w:sz w:val="11"/>
                <w:szCs w:val="11"/>
                <w:color w:val="auto"/>
              </w:rPr>
            </w:pPr>
          </w:p>
        </w:tc>
        <w:tc>
          <w:tcPr>
            <w:tcW w:w="740" w:type="dxa"/>
            <w:vAlign w:val="bottom"/>
            <w:shd w:val="clear" w:color="auto" w:fill="EBEBEC"/>
          </w:tcPr>
          <w:p>
            <w:pPr>
              <w:spacing w:after="0"/>
              <w:rPr>
                <w:sz w:val="11"/>
                <w:szCs w:val="11"/>
                <w:color w:val="auto"/>
              </w:rPr>
            </w:pPr>
          </w:p>
        </w:tc>
        <w:tc>
          <w:tcPr>
            <w:tcW w:w="360" w:type="dxa"/>
            <w:vAlign w:val="bottom"/>
            <w:shd w:val="clear" w:color="auto" w:fill="EBEBEC"/>
          </w:tcPr>
          <w:p>
            <w:pPr>
              <w:spacing w:after="0"/>
              <w:rPr>
                <w:sz w:val="11"/>
                <w:szCs w:val="11"/>
                <w:color w:val="auto"/>
              </w:rPr>
            </w:pPr>
          </w:p>
        </w:tc>
        <w:tc>
          <w:tcPr>
            <w:tcW w:w="620" w:type="dxa"/>
            <w:vAlign w:val="bottom"/>
            <w:shd w:val="clear" w:color="auto" w:fill="EBEBEC"/>
          </w:tcPr>
          <w:p>
            <w:pPr>
              <w:spacing w:after="0"/>
              <w:rPr>
                <w:sz w:val="11"/>
                <w:szCs w:val="11"/>
                <w:color w:val="auto"/>
              </w:rPr>
            </w:pPr>
          </w:p>
        </w:tc>
        <w:tc>
          <w:tcPr>
            <w:tcW w:w="400" w:type="dxa"/>
            <w:vAlign w:val="bottom"/>
            <w:shd w:val="clear" w:color="auto" w:fill="EBEBEC"/>
          </w:tcPr>
          <w:p>
            <w:pPr>
              <w:spacing w:after="0"/>
              <w:rPr>
                <w:sz w:val="11"/>
                <w:szCs w:val="11"/>
                <w:color w:val="auto"/>
              </w:rPr>
            </w:pPr>
          </w:p>
        </w:tc>
        <w:tc>
          <w:tcPr>
            <w:tcW w:w="700" w:type="dxa"/>
            <w:vAlign w:val="bottom"/>
            <w:shd w:val="clear" w:color="auto" w:fill="EBEBEC"/>
          </w:tcPr>
          <w:p>
            <w:pPr>
              <w:spacing w:after="0"/>
              <w:rPr>
                <w:sz w:val="11"/>
                <w:szCs w:val="11"/>
                <w:color w:val="auto"/>
              </w:rPr>
            </w:pPr>
          </w:p>
        </w:tc>
        <w:tc>
          <w:tcPr>
            <w:tcW w:w="1140" w:type="dxa"/>
            <w:vAlign w:val="bottom"/>
            <w:gridSpan w:val="3"/>
            <w:shd w:val="clear" w:color="auto" w:fill="EBEBEC"/>
          </w:tcPr>
          <w:p>
            <w:pPr>
              <w:jc w:val="right"/>
              <w:spacing w:after="0" w:line="135" w:lineRule="exact"/>
              <w:rPr>
                <w:sz w:val="20"/>
                <w:szCs w:val="20"/>
                <w:color w:val="auto"/>
              </w:rPr>
            </w:pPr>
            <w:r>
              <w:rPr>
                <w:rFonts w:ascii="Arial" w:cs="Arial" w:eastAsia="Arial" w:hAnsi="Arial"/>
                <w:sz w:val="12"/>
                <w:szCs w:val="12"/>
                <w:color w:val="auto"/>
              </w:rPr>
              <w:t>6</w:t>
            </w:r>
          </w:p>
        </w:tc>
        <w:tc>
          <w:tcPr>
            <w:tcW w:w="1400" w:type="dxa"/>
            <w:vAlign w:val="bottom"/>
            <w:shd w:val="clear" w:color="auto" w:fill="EBEBEC"/>
          </w:tcPr>
          <w:p>
            <w:pPr>
              <w:jc w:val="right"/>
              <w:ind w:right="323"/>
              <w:spacing w:after="0" w:line="135" w:lineRule="exact"/>
              <w:rPr>
                <w:sz w:val="20"/>
                <w:szCs w:val="20"/>
                <w:color w:val="auto"/>
              </w:rPr>
            </w:pPr>
            <w:r>
              <w:rPr>
                <w:rFonts w:ascii="Arial" w:cs="Arial" w:eastAsia="Arial" w:hAnsi="Arial"/>
                <w:sz w:val="12"/>
                <w:szCs w:val="12"/>
                <w:color w:val="auto"/>
              </w:rPr>
              <w:t>58,054</w:t>
            </w:r>
          </w:p>
        </w:tc>
        <w:tc>
          <w:tcPr>
            <w:tcW w:w="880" w:type="dxa"/>
            <w:vAlign w:val="bottom"/>
            <w:shd w:val="clear" w:color="auto" w:fill="EBEBEC"/>
          </w:tcPr>
          <w:p>
            <w:pPr>
              <w:jc w:val="right"/>
              <w:ind w:right="63"/>
              <w:spacing w:after="0" w:line="135" w:lineRule="exact"/>
              <w:rPr>
                <w:sz w:val="20"/>
                <w:szCs w:val="20"/>
                <w:color w:val="auto"/>
              </w:rPr>
            </w:pPr>
            <w:r>
              <w:rPr>
                <w:rFonts w:ascii="Arial" w:cs="Arial" w:eastAsia="Arial" w:hAnsi="Arial"/>
                <w:sz w:val="12"/>
                <w:szCs w:val="12"/>
                <w:color w:val="auto"/>
              </w:rPr>
              <w:t>116,108</w:t>
            </w:r>
          </w:p>
        </w:tc>
        <w:tc>
          <w:tcPr>
            <w:tcW w:w="100" w:type="dxa"/>
            <w:vAlign w:val="bottom"/>
            <w:shd w:val="clear" w:color="auto" w:fill="EBEBEC"/>
          </w:tcPr>
          <w:p>
            <w:pPr>
              <w:spacing w:after="0"/>
              <w:rPr>
                <w:sz w:val="11"/>
                <w:szCs w:val="11"/>
                <w:color w:val="auto"/>
              </w:rPr>
            </w:pPr>
          </w:p>
        </w:tc>
        <w:tc>
          <w:tcPr>
            <w:tcW w:w="1020" w:type="dxa"/>
            <w:vAlign w:val="bottom"/>
            <w:shd w:val="clear" w:color="auto" w:fill="EBEBEC"/>
          </w:tcPr>
          <w:p>
            <w:pPr>
              <w:spacing w:after="0"/>
              <w:rPr>
                <w:sz w:val="11"/>
                <w:szCs w:val="11"/>
                <w:color w:val="auto"/>
              </w:rPr>
            </w:pPr>
          </w:p>
        </w:tc>
        <w:tc>
          <w:tcPr>
            <w:tcW w:w="240" w:type="dxa"/>
            <w:vAlign w:val="bottom"/>
            <w:gridSpan w:val="2"/>
            <w:shd w:val="clear" w:color="auto" w:fill="EBEBEC"/>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980" w:type="dxa"/>
            <w:vAlign w:val="bottom"/>
            <w:shd w:val="clear" w:color="auto" w:fill="EBEBEC"/>
          </w:tcPr>
          <w:p>
            <w:pPr>
              <w:jc w:val="right"/>
              <w:ind w:right="62"/>
              <w:spacing w:after="0" w:line="135" w:lineRule="exact"/>
              <w:rPr>
                <w:sz w:val="20"/>
                <w:szCs w:val="20"/>
                <w:color w:val="auto"/>
              </w:rPr>
            </w:pPr>
            <w:r>
              <w:rPr>
                <w:rFonts w:ascii="Arial" w:cs="Arial" w:eastAsia="Arial" w:hAnsi="Arial"/>
                <w:sz w:val="12"/>
                <w:szCs w:val="12"/>
                <w:color w:val="auto"/>
              </w:rPr>
              <w:t>3,442,602</w:t>
            </w:r>
          </w:p>
        </w:tc>
      </w:tr>
      <w:tr>
        <w:trPr>
          <w:trHeight w:val="135"/>
        </w:trPr>
        <w:tc>
          <w:tcPr>
            <w:tcW w:w="1760" w:type="dxa"/>
            <w:vAlign w:val="bottom"/>
            <w:shd w:val="clear" w:color="auto" w:fill="EBEBEC"/>
          </w:tcPr>
          <w:p>
            <w:pPr>
              <w:ind w:left="120"/>
              <w:spacing w:after="0" w:line="135" w:lineRule="exact"/>
              <w:rPr>
                <w:sz w:val="20"/>
                <w:szCs w:val="20"/>
                <w:color w:val="auto"/>
              </w:rPr>
            </w:pPr>
            <w:r>
              <w:rPr>
                <w:rFonts w:ascii="Arial" w:cs="Arial" w:eastAsia="Arial" w:hAnsi="Arial"/>
                <w:sz w:val="12"/>
                <w:szCs w:val="12"/>
                <w:b w:val="1"/>
                <w:bCs w:val="1"/>
                <w:color w:val="auto"/>
              </w:rPr>
              <w:t>Manuela ("Nelly") Molina</w:t>
            </w:r>
          </w:p>
        </w:tc>
        <w:tc>
          <w:tcPr>
            <w:tcW w:w="780" w:type="dxa"/>
            <w:vAlign w:val="bottom"/>
            <w:shd w:val="clear" w:color="auto" w:fill="EBEBEC"/>
          </w:tcPr>
          <w:p>
            <w:pPr>
              <w:spacing w:after="0"/>
              <w:rPr>
                <w:sz w:val="11"/>
                <w:szCs w:val="11"/>
                <w:color w:val="auto"/>
              </w:rPr>
            </w:pPr>
          </w:p>
        </w:tc>
        <w:tc>
          <w:tcPr>
            <w:tcW w:w="120" w:type="dxa"/>
            <w:vAlign w:val="bottom"/>
            <w:shd w:val="clear" w:color="auto" w:fill="EBEBEC"/>
          </w:tcPr>
          <w:p>
            <w:pPr>
              <w:spacing w:after="0"/>
              <w:rPr>
                <w:sz w:val="11"/>
                <w:szCs w:val="11"/>
                <w:color w:val="auto"/>
              </w:rPr>
            </w:pPr>
          </w:p>
        </w:tc>
        <w:tc>
          <w:tcPr>
            <w:tcW w:w="740" w:type="dxa"/>
            <w:vAlign w:val="bottom"/>
            <w:shd w:val="clear" w:color="auto" w:fill="EBEBEC"/>
          </w:tcPr>
          <w:p>
            <w:pPr>
              <w:spacing w:after="0"/>
              <w:rPr>
                <w:sz w:val="11"/>
                <w:szCs w:val="11"/>
                <w:color w:val="auto"/>
              </w:rPr>
            </w:pPr>
          </w:p>
        </w:tc>
        <w:tc>
          <w:tcPr>
            <w:tcW w:w="360" w:type="dxa"/>
            <w:vAlign w:val="bottom"/>
            <w:shd w:val="clear" w:color="auto" w:fill="EBEBEC"/>
          </w:tcPr>
          <w:p>
            <w:pPr>
              <w:spacing w:after="0"/>
              <w:rPr>
                <w:sz w:val="11"/>
                <w:szCs w:val="11"/>
                <w:color w:val="auto"/>
              </w:rPr>
            </w:pPr>
          </w:p>
        </w:tc>
        <w:tc>
          <w:tcPr>
            <w:tcW w:w="620" w:type="dxa"/>
            <w:vAlign w:val="bottom"/>
            <w:shd w:val="clear" w:color="auto" w:fill="EBEBEC"/>
          </w:tcPr>
          <w:p>
            <w:pPr>
              <w:spacing w:after="0"/>
              <w:rPr>
                <w:sz w:val="11"/>
                <w:szCs w:val="11"/>
                <w:color w:val="auto"/>
              </w:rPr>
            </w:pPr>
          </w:p>
        </w:tc>
        <w:tc>
          <w:tcPr>
            <w:tcW w:w="400" w:type="dxa"/>
            <w:vAlign w:val="bottom"/>
            <w:shd w:val="clear" w:color="auto" w:fill="EBEBEC"/>
          </w:tcPr>
          <w:p>
            <w:pPr>
              <w:spacing w:after="0"/>
              <w:rPr>
                <w:sz w:val="11"/>
                <w:szCs w:val="11"/>
                <w:color w:val="auto"/>
              </w:rPr>
            </w:pPr>
          </w:p>
        </w:tc>
        <w:tc>
          <w:tcPr>
            <w:tcW w:w="700" w:type="dxa"/>
            <w:vAlign w:val="bottom"/>
            <w:shd w:val="clear" w:color="auto" w:fill="EBEBEC"/>
          </w:tcPr>
          <w:p>
            <w:pPr>
              <w:spacing w:after="0"/>
              <w:rPr>
                <w:sz w:val="11"/>
                <w:szCs w:val="11"/>
                <w:color w:val="auto"/>
              </w:rPr>
            </w:pPr>
          </w:p>
        </w:tc>
        <w:tc>
          <w:tcPr>
            <w:tcW w:w="100" w:type="dxa"/>
            <w:vAlign w:val="bottom"/>
            <w:shd w:val="clear" w:color="auto" w:fill="EBEBEC"/>
          </w:tcPr>
          <w:p>
            <w:pPr>
              <w:spacing w:after="0"/>
              <w:rPr>
                <w:sz w:val="11"/>
                <w:szCs w:val="11"/>
                <w:color w:val="auto"/>
              </w:rPr>
            </w:pPr>
          </w:p>
        </w:tc>
        <w:tc>
          <w:tcPr>
            <w:tcW w:w="120" w:type="dxa"/>
            <w:vAlign w:val="bottom"/>
            <w:shd w:val="clear" w:color="auto" w:fill="EBEBEC"/>
          </w:tcPr>
          <w:p>
            <w:pPr>
              <w:spacing w:after="0"/>
              <w:rPr>
                <w:sz w:val="11"/>
                <w:szCs w:val="11"/>
                <w:color w:val="auto"/>
              </w:rPr>
            </w:pPr>
          </w:p>
        </w:tc>
        <w:tc>
          <w:tcPr>
            <w:tcW w:w="920" w:type="dxa"/>
            <w:vAlign w:val="bottom"/>
            <w:shd w:val="clear" w:color="auto" w:fill="EBEBEC"/>
          </w:tcPr>
          <w:p>
            <w:pPr>
              <w:spacing w:after="0"/>
              <w:rPr>
                <w:sz w:val="11"/>
                <w:szCs w:val="11"/>
                <w:color w:val="auto"/>
              </w:rPr>
            </w:pPr>
          </w:p>
        </w:tc>
        <w:tc>
          <w:tcPr>
            <w:tcW w:w="1400" w:type="dxa"/>
            <w:vAlign w:val="bottom"/>
            <w:shd w:val="clear" w:color="auto" w:fill="EBEBEC"/>
          </w:tcPr>
          <w:p>
            <w:pPr>
              <w:spacing w:after="0"/>
              <w:rPr>
                <w:sz w:val="11"/>
                <w:szCs w:val="11"/>
                <w:color w:val="auto"/>
              </w:rPr>
            </w:pPr>
          </w:p>
        </w:tc>
        <w:tc>
          <w:tcPr>
            <w:tcW w:w="880" w:type="dxa"/>
            <w:vAlign w:val="bottom"/>
            <w:shd w:val="clear" w:color="auto" w:fill="EBEBEC"/>
          </w:tcPr>
          <w:p>
            <w:pPr>
              <w:spacing w:after="0"/>
              <w:rPr>
                <w:sz w:val="11"/>
                <w:szCs w:val="11"/>
                <w:color w:val="auto"/>
              </w:rPr>
            </w:pPr>
          </w:p>
        </w:tc>
        <w:tc>
          <w:tcPr>
            <w:tcW w:w="100" w:type="dxa"/>
            <w:vAlign w:val="bottom"/>
            <w:shd w:val="clear" w:color="auto" w:fill="EBEBEC"/>
          </w:tcPr>
          <w:p>
            <w:pPr>
              <w:spacing w:after="0"/>
              <w:rPr>
                <w:sz w:val="11"/>
                <w:szCs w:val="11"/>
                <w:color w:val="auto"/>
              </w:rPr>
            </w:pPr>
          </w:p>
        </w:tc>
        <w:tc>
          <w:tcPr>
            <w:tcW w:w="1020" w:type="dxa"/>
            <w:vAlign w:val="bottom"/>
            <w:shd w:val="clear" w:color="auto" w:fill="EBEBEC"/>
          </w:tcPr>
          <w:p>
            <w:pPr>
              <w:spacing w:after="0"/>
              <w:rPr>
                <w:sz w:val="11"/>
                <w:szCs w:val="11"/>
                <w:color w:val="auto"/>
              </w:rPr>
            </w:pPr>
          </w:p>
        </w:tc>
        <w:tc>
          <w:tcPr>
            <w:tcW w:w="100" w:type="dxa"/>
            <w:vAlign w:val="bottom"/>
            <w:shd w:val="clear" w:color="auto" w:fill="EBEBEC"/>
          </w:tcPr>
          <w:p>
            <w:pPr>
              <w:spacing w:after="0"/>
              <w:rPr>
                <w:sz w:val="11"/>
                <w:szCs w:val="11"/>
                <w:color w:val="auto"/>
              </w:rPr>
            </w:pPr>
          </w:p>
        </w:tc>
        <w:tc>
          <w:tcPr>
            <w:tcW w:w="140" w:type="dxa"/>
            <w:vAlign w:val="bottom"/>
            <w:shd w:val="clear" w:color="auto" w:fill="EBEBEC"/>
          </w:tcPr>
          <w:p>
            <w:pPr>
              <w:spacing w:after="0"/>
              <w:rPr>
                <w:sz w:val="11"/>
                <w:szCs w:val="11"/>
                <w:color w:val="auto"/>
              </w:rPr>
            </w:pPr>
          </w:p>
        </w:tc>
        <w:tc>
          <w:tcPr>
            <w:tcW w:w="980" w:type="dxa"/>
            <w:vAlign w:val="bottom"/>
            <w:shd w:val="clear" w:color="auto" w:fill="EBEBEC"/>
          </w:tcPr>
          <w:p>
            <w:pPr>
              <w:spacing w:after="0"/>
              <w:rPr>
                <w:sz w:val="11"/>
                <w:szCs w:val="11"/>
                <w:color w:val="auto"/>
              </w:rPr>
            </w:pPr>
          </w:p>
        </w:tc>
      </w:tr>
      <w:tr>
        <w:trPr>
          <w:trHeight w:val="135"/>
        </w:trPr>
        <w:tc>
          <w:tcPr>
            <w:tcW w:w="1760" w:type="dxa"/>
            <w:vAlign w:val="bottom"/>
            <w:shd w:val="clear" w:color="auto" w:fill="EBEBEC"/>
          </w:tcPr>
          <w:p>
            <w:pPr>
              <w:ind w:left="180"/>
              <w:spacing w:after="0" w:line="135" w:lineRule="exact"/>
              <w:rPr>
                <w:sz w:val="20"/>
                <w:szCs w:val="20"/>
                <w:color w:val="auto"/>
              </w:rPr>
            </w:pPr>
            <w:r>
              <w:rPr>
                <w:rFonts w:ascii="Arial" w:cs="Arial" w:eastAsia="Arial" w:hAnsi="Arial"/>
                <w:sz w:val="12"/>
                <w:szCs w:val="12"/>
                <w:color w:val="auto"/>
              </w:rPr>
              <w:t>Annual Incentive</w:t>
            </w:r>
          </w:p>
        </w:tc>
        <w:tc>
          <w:tcPr>
            <w:tcW w:w="780" w:type="dxa"/>
            <w:vAlign w:val="bottom"/>
            <w:shd w:val="clear" w:color="auto" w:fill="EBEBEC"/>
          </w:tcPr>
          <w:p>
            <w:pPr>
              <w:spacing w:after="0"/>
              <w:rPr>
                <w:sz w:val="11"/>
                <w:szCs w:val="11"/>
                <w:color w:val="auto"/>
              </w:rPr>
            </w:pPr>
          </w:p>
        </w:tc>
        <w:tc>
          <w:tcPr>
            <w:tcW w:w="120" w:type="dxa"/>
            <w:vAlign w:val="bottom"/>
            <w:shd w:val="clear" w:color="auto" w:fill="EBEBEC"/>
          </w:tcPr>
          <w:p>
            <w:pPr>
              <w:jc w:val="right"/>
              <w:spacing w:after="0" w:line="135" w:lineRule="exact"/>
              <w:rPr>
                <w:sz w:val="20"/>
                <w:szCs w:val="20"/>
                <w:color w:val="auto"/>
              </w:rPr>
            </w:pPr>
            <w:r>
              <w:rPr>
                <w:rFonts w:ascii="Arial" w:cs="Arial" w:eastAsia="Arial" w:hAnsi="Arial"/>
                <w:sz w:val="12"/>
                <w:szCs w:val="12"/>
                <w:color w:val="auto"/>
                <w:w w:val="89"/>
              </w:rPr>
              <w:t>$</w:t>
            </w:r>
          </w:p>
        </w:tc>
        <w:tc>
          <w:tcPr>
            <w:tcW w:w="740" w:type="dxa"/>
            <w:vAlign w:val="bottom"/>
            <w:shd w:val="clear" w:color="auto" w:fill="EBEBEC"/>
          </w:tcPr>
          <w:p>
            <w:pPr>
              <w:jc w:val="right"/>
              <w:spacing w:after="0" w:line="135" w:lineRule="exact"/>
              <w:rPr>
                <w:sz w:val="20"/>
                <w:szCs w:val="20"/>
                <w:color w:val="auto"/>
              </w:rPr>
            </w:pPr>
            <w:r>
              <w:rPr>
                <w:rFonts w:ascii="Arial" w:cs="Arial" w:eastAsia="Arial" w:hAnsi="Arial"/>
                <w:sz w:val="12"/>
                <w:szCs w:val="12"/>
                <w:color w:val="auto"/>
              </w:rPr>
              <w:t>2,860</w:t>
            </w:r>
          </w:p>
        </w:tc>
        <w:tc>
          <w:tcPr>
            <w:tcW w:w="360" w:type="dxa"/>
            <w:vAlign w:val="bottom"/>
            <w:shd w:val="clear" w:color="auto" w:fill="EBEBEC"/>
          </w:tcPr>
          <w:p>
            <w:pPr>
              <w:jc w:val="right"/>
              <w:ind w:right="2"/>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EBEBEC"/>
          </w:tcPr>
          <w:p>
            <w:pPr>
              <w:ind w:left="180"/>
              <w:spacing w:after="0" w:line="135" w:lineRule="exact"/>
              <w:rPr>
                <w:sz w:val="20"/>
                <w:szCs w:val="20"/>
                <w:color w:val="auto"/>
              </w:rPr>
            </w:pPr>
            <w:r>
              <w:rPr>
                <w:rFonts w:ascii="Arial" w:cs="Arial" w:eastAsia="Arial" w:hAnsi="Arial"/>
                <w:sz w:val="12"/>
                <w:szCs w:val="12"/>
                <w:color w:val="auto"/>
                <w:w w:val="96"/>
              </w:rPr>
              <w:t>457,600</w:t>
            </w:r>
          </w:p>
        </w:tc>
        <w:tc>
          <w:tcPr>
            <w:tcW w:w="400" w:type="dxa"/>
            <w:vAlign w:val="bottom"/>
            <w:shd w:val="clear" w:color="auto" w:fill="EBEBEC"/>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EBEBEC"/>
          </w:tcPr>
          <w:p>
            <w:pPr>
              <w:jc w:val="right"/>
              <w:spacing w:after="0" w:line="135" w:lineRule="exact"/>
              <w:rPr>
                <w:sz w:val="20"/>
                <w:szCs w:val="20"/>
                <w:color w:val="auto"/>
              </w:rPr>
            </w:pPr>
            <w:r>
              <w:rPr>
                <w:rFonts w:ascii="Arial" w:cs="Arial" w:eastAsia="Arial" w:hAnsi="Arial"/>
                <w:sz w:val="12"/>
                <w:szCs w:val="12"/>
                <w:color w:val="auto"/>
              </w:rPr>
              <w:t>915,200</w:t>
            </w:r>
          </w:p>
        </w:tc>
        <w:tc>
          <w:tcPr>
            <w:tcW w:w="100" w:type="dxa"/>
            <w:vAlign w:val="bottom"/>
            <w:shd w:val="clear" w:color="auto" w:fill="EBEBEC"/>
          </w:tcPr>
          <w:p>
            <w:pPr>
              <w:spacing w:after="0"/>
              <w:rPr>
                <w:sz w:val="11"/>
                <w:szCs w:val="11"/>
                <w:color w:val="auto"/>
              </w:rPr>
            </w:pPr>
          </w:p>
        </w:tc>
        <w:tc>
          <w:tcPr>
            <w:tcW w:w="120" w:type="dxa"/>
            <w:vAlign w:val="bottom"/>
            <w:shd w:val="clear" w:color="auto" w:fill="EBEBEC"/>
          </w:tcPr>
          <w:p>
            <w:pPr>
              <w:spacing w:after="0"/>
              <w:rPr>
                <w:sz w:val="11"/>
                <w:szCs w:val="11"/>
                <w:color w:val="auto"/>
              </w:rPr>
            </w:pPr>
          </w:p>
        </w:tc>
        <w:tc>
          <w:tcPr>
            <w:tcW w:w="920" w:type="dxa"/>
            <w:vAlign w:val="bottom"/>
            <w:shd w:val="clear" w:color="auto" w:fill="EBEBEC"/>
          </w:tcPr>
          <w:p>
            <w:pPr>
              <w:spacing w:after="0"/>
              <w:rPr>
                <w:sz w:val="11"/>
                <w:szCs w:val="11"/>
                <w:color w:val="auto"/>
              </w:rPr>
            </w:pPr>
          </w:p>
        </w:tc>
        <w:tc>
          <w:tcPr>
            <w:tcW w:w="1400" w:type="dxa"/>
            <w:vAlign w:val="bottom"/>
            <w:shd w:val="clear" w:color="auto" w:fill="EBEBEC"/>
          </w:tcPr>
          <w:p>
            <w:pPr>
              <w:spacing w:after="0"/>
              <w:rPr>
                <w:sz w:val="11"/>
                <w:szCs w:val="11"/>
                <w:color w:val="auto"/>
              </w:rPr>
            </w:pPr>
          </w:p>
        </w:tc>
        <w:tc>
          <w:tcPr>
            <w:tcW w:w="880" w:type="dxa"/>
            <w:vAlign w:val="bottom"/>
            <w:shd w:val="clear" w:color="auto" w:fill="EBEBEC"/>
          </w:tcPr>
          <w:p>
            <w:pPr>
              <w:spacing w:after="0"/>
              <w:rPr>
                <w:sz w:val="11"/>
                <w:szCs w:val="11"/>
                <w:color w:val="auto"/>
              </w:rPr>
            </w:pPr>
          </w:p>
        </w:tc>
        <w:tc>
          <w:tcPr>
            <w:tcW w:w="100" w:type="dxa"/>
            <w:vAlign w:val="bottom"/>
            <w:shd w:val="clear" w:color="auto" w:fill="EBEBEC"/>
          </w:tcPr>
          <w:p>
            <w:pPr>
              <w:spacing w:after="0"/>
              <w:rPr>
                <w:sz w:val="11"/>
                <w:szCs w:val="11"/>
                <w:color w:val="auto"/>
              </w:rPr>
            </w:pPr>
          </w:p>
        </w:tc>
        <w:tc>
          <w:tcPr>
            <w:tcW w:w="1020" w:type="dxa"/>
            <w:vAlign w:val="bottom"/>
            <w:shd w:val="clear" w:color="auto" w:fill="EBEBEC"/>
          </w:tcPr>
          <w:p>
            <w:pPr>
              <w:spacing w:after="0"/>
              <w:rPr>
                <w:sz w:val="11"/>
                <w:szCs w:val="11"/>
                <w:color w:val="auto"/>
              </w:rPr>
            </w:pPr>
          </w:p>
        </w:tc>
        <w:tc>
          <w:tcPr>
            <w:tcW w:w="100" w:type="dxa"/>
            <w:vAlign w:val="bottom"/>
            <w:shd w:val="clear" w:color="auto" w:fill="EBEBEC"/>
          </w:tcPr>
          <w:p>
            <w:pPr>
              <w:spacing w:after="0"/>
              <w:rPr>
                <w:sz w:val="11"/>
                <w:szCs w:val="11"/>
                <w:color w:val="auto"/>
              </w:rPr>
            </w:pPr>
          </w:p>
        </w:tc>
        <w:tc>
          <w:tcPr>
            <w:tcW w:w="140" w:type="dxa"/>
            <w:vAlign w:val="bottom"/>
            <w:shd w:val="clear" w:color="auto" w:fill="EBEBEC"/>
          </w:tcPr>
          <w:p>
            <w:pPr>
              <w:spacing w:after="0"/>
              <w:rPr>
                <w:sz w:val="11"/>
                <w:szCs w:val="11"/>
                <w:color w:val="auto"/>
              </w:rPr>
            </w:pPr>
          </w:p>
        </w:tc>
        <w:tc>
          <w:tcPr>
            <w:tcW w:w="980" w:type="dxa"/>
            <w:vAlign w:val="bottom"/>
            <w:shd w:val="clear" w:color="auto" w:fill="EBEBEC"/>
          </w:tcPr>
          <w:p>
            <w:pPr>
              <w:spacing w:after="0"/>
              <w:rPr>
                <w:sz w:val="11"/>
                <w:szCs w:val="11"/>
                <w:color w:val="auto"/>
              </w:rPr>
            </w:pPr>
          </w:p>
        </w:tc>
      </w:tr>
      <w:tr>
        <w:trPr>
          <w:trHeight w:val="135"/>
        </w:trPr>
        <w:tc>
          <w:tcPr>
            <w:tcW w:w="1760" w:type="dxa"/>
            <w:vAlign w:val="bottom"/>
            <w:shd w:val="clear" w:color="auto" w:fill="EBEBEC"/>
          </w:tcPr>
          <w:p>
            <w:pPr>
              <w:ind w:left="180"/>
              <w:spacing w:after="0" w:line="135" w:lineRule="exact"/>
              <w:rPr>
                <w:sz w:val="20"/>
                <w:szCs w:val="20"/>
                <w:color w:val="auto"/>
              </w:rPr>
            </w:pPr>
            <w:r>
              <w:rPr>
                <w:rFonts w:ascii="Arial" w:cs="Arial" w:eastAsia="Arial" w:hAnsi="Arial"/>
                <w:sz w:val="12"/>
                <w:szCs w:val="12"/>
                <w:color w:val="auto"/>
              </w:rPr>
              <w:t>RSU(3)</w:t>
            </w:r>
          </w:p>
        </w:tc>
        <w:tc>
          <w:tcPr>
            <w:tcW w:w="780" w:type="dxa"/>
            <w:vAlign w:val="bottom"/>
            <w:shd w:val="clear" w:color="auto" w:fill="EBEBEC"/>
          </w:tcPr>
          <w:p>
            <w:pPr>
              <w:jc w:val="center"/>
              <w:spacing w:after="0" w:line="135" w:lineRule="exact"/>
              <w:rPr>
                <w:sz w:val="20"/>
                <w:szCs w:val="20"/>
                <w:color w:val="auto"/>
              </w:rPr>
            </w:pPr>
            <w:r>
              <w:rPr>
                <w:rFonts w:ascii="Arial" w:cs="Arial" w:eastAsia="Arial" w:hAnsi="Arial"/>
                <w:sz w:val="12"/>
                <w:szCs w:val="12"/>
                <w:color w:val="auto"/>
                <w:w w:val="97"/>
              </w:rPr>
              <w:t>2/22/2024</w:t>
            </w:r>
          </w:p>
        </w:tc>
        <w:tc>
          <w:tcPr>
            <w:tcW w:w="120" w:type="dxa"/>
            <w:vAlign w:val="bottom"/>
            <w:shd w:val="clear" w:color="auto" w:fill="EBEBEC"/>
          </w:tcPr>
          <w:p>
            <w:pPr>
              <w:spacing w:after="0"/>
              <w:rPr>
                <w:sz w:val="11"/>
                <w:szCs w:val="11"/>
                <w:color w:val="auto"/>
              </w:rPr>
            </w:pPr>
          </w:p>
        </w:tc>
        <w:tc>
          <w:tcPr>
            <w:tcW w:w="740" w:type="dxa"/>
            <w:vAlign w:val="bottom"/>
            <w:shd w:val="clear" w:color="auto" w:fill="EBEBEC"/>
          </w:tcPr>
          <w:p>
            <w:pPr>
              <w:spacing w:after="0"/>
              <w:rPr>
                <w:sz w:val="11"/>
                <w:szCs w:val="11"/>
                <w:color w:val="auto"/>
              </w:rPr>
            </w:pPr>
          </w:p>
        </w:tc>
        <w:tc>
          <w:tcPr>
            <w:tcW w:w="360" w:type="dxa"/>
            <w:vAlign w:val="bottom"/>
            <w:shd w:val="clear" w:color="auto" w:fill="EBEBEC"/>
          </w:tcPr>
          <w:p>
            <w:pPr>
              <w:spacing w:after="0"/>
              <w:rPr>
                <w:sz w:val="11"/>
                <w:szCs w:val="11"/>
                <w:color w:val="auto"/>
              </w:rPr>
            </w:pPr>
          </w:p>
        </w:tc>
        <w:tc>
          <w:tcPr>
            <w:tcW w:w="620" w:type="dxa"/>
            <w:vAlign w:val="bottom"/>
            <w:shd w:val="clear" w:color="auto" w:fill="EBEBEC"/>
          </w:tcPr>
          <w:p>
            <w:pPr>
              <w:spacing w:after="0"/>
              <w:rPr>
                <w:sz w:val="11"/>
                <w:szCs w:val="11"/>
                <w:color w:val="auto"/>
              </w:rPr>
            </w:pPr>
          </w:p>
        </w:tc>
        <w:tc>
          <w:tcPr>
            <w:tcW w:w="400" w:type="dxa"/>
            <w:vAlign w:val="bottom"/>
            <w:shd w:val="clear" w:color="auto" w:fill="EBEBEC"/>
          </w:tcPr>
          <w:p>
            <w:pPr>
              <w:spacing w:after="0"/>
              <w:rPr>
                <w:sz w:val="11"/>
                <w:szCs w:val="11"/>
                <w:color w:val="auto"/>
              </w:rPr>
            </w:pPr>
          </w:p>
        </w:tc>
        <w:tc>
          <w:tcPr>
            <w:tcW w:w="700" w:type="dxa"/>
            <w:vAlign w:val="bottom"/>
            <w:shd w:val="clear" w:color="auto" w:fill="EBEBEC"/>
          </w:tcPr>
          <w:p>
            <w:pPr>
              <w:spacing w:after="0"/>
              <w:rPr>
                <w:sz w:val="11"/>
                <w:szCs w:val="11"/>
                <w:color w:val="auto"/>
              </w:rPr>
            </w:pPr>
          </w:p>
        </w:tc>
        <w:tc>
          <w:tcPr>
            <w:tcW w:w="100" w:type="dxa"/>
            <w:vAlign w:val="bottom"/>
            <w:shd w:val="clear" w:color="auto" w:fill="EBEBEC"/>
          </w:tcPr>
          <w:p>
            <w:pPr>
              <w:spacing w:after="0"/>
              <w:rPr>
                <w:sz w:val="11"/>
                <w:szCs w:val="11"/>
                <w:color w:val="auto"/>
              </w:rPr>
            </w:pPr>
          </w:p>
        </w:tc>
        <w:tc>
          <w:tcPr>
            <w:tcW w:w="120" w:type="dxa"/>
            <w:vAlign w:val="bottom"/>
            <w:shd w:val="clear" w:color="auto" w:fill="EBEBEC"/>
          </w:tcPr>
          <w:p>
            <w:pPr>
              <w:spacing w:after="0"/>
              <w:rPr>
                <w:sz w:val="11"/>
                <w:szCs w:val="11"/>
                <w:color w:val="auto"/>
              </w:rPr>
            </w:pPr>
          </w:p>
        </w:tc>
        <w:tc>
          <w:tcPr>
            <w:tcW w:w="920" w:type="dxa"/>
            <w:vAlign w:val="bottom"/>
            <w:shd w:val="clear" w:color="auto" w:fill="EBEBEC"/>
          </w:tcPr>
          <w:p>
            <w:pPr>
              <w:spacing w:after="0"/>
              <w:rPr>
                <w:sz w:val="11"/>
                <w:szCs w:val="11"/>
                <w:color w:val="auto"/>
              </w:rPr>
            </w:pPr>
          </w:p>
        </w:tc>
        <w:tc>
          <w:tcPr>
            <w:tcW w:w="1400" w:type="dxa"/>
            <w:vAlign w:val="bottom"/>
            <w:shd w:val="clear" w:color="auto" w:fill="EBEBEC"/>
          </w:tcPr>
          <w:p>
            <w:pPr>
              <w:spacing w:after="0"/>
              <w:rPr>
                <w:sz w:val="11"/>
                <w:szCs w:val="11"/>
                <w:color w:val="auto"/>
              </w:rPr>
            </w:pPr>
          </w:p>
        </w:tc>
        <w:tc>
          <w:tcPr>
            <w:tcW w:w="880" w:type="dxa"/>
            <w:vAlign w:val="bottom"/>
            <w:shd w:val="clear" w:color="auto" w:fill="EBEBEC"/>
          </w:tcPr>
          <w:p>
            <w:pPr>
              <w:spacing w:after="0"/>
              <w:rPr>
                <w:sz w:val="11"/>
                <w:szCs w:val="11"/>
                <w:color w:val="auto"/>
              </w:rPr>
            </w:pPr>
          </w:p>
        </w:tc>
        <w:tc>
          <w:tcPr>
            <w:tcW w:w="1120" w:type="dxa"/>
            <w:vAlign w:val="bottom"/>
            <w:gridSpan w:val="2"/>
            <w:shd w:val="clear" w:color="auto" w:fill="EBEBEC"/>
          </w:tcPr>
          <w:p>
            <w:pPr>
              <w:jc w:val="right"/>
              <w:ind w:right="62"/>
              <w:spacing w:after="0" w:line="135" w:lineRule="exact"/>
              <w:rPr>
                <w:sz w:val="20"/>
                <w:szCs w:val="20"/>
                <w:color w:val="auto"/>
              </w:rPr>
            </w:pPr>
            <w:r>
              <w:rPr>
                <w:rFonts w:ascii="Arial" w:cs="Arial" w:eastAsia="Arial" w:hAnsi="Arial"/>
                <w:sz w:val="12"/>
                <w:szCs w:val="12"/>
                <w:color w:val="auto"/>
              </w:rPr>
              <w:t>17,363</w:t>
            </w:r>
          </w:p>
        </w:tc>
        <w:tc>
          <w:tcPr>
            <w:tcW w:w="240" w:type="dxa"/>
            <w:vAlign w:val="bottom"/>
            <w:gridSpan w:val="2"/>
            <w:shd w:val="clear" w:color="auto" w:fill="EBEBEC"/>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980" w:type="dxa"/>
            <w:vAlign w:val="bottom"/>
            <w:shd w:val="clear" w:color="auto" w:fill="EBEBEC"/>
          </w:tcPr>
          <w:p>
            <w:pPr>
              <w:jc w:val="right"/>
              <w:ind w:right="62"/>
              <w:spacing w:after="0" w:line="135" w:lineRule="exact"/>
              <w:rPr>
                <w:sz w:val="20"/>
                <w:szCs w:val="20"/>
                <w:color w:val="auto"/>
              </w:rPr>
            </w:pPr>
            <w:r>
              <w:rPr>
                <w:rFonts w:ascii="Arial" w:cs="Arial" w:eastAsia="Arial" w:hAnsi="Arial"/>
                <w:sz w:val="12"/>
                <w:szCs w:val="12"/>
                <w:color w:val="auto"/>
              </w:rPr>
              <w:t>951,840</w:t>
            </w:r>
          </w:p>
        </w:tc>
      </w:tr>
      <w:tr>
        <w:trPr>
          <w:trHeight w:val="135"/>
        </w:trPr>
        <w:tc>
          <w:tcPr>
            <w:tcW w:w="1760" w:type="dxa"/>
            <w:vAlign w:val="bottom"/>
            <w:shd w:val="clear" w:color="auto" w:fill="EBEBEC"/>
          </w:tcPr>
          <w:p>
            <w:pPr>
              <w:ind w:left="180"/>
              <w:spacing w:after="0" w:line="135" w:lineRule="exact"/>
              <w:rPr>
                <w:sz w:val="20"/>
                <w:szCs w:val="20"/>
                <w:color w:val="auto"/>
              </w:rPr>
            </w:pPr>
            <w:r>
              <w:rPr>
                <w:rFonts w:ascii="Arial" w:cs="Arial" w:eastAsia="Arial" w:hAnsi="Arial"/>
                <w:sz w:val="12"/>
                <w:szCs w:val="12"/>
                <w:color w:val="auto"/>
              </w:rPr>
              <w:t>PSU(4)</w:t>
            </w:r>
          </w:p>
        </w:tc>
        <w:tc>
          <w:tcPr>
            <w:tcW w:w="780" w:type="dxa"/>
            <w:vAlign w:val="bottom"/>
            <w:shd w:val="clear" w:color="auto" w:fill="EBEBEC"/>
          </w:tcPr>
          <w:p>
            <w:pPr>
              <w:jc w:val="center"/>
              <w:spacing w:after="0" w:line="135" w:lineRule="exact"/>
              <w:rPr>
                <w:sz w:val="20"/>
                <w:szCs w:val="20"/>
                <w:color w:val="auto"/>
              </w:rPr>
            </w:pPr>
            <w:r>
              <w:rPr>
                <w:rFonts w:ascii="Arial" w:cs="Arial" w:eastAsia="Arial" w:hAnsi="Arial"/>
                <w:sz w:val="12"/>
                <w:szCs w:val="12"/>
                <w:color w:val="auto"/>
                <w:w w:val="97"/>
              </w:rPr>
              <w:t>2/22/2024</w:t>
            </w:r>
          </w:p>
        </w:tc>
        <w:tc>
          <w:tcPr>
            <w:tcW w:w="120" w:type="dxa"/>
            <w:vAlign w:val="bottom"/>
            <w:shd w:val="clear" w:color="auto" w:fill="EBEBEC"/>
          </w:tcPr>
          <w:p>
            <w:pPr>
              <w:spacing w:after="0"/>
              <w:rPr>
                <w:sz w:val="11"/>
                <w:szCs w:val="11"/>
                <w:color w:val="auto"/>
              </w:rPr>
            </w:pPr>
          </w:p>
        </w:tc>
        <w:tc>
          <w:tcPr>
            <w:tcW w:w="740" w:type="dxa"/>
            <w:vAlign w:val="bottom"/>
            <w:shd w:val="clear" w:color="auto" w:fill="EBEBEC"/>
          </w:tcPr>
          <w:p>
            <w:pPr>
              <w:spacing w:after="0"/>
              <w:rPr>
                <w:sz w:val="11"/>
                <w:szCs w:val="11"/>
                <w:color w:val="auto"/>
              </w:rPr>
            </w:pPr>
          </w:p>
        </w:tc>
        <w:tc>
          <w:tcPr>
            <w:tcW w:w="360" w:type="dxa"/>
            <w:vAlign w:val="bottom"/>
            <w:shd w:val="clear" w:color="auto" w:fill="EBEBEC"/>
          </w:tcPr>
          <w:p>
            <w:pPr>
              <w:spacing w:after="0"/>
              <w:rPr>
                <w:sz w:val="11"/>
                <w:szCs w:val="11"/>
                <w:color w:val="auto"/>
              </w:rPr>
            </w:pPr>
          </w:p>
        </w:tc>
        <w:tc>
          <w:tcPr>
            <w:tcW w:w="620" w:type="dxa"/>
            <w:vAlign w:val="bottom"/>
            <w:shd w:val="clear" w:color="auto" w:fill="EBEBEC"/>
          </w:tcPr>
          <w:p>
            <w:pPr>
              <w:spacing w:after="0"/>
              <w:rPr>
                <w:sz w:val="11"/>
                <w:szCs w:val="11"/>
                <w:color w:val="auto"/>
              </w:rPr>
            </w:pPr>
          </w:p>
        </w:tc>
        <w:tc>
          <w:tcPr>
            <w:tcW w:w="400" w:type="dxa"/>
            <w:vAlign w:val="bottom"/>
            <w:shd w:val="clear" w:color="auto" w:fill="EBEBEC"/>
          </w:tcPr>
          <w:p>
            <w:pPr>
              <w:spacing w:after="0"/>
              <w:rPr>
                <w:sz w:val="11"/>
                <w:szCs w:val="11"/>
                <w:color w:val="auto"/>
              </w:rPr>
            </w:pPr>
          </w:p>
        </w:tc>
        <w:tc>
          <w:tcPr>
            <w:tcW w:w="700" w:type="dxa"/>
            <w:vAlign w:val="bottom"/>
            <w:shd w:val="clear" w:color="auto" w:fill="EBEBEC"/>
          </w:tcPr>
          <w:p>
            <w:pPr>
              <w:spacing w:after="0"/>
              <w:rPr>
                <w:sz w:val="11"/>
                <w:szCs w:val="11"/>
                <w:color w:val="auto"/>
              </w:rPr>
            </w:pPr>
          </w:p>
        </w:tc>
        <w:tc>
          <w:tcPr>
            <w:tcW w:w="1140" w:type="dxa"/>
            <w:vAlign w:val="bottom"/>
            <w:gridSpan w:val="3"/>
            <w:shd w:val="clear" w:color="auto" w:fill="EBEBEC"/>
          </w:tcPr>
          <w:p>
            <w:pPr>
              <w:jc w:val="right"/>
              <w:spacing w:after="0" w:line="135" w:lineRule="exact"/>
              <w:rPr>
                <w:sz w:val="20"/>
                <w:szCs w:val="20"/>
                <w:color w:val="auto"/>
              </w:rPr>
            </w:pPr>
            <w:r>
              <w:rPr>
                <w:rFonts w:ascii="Arial" w:cs="Arial" w:eastAsia="Arial" w:hAnsi="Arial"/>
                <w:sz w:val="12"/>
                <w:szCs w:val="12"/>
                <w:color w:val="auto"/>
              </w:rPr>
              <w:t>3</w:t>
            </w:r>
          </w:p>
        </w:tc>
        <w:tc>
          <w:tcPr>
            <w:tcW w:w="1400" w:type="dxa"/>
            <w:vAlign w:val="bottom"/>
            <w:shd w:val="clear" w:color="auto" w:fill="EBEBEC"/>
          </w:tcPr>
          <w:p>
            <w:pPr>
              <w:jc w:val="right"/>
              <w:ind w:right="323"/>
              <w:spacing w:after="0" w:line="135" w:lineRule="exact"/>
              <w:rPr>
                <w:sz w:val="20"/>
                <w:szCs w:val="20"/>
                <w:color w:val="auto"/>
              </w:rPr>
            </w:pPr>
            <w:r>
              <w:rPr>
                <w:rFonts w:ascii="Arial" w:cs="Arial" w:eastAsia="Arial" w:hAnsi="Arial"/>
                <w:sz w:val="12"/>
                <w:szCs w:val="12"/>
                <w:color w:val="auto"/>
              </w:rPr>
              <w:t>26,044</w:t>
            </w:r>
          </w:p>
        </w:tc>
        <w:tc>
          <w:tcPr>
            <w:tcW w:w="880" w:type="dxa"/>
            <w:vAlign w:val="bottom"/>
            <w:shd w:val="clear" w:color="auto" w:fill="EBEBEC"/>
          </w:tcPr>
          <w:p>
            <w:pPr>
              <w:jc w:val="right"/>
              <w:ind w:right="63"/>
              <w:spacing w:after="0" w:line="135" w:lineRule="exact"/>
              <w:rPr>
                <w:sz w:val="20"/>
                <w:szCs w:val="20"/>
                <w:color w:val="auto"/>
              </w:rPr>
            </w:pPr>
            <w:r>
              <w:rPr>
                <w:rFonts w:ascii="Arial" w:cs="Arial" w:eastAsia="Arial" w:hAnsi="Arial"/>
                <w:sz w:val="12"/>
                <w:szCs w:val="12"/>
                <w:color w:val="auto"/>
              </w:rPr>
              <w:t>52,088</w:t>
            </w:r>
          </w:p>
        </w:tc>
        <w:tc>
          <w:tcPr>
            <w:tcW w:w="100" w:type="dxa"/>
            <w:vAlign w:val="bottom"/>
            <w:shd w:val="clear" w:color="auto" w:fill="EBEBEC"/>
          </w:tcPr>
          <w:p>
            <w:pPr>
              <w:spacing w:after="0"/>
              <w:rPr>
                <w:sz w:val="11"/>
                <w:szCs w:val="11"/>
                <w:color w:val="auto"/>
              </w:rPr>
            </w:pPr>
          </w:p>
        </w:tc>
        <w:tc>
          <w:tcPr>
            <w:tcW w:w="1020" w:type="dxa"/>
            <w:vAlign w:val="bottom"/>
            <w:shd w:val="clear" w:color="auto" w:fill="EBEBEC"/>
          </w:tcPr>
          <w:p>
            <w:pPr>
              <w:spacing w:after="0"/>
              <w:rPr>
                <w:sz w:val="11"/>
                <w:szCs w:val="11"/>
                <w:color w:val="auto"/>
              </w:rPr>
            </w:pPr>
          </w:p>
        </w:tc>
        <w:tc>
          <w:tcPr>
            <w:tcW w:w="240" w:type="dxa"/>
            <w:vAlign w:val="bottom"/>
            <w:gridSpan w:val="2"/>
            <w:shd w:val="clear" w:color="auto" w:fill="EBEBEC"/>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980" w:type="dxa"/>
            <w:vAlign w:val="bottom"/>
            <w:shd w:val="clear" w:color="auto" w:fill="EBEBEC"/>
          </w:tcPr>
          <w:p>
            <w:pPr>
              <w:jc w:val="right"/>
              <w:ind w:right="62"/>
              <w:spacing w:after="0" w:line="135" w:lineRule="exact"/>
              <w:rPr>
                <w:sz w:val="20"/>
                <w:szCs w:val="20"/>
                <w:color w:val="auto"/>
              </w:rPr>
            </w:pPr>
            <w:r>
              <w:rPr>
                <w:rFonts w:ascii="Arial" w:cs="Arial" w:eastAsia="Arial" w:hAnsi="Arial"/>
                <w:sz w:val="12"/>
                <w:szCs w:val="12"/>
                <w:color w:val="auto"/>
              </w:rPr>
              <w:t>1,544,409</w:t>
            </w:r>
          </w:p>
        </w:tc>
      </w:tr>
      <w:tr>
        <w:trPr>
          <w:trHeight w:val="135"/>
        </w:trPr>
        <w:tc>
          <w:tcPr>
            <w:tcW w:w="1760" w:type="dxa"/>
            <w:vAlign w:val="bottom"/>
            <w:shd w:val="clear" w:color="auto" w:fill="EBEBEC"/>
          </w:tcPr>
          <w:p>
            <w:pPr>
              <w:ind w:left="120"/>
              <w:spacing w:after="0" w:line="135" w:lineRule="exact"/>
              <w:rPr>
                <w:sz w:val="20"/>
                <w:szCs w:val="20"/>
                <w:color w:val="auto"/>
              </w:rPr>
            </w:pPr>
            <w:r>
              <w:rPr>
                <w:rFonts w:ascii="Arial" w:cs="Arial" w:eastAsia="Arial" w:hAnsi="Arial"/>
                <w:sz w:val="12"/>
                <w:szCs w:val="12"/>
                <w:b w:val="1"/>
                <w:bCs w:val="1"/>
                <w:color w:val="auto"/>
              </w:rPr>
              <w:t>Jay A. Bys</w:t>
            </w:r>
          </w:p>
        </w:tc>
        <w:tc>
          <w:tcPr>
            <w:tcW w:w="780" w:type="dxa"/>
            <w:vAlign w:val="bottom"/>
            <w:shd w:val="clear" w:color="auto" w:fill="EBEBEC"/>
          </w:tcPr>
          <w:p>
            <w:pPr>
              <w:spacing w:after="0"/>
              <w:rPr>
                <w:sz w:val="11"/>
                <w:szCs w:val="11"/>
                <w:color w:val="auto"/>
              </w:rPr>
            </w:pPr>
          </w:p>
        </w:tc>
        <w:tc>
          <w:tcPr>
            <w:tcW w:w="120" w:type="dxa"/>
            <w:vAlign w:val="bottom"/>
            <w:shd w:val="clear" w:color="auto" w:fill="EBEBEC"/>
          </w:tcPr>
          <w:p>
            <w:pPr>
              <w:spacing w:after="0"/>
              <w:rPr>
                <w:sz w:val="11"/>
                <w:szCs w:val="11"/>
                <w:color w:val="auto"/>
              </w:rPr>
            </w:pPr>
          </w:p>
        </w:tc>
        <w:tc>
          <w:tcPr>
            <w:tcW w:w="740" w:type="dxa"/>
            <w:vAlign w:val="bottom"/>
            <w:shd w:val="clear" w:color="auto" w:fill="EBEBEC"/>
          </w:tcPr>
          <w:p>
            <w:pPr>
              <w:spacing w:after="0"/>
              <w:rPr>
                <w:sz w:val="11"/>
                <w:szCs w:val="11"/>
                <w:color w:val="auto"/>
              </w:rPr>
            </w:pPr>
          </w:p>
        </w:tc>
        <w:tc>
          <w:tcPr>
            <w:tcW w:w="360" w:type="dxa"/>
            <w:vAlign w:val="bottom"/>
            <w:shd w:val="clear" w:color="auto" w:fill="EBEBEC"/>
          </w:tcPr>
          <w:p>
            <w:pPr>
              <w:spacing w:after="0"/>
              <w:rPr>
                <w:sz w:val="11"/>
                <w:szCs w:val="11"/>
                <w:color w:val="auto"/>
              </w:rPr>
            </w:pPr>
          </w:p>
        </w:tc>
        <w:tc>
          <w:tcPr>
            <w:tcW w:w="620" w:type="dxa"/>
            <w:vAlign w:val="bottom"/>
            <w:shd w:val="clear" w:color="auto" w:fill="EBEBEC"/>
          </w:tcPr>
          <w:p>
            <w:pPr>
              <w:spacing w:after="0"/>
              <w:rPr>
                <w:sz w:val="11"/>
                <w:szCs w:val="11"/>
                <w:color w:val="auto"/>
              </w:rPr>
            </w:pPr>
          </w:p>
        </w:tc>
        <w:tc>
          <w:tcPr>
            <w:tcW w:w="400" w:type="dxa"/>
            <w:vAlign w:val="bottom"/>
            <w:shd w:val="clear" w:color="auto" w:fill="EBEBEC"/>
          </w:tcPr>
          <w:p>
            <w:pPr>
              <w:spacing w:after="0"/>
              <w:rPr>
                <w:sz w:val="11"/>
                <w:szCs w:val="11"/>
                <w:color w:val="auto"/>
              </w:rPr>
            </w:pPr>
          </w:p>
        </w:tc>
        <w:tc>
          <w:tcPr>
            <w:tcW w:w="700" w:type="dxa"/>
            <w:vAlign w:val="bottom"/>
            <w:shd w:val="clear" w:color="auto" w:fill="EBEBEC"/>
          </w:tcPr>
          <w:p>
            <w:pPr>
              <w:spacing w:after="0"/>
              <w:rPr>
                <w:sz w:val="11"/>
                <w:szCs w:val="11"/>
                <w:color w:val="auto"/>
              </w:rPr>
            </w:pPr>
          </w:p>
        </w:tc>
        <w:tc>
          <w:tcPr>
            <w:tcW w:w="100" w:type="dxa"/>
            <w:vAlign w:val="bottom"/>
            <w:shd w:val="clear" w:color="auto" w:fill="EBEBEC"/>
          </w:tcPr>
          <w:p>
            <w:pPr>
              <w:spacing w:after="0"/>
              <w:rPr>
                <w:sz w:val="11"/>
                <w:szCs w:val="11"/>
                <w:color w:val="auto"/>
              </w:rPr>
            </w:pPr>
          </w:p>
        </w:tc>
        <w:tc>
          <w:tcPr>
            <w:tcW w:w="120" w:type="dxa"/>
            <w:vAlign w:val="bottom"/>
            <w:shd w:val="clear" w:color="auto" w:fill="EBEBEC"/>
          </w:tcPr>
          <w:p>
            <w:pPr>
              <w:spacing w:after="0"/>
              <w:rPr>
                <w:sz w:val="11"/>
                <w:szCs w:val="11"/>
                <w:color w:val="auto"/>
              </w:rPr>
            </w:pPr>
          </w:p>
        </w:tc>
        <w:tc>
          <w:tcPr>
            <w:tcW w:w="920" w:type="dxa"/>
            <w:vAlign w:val="bottom"/>
            <w:shd w:val="clear" w:color="auto" w:fill="EBEBEC"/>
          </w:tcPr>
          <w:p>
            <w:pPr>
              <w:spacing w:after="0"/>
              <w:rPr>
                <w:sz w:val="11"/>
                <w:szCs w:val="11"/>
                <w:color w:val="auto"/>
              </w:rPr>
            </w:pPr>
          </w:p>
        </w:tc>
        <w:tc>
          <w:tcPr>
            <w:tcW w:w="1400" w:type="dxa"/>
            <w:vAlign w:val="bottom"/>
            <w:shd w:val="clear" w:color="auto" w:fill="EBEBEC"/>
          </w:tcPr>
          <w:p>
            <w:pPr>
              <w:spacing w:after="0"/>
              <w:rPr>
                <w:sz w:val="11"/>
                <w:szCs w:val="11"/>
                <w:color w:val="auto"/>
              </w:rPr>
            </w:pPr>
          </w:p>
        </w:tc>
        <w:tc>
          <w:tcPr>
            <w:tcW w:w="880" w:type="dxa"/>
            <w:vAlign w:val="bottom"/>
            <w:shd w:val="clear" w:color="auto" w:fill="EBEBEC"/>
          </w:tcPr>
          <w:p>
            <w:pPr>
              <w:spacing w:after="0"/>
              <w:rPr>
                <w:sz w:val="11"/>
                <w:szCs w:val="11"/>
                <w:color w:val="auto"/>
              </w:rPr>
            </w:pPr>
          </w:p>
        </w:tc>
        <w:tc>
          <w:tcPr>
            <w:tcW w:w="100" w:type="dxa"/>
            <w:vAlign w:val="bottom"/>
            <w:shd w:val="clear" w:color="auto" w:fill="EBEBEC"/>
          </w:tcPr>
          <w:p>
            <w:pPr>
              <w:spacing w:after="0"/>
              <w:rPr>
                <w:sz w:val="11"/>
                <w:szCs w:val="11"/>
                <w:color w:val="auto"/>
              </w:rPr>
            </w:pPr>
          </w:p>
        </w:tc>
        <w:tc>
          <w:tcPr>
            <w:tcW w:w="1020" w:type="dxa"/>
            <w:vAlign w:val="bottom"/>
            <w:shd w:val="clear" w:color="auto" w:fill="EBEBEC"/>
          </w:tcPr>
          <w:p>
            <w:pPr>
              <w:spacing w:after="0"/>
              <w:rPr>
                <w:sz w:val="11"/>
                <w:szCs w:val="11"/>
                <w:color w:val="auto"/>
              </w:rPr>
            </w:pPr>
          </w:p>
        </w:tc>
        <w:tc>
          <w:tcPr>
            <w:tcW w:w="100" w:type="dxa"/>
            <w:vAlign w:val="bottom"/>
            <w:shd w:val="clear" w:color="auto" w:fill="EBEBEC"/>
          </w:tcPr>
          <w:p>
            <w:pPr>
              <w:spacing w:after="0"/>
              <w:rPr>
                <w:sz w:val="11"/>
                <w:szCs w:val="11"/>
                <w:color w:val="auto"/>
              </w:rPr>
            </w:pPr>
          </w:p>
        </w:tc>
        <w:tc>
          <w:tcPr>
            <w:tcW w:w="140" w:type="dxa"/>
            <w:vAlign w:val="bottom"/>
            <w:shd w:val="clear" w:color="auto" w:fill="EBEBEC"/>
          </w:tcPr>
          <w:p>
            <w:pPr>
              <w:spacing w:after="0"/>
              <w:rPr>
                <w:sz w:val="11"/>
                <w:szCs w:val="11"/>
                <w:color w:val="auto"/>
              </w:rPr>
            </w:pPr>
          </w:p>
        </w:tc>
        <w:tc>
          <w:tcPr>
            <w:tcW w:w="980" w:type="dxa"/>
            <w:vAlign w:val="bottom"/>
            <w:shd w:val="clear" w:color="auto" w:fill="EBEBEC"/>
          </w:tcPr>
          <w:p>
            <w:pPr>
              <w:spacing w:after="0"/>
              <w:rPr>
                <w:sz w:val="11"/>
                <w:szCs w:val="11"/>
                <w:color w:val="auto"/>
              </w:rPr>
            </w:pPr>
          </w:p>
        </w:tc>
      </w:tr>
      <w:tr>
        <w:trPr>
          <w:trHeight w:val="135"/>
        </w:trPr>
        <w:tc>
          <w:tcPr>
            <w:tcW w:w="1760" w:type="dxa"/>
            <w:vAlign w:val="bottom"/>
            <w:shd w:val="clear" w:color="auto" w:fill="EBEBEC"/>
          </w:tcPr>
          <w:p>
            <w:pPr>
              <w:ind w:left="180"/>
              <w:spacing w:after="0" w:line="135" w:lineRule="exact"/>
              <w:rPr>
                <w:sz w:val="20"/>
                <w:szCs w:val="20"/>
                <w:color w:val="auto"/>
              </w:rPr>
            </w:pPr>
            <w:r>
              <w:rPr>
                <w:rFonts w:ascii="Arial" w:cs="Arial" w:eastAsia="Arial" w:hAnsi="Arial"/>
                <w:sz w:val="12"/>
                <w:szCs w:val="12"/>
                <w:color w:val="auto"/>
              </w:rPr>
              <w:t>Annual Incentive</w:t>
            </w:r>
          </w:p>
        </w:tc>
        <w:tc>
          <w:tcPr>
            <w:tcW w:w="780" w:type="dxa"/>
            <w:vAlign w:val="bottom"/>
            <w:shd w:val="clear" w:color="auto" w:fill="EBEBEC"/>
          </w:tcPr>
          <w:p>
            <w:pPr>
              <w:spacing w:after="0"/>
              <w:rPr>
                <w:sz w:val="11"/>
                <w:szCs w:val="11"/>
                <w:color w:val="auto"/>
              </w:rPr>
            </w:pPr>
          </w:p>
        </w:tc>
        <w:tc>
          <w:tcPr>
            <w:tcW w:w="120" w:type="dxa"/>
            <w:vAlign w:val="bottom"/>
            <w:shd w:val="clear" w:color="auto" w:fill="EBEBEC"/>
          </w:tcPr>
          <w:p>
            <w:pPr>
              <w:jc w:val="right"/>
              <w:spacing w:after="0" w:line="135" w:lineRule="exact"/>
              <w:rPr>
                <w:sz w:val="20"/>
                <w:szCs w:val="20"/>
                <w:color w:val="auto"/>
              </w:rPr>
            </w:pPr>
            <w:r>
              <w:rPr>
                <w:rFonts w:ascii="Arial" w:cs="Arial" w:eastAsia="Arial" w:hAnsi="Arial"/>
                <w:sz w:val="12"/>
                <w:szCs w:val="12"/>
                <w:color w:val="auto"/>
                <w:w w:val="89"/>
              </w:rPr>
              <w:t>$</w:t>
            </w:r>
          </w:p>
        </w:tc>
        <w:tc>
          <w:tcPr>
            <w:tcW w:w="740" w:type="dxa"/>
            <w:vAlign w:val="bottom"/>
            <w:shd w:val="clear" w:color="auto" w:fill="EBEBEC"/>
          </w:tcPr>
          <w:p>
            <w:pPr>
              <w:jc w:val="right"/>
              <w:spacing w:after="0" w:line="135" w:lineRule="exact"/>
              <w:rPr>
                <w:sz w:val="20"/>
                <w:szCs w:val="20"/>
                <w:color w:val="auto"/>
              </w:rPr>
            </w:pPr>
            <w:r>
              <w:rPr>
                <w:rFonts w:ascii="Arial" w:cs="Arial" w:eastAsia="Arial" w:hAnsi="Arial"/>
                <w:sz w:val="12"/>
                <w:szCs w:val="12"/>
                <w:color w:val="auto"/>
              </w:rPr>
              <w:t>2,810</w:t>
            </w:r>
          </w:p>
        </w:tc>
        <w:tc>
          <w:tcPr>
            <w:tcW w:w="360" w:type="dxa"/>
            <w:vAlign w:val="bottom"/>
            <w:shd w:val="clear" w:color="auto" w:fill="EBEBEC"/>
          </w:tcPr>
          <w:p>
            <w:pPr>
              <w:jc w:val="right"/>
              <w:ind w:right="2"/>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EBEBEC"/>
          </w:tcPr>
          <w:p>
            <w:pPr>
              <w:ind w:left="180"/>
              <w:spacing w:after="0" w:line="135" w:lineRule="exact"/>
              <w:rPr>
                <w:sz w:val="20"/>
                <w:szCs w:val="20"/>
                <w:color w:val="auto"/>
              </w:rPr>
            </w:pPr>
            <w:r>
              <w:rPr>
                <w:rFonts w:ascii="Arial" w:cs="Arial" w:eastAsia="Arial" w:hAnsi="Arial"/>
                <w:sz w:val="12"/>
                <w:szCs w:val="12"/>
                <w:color w:val="auto"/>
                <w:w w:val="96"/>
              </w:rPr>
              <w:t>449,600</w:t>
            </w:r>
          </w:p>
        </w:tc>
        <w:tc>
          <w:tcPr>
            <w:tcW w:w="400" w:type="dxa"/>
            <w:vAlign w:val="bottom"/>
            <w:shd w:val="clear" w:color="auto" w:fill="EBEBEC"/>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EBEBEC"/>
          </w:tcPr>
          <w:p>
            <w:pPr>
              <w:jc w:val="right"/>
              <w:spacing w:after="0" w:line="135" w:lineRule="exact"/>
              <w:rPr>
                <w:sz w:val="20"/>
                <w:szCs w:val="20"/>
                <w:color w:val="auto"/>
              </w:rPr>
            </w:pPr>
            <w:r>
              <w:rPr>
                <w:rFonts w:ascii="Arial" w:cs="Arial" w:eastAsia="Arial" w:hAnsi="Arial"/>
                <w:sz w:val="12"/>
                <w:szCs w:val="12"/>
                <w:color w:val="auto"/>
              </w:rPr>
              <w:t>899,200</w:t>
            </w:r>
          </w:p>
        </w:tc>
        <w:tc>
          <w:tcPr>
            <w:tcW w:w="100" w:type="dxa"/>
            <w:vAlign w:val="bottom"/>
            <w:shd w:val="clear" w:color="auto" w:fill="EBEBEC"/>
          </w:tcPr>
          <w:p>
            <w:pPr>
              <w:spacing w:after="0"/>
              <w:rPr>
                <w:sz w:val="11"/>
                <w:szCs w:val="11"/>
                <w:color w:val="auto"/>
              </w:rPr>
            </w:pPr>
          </w:p>
        </w:tc>
        <w:tc>
          <w:tcPr>
            <w:tcW w:w="120" w:type="dxa"/>
            <w:vAlign w:val="bottom"/>
            <w:shd w:val="clear" w:color="auto" w:fill="EBEBEC"/>
          </w:tcPr>
          <w:p>
            <w:pPr>
              <w:spacing w:after="0"/>
              <w:rPr>
                <w:sz w:val="11"/>
                <w:szCs w:val="11"/>
                <w:color w:val="auto"/>
              </w:rPr>
            </w:pPr>
          </w:p>
        </w:tc>
        <w:tc>
          <w:tcPr>
            <w:tcW w:w="920" w:type="dxa"/>
            <w:vAlign w:val="bottom"/>
            <w:shd w:val="clear" w:color="auto" w:fill="EBEBEC"/>
          </w:tcPr>
          <w:p>
            <w:pPr>
              <w:spacing w:after="0"/>
              <w:rPr>
                <w:sz w:val="11"/>
                <w:szCs w:val="11"/>
                <w:color w:val="auto"/>
              </w:rPr>
            </w:pPr>
          </w:p>
        </w:tc>
        <w:tc>
          <w:tcPr>
            <w:tcW w:w="1400" w:type="dxa"/>
            <w:vAlign w:val="bottom"/>
            <w:shd w:val="clear" w:color="auto" w:fill="EBEBEC"/>
          </w:tcPr>
          <w:p>
            <w:pPr>
              <w:spacing w:after="0"/>
              <w:rPr>
                <w:sz w:val="11"/>
                <w:szCs w:val="11"/>
                <w:color w:val="auto"/>
              </w:rPr>
            </w:pPr>
          </w:p>
        </w:tc>
        <w:tc>
          <w:tcPr>
            <w:tcW w:w="880" w:type="dxa"/>
            <w:vAlign w:val="bottom"/>
            <w:shd w:val="clear" w:color="auto" w:fill="EBEBEC"/>
          </w:tcPr>
          <w:p>
            <w:pPr>
              <w:spacing w:after="0"/>
              <w:rPr>
                <w:sz w:val="11"/>
                <w:szCs w:val="11"/>
                <w:color w:val="auto"/>
              </w:rPr>
            </w:pPr>
          </w:p>
        </w:tc>
        <w:tc>
          <w:tcPr>
            <w:tcW w:w="100" w:type="dxa"/>
            <w:vAlign w:val="bottom"/>
            <w:shd w:val="clear" w:color="auto" w:fill="EBEBEC"/>
          </w:tcPr>
          <w:p>
            <w:pPr>
              <w:spacing w:after="0"/>
              <w:rPr>
                <w:sz w:val="11"/>
                <w:szCs w:val="11"/>
                <w:color w:val="auto"/>
              </w:rPr>
            </w:pPr>
          </w:p>
        </w:tc>
        <w:tc>
          <w:tcPr>
            <w:tcW w:w="1020" w:type="dxa"/>
            <w:vAlign w:val="bottom"/>
            <w:shd w:val="clear" w:color="auto" w:fill="EBEBEC"/>
          </w:tcPr>
          <w:p>
            <w:pPr>
              <w:spacing w:after="0"/>
              <w:rPr>
                <w:sz w:val="11"/>
                <w:szCs w:val="11"/>
                <w:color w:val="auto"/>
              </w:rPr>
            </w:pPr>
          </w:p>
        </w:tc>
        <w:tc>
          <w:tcPr>
            <w:tcW w:w="100" w:type="dxa"/>
            <w:vAlign w:val="bottom"/>
            <w:shd w:val="clear" w:color="auto" w:fill="EBEBEC"/>
          </w:tcPr>
          <w:p>
            <w:pPr>
              <w:spacing w:after="0"/>
              <w:rPr>
                <w:sz w:val="11"/>
                <w:szCs w:val="11"/>
                <w:color w:val="auto"/>
              </w:rPr>
            </w:pPr>
          </w:p>
        </w:tc>
        <w:tc>
          <w:tcPr>
            <w:tcW w:w="140" w:type="dxa"/>
            <w:vAlign w:val="bottom"/>
            <w:shd w:val="clear" w:color="auto" w:fill="EBEBEC"/>
          </w:tcPr>
          <w:p>
            <w:pPr>
              <w:spacing w:after="0"/>
              <w:rPr>
                <w:sz w:val="11"/>
                <w:szCs w:val="11"/>
                <w:color w:val="auto"/>
              </w:rPr>
            </w:pPr>
          </w:p>
        </w:tc>
        <w:tc>
          <w:tcPr>
            <w:tcW w:w="980" w:type="dxa"/>
            <w:vAlign w:val="bottom"/>
            <w:shd w:val="clear" w:color="auto" w:fill="EBEBEC"/>
          </w:tcPr>
          <w:p>
            <w:pPr>
              <w:spacing w:after="0"/>
              <w:rPr>
                <w:sz w:val="11"/>
                <w:szCs w:val="11"/>
                <w:color w:val="auto"/>
              </w:rPr>
            </w:pPr>
          </w:p>
        </w:tc>
      </w:tr>
      <w:tr>
        <w:trPr>
          <w:trHeight w:val="135"/>
        </w:trPr>
        <w:tc>
          <w:tcPr>
            <w:tcW w:w="1760" w:type="dxa"/>
            <w:vAlign w:val="bottom"/>
            <w:shd w:val="clear" w:color="auto" w:fill="EBEBEC"/>
          </w:tcPr>
          <w:p>
            <w:pPr>
              <w:ind w:left="180"/>
              <w:spacing w:after="0" w:line="135" w:lineRule="exact"/>
              <w:rPr>
                <w:sz w:val="20"/>
                <w:szCs w:val="20"/>
                <w:color w:val="auto"/>
              </w:rPr>
            </w:pPr>
            <w:r>
              <w:rPr>
                <w:rFonts w:ascii="Arial" w:cs="Arial" w:eastAsia="Arial" w:hAnsi="Arial"/>
                <w:sz w:val="12"/>
                <w:szCs w:val="12"/>
                <w:color w:val="auto"/>
              </w:rPr>
              <w:t>RSU(3)</w:t>
            </w:r>
          </w:p>
        </w:tc>
        <w:tc>
          <w:tcPr>
            <w:tcW w:w="780" w:type="dxa"/>
            <w:vAlign w:val="bottom"/>
            <w:shd w:val="clear" w:color="auto" w:fill="EBEBEC"/>
          </w:tcPr>
          <w:p>
            <w:pPr>
              <w:jc w:val="center"/>
              <w:spacing w:after="0" w:line="135" w:lineRule="exact"/>
              <w:rPr>
                <w:sz w:val="20"/>
                <w:szCs w:val="20"/>
                <w:color w:val="auto"/>
              </w:rPr>
            </w:pPr>
            <w:r>
              <w:rPr>
                <w:rFonts w:ascii="Arial" w:cs="Arial" w:eastAsia="Arial" w:hAnsi="Arial"/>
                <w:sz w:val="12"/>
                <w:szCs w:val="12"/>
                <w:color w:val="auto"/>
                <w:w w:val="97"/>
              </w:rPr>
              <w:t>2/22/2024</w:t>
            </w:r>
          </w:p>
        </w:tc>
        <w:tc>
          <w:tcPr>
            <w:tcW w:w="120" w:type="dxa"/>
            <w:vAlign w:val="bottom"/>
            <w:shd w:val="clear" w:color="auto" w:fill="EBEBEC"/>
          </w:tcPr>
          <w:p>
            <w:pPr>
              <w:spacing w:after="0"/>
              <w:rPr>
                <w:sz w:val="11"/>
                <w:szCs w:val="11"/>
                <w:color w:val="auto"/>
              </w:rPr>
            </w:pPr>
          </w:p>
        </w:tc>
        <w:tc>
          <w:tcPr>
            <w:tcW w:w="740" w:type="dxa"/>
            <w:vAlign w:val="bottom"/>
            <w:shd w:val="clear" w:color="auto" w:fill="EBEBEC"/>
          </w:tcPr>
          <w:p>
            <w:pPr>
              <w:spacing w:after="0"/>
              <w:rPr>
                <w:sz w:val="11"/>
                <w:szCs w:val="11"/>
                <w:color w:val="auto"/>
              </w:rPr>
            </w:pPr>
          </w:p>
        </w:tc>
        <w:tc>
          <w:tcPr>
            <w:tcW w:w="360" w:type="dxa"/>
            <w:vAlign w:val="bottom"/>
            <w:shd w:val="clear" w:color="auto" w:fill="EBEBEC"/>
          </w:tcPr>
          <w:p>
            <w:pPr>
              <w:spacing w:after="0"/>
              <w:rPr>
                <w:sz w:val="11"/>
                <w:szCs w:val="11"/>
                <w:color w:val="auto"/>
              </w:rPr>
            </w:pPr>
          </w:p>
        </w:tc>
        <w:tc>
          <w:tcPr>
            <w:tcW w:w="620" w:type="dxa"/>
            <w:vAlign w:val="bottom"/>
            <w:shd w:val="clear" w:color="auto" w:fill="EBEBEC"/>
          </w:tcPr>
          <w:p>
            <w:pPr>
              <w:spacing w:after="0"/>
              <w:rPr>
                <w:sz w:val="11"/>
                <w:szCs w:val="11"/>
                <w:color w:val="auto"/>
              </w:rPr>
            </w:pPr>
          </w:p>
        </w:tc>
        <w:tc>
          <w:tcPr>
            <w:tcW w:w="400" w:type="dxa"/>
            <w:vAlign w:val="bottom"/>
            <w:shd w:val="clear" w:color="auto" w:fill="EBEBEC"/>
          </w:tcPr>
          <w:p>
            <w:pPr>
              <w:spacing w:after="0"/>
              <w:rPr>
                <w:sz w:val="11"/>
                <w:szCs w:val="11"/>
                <w:color w:val="auto"/>
              </w:rPr>
            </w:pPr>
          </w:p>
        </w:tc>
        <w:tc>
          <w:tcPr>
            <w:tcW w:w="700" w:type="dxa"/>
            <w:vAlign w:val="bottom"/>
            <w:shd w:val="clear" w:color="auto" w:fill="EBEBEC"/>
          </w:tcPr>
          <w:p>
            <w:pPr>
              <w:spacing w:after="0"/>
              <w:rPr>
                <w:sz w:val="11"/>
                <w:szCs w:val="11"/>
                <w:color w:val="auto"/>
              </w:rPr>
            </w:pPr>
          </w:p>
        </w:tc>
        <w:tc>
          <w:tcPr>
            <w:tcW w:w="100" w:type="dxa"/>
            <w:vAlign w:val="bottom"/>
            <w:shd w:val="clear" w:color="auto" w:fill="EBEBEC"/>
          </w:tcPr>
          <w:p>
            <w:pPr>
              <w:spacing w:after="0"/>
              <w:rPr>
                <w:sz w:val="11"/>
                <w:szCs w:val="11"/>
                <w:color w:val="auto"/>
              </w:rPr>
            </w:pPr>
          </w:p>
        </w:tc>
        <w:tc>
          <w:tcPr>
            <w:tcW w:w="120" w:type="dxa"/>
            <w:vAlign w:val="bottom"/>
            <w:shd w:val="clear" w:color="auto" w:fill="EBEBEC"/>
          </w:tcPr>
          <w:p>
            <w:pPr>
              <w:spacing w:after="0"/>
              <w:rPr>
                <w:sz w:val="11"/>
                <w:szCs w:val="11"/>
                <w:color w:val="auto"/>
              </w:rPr>
            </w:pPr>
          </w:p>
        </w:tc>
        <w:tc>
          <w:tcPr>
            <w:tcW w:w="920" w:type="dxa"/>
            <w:vAlign w:val="bottom"/>
            <w:shd w:val="clear" w:color="auto" w:fill="EBEBEC"/>
          </w:tcPr>
          <w:p>
            <w:pPr>
              <w:spacing w:after="0"/>
              <w:rPr>
                <w:sz w:val="11"/>
                <w:szCs w:val="11"/>
                <w:color w:val="auto"/>
              </w:rPr>
            </w:pPr>
          </w:p>
        </w:tc>
        <w:tc>
          <w:tcPr>
            <w:tcW w:w="1400" w:type="dxa"/>
            <w:vAlign w:val="bottom"/>
            <w:shd w:val="clear" w:color="auto" w:fill="EBEBEC"/>
          </w:tcPr>
          <w:p>
            <w:pPr>
              <w:spacing w:after="0"/>
              <w:rPr>
                <w:sz w:val="11"/>
                <w:szCs w:val="11"/>
                <w:color w:val="auto"/>
              </w:rPr>
            </w:pPr>
          </w:p>
        </w:tc>
        <w:tc>
          <w:tcPr>
            <w:tcW w:w="880" w:type="dxa"/>
            <w:vAlign w:val="bottom"/>
            <w:shd w:val="clear" w:color="auto" w:fill="EBEBEC"/>
          </w:tcPr>
          <w:p>
            <w:pPr>
              <w:spacing w:after="0"/>
              <w:rPr>
                <w:sz w:val="11"/>
                <w:szCs w:val="11"/>
                <w:color w:val="auto"/>
              </w:rPr>
            </w:pPr>
          </w:p>
        </w:tc>
        <w:tc>
          <w:tcPr>
            <w:tcW w:w="1120" w:type="dxa"/>
            <w:vAlign w:val="bottom"/>
            <w:gridSpan w:val="2"/>
            <w:shd w:val="clear" w:color="auto" w:fill="EBEBEC"/>
          </w:tcPr>
          <w:p>
            <w:pPr>
              <w:jc w:val="right"/>
              <w:ind w:right="62"/>
              <w:spacing w:after="0" w:line="135" w:lineRule="exact"/>
              <w:rPr>
                <w:sz w:val="20"/>
                <w:szCs w:val="20"/>
                <w:color w:val="auto"/>
              </w:rPr>
            </w:pPr>
            <w:r>
              <w:rPr>
                <w:rFonts w:ascii="Arial" w:cs="Arial" w:eastAsia="Arial" w:hAnsi="Arial"/>
                <w:sz w:val="12"/>
                <w:szCs w:val="12"/>
                <w:color w:val="auto"/>
              </w:rPr>
              <w:t>17,059</w:t>
            </w:r>
          </w:p>
        </w:tc>
        <w:tc>
          <w:tcPr>
            <w:tcW w:w="240" w:type="dxa"/>
            <w:vAlign w:val="bottom"/>
            <w:gridSpan w:val="2"/>
            <w:shd w:val="clear" w:color="auto" w:fill="EBEBEC"/>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980" w:type="dxa"/>
            <w:vAlign w:val="bottom"/>
            <w:shd w:val="clear" w:color="auto" w:fill="EBEBEC"/>
          </w:tcPr>
          <w:p>
            <w:pPr>
              <w:jc w:val="right"/>
              <w:ind w:right="62"/>
              <w:spacing w:after="0" w:line="135" w:lineRule="exact"/>
              <w:rPr>
                <w:sz w:val="20"/>
                <w:szCs w:val="20"/>
                <w:color w:val="auto"/>
              </w:rPr>
            </w:pPr>
            <w:r>
              <w:rPr>
                <w:rFonts w:ascii="Arial" w:cs="Arial" w:eastAsia="Arial" w:hAnsi="Arial"/>
                <w:sz w:val="12"/>
                <w:szCs w:val="12"/>
                <w:color w:val="auto"/>
              </w:rPr>
              <w:t>935,174</w:t>
            </w:r>
          </w:p>
        </w:tc>
      </w:tr>
      <w:tr>
        <w:trPr>
          <w:trHeight w:val="135"/>
        </w:trPr>
        <w:tc>
          <w:tcPr>
            <w:tcW w:w="1760" w:type="dxa"/>
            <w:vAlign w:val="bottom"/>
            <w:shd w:val="clear" w:color="auto" w:fill="EBEBEC"/>
          </w:tcPr>
          <w:p>
            <w:pPr>
              <w:ind w:left="180"/>
              <w:spacing w:after="0" w:line="135" w:lineRule="exact"/>
              <w:rPr>
                <w:sz w:val="20"/>
                <w:szCs w:val="20"/>
                <w:color w:val="auto"/>
              </w:rPr>
            </w:pPr>
            <w:r>
              <w:rPr>
                <w:rFonts w:ascii="Arial" w:cs="Arial" w:eastAsia="Arial" w:hAnsi="Arial"/>
                <w:sz w:val="12"/>
                <w:szCs w:val="12"/>
                <w:color w:val="auto"/>
              </w:rPr>
              <w:t>PSU(4)</w:t>
            </w:r>
          </w:p>
        </w:tc>
        <w:tc>
          <w:tcPr>
            <w:tcW w:w="780" w:type="dxa"/>
            <w:vAlign w:val="bottom"/>
            <w:shd w:val="clear" w:color="auto" w:fill="EBEBEC"/>
          </w:tcPr>
          <w:p>
            <w:pPr>
              <w:jc w:val="center"/>
              <w:spacing w:after="0" w:line="135" w:lineRule="exact"/>
              <w:rPr>
                <w:sz w:val="20"/>
                <w:szCs w:val="20"/>
                <w:color w:val="auto"/>
              </w:rPr>
            </w:pPr>
            <w:r>
              <w:rPr>
                <w:rFonts w:ascii="Arial" w:cs="Arial" w:eastAsia="Arial" w:hAnsi="Arial"/>
                <w:sz w:val="12"/>
                <w:szCs w:val="12"/>
                <w:color w:val="auto"/>
                <w:w w:val="97"/>
              </w:rPr>
              <w:t>2/22/2024</w:t>
            </w:r>
          </w:p>
        </w:tc>
        <w:tc>
          <w:tcPr>
            <w:tcW w:w="120" w:type="dxa"/>
            <w:vAlign w:val="bottom"/>
            <w:shd w:val="clear" w:color="auto" w:fill="EBEBEC"/>
          </w:tcPr>
          <w:p>
            <w:pPr>
              <w:spacing w:after="0"/>
              <w:rPr>
                <w:sz w:val="11"/>
                <w:szCs w:val="11"/>
                <w:color w:val="auto"/>
              </w:rPr>
            </w:pPr>
          </w:p>
        </w:tc>
        <w:tc>
          <w:tcPr>
            <w:tcW w:w="740" w:type="dxa"/>
            <w:vAlign w:val="bottom"/>
            <w:shd w:val="clear" w:color="auto" w:fill="EBEBEC"/>
          </w:tcPr>
          <w:p>
            <w:pPr>
              <w:spacing w:after="0"/>
              <w:rPr>
                <w:sz w:val="11"/>
                <w:szCs w:val="11"/>
                <w:color w:val="auto"/>
              </w:rPr>
            </w:pPr>
          </w:p>
        </w:tc>
        <w:tc>
          <w:tcPr>
            <w:tcW w:w="360" w:type="dxa"/>
            <w:vAlign w:val="bottom"/>
            <w:shd w:val="clear" w:color="auto" w:fill="EBEBEC"/>
          </w:tcPr>
          <w:p>
            <w:pPr>
              <w:spacing w:after="0"/>
              <w:rPr>
                <w:sz w:val="11"/>
                <w:szCs w:val="11"/>
                <w:color w:val="auto"/>
              </w:rPr>
            </w:pPr>
          </w:p>
        </w:tc>
        <w:tc>
          <w:tcPr>
            <w:tcW w:w="620" w:type="dxa"/>
            <w:vAlign w:val="bottom"/>
            <w:shd w:val="clear" w:color="auto" w:fill="EBEBEC"/>
          </w:tcPr>
          <w:p>
            <w:pPr>
              <w:spacing w:after="0"/>
              <w:rPr>
                <w:sz w:val="11"/>
                <w:szCs w:val="11"/>
                <w:color w:val="auto"/>
              </w:rPr>
            </w:pPr>
          </w:p>
        </w:tc>
        <w:tc>
          <w:tcPr>
            <w:tcW w:w="400" w:type="dxa"/>
            <w:vAlign w:val="bottom"/>
            <w:shd w:val="clear" w:color="auto" w:fill="EBEBEC"/>
          </w:tcPr>
          <w:p>
            <w:pPr>
              <w:spacing w:after="0"/>
              <w:rPr>
                <w:sz w:val="11"/>
                <w:szCs w:val="11"/>
                <w:color w:val="auto"/>
              </w:rPr>
            </w:pPr>
          </w:p>
        </w:tc>
        <w:tc>
          <w:tcPr>
            <w:tcW w:w="700" w:type="dxa"/>
            <w:vAlign w:val="bottom"/>
            <w:shd w:val="clear" w:color="auto" w:fill="EBEBEC"/>
          </w:tcPr>
          <w:p>
            <w:pPr>
              <w:spacing w:after="0"/>
              <w:rPr>
                <w:sz w:val="11"/>
                <w:szCs w:val="11"/>
                <w:color w:val="auto"/>
              </w:rPr>
            </w:pPr>
          </w:p>
        </w:tc>
        <w:tc>
          <w:tcPr>
            <w:tcW w:w="100" w:type="dxa"/>
            <w:vAlign w:val="bottom"/>
            <w:shd w:val="clear" w:color="auto" w:fill="EBEBEC"/>
          </w:tcPr>
          <w:p>
            <w:pPr>
              <w:spacing w:after="0"/>
              <w:rPr>
                <w:sz w:val="11"/>
                <w:szCs w:val="11"/>
                <w:color w:val="auto"/>
              </w:rPr>
            </w:pPr>
          </w:p>
        </w:tc>
        <w:tc>
          <w:tcPr>
            <w:tcW w:w="120" w:type="dxa"/>
            <w:vAlign w:val="bottom"/>
            <w:shd w:val="clear" w:color="auto" w:fill="EBEBEC"/>
          </w:tcPr>
          <w:p>
            <w:pPr>
              <w:spacing w:after="0"/>
              <w:rPr>
                <w:sz w:val="11"/>
                <w:szCs w:val="11"/>
                <w:color w:val="auto"/>
              </w:rPr>
            </w:pPr>
          </w:p>
        </w:tc>
        <w:tc>
          <w:tcPr>
            <w:tcW w:w="920" w:type="dxa"/>
            <w:vAlign w:val="bottom"/>
            <w:shd w:val="clear" w:color="auto" w:fill="EBEBEC"/>
          </w:tcPr>
          <w:p>
            <w:pPr>
              <w:jc w:val="right"/>
              <w:spacing w:after="0" w:line="135" w:lineRule="exact"/>
              <w:rPr>
                <w:sz w:val="20"/>
                <w:szCs w:val="20"/>
                <w:color w:val="auto"/>
              </w:rPr>
            </w:pPr>
            <w:r>
              <w:rPr>
                <w:rFonts w:ascii="Arial" w:cs="Arial" w:eastAsia="Arial" w:hAnsi="Arial"/>
                <w:sz w:val="12"/>
                <w:szCs w:val="12"/>
                <w:color w:val="auto"/>
              </w:rPr>
              <w:t>3</w:t>
            </w:r>
          </w:p>
        </w:tc>
        <w:tc>
          <w:tcPr>
            <w:tcW w:w="1400" w:type="dxa"/>
            <w:vAlign w:val="bottom"/>
            <w:shd w:val="clear" w:color="auto" w:fill="EBEBEC"/>
          </w:tcPr>
          <w:p>
            <w:pPr>
              <w:jc w:val="right"/>
              <w:ind w:right="323"/>
              <w:spacing w:after="0" w:line="135" w:lineRule="exact"/>
              <w:rPr>
                <w:sz w:val="20"/>
                <w:szCs w:val="20"/>
                <w:color w:val="auto"/>
              </w:rPr>
            </w:pPr>
            <w:r>
              <w:rPr>
                <w:rFonts w:ascii="Arial" w:cs="Arial" w:eastAsia="Arial" w:hAnsi="Arial"/>
                <w:sz w:val="12"/>
                <w:szCs w:val="12"/>
                <w:color w:val="auto"/>
              </w:rPr>
              <w:t>25,589</w:t>
            </w:r>
          </w:p>
        </w:tc>
        <w:tc>
          <w:tcPr>
            <w:tcW w:w="880" w:type="dxa"/>
            <w:vAlign w:val="bottom"/>
            <w:shd w:val="clear" w:color="auto" w:fill="EBEBEC"/>
          </w:tcPr>
          <w:p>
            <w:pPr>
              <w:jc w:val="right"/>
              <w:ind w:right="63"/>
              <w:spacing w:after="0" w:line="135" w:lineRule="exact"/>
              <w:rPr>
                <w:sz w:val="20"/>
                <w:szCs w:val="20"/>
                <w:color w:val="auto"/>
              </w:rPr>
            </w:pPr>
            <w:r>
              <w:rPr>
                <w:rFonts w:ascii="Arial" w:cs="Arial" w:eastAsia="Arial" w:hAnsi="Arial"/>
                <w:sz w:val="12"/>
                <w:szCs w:val="12"/>
                <w:color w:val="auto"/>
              </w:rPr>
              <w:t>51,178</w:t>
            </w:r>
          </w:p>
        </w:tc>
        <w:tc>
          <w:tcPr>
            <w:tcW w:w="100" w:type="dxa"/>
            <w:vAlign w:val="bottom"/>
            <w:shd w:val="clear" w:color="auto" w:fill="EBEBEC"/>
          </w:tcPr>
          <w:p>
            <w:pPr>
              <w:spacing w:after="0"/>
              <w:rPr>
                <w:sz w:val="11"/>
                <w:szCs w:val="11"/>
                <w:color w:val="auto"/>
              </w:rPr>
            </w:pPr>
          </w:p>
        </w:tc>
        <w:tc>
          <w:tcPr>
            <w:tcW w:w="1020" w:type="dxa"/>
            <w:vAlign w:val="bottom"/>
            <w:shd w:val="clear" w:color="auto" w:fill="EBEBEC"/>
          </w:tcPr>
          <w:p>
            <w:pPr>
              <w:spacing w:after="0"/>
              <w:rPr>
                <w:sz w:val="11"/>
                <w:szCs w:val="11"/>
                <w:color w:val="auto"/>
              </w:rPr>
            </w:pPr>
          </w:p>
        </w:tc>
        <w:tc>
          <w:tcPr>
            <w:tcW w:w="240" w:type="dxa"/>
            <w:vAlign w:val="bottom"/>
            <w:gridSpan w:val="2"/>
            <w:shd w:val="clear" w:color="auto" w:fill="EBEBEC"/>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980" w:type="dxa"/>
            <w:vAlign w:val="bottom"/>
            <w:shd w:val="clear" w:color="auto" w:fill="EBEBEC"/>
          </w:tcPr>
          <w:p>
            <w:pPr>
              <w:jc w:val="right"/>
              <w:ind w:right="62"/>
              <w:spacing w:after="0" w:line="135" w:lineRule="exact"/>
              <w:rPr>
                <w:sz w:val="20"/>
                <w:szCs w:val="20"/>
                <w:color w:val="auto"/>
              </w:rPr>
            </w:pPr>
            <w:r>
              <w:rPr>
                <w:rFonts w:ascii="Arial" w:cs="Arial" w:eastAsia="Arial" w:hAnsi="Arial"/>
                <w:sz w:val="12"/>
                <w:szCs w:val="12"/>
                <w:color w:val="auto"/>
              </w:rPr>
              <w:t>1,517,428</w:t>
            </w:r>
          </w:p>
        </w:tc>
      </w:tr>
      <w:tr>
        <w:trPr>
          <w:trHeight w:val="135"/>
        </w:trPr>
        <w:tc>
          <w:tcPr>
            <w:tcW w:w="1760" w:type="dxa"/>
            <w:vAlign w:val="bottom"/>
            <w:shd w:val="clear" w:color="auto" w:fill="EBEBEC"/>
          </w:tcPr>
          <w:p>
            <w:pPr>
              <w:ind w:left="120"/>
              <w:spacing w:after="0" w:line="135" w:lineRule="exact"/>
              <w:rPr>
                <w:sz w:val="20"/>
                <w:szCs w:val="20"/>
                <w:color w:val="auto"/>
              </w:rPr>
            </w:pPr>
            <w:r>
              <w:rPr>
                <w:rFonts w:ascii="Arial" w:cs="Arial" w:eastAsia="Arial" w:hAnsi="Arial"/>
                <w:sz w:val="12"/>
                <w:szCs w:val="12"/>
                <w:b w:val="1"/>
                <w:bCs w:val="1"/>
                <w:color w:val="auto"/>
              </w:rPr>
              <w:t>Chris D. Gould</w:t>
            </w:r>
          </w:p>
        </w:tc>
        <w:tc>
          <w:tcPr>
            <w:tcW w:w="780" w:type="dxa"/>
            <w:vAlign w:val="bottom"/>
            <w:shd w:val="clear" w:color="auto" w:fill="EBEBEC"/>
          </w:tcPr>
          <w:p>
            <w:pPr>
              <w:spacing w:after="0"/>
              <w:rPr>
                <w:sz w:val="11"/>
                <w:szCs w:val="11"/>
                <w:color w:val="auto"/>
              </w:rPr>
            </w:pPr>
          </w:p>
        </w:tc>
        <w:tc>
          <w:tcPr>
            <w:tcW w:w="120" w:type="dxa"/>
            <w:vAlign w:val="bottom"/>
            <w:shd w:val="clear" w:color="auto" w:fill="EBEBEC"/>
          </w:tcPr>
          <w:p>
            <w:pPr>
              <w:spacing w:after="0"/>
              <w:rPr>
                <w:sz w:val="11"/>
                <w:szCs w:val="11"/>
                <w:color w:val="auto"/>
              </w:rPr>
            </w:pPr>
          </w:p>
        </w:tc>
        <w:tc>
          <w:tcPr>
            <w:tcW w:w="740" w:type="dxa"/>
            <w:vAlign w:val="bottom"/>
            <w:shd w:val="clear" w:color="auto" w:fill="EBEBEC"/>
          </w:tcPr>
          <w:p>
            <w:pPr>
              <w:spacing w:after="0"/>
              <w:rPr>
                <w:sz w:val="11"/>
                <w:szCs w:val="11"/>
                <w:color w:val="auto"/>
              </w:rPr>
            </w:pPr>
          </w:p>
        </w:tc>
        <w:tc>
          <w:tcPr>
            <w:tcW w:w="360" w:type="dxa"/>
            <w:vAlign w:val="bottom"/>
            <w:shd w:val="clear" w:color="auto" w:fill="EBEBEC"/>
          </w:tcPr>
          <w:p>
            <w:pPr>
              <w:spacing w:after="0"/>
              <w:rPr>
                <w:sz w:val="11"/>
                <w:szCs w:val="11"/>
                <w:color w:val="auto"/>
              </w:rPr>
            </w:pPr>
          </w:p>
        </w:tc>
        <w:tc>
          <w:tcPr>
            <w:tcW w:w="620" w:type="dxa"/>
            <w:vAlign w:val="bottom"/>
            <w:shd w:val="clear" w:color="auto" w:fill="EBEBEC"/>
          </w:tcPr>
          <w:p>
            <w:pPr>
              <w:spacing w:after="0"/>
              <w:rPr>
                <w:sz w:val="11"/>
                <w:szCs w:val="11"/>
                <w:color w:val="auto"/>
              </w:rPr>
            </w:pPr>
          </w:p>
        </w:tc>
        <w:tc>
          <w:tcPr>
            <w:tcW w:w="400" w:type="dxa"/>
            <w:vAlign w:val="bottom"/>
            <w:shd w:val="clear" w:color="auto" w:fill="EBEBEC"/>
          </w:tcPr>
          <w:p>
            <w:pPr>
              <w:spacing w:after="0"/>
              <w:rPr>
                <w:sz w:val="11"/>
                <w:szCs w:val="11"/>
                <w:color w:val="auto"/>
              </w:rPr>
            </w:pPr>
          </w:p>
        </w:tc>
        <w:tc>
          <w:tcPr>
            <w:tcW w:w="700" w:type="dxa"/>
            <w:vAlign w:val="bottom"/>
            <w:shd w:val="clear" w:color="auto" w:fill="EBEBEC"/>
          </w:tcPr>
          <w:p>
            <w:pPr>
              <w:spacing w:after="0"/>
              <w:rPr>
                <w:sz w:val="11"/>
                <w:szCs w:val="11"/>
                <w:color w:val="auto"/>
              </w:rPr>
            </w:pPr>
          </w:p>
        </w:tc>
        <w:tc>
          <w:tcPr>
            <w:tcW w:w="100" w:type="dxa"/>
            <w:vAlign w:val="bottom"/>
            <w:shd w:val="clear" w:color="auto" w:fill="EBEBEC"/>
          </w:tcPr>
          <w:p>
            <w:pPr>
              <w:spacing w:after="0"/>
              <w:rPr>
                <w:sz w:val="11"/>
                <w:szCs w:val="11"/>
                <w:color w:val="auto"/>
              </w:rPr>
            </w:pPr>
          </w:p>
        </w:tc>
        <w:tc>
          <w:tcPr>
            <w:tcW w:w="120" w:type="dxa"/>
            <w:vAlign w:val="bottom"/>
            <w:shd w:val="clear" w:color="auto" w:fill="EBEBEC"/>
          </w:tcPr>
          <w:p>
            <w:pPr>
              <w:spacing w:after="0"/>
              <w:rPr>
                <w:sz w:val="11"/>
                <w:szCs w:val="11"/>
                <w:color w:val="auto"/>
              </w:rPr>
            </w:pPr>
          </w:p>
        </w:tc>
        <w:tc>
          <w:tcPr>
            <w:tcW w:w="920" w:type="dxa"/>
            <w:vAlign w:val="bottom"/>
            <w:shd w:val="clear" w:color="auto" w:fill="EBEBEC"/>
          </w:tcPr>
          <w:p>
            <w:pPr>
              <w:spacing w:after="0"/>
              <w:rPr>
                <w:sz w:val="11"/>
                <w:szCs w:val="11"/>
                <w:color w:val="auto"/>
              </w:rPr>
            </w:pPr>
          </w:p>
        </w:tc>
        <w:tc>
          <w:tcPr>
            <w:tcW w:w="1400" w:type="dxa"/>
            <w:vAlign w:val="bottom"/>
            <w:shd w:val="clear" w:color="auto" w:fill="EBEBEC"/>
          </w:tcPr>
          <w:p>
            <w:pPr>
              <w:spacing w:after="0"/>
              <w:rPr>
                <w:sz w:val="11"/>
                <w:szCs w:val="11"/>
                <w:color w:val="auto"/>
              </w:rPr>
            </w:pPr>
          </w:p>
        </w:tc>
        <w:tc>
          <w:tcPr>
            <w:tcW w:w="880" w:type="dxa"/>
            <w:vAlign w:val="bottom"/>
            <w:shd w:val="clear" w:color="auto" w:fill="EBEBEC"/>
          </w:tcPr>
          <w:p>
            <w:pPr>
              <w:spacing w:after="0"/>
              <w:rPr>
                <w:sz w:val="11"/>
                <w:szCs w:val="11"/>
                <w:color w:val="auto"/>
              </w:rPr>
            </w:pPr>
          </w:p>
        </w:tc>
        <w:tc>
          <w:tcPr>
            <w:tcW w:w="100" w:type="dxa"/>
            <w:vAlign w:val="bottom"/>
            <w:shd w:val="clear" w:color="auto" w:fill="EBEBEC"/>
          </w:tcPr>
          <w:p>
            <w:pPr>
              <w:spacing w:after="0"/>
              <w:rPr>
                <w:sz w:val="11"/>
                <w:szCs w:val="11"/>
                <w:color w:val="auto"/>
              </w:rPr>
            </w:pPr>
          </w:p>
        </w:tc>
        <w:tc>
          <w:tcPr>
            <w:tcW w:w="1020" w:type="dxa"/>
            <w:vAlign w:val="bottom"/>
            <w:shd w:val="clear" w:color="auto" w:fill="EBEBEC"/>
          </w:tcPr>
          <w:p>
            <w:pPr>
              <w:spacing w:after="0"/>
              <w:rPr>
                <w:sz w:val="11"/>
                <w:szCs w:val="11"/>
                <w:color w:val="auto"/>
              </w:rPr>
            </w:pPr>
          </w:p>
        </w:tc>
        <w:tc>
          <w:tcPr>
            <w:tcW w:w="100" w:type="dxa"/>
            <w:vAlign w:val="bottom"/>
            <w:shd w:val="clear" w:color="auto" w:fill="EBEBEC"/>
          </w:tcPr>
          <w:p>
            <w:pPr>
              <w:spacing w:after="0"/>
              <w:rPr>
                <w:sz w:val="11"/>
                <w:szCs w:val="11"/>
                <w:color w:val="auto"/>
              </w:rPr>
            </w:pPr>
          </w:p>
        </w:tc>
        <w:tc>
          <w:tcPr>
            <w:tcW w:w="140" w:type="dxa"/>
            <w:vAlign w:val="bottom"/>
            <w:shd w:val="clear" w:color="auto" w:fill="EBEBEC"/>
          </w:tcPr>
          <w:p>
            <w:pPr>
              <w:spacing w:after="0"/>
              <w:rPr>
                <w:sz w:val="11"/>
                <w:szCs w:val="11"/>
                <w:color w:val="auto"/>
              </w:rPr>
            </w:pPr>
          </w:p>
        </w:tc>
        <w:tc>
          <w:tcPr>
            <w:tcW w:w="980" w:type="dxa"/>
            <w:vAlign w:val="bottom"/>
            <w:shd w:val="clear" w:color="auto" w:fill="EBEBEC"/>
          </w:tcPr>
          <w:p>
            <w:pPr>
              <w:spacing w:after="0"/>
              <w:rPr>
                <w:sz w:val="11"/>
                <w:szCs w:val="11"/>
                <w:color w:val="auto"/>
              </w:rPr>
            </w:pPr>
          </w:p>
        </w:tc>
      </w:tr>
      <w:tr>
        <w:trPr>
          <w:trHeight w:val="135"/>
        </w:trPr>
        <w:tc>
          <w:tcPr>
            <w:tcW w:w="1760" w:type="dxa"/>
            <w:vAlign w:val="bottom"/>
            <w:shd w:val="clear" w:color="auto" w:fill="EBEBEC"/>
          </w:tcPr>
          <w:p>
            <w:pPr>
              <w:ind w:left="180"/>
              <w:spacing w:after="0" w:line="135" w:lineRule="exact"/>
              <w:rPr>
                <w:sz w:val="20"/>
                <w:szCs w:val="20"/>
                <w:color w:val="auto"/>
              </w:rPr>
            </w:pPr>
            <w:r>
              <w:rPr>
                <w:rFonts w:ascii="Arial" w:cs="Arial" w:eastAsia="Arial" w:hAnsi="Arial"/>
                <w:sz w:val="12"/>
                <w:szCs w:val="12"/>
                <w:color w:val="auto"/>
              </w:rPr>
              <w:t>Annual Incentive</w:t>
            </w:r>
          </w:p>
        </w:tc>
        <w:tc>
          <w:tcPr>
            <w:tcW w:w="780" w:type="dxa"/>
            <w:vAlign w:val="bottom"/>
            <w:shd w:val="clear" w:color="auto" w:fill="EBEBEC"/>
          </w:tcPr>
          <w:p>
            <w:pPr>
              <w:spacing w:after="0"/>
              <w:rPr>
                <w:sz w:val="11"/>
                <w:szCs w:val="11"/>
                <w:color w:val="auto"/>
              </w:rPr>
            </w:pPr>
          </w:p>
        </w:tc>
        <w:tc>
          <w:tcPr>
            <w:tcW w:w="120" w:type="dxa"/>
            <w:vAlign w:val="bottom"/>
            <w:shd w:val="clear" w:color="auto" w:fill="EBEBEC"/>
          </w:tcPr>
          <w:p>
            <w:pPr>
              <w:jc w:val="right"/>
              <w:spacing w:after="0" w:line="135" w:lineRule="exact"/>
              <w:rPr>
                <w:sz w:val="20"/>
                <w:szCs w:val="20"/>
                <w:color w:val="auto"/>
              </w:rPr>
            </w:pPr>
            <w:r>
              <w:rPr>
                <w:rFonts w:ascii="Arial" w:cs="Arial" w:eastAsia="Arial" w:hAnsi="Arial"/>
                <w:sz w:val="12"/>
                <w:szCs w:val="12"/>
                <w:color w:val="auto"/>
                <w:w w:val="89"/>
              </w:rPr>
              <w:t>$</w:t>
            </w:r>
          </w:p>
        </w:tc>
        <w:tc>
          <w:tcPr>
            <w:tcW w:w="740" w:type="dxa"/>
            <w:vAlign w:val="bottom"/>
            <w:shd w:val="clear" w:color="auto" w:fill="EBEBEC"/>
          </w:tcPr>
          <w:p>
            <w:pPr>
              <w:jc w:val="right"/>
              <w:spacing w:after="0" w:line="135" w:lineRule="exact"/>
              <w:rPr>
                <w:sz w:val="20"/>
                <w:szCs w:val="20"/>
                <w:color w:val="auto"/>
              </w:rPr>
            </w:pPr>
            <w:r>
              <w:rPr>
                <w:rFonts w:ascii="Arial" w:cs="Arial" w:eastAsia="Arial" w:hAnsi="Arial"/>
                <w:sz w:val="12"/>
                <w:szCs w:val="12"/>
                <w:color w:val="auto"/>
              </w:rPr>
              <w:t>3,075</w:t>
            </w:r>
          </w:p>
        </w:tc>
        <w:tc>
          <w:tcPr>
            <w:tcW w:w="360" w:type="dxa"/>
            <w:vAlign w:val="bottom"/>
            <w:shd w:val="clear" w:color="auto" w:fill="EBEBEC"/>
          </w:tcPr>
          <w:p>
            <w:pPr>
              <w:jc w:val="right"/>
              <w:ind w:right="2"/>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EBEBEC"/>
          </w:tcPr>
          <w:p>
            <w:pPr>
              <w:ind w:left="180"/>
              <w:spacing w:after="0" w:line="135" w:lineRule="exact"/>
              <w:rPr>
                <w:sz w:val="20"/>
                <w:szCs w:val="20"/>
                <w:color w:val="auto"/>
              </w:rPr>
            </w:pPr>
            <w:r>
              <w:rPr>
                <w:rFonts w:ascii="Arial" w:cs="Arial" w:eastAsia="Arial" w:hAnsi="Arial"/>
                <w:sz w:val="12"/>
                <w:szCs w:val="12"/>
                <w:color w:val="auto"/>
                <w:w w:val="96"/>
              </w:rPr>
              <w:t>492,000</w:t>
            </w:r>
          </w:p>
        </w:tc>
        <w:tc>
          <w:tcPr>
            <w:tcW w:w="400" w:type="dxa"/>
            <w:vAlign w:val="bottom"/>
            <w:shd w:val="clear" w:color="auto" w:fill="EBEBEC"/>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EBEBEC"/>
          </w:tcPr>
          <w:p>
            <w:pPr>
              <w:jc w:val="right"/>
              <w:spacing w:after="0" w:line="135" w:lineRule="exact"/>
              <w:rPr>
                <w:sz w:val="20"/>
                <w:szCs w:val="20"/>
                <w:color w:val="auto"/>
              </w:rPr>
            </w:pPr>
            <w:r>
              <w:rPr>
                <w:rFonts w:ascii="Arial" w:cs="Arial" w:eastAsia="Arial" w:hAnsi="Arial"/>
                <w:sz w:val="12"/>
                <w:szCs w:val="12"/>
                <w:color w:val="auto"/>
              </w:rPr>
              <w:t>984,000</w:t>
            </w:r>
          </w:p>
        </w:tc>
        <w:tc>
          <w:tcPr>
            <w:tcW w:w="100" w:type="dxa"/>
            <w:vAlign w:val="bottom"/>
            <w:shd w:val="clear" w:color="auto" w:fill="EBEBEC"/>
          </w:tcPr>
          <w:p>
            <w:pPr>
              <w:spacing w:after="0"/>
              <w:rPr>
                <w:sz w:val="11"/>
                <w:szCs w:val="11"/>
                <w:color w:val="auto"/>
              </w:rPr>
            </w:pPr>
          </w:p>
        </w:tc>
        <w:tc>
          <w:tcPr>
            <w:tcW w:w="120" w:type="dxa"/>
            <w:vAlign w:val="bottom"/>
            <w:shd w:val="clear" w:color="auto" w:fill="EBEBEC"/>
          </w:tcPr>
          <w:p>
            <w:pPr>
              <w:spacing w:after="0"/>
              <w:rPr>
                <w:sz w:val="11"/>
                <w:szCs w:val="11"/>
                <w:color w:val="auto"/>
              </w:rPr>
            </w:pPr>
          </w:p>
        </w:tc>
        <w:tc>
          <w:tcPr>
            <w:tcW w:w="920" w:type="dxa"/>
            <w:vAlign w:val="bottom"/>
            <w:shd w:val="clear" w:color="auto" w:fill="EBEBEC"/>
          </w:tcPr>
          <w:p>
            <w:pPr>
              <w:spacing w:after="0"/>
              <w:rPr>
                <w:sz w:val="11"/>
                <w:szCs w:val="11"/>
                <w:color w:val="auto"/>
              </w:rPr>
            </w:pPr>
          </w:p>
        </w:tc>
        <w:tc>
          <w:tcPr>
            <w:tcW w:w="1400" w:type="dxa"/>
            <w:vAlign w:val="bottom"/>
            <w:shd w:val="clear" w:color="auto" w:fill="EBEBEC"/>
          </w:tcPr>
          <w:p>
            <w:pPr>
              <w:spacing w:after="0"/>
              <w:rPr>
                <w:sz w:val="11"/>
                <w:szCs w:val="11"/>
                <w:color w:val="auto"/>
              </w:rPr>
            </w:pPr>
          </w:p>
        </w:tc>
        <w:tc>
          <w:tcPr>
            <w:tcW w:w="880" w:type="dxa"/>
            <w:vAlign w:val="bottom"/>
            <w:shd w:val="clear" w:color="auto" w:fill="EBEBEC"/>
          </w:tcPr>
          <w:p>
            <w:pPr>
              <w:spacing w:after="0"/>
              <w:rPr>
                <w:sz w:val="11"/>
                <w:szCs w:val="11"/>
                <w:color w:val="auto"/>
              </w:rPr>
            </w:pPr>
          </w:p>
        </w:tc>
        <w:tc>
          <w:tcPr>
            <w:tcW w:w="100" w:type="dxa"/>
            <w:vAlign w:val="bottom"/>
            <w:shd w:val="clear" w:color="auto" w:fill="EBEBEC"/>
          </w:tcPr>
          <w:p>
            <w:pPr>
              <w:spacing w:after="0"/>
              <w:rPr>
                <w:sz w:val="11"/>
                <w:szCs w:val="11"/>
                <w:color w:val="auto"/>
              </w:rPr>
            </w:pPr>
          </w:p>
        </w:tc>
        <w:tc>
          <w:tcPr>
            <w:tcW w:w="1020" w:type="dxa"/>
            <w:vAlign w:val="bottom"/>
            <w:shd w:val="clear" w:color="auto" w:fill="EBEBEC"/>
          </w:tcPr>
          <w:p>
            <w:pPr>
              <w:spacing w:after="0"/>
              <w:rPr>
                <w:sz w:val="11"/>
                <w:szCs w:val="11"/>
                <w:color w:val="auto"/>
              </w:rPr>
            </w:pPr>
          </w:p>
        </w:tc>
        <w:tc>
          <w:tcPr>
            <w:tcW w:w="100" w:type="dxa"/>
            <w:vAlign w:val="bottom"/>
            <w:shd w:val="clear" w:color="auto" w:fill="EBEBEC"/>
          </w:tcPr>
          <w:p>
            <w:pPr>
              <w:spacing w:after="0"/>
              <w:rPr>
                <w:sz w:val="11"/>
                <w:szCs w:val="11"/>
                <w:color w:val="auto"/>
              </w:rPr>
            </w:pPr>
          </w:p>
        </w:tc>
        <w:tc>
          <w:tcPr>
            <w:tcW w:w="140" w:type="dxa"/>
            <w:vAlign w:val="bottom"/>
            <w:shd w:val="clear" w:color="auto" w:fill="EBEBEC"/>
          </w:tcPr>
          <w:p>
            <w:pPr>
              <w:spacing w:after="0"/>
              <w:rPr>
                <w:sz w:val="11"/>
                <w:szCs w:val="11"/>
                <w:color w:val="auto"/>
              </w:rPr>
            </w:pPr>
          </w:p>
        </w:tc>
        <w:tc>
          <w:tcPr>
            <w:tcW w:w="980" w:type="dxa"/>
            <w:vAlign w:val="bottom"/>
            <w:shd w:val="clear" w:color="auto" w:fill="EBEBEC"/>
          </w:tcPr>
          <w:p>
            <w:pPr>
              <w:spacing w:after="0"/>
              <w:rPr>
                <w:sz w:val="11"/>
                <w:szCs w:val="11"/>
                <w:color w:val="auto"/>
              </w:rPr>
            </w:pPr>
          </w:p>
        </w:tc>
      </w:tr>
      <w:tr>
        <w:trPr>
          <w:trHeight w:val="135"/>
        </w:trPr>
        <w:tc>
          <w:tcPr>
            <w:tcW w:w="1760" w:type="dxa"/>
            <w:vAlign w:val="bottom"/>
            <w:shd w:val="clear" w:color="auto" w:fill="EBEBEC"/>
          </w:tcPr>
          <w:p>
            <w:pPr>
              <w:ind w:left="180"/>
              <w:spacing w:after="0" w:line="135" w:lineRule="exact"/>
              <w:rPr>
                <w:sz w:val="20"/>
                <w:szCs w:val="20"/>
                <w:color w:val="auto"/>
              </w:rPr>
            </w:pPr>
            <w:r>
              <w:rPr>
                <w:rFonts w:ascii="Arial" w:cs="Arial" w:eastAsia="Arial" w:hAnsi="Arial"/>
                <w:sz w:val="12"/>
                <w:szCs w:val="12"/>
                <w:color w:val="auto"/>
              </w:rPr>
              <w:t>RSU(3)</w:t>
            </w:r>
          </w:p>
        </w:tc>
        <w:tc>
          <w:tcPr>
            <w:tcW w:w="780" w:type="dxa"/>
            <w:vAlign w:val="bottom"/>
            <w:shd w:val="clear" w:color="auto" w:fill="EBEBEC"/>
          </w:tcPr>
          <w:p>
            <w:pPr>
              <w:jc w:val="center"/>
              <w:spacing w:after="0" w:line="135" w:lineRule="exact"/>
              <w:rPr>
                <w:sz w:val="20"/>
                <w:szCs w:val="20"/>
                <w:color w:val="auto"/>
              </w:rPr>
            </w:pPr>
            <w:r>
              <w:rPr>
                <w:rFonts w:ascii="Arial" w:cs="Arial" w:eastAsia="Arial" w:hAnsi="Arial"/>
                <w:sz w:val="12"/>
                <w:szCs w:val="12"/>
                <w:color w:val="auto"/>
                <w:w w:val="97"/>
              </w:rPr>
              <w:t>2/22/2024</w:t>
            </w:r>
          </w:p>
        </w:tc>
        <w:tc>
          <w:tcPr>
            <w:tcW w:w="120" w:type="dxa"/>
            <w:vAlign w:val="bottom"/>
            <w:shd w:val="clear" w:color="auto" w:fill="EBEBEC"/>
          </w:tcPr>
          <w:p>
            <w:pPr>
              <w:spacing w:after="0"/>
              <w:rPr>
                <w:sz w:val="11"/>
                <w:szCs w:val="11"/>
                <w:color w:val="auto"/>
              </w:rPr>
            </w:pPr>
          </w:p>
        </w:tc>
        <w:tc>
          <w:tcPr>
            <w:tcW w:w="740" w:type="dxa"/>
            <w:vAlign w:val="bottom"/>
            <w:shd w:val="clear" w:color="auto" w:fill="EBEBEC"/>
          </w:tcPr>
          <w:p>
            <w:pPr>
              <w:spacing w:after="0"/>
              <w:rPr>
                <w:sz w:val="11"/>
                <w:szCs w:val="11"/>
                <w:color w:val="auto"/>
              </w:rPr>
            </w:pPr>
          </w:p>
        </w:tc>
        <w:tc>
          <w:tcPr>
            <w:tcW w:w="360" w:type="dxa"/>
            <w:vAlign w:val="bottom"/>
            <w:shd w:val="clear" w:color="auto" w:fill="EBEBEC"/>
          </w:tcPr>
          <w:p>
            <w:pPr>
              <w:spacing w:after="0"/>
              <w:rPr>
                <w:sz w:val="11"/>
                <w:szCs w:val="11"/>
                <w:color w:val="auto"/>
              </w:rPr>
            </w:pPr>
          </w:p>
        </w:tc>
        <w:tc>
          <w:tcPr>
            <w:tcW w:w="620" w:type="dxa"/>
            <w:vAlign w:val="bottom"/>
            <w:shd w:val="clear" w:color="auto" w:fill="EBEBEC"/>
          </w:tcPr>
          <w:p>
            <w:pPr>
              <w:spacing w:after="0"/>
              <w:rPr>
                <w:sz w:val="11"/>
                <w:szCs w:val="11"/>
                <w:color w:val="auto"/>
              </w:rPr>
            </w:pPr>
          </w:p>
        </w:tc>
        <w:tc>
          <w:tcPr>
            <w:tcW w:w="400" w:type="dxa"/>
            <w:vAlign w:val="bottom"/>
            <w:shd w:val="clear" w:color="auto" w:fill="EBEBEC"/>
          </w:tcPr>
          <w:p>
            <w:pPr>
              <w:spacing w:after="0"/>
              <w:rPr>
                <w:sz w:val="11"/>
                <w:szCs w:val="11"/>
                <w:color w:val="auto"/>
              </w:rPr>
            </w:pPr>
          </w:p>
        </w:tc>
        <w:tc>
          <w:tcPr>
            <w:tcW w:w="700" w:type="dxa"/>
            <w:vAlign w:val="bottom"/>
            <w:shd w:val="clear" w:color="auto" w:fill="EBEBEC"/>
          </w:tcPr>
          <w:p>
            <w:pPr>
              <w:spacing w:after="0"/>
              <w:rPr>
                <w:sz w:val="11"/>
                <w:szCs w:val="11"/>
                <w:color w:val="auto"/>
              </w:rPr>
            </w:pPr>
          </w:p>
        </w:tc>
        <w:tc>
          <w:tcPr>
            <w:tcW w:w="100" w:type="dxa"/>
            <w:vAlign w:val="bottom"/>
            <w:shd w:val="clear" w:color="auto" w:fill="EBEBEC"/>
          </w:tcPr>
          <w:p>
            <w:pPr>
              <w:spacing w:after="0"/>
              <w:rPr>
                <w:sz w:val="11"/>
                <w:szCs w:val="11"/>
                <w:color w:val="auto"/>
              </w:rPr>
            </w:pPr>
          </w:p>
        </w:tc>
        <w:tc>
          <w:tcPr>
            <w:tcW w:w="120" w:type="dxa"/>
            <w:vAlign w:val="bottom"/>
            <w:shd w:val="clear" w:color="auto" w:fill="EBEBEC"/>
          </w:tcPr>
          <w:p>
            <w:pPr>
              <w:spacing w:after="0"/>
              <w:rPr>
                <w:sz w:val="11"/>
                <w:szCs w:val="11"/>
                <w:color w:val="auto"/>
              </w:rPr>
            </w:pPr>
          </w:p>
        </w:tc>
        <w:tc>
          <w:tcPr>
            <w:tcW w:w="920" w:type="dxa"/>
            <w:vAlign w:val="bottom"/>
            <w:shd w:val="clear" w:color="auto" w:fill="EBEBEC"/>
          </w:tcPr>
          <w:p>
            <w:pPr>
              <w:spacing w:after="0"/>
              <w:rPr>
                <w:sz w:val="11"/>
                <w:szCs w:val="11"/>
                <w:color w:val="auto"/>
              </w:rPr>
            </w:pPr>
          </w:p>
        </w:tc>
        <w:tc>
          <w:tcPr>
            <w:tcW w:w="1400" w:type="dxa"/>
            <w:vAlign w:val="bottom"/>
            <w:shd w:val="clear" w:color="auto" w:fill="EBEBEC"/>
          </w:tcPr>
          <w:p>
            <w:pPr>
              <w:spacing w:after="0"/>
              <w:rPr>
                <w:sz w:val="11"/>
                <w:szCs w:val="11"/>
                <w:color w:val="auto"/>
              </w:rPr>
            </w:pPr>
          </w:p>
        </w:tc>
        <w:tc>
          <w:tcPr>
            <w:tcW w:w="880" w:type="dxa"/>
            <w:vAlign w:val="bottom"/>
            <w:shd w:val="clear" w:color="auto" w:fill="EBEBEC"/>
          </w:tcPr>
          <w:p>
            <w:pPr>
              <w:spacing w:after="0"/>
              <w:rPr>
                <w:sz w:val="11"/>
                <w:szCs w:val="11"/>
                <w:color w:val="auto"/>
              </w:rPr>
            </w:pPr>
          </w:p>
        </w:tc>
        <w:tc>
          <w:tcPr>
            <w:tcW w:w="1120" w:type="dxa"/>
            <w:vAlign w:val="bottom"/>
            <w:gridSpan w:val="2"/>
            <w:shd w:val="clear" w:color="auto" w:fill="EBEBEC"/>
          </w:tcPr>
          <w:p>
            <w:pPr>
              <w:jc w:val="right"/>
              <w:ind w:right="62"/>
              <w:spacing w:after="0" w:line="135" w:lineRule="exact"/>
              <w:rPr>
                <w:sz w:val="20"/>
                <w:szCs w:val="20"/>
                <w:color w:val="auto"/>
              </w:rPr>
            </w:pPr>
            <w:r>
              <w:rPr>
                <w:rFonts w:ascii="Arial" w:cs="Arial" w:eastAsia="Arial" w:hAnsi="Arial"/>
                <w:sz w:val="12"/>
                <w:szCs w:val="12"/>
                <w:color w:val="auto"/>
              </w:rPr>
              <w:t>18,668</w:t>
            </w:r>
          </w:p>
        </w:tc>
        <w:tc>
          <w:tcPr>
            <w:tcW w:w="240" w:type="dxa"/>
            <w:vAlign w:val="bottom"/>
            <w:gridSpan w:val="2"/>
            <w:shd w:val="clear" w:color="auto" w:fill="EBEBEC"/>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980" w:type="dxa"/>
            <w:vAlign w:val="bottom"/>
            <w:shd w:val="clear" w:color="auto" w:fill="EBEBEC"/>
          </w:tcPr>
          <w:p>
            <w:pPr>
              <w:jc w:val="right"/>
              <w:ind w:right="62"/>
              <w:spacing w:after="0" w:line="135" w:lineRule="exact"/>
              <w:rPr>
                <w:sz w:val="20"/>
                <w:szCs w:val="20"/>
                <w:color w:val="auto"/>
              </w:rPr>
            </w:pPr>
            <w:r>
              <w:rPr>
                <w:rFonts w:ascii="Arial" w:cs="Arial" w:eastAsia="Arial" w:hAnsi="Arial"/>
                <w:sz w:val="12"/>
                <w:szCs w:val="12"/>
                <w:color w:val="auto"/>
              </w:rPr>
              <w:t>1,023,380</w:t>
            </w:r>
          </w:p>
        </w:tc>
      </w:tr>
      <w:tr>
        <w:trPr>
          <w:trHeight w:val="135"/>
        </w:trPr>
        <w:tc>
          <w:tcPr>
            <w:tcW w:w="1760" w:type="dxa"/>
            <w:vAlign w:val="bottom"/>
            <w:shd w:val="clear" w:color="auto" w:fill="EBEBEC"/>
          </w:tcPr>
          <w:p>
            <w:pPr>
              <w:ind w:left="180"/>
              <w:spacing w:after="0" w:line="135" w:lineRule="exact"/>
              <w:rPr>
                <w:sz w:val="20"/>
                <w:szCs w:val="20"/>
                <w:color w:val="auto"/>
              </w:rPr>
            </w:pPr>
            <w:r>
              <w:rPr>
                <w:rFonts w:ascii="Arial" w:cs="Arial" w:eastAsia="Arial" w:hAnsi="Arial"/>
                <w:sz w:val="12"/>
                <w:szCs w:val="12"/>
                <w:color w:val="auto"/>
              </w:rPr>
              <w:t>PSU(4)</w:t>
            </w:r>
          </w:p>
        </w:tc>
        <w:tc>
          <w:tcPr>
            <w:tcW w:w="780" w:type="dxa"/>
            <w:vAlign w:val="bottom"/>
            <w:shd w:val="clear" w:color="auto" w:fill="EBEBEC"/>
          </w:tcPr>
          <w:p>
            <w:pPr>
              <w:jc w:val="center"/>
              <w:spacing w:after="0" w:line="135" w:lineRule="exact"/>
              <w:rPr>
                <w:sz w:val="20"/>
                <w:szCs w:val="20"/>
                <w:color w:val="auto"/>
              </w:rPr>
            </w:pPr>
            <w:r>
              <w:rPr>
                <w:rFonts w:ascii="Arial" w:cs="Arial" w:eastAsia="Arial" w:hAnsi="Arial"/>
                <w:sz w:val="12"/>
                <w:szCs w:val="12"/>
                <w:color w:val="auto"/>
                <w:w w:val="97"/>
              </w:rPr>
              <w:t>2/22/2024</w:t>
            </w:r>
          </w:p>
        </w:tc>
        <w:tc>
          <w:tcPr>
            <w:tcW w:w="120" w:type="dxa"/>
            <w:vAlign w:val="bottom"/>
            <w:shd w:val="clear" w:color="auto" w:fill="EBEBEC"/>
          </w:tcPr>
          <w:p>
            <w:pPr>
              <w:spacing w:after="0"/>
              <w:rPr>
                <w:sz w:val="11"/>
                <w:szCs w:val="11"/>
                <w:color w:val="auto"/>
              </w:rPr>
            </w:pPr>
          </w:p>
        </w:tc>
        <w:tc>
          <w:tcPr>
            <w:tcW w:w="740" w:type="dxa"/>
            <w:vAlign w:val="bottom"/>
            <w:shd w:val="clear" w:color="auto" w:fill="EBEBEC"/>
          </w:tcPr>
          <w:p>
            <w:pPr>
              <w:spacing w:after="0"/>
              <w:rPr>
                <w:sz w:val="11"/>
                <w:szCs w:val="11"/>
                <w:color w:val="auto"/>
              </w:rPr>
            </w:pPr>
          </w:p>
        </w:tc>
        <w:tc>
          <w:tcPr>
            <w:tcW w:w="360" w:type="dxa"/>
            <w:vAlign w:val="bottom"/>
            <w:shd w:val="clear" w:color="auto" w:fill="EBEBEC"/>
          </w:tcPr>
          <w:p>
            <w:pPr>
              <w:spacing w:after="0"/>
              <w:rPr>
                <w:sz w:val="11"/>
                <w:szCs w:val="11"/>
                <w:color w:val="auto"/>
              </w:rPr>
            </w:pPr>
          </w:p>
        </w:tc>
        <w:tc>
          <w:tcPr>
            <w:tcW w:w="620" w:type="dxa"/>
            <w:vAlign w:val="bottom"/>
            <w:shd w:val="clear" w:color="auto" w:fill="EBEBEC"/>
          </w:tcPr>
          <w:p>
            <w:pPr>
              <w:spacing w:after="0"/>
              <w:rPr>
                <w:sz w:val="11"/>
                <w:szCs w:val="11"/>
                <w:color w:val="auto"/>
              </w:rPr>
            </w:pPr>
          </w:p>
        </w:tc>
        <w:tc>
          <w:tcPr>
            <w:tcW w:w="400" w:type="dxa"/>
            <w:vAlign w:val="bottom"/>
            <w:shd w:val="clear" w:color="auto" w:fill="EBEBEC"/>
          </w:tcPr>
          <w:p>
            <w:pPr>
              <w:spacing w:after="0"/>
              <w:rPr>
                <w:sz w:val="11"/>
                <w:szCs w:val="11"/>
                <w:color w:val="auto"/>
              </w:rPr>
            </w:pPr>
          </w:p>
        </w:tc>
        <w:tc>
          <w:tcPr>
            <w:tcW w:w="700" w:type="dxa"/>
            <w:vAlign w:val="bottom"/>
            <w:shd w:val="clear" w:color="auto" w:fill="EBEBEC"/>
          </w:tcPr>
          <w:p>
            <w:pPr>
              <w:spacing w:after="0"/>
              <w:rPr>
                <w:sz w:val="11"/>
                <w:szCs w:val="11"/>
                <w:color w:val="auto"/>
              </w:rPr>
            </w:pPr>
          </w:p>
        </w:tc>
        <w:tc>
          <w:tcPr>
            <w:tcW w:w="100" w:type="dxa"/>
            <w:vAlign w:val="bottom"/>
            <w:shd w:val="clear" w:color="auto" w:fill="EBEBEC"/>
          </w:tcPr>
          <w:p>
            <w:pPr>
              <w:spacing w:after="0"/>
              <w:rPr>
                <w:sz w:val="11"/>
                <w:szCs w:val="11"/>
                <w:color w:val="auto"/>
              </w:rPr>
            </w:pPr>
          </w:p>
        </w:tc>
        <w:tc>
          <w:tcPr>
            <w:tcW w:w="120" w:type="dxa"/>
            <w:vAlign w:val="bottom"/>
            <w:shd w:val="clear" w:color="auto" w:fill="EBEBEC"/>
          </w:tcPr>
          <w:p>
            <w:pPr>
              <w:spacing w:after="0"/>
              <w:rPr>
                <w:sz w:val="11"/>
                <w:szCs w:val="11"/>
                <w:color w:val="auto"/>
              </w:rPr>
            </w:pPr>
          </w:p>
        </w:tc>
        <w:tc>
          <w:tcPr>
            <w:tcW w:w="920" w:type="dxa"/>
            <w:vAlign w:val="bottom"/>
            <w:shd w:val="clear" w:color="auto" w:fill="EBEBEC"/>
          </w:tcPr>
          <w:p>
            <w:pPr>
              <w:jc w:val="right"/>
              <w:spacing w:after="0" w:line="135" w:lineRule="exact"/>
              <w:rPr>
                <w:sz w:val="20"/>
                <w:szCs w:val="20"/>
                <w:color w:val="auto"/>
              </w:rPr>
            </w:pPr>
            <w:r>
              <w:rPr>
                <w:rFonts w:ascii="Arial" w:cs="Arial" w:eastAsia="Arial" w:hAnsi="Arial"/>
                <w:sz w:val="12"/>
                <w:szCs w:val="12"/>
                <w:color w:val="auto"/>
              </w:rPr>
              <w:t>3</w:t>
            </w:r>
          </w:p>
        </w:tc>
        <w:tc>
          <w:tcPr>
            <w:tcW w:w="1400" w:type="dxa"/>
            <w:vAlign w:val="bottom"/>
            <w:shd w:val="clear" w:color="auto" w:fill="EBEBEC"/>
          </w:tcPr>
          <w:p>
            <w:pPr>
              <w:jc w:val="right"/>
              <w:ind w:right="323"/>
              <w:spacing w:after="0" w:line="135" w:lineRule="exact"/>
              <w:rPr>
                <w:sz w:val="20"/>
                <w:szCs w:val="20"/>
                <w:color w:val="auto"/>
              </w:rPr>
            </w:pPr>
            <w:r>
              <w:rPr>
                <w:rFonts w:ascii="Arial" w:cs="Arial" w:eastAsia="Arial" w:hAnsi="Arial"/>
                <w:sz w:val="12"/>
                <w:szCs w:val="12"/>
                <w:color w:val="auto"/>
              </w:rPr>
              <w:t>28,002</w:t>
            </w:r>
          </w:p>
        </w:tc>
        <w:tc>
          <w:tcPr>
            <w:tcW w:w="880" w:type="dxa"/>
            <w:vAlign w:val="bottom"/>
            <w:shd w:val="clear" w:color="auto" w:fill="EBEBEC"/>
          </w:tcPr>
          <w:p>
            <w:pPr>
              <w:jc w:val="right"/>
              <w:ind w:right="63"/>
              <w:spacing w:after="0" w:line="135" w:lineRule="exact"/>
              <w:rPr>
                <w:sz w:val="20"/>
                <w:szCs w:val="20"/>
                <w:color w:val="auto"/>
              </w:rPr>
            </w:pPr>
            <w:r>
              <w:rPr>
                <w:rFonts w:ascii="Arial" w:cs="Arial" w:eastAsia="Arial" w:hAnsi="Arial"/>
                <w:sz w:val="12"/>
                <w:szCs w:val="12"/>
                <w:color w:val="auto"/>
              </w:rPr>
              <w:t>56,004</w:t>
            </w:r>
          </w:p>
        </w:tc>
        <w:tc>
          <w:tcPr>
            <w:tcW w:w="100" w:type="dxa"/>
            <w:vAlign w:val="bottom"/>
            <w:shd w:val="clear" w:color="auto" w:fill="EBEBEC"/>
          </w:tcPr>
          <w:p>
            <w:pPr>
              <w:spacing w:after="0"/>
              <w:rPr>
                <w:sz w:val="11"/>
                <w:szCs w:val="11"/>
                <w:color w:val="auto"/>
              </w:rPr>
            </w:pPr>
          </w:p>
        </w:tc>
        <w:tc>
          <w:tcPr>
            <w:tcW w:w="1020" w:type="dxa"/>
            <w:vAlign w:val="bottom"/>
            <w:shd w:val="clear" w:color="auto" w:fill="EBEBEC"/>
          </w:tcPr>
          <w:p>
            <w:pPr>
              <w:spacing w:after="0"/>
              <w:rPr>
                <w:sz w:val="11"/>
                <w:szCs w:val="11"/>
                <w:color w:val="auto"/>
              </w:rPr>
            </w:pPr>
          </w:p>
        </w:tc>
        <w:tc>
          <w:tcPr>
            <w:tcW w:w="240" w:type="dxa"/>
            <w:vAlign w:val="bottom"/>
            <w:gridSpan w:val="2"/>
            <w:shd w:val="clear" w:color="auto" w:fill="EBEBEC"/>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980" w:type="dxa"/>
            <w:vAlign w:val="bottom"/>
            <w:shd w:val="clear" w:color="auto" w:fill="EBEBEC"/>
          </w:tcPr>
          <w:p>
            <w:pPr>
              <w:jc w:val="right"/>
              <w:ind w:right="62"/>
              <w:spacing w:after="0" w:line="135" w:lineRule="exact"/>
              <w:rPr>
                <w:sz w:val="20"/>
                <w:szCs w:val="20"/>
                <w:color w:val="auto"/>
              </w:rPr>
            </w:pPr>
            <w:r>
              <w:rPr>
                <w:rFonts w:ascii="Arial" w:cs="Arial" w:eastAsia="Arial" w:hAnsi="Arial"/>
                <w:sz w:val="12"/>
                <w:szCs w:val="12"/>
                <w:color w:val="auto"/>
              </w:rPr>
              <w:t>1,660,519</w:t>
            </w:r>
          </w:p>
        </w:tc>
      </w:tr>
      <w:tr>
        <w:trPr>
          <w:trHeight w:val="135"/>
        </w:trPr>
        <w:tc>
          <w:tcPr>
            <w:tcW w:w="1760" w:type="dxa"/>
            <w:vAlign w:val="bottom"/>
            <w:shd w:val="clear" w:color="auto" w:fill="EBEBEC"/>
          </w:tcPr>
          <w:p>
            <w:pPr>
              <w:ind w:left="120"/>
              <w:spacing w:after="0" w:line="135" w:lineRule="exact"/>
              <w:rPr>
                <w:sz w:val="20"/>
                <w:szCs w:val="20"/>
                <w:color w:val="auto"/>
              </w:rPr>
            </w:pPr>
            <w:r>
              <w:rPr>
                <w:rFonts w:ascii="Arial" w:cs="Arial" w:eastAsia="Arial" w:hAnsi="Arial"/>
                <w:sz w:val="12"/>
                <w:szCs w:val="12"/>
                <w:b w:val="1"/>
                <w:bCs w:val="1"/>
                <w:color w:val="auto"/>
              </w:rPr>
              <w:t>Michael L. Preston</w:t>
            </w:r>
          </w:p>
        </w:tc>
        <w:tc>
          <w:tcPr>
            <w:tcW w:w="780" w:type="dxa"/>
            <w:vAlign w:val="bottom"/>
            <w:shd w:val="clear" w:color="auto" w:fill="EBEBEC"/>
          </w:tcPr>
          <w:p>
            <w:pPr>
              <w:spacing w:after="0"/>
              <w:rPr>
                <w:sz w:val="11"/>
                <w:szCs w:val="11"/>
                <w:color w:val="auto"/>
              </w:rPr>
            </w:pPr>
          </w:p>
        </w:tc>
        <w:tc>
          <w:tcPr>
            <w:tcW w:w="120" w:type="dxa"/>
            <w:vAlign w:val="bottom"/>
            <w:shd w:val="clear" w:color="auto" w:fill="EBEBEC"/>
          </w:tcPr>
          <w:p>
            <w:pPr>
              <w:spacing w:after="0"/>
              <w:rPr>
                <w:sz w:val="11"/>
                <w:szCs w:val="11"/>
                <w:color w:val="auto"/>
              </w:rPr>
            </w:pPr>
          </w:p>
        </w:tc>
        <w:tc>
          <w:tcPr>
            <w:tcW w:w="740" w:type="dxa"/>
            <w:vAlign w:val="bottom"/>
            <w:shd w:val="clear" w:color="auto" w:fill="EBEBEC"/>
          </w:tcPr>
          <w:p>
            <w:pPr>
              <w:spacing w:after="0"/>
              <w:rPr>
                <w:sz w:val="11"/>
                <w:szCs w:val="11"/>
                <w:color w:val="auto"/>
              </w:rPr>
            </w:pPr>
          </w:p>
        </w:tc>
        <w:tc>
          <w:tcPr>
            <w:tcW w:w="360" w:type="dxa"/>
            <w:vAlign w:val="bottom"/>
            <w:shd w:val="clear" w:color="auto" w:fill="EBEBEC"/>
          </w:tcPr>
          <w:p>
            <w:pPr>
              <w:spacing w:after="0"/>
              <w:rPr>
                <w:sz w:val="11"/>
                <w:szCs w:val="11"/>
                <w:color w:val="auto"/>
              </w:rPr>
            </w:pPr>
          </w:p>
        </w:tc>
        <w:tc>
          <w:tcPr>
            <w:tcW w:w="620" w:type="dxa"/>
            <w:vAlign w:val="bottom"/>
            <w:shd w:val="clear" w:color="auto" w:fill="EBEBEC"/>
          </w:tcPr>
          <w:p>
            <w:pPr>
              <w:spacing w:after="0"/>
              <w:rPr>
                <w:sz w:val="11"/>
                <w:szCs w:val="11"/>
                <w:color w:val="auto"/>
              </w:rPr>
            </w:pPr>
          </w:p>
        </w:tc>
        <w:tc>
          <w:tcPr>
            <w:tcW w:w="400" w:type="dxa"/>
            <w:vAlign w:val="bottom"/>
            <w:shd w:val="clear" w:color="auto" w:fill="EBEBEC"/>
          </w:tcPr>
          <w:p>
            <w:pPr>
              <w:spacing w:after="0"/>
              <w:rPr>
                <w:sz w:val="11"/>
                <w:szCs w:val="11"/>
                <w:color w:val="auto"/>
              </w:rPr>
            </w:pPr>
          </w:p>
        </w:tc>
        <w:tc>
          <w:tcPr>
            <w:tcW w:w="700" w:type="dxa"/>
            <w:vAlign w:val="bottom"/>
            <w:shd w:val="clear" w:color="auto" w:fill="EBEBEC"/>
          </w:tcPr>
          <w:p>
            <w:pPr>
              <w:spacing w:after="0"/>
              <w:rPr>
                <w:sz w:val="11"/>
                <w:szCs w:val="11"/>
                <w:color w:val="auto"/>
              </w:rPr>
            </w:pPr>
          </w:p>
        </w:tc>
        <w:tc>
          <w:tcPr>
            <w:tcW w:w="100" w:type="dxa"/>
            <w:vAlign w:val="bottom"/>
            <w:shd w:val="clear" w:color="auto" w:fill="EBEBEC"/>
          </w:tcPr>
          <w:p>
            <w:pPr>
              <w:spacing w:after="0"/>
              <w:rPr>
                <w:sz w:val="11"/>
                <w:szCs w:val="11"/>
                <w:color w:val="auto"/>
              </w:rPr>
            </w:pPr>
          </w:p>
        </w:tc>
        <w:tc>
          <w:tcPr>
            <w:tcW w:w="120" w:type="dxa"/>
            <w:vAlign w:val="bottom"/>
            <w:shd w:val="clear" w:color="auto" w:fill="EBEBEC"/>
          </w:tcPr>
          <w:p>
            <w:pPr>
              <w:spacing w:after="0"/>
              <w:rPr>
                <w:sz w:val="11"/>
                <w:szCs w:val="11"/>
                <w:color w:val="auto"/>
              </w:rPr>
            </w:pPr>
          </w:p>
        </w:tc>
        <w:tc>
          <w:tcPr>
            <w:tcW w:w="920" w:type="dxa"/>
            <w:vAlign w:val="bottom"/>
            <w:shd w:val="clear" w:color="auto" w:fill="EBEBEC"/>
          </w:tcPr>
          <w:p>
            <w:pPr>
              <w:spacing w:after="0"/>
              <w:rPr>
                <w:sz w:val="11"/>
                <w:szCs w:val="11"/>
                <w:color w:val="auto"/>
              </w:rPr>
            </w:pPr>
          </w:p>
        </w:tc>
        <w:tc>
          <w:tcPr>
            <w:tcW w:w="1400" w:type="dxa"/>
            <w:vAlign w:val="bottom"/>
            <w:shd w:val="clear" w:color="auto" w:fill="EBEBEC"/>
          </w:tcPr>
          <w:p>
            <w:pPr>
              <w:spacing w:after="0"/>
              <w:rPr>
                <w:sz w:val="11"/>
                <w:szCs w:val="11"/>
                <w:color w:val="auto"/>
              </w:rPr>
            </w:pPr>
          </w:p>
        </w:tc>
        <w:tc>
          <w:tcPr>
            <w:tcW w:w="880" w:type="dxa"/>
            <w:vAlign w:val="bottom"/>
            <w:shd w:val="clear" w:color="auto" w:fill="EBEBEC"/>
          </w:tcPr>
          <w:p>
            <w:pPr>
              <w:spacing w:after="0"/>
              <w:rPr>
                <w:sz w:val="11"/>
                <w:szCs w:val="11"/>
                <w:color w:val="auto"/>
              </w:rPr>
            </w:pPr>
          </w:p>
        </w:tc>
        <w:tc>
          <w:tcPr>
            <w:tcW w:w="100" w:type="dxa"/>
            <w:vAlign w:val="bottom"/>
            <w:shd w:val="clear" w:color="auto" w:fill="EBEBEC"/>
          </w:tcPr>
          <w:p>
            <w:pPr>
              <w:spacing w:after="0"/>
              <w:rPr>
                <w:sz w:val="11"/>
                <w:szCs w:val="11"/>
                <w:color w:val="auto"/>
              </w:rPr>
            </w:pPr>
          </w:p>
        </w:tc>
        <w:tc>
          <w:tcPr>
            <w:tcW w:w="1020" w:type="dxa"/>
            <w:vAlign w:val="bottom"/>
            <w:shd w:val="clear" w:color="auto" w:fill="EBEBEC"/>
          </w:tcPr>
          <w:p>
            <w:pPr>
              <w:spacing w:after="0"/>
              <w:rPr>
                <w:sz w:val="11"/>
                <w:szCs w:val="11"/>
                <w:color w:val="auto"/>
              </w:rPr>
            </w:pPr>
          </w:p>
        </w:tc>
        <w:tc>
          <w:tcPr>
            <w:tcW w:w="100" w:type="dxa"/>
            <w:vAlign w:val="bottom"/>
            <w:shd w:val="clear" w:color="auto" w:fill="EBEBEC"/>
          </w:tcPr>
          <w:p>
            <w:pPr>
              <w:spacing w:after="0"/>
              <w:rPr>
                <w:sz w:val="11"/>
                <w:szCs w:val="11"/>
                <w:color w:val="auto"/>
              </w:rPr>
            </w:pPr>
          </w:p>
        </w:tc>
        <w:tc>
          <w:tcPr>
            <w:tcW w:w="140" w:type="dxa"/>
            <w:vAlign w:val="bottom"/>
            <w:shd w:val="clear" w:color="auto" w:fill="EBEBEC"/>
          </w:tcPr>
          <w:p>
            <w:pPr>
              <w:spacing w:after="0"/>
              <w:rPr>
                <w:sz w:val="11"/>
                <w:szCs w:val="11"/>
                <w:color w:val="auto"/>
              </w:rPr>
            </w:pPr>
          </w:p>
        </w:tc>
        <w:tc>
          <w:tcPr>
            <w:tcW w:w="980" w:type="dxa"/>
            <w:vAlign w:val="bottom"/>
            <w:shd w:val="clear" w:color="auto" w:fill="EBEBEC"/>
          </w:tcPr>
          <w:p>
            <w:pPr>
              <w:spacing w:after="0"/>
              <w:rPr>
                <w:sz w:val="11"/>
                <w:szCs w:val="11"/>
                <w:color w:val="auto"/>
              </w:rPr>
            </w:pPr>
          </w:p>
        </w:tc>
      </w:tr>
      <w:tr>
        <w:trPr>
          <w:trHeight w:val="135"/>
        </w:trPr>
        <w:tc>
          <w:tcPr>
            <w:tcW w:w="1760" w:type="dxa"/>
            <w:vAlign w:val="bottom"/>
            <w:shd w:val="clear" w:color="auto" w:fill="EBEBEC"/>
          </w:tcPr>
          <w:p>
            <w:pPr>
              <w:ind w:left="180"/>
              <w:spacing w:after="0" w:line="135" w:lineRule="exact"/>
              <w:rPr>
                <w:sz w:val="20"/>
                <w:szCs w:val="20"/>
                <w:color w:val="auto"/>
              </w:rPr>
            </w:pPr>
            <w:r>
              <w:rPr>
                <w:rFonts w:ascii="Arial" w:cs="Arial" w:eastAsia="Arial" w:hAnsi="Arial"/>
                <w:sz w:val="12"/>
                <w:szCs w:val="12"/>
                <w:color w:val="auto"/>
              </w:rPr>
              <w:t>Annual Incentive</w:t>
            </w:r>
          </w:p>
        </w:tc>
        <w:tc>
          <w:tcPr>
            <w:tcW w:w="780" w:type="dxa"/>
            <w:vAlign w:val="bottom"/>
            <w:shd w:val="clear" w:color="auto" w:fill="EBEBEC"/>
          </w:tcPr>
          <w:p>
            <w:pPr>
              <w:spacing w:after="0"/>
              <w:rPr>
                <w:sz w:val="11"/>
                <w:szCs w:val="11"/>
                <w:color w:val="auto"/>
              </w:rPr>
            </w:pPr>
          </w:p>
        </w:tc>
        <w:tc>
          <w:tcPr>
            <w:tcW w:w="120" w:type="dxa"/>
            <w:vAlign w:val="bottom"/>
            <w:shd w:val="clear" w:color="auto" w:fill="EBEBEC"/>
          </w:tcPr>
          <w:p>
            <w:pPr>
              <w:jc w:val="right"/>
              <w:spacing w:after="0" w:line="135" w:lineRule="exact"/>
              <w:rPr>
                <w:sz w:val="20"/>
                <w:szCs w:val="20"/>
                <w:color w:val="auto"/>
              </w:rPr>
            </w:pPr>
            <w:r>
              <w:rPr>
                <w:rFonts w:ascii="Arial" w:cs="Arial" w:eastAsia="Arial" w:hAnsi="Arial"/>
                <w:sz w:val="12"/>
                <w:szCs w:val="12"/>
                <w:color w:val="auto"/>
                <w:w w:val="89"/>
              </w:rPr>
              <w:t>$</w:t>
            </w:r>
          </w:p>
        </w:tc>
        <w:tc>
          <w:tcPr>
            <w:tcW w:w="740" w:type="dxa"/>
            <w:vAlign w:val="bottom"/>
            <w:shd w:val="clear" w:color="auto" w:fill="EBEBEC"/>
          </w:tcPr>
          <w:p>
            <w:pPr>
              <w:jc w:val="right"/>
              <w:spacing w:after="0" w:line="135" w:lineRule="exact"/>
              <w:rPr>
                <w:sz w:val="20"/>
                <w:szCs w:val="20"/>
                <w:color w:val="auto"/>
              </w:rPr>
            </w:pPr>
            <w:r>
              <w:rPr>
                <w:rFonts w:ascii="Arial" w:cs="Arial" w:eastAsia="Arial" w:hAnsi="Arial"/>
                <w:sz w:val="12"/>
                <w:szCs w:val="12"/>
                <w:color w:val="auto"/>
              </w:rPr>
              <w:t>3,125</w:t>
            </w:r>
          </w:p>
        </w:tc>
        <w:tc>
          <w:tcPr>
            <w:tcW w:w="360" w:type="dxa"/>
            <w:vAlign w:val="bottom"/>
            <w:shd w:val="clear" w:color="auto" w:fill="EBEBEC"/>
          </w:tcPr>
          <w:p>
            <w:pPr>
              <w:jc w:val="right"/>
              <w:ind w:right="2"/>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EBEBEC"/>
          </w:tcPr>
          <w:p>
            <w:pPr>
              <w:ind w:left="180"/>
              <w:spacing w:after="0" w:line="135" w:lineRule="exact"/>
              <w:rPr>
                <w:sz w:val="20"/>
                <w:szCs w:val="20"/>
                <w:color w:val="auto"/>
              </w:rPr>
            </w:pPr>
            <w:r>
              <w:rPr>
                <w:rFonts w:ascii="Arial" w:cs="Arial" w:eastAsia="Arial" w:hAnsi="Arial"/>
                <w:sz w:val="12"/>
                <w:szCs w:val="12"/>
                <w:color w:val="auto"/>
                <w:w w:val="96"/>
              </w:rPr>
              <w:t>500,000</w:t>
            </w:r>
          </w:p>
        </w:tc>
        <w:tc>
          <w:tcPr>
            <w:tcW w:w="400" w:type="dxa"/>
            <w:vAlign w:val="bottom"/>
            <w:shd w:val="clear" w:color="auto" w:fill="EBEBEC"/>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EBEBEC"/>
          </w:tcPr>
          <w:p>
            <w:pPr>
              <w:jc w:val="right"/>
              <w:spacing w:after="0" w:line="135" w:lineRule="exact"/>
              <w:rPr>
                <w:sz w:val="20"/>
                <w:szCs w:val="20"/>
                <w:color w:val="auto"/>
              </w:rPr>
            </w:pPr>
            <w:r>
              <w:rPr>
                <w:rFonts w:ascii="Arial" w:cs="Arial" w:eastAsia="Arial" w:hAnsi="Arial"/>
                <w:sz w:val="12"/>
                <w:szCs w:val="12"/>
                <w:color w:val="auto"/>
              </w:rPr>
              <w:t>1,000,000</w:t>
            </w:r>
          </w:p>
        </w:tc>
        <w:tc>
          <w:tcPr>
            <w:tcW w:w="100" w:type="dxa"/>
            <w:vAlign w:val="bottom"/>
            <w:shd w:val="clear" w:color="auto" w:fill="EBEBEC"/>
          </w:tcPr>
          <w:p>
            <w:pPr>
              <w:spacing w:after="0"/>
              <w:rPr>
                <w:sz w:val="11"/>
                <w:szCs w:val="11"/>
                <w:color w:val="auto"/>
              </w:rPr>
            </w:pPr>
          </w:p>
        </w:tc>
        <w:tc>
          <w:tcPr>
            <w:tcW w:w="120" w:type="dxa"/>
            <w:vAlign w:val="bottom"/>
            <w:shd w:val="clear" w:color="auto" w:fill="EBEBEC"/>
          </w:tcPr>
          <w:p>
            <w:pPr>
              <w:spacing w:after="0"/>
              <w:rPr>
                <w:sz w:val="11"/>
                <w:szCs w:val="11"/>
                <w:color w:val="auto"/>
              </w:rPr>
            </w:pPr>
          </w:p>
        </w:tc>
        <w:tc>
          <w:tcPr>
            <w:tcW w:w="920" w:type="dxa"/>
            <w:vAlign w:val="bottom"/>
            <w:shd w:val="clear" w:color="auto" w:fill="EBEBEC"/>
          </w:tcPr>
          <w:p>
            <w:pPr>
              <w:spacing w:after="0"/>
              <w:rPr>
                <w:sz w:val="11"/>
                <w:szCs w:val="11"/>
                <w:color w:val="auto"/>
              </w:rPr>
            </w:pPr>
          </w:p>
        </w:tc>
        <w:tc>
          <w:tcPr>
            <w:tcW w:w="1400" w:type="dxa"/>
            <w:vAlign w:val="bottom"/>
            <w:shd w:val="clear" w:color="auto" w:fill="EBEBEC"/>
          </w:tcPr>
          <w:p>
            <w:pPr>
              <w:spacing w:after="0"/>
              <w:rPr>
                <w:sz w:val="11"/>
                <w:szCs w:val="11"/>
                <w:color w:val="auto"/>
              </w:rPr>
            </w:pPr>
          </w:p>
        </w:tc>
        <w:tc>
          <w:tcPr>
            <w:tcW w:w="880" w:type="dxa"/>
            <w:vAlign w:val="bottom"/>
            <w:shd w:val="clear" w:color="auto" w:fill="EBEBEC"/>
          </w:tcPr>
          <w:p>
            <w:pPr>
              <w:spacing w:after="0"/>
              <w:rPr>
                <w:sz w:val="11"/>
                <w:szCs w:val="11"/>
                <w:color w:val="auto"/>
              </w:rPr>
            </w:pPr>
          </w:p>
        </w:tc>
        <w:tc>
          <w:tcPr>
            <w:tcW w:w="100" w:type="dxa"/>
            <w:vAlign w:val="bottom"/>
            <w:shd w:val="clear" w:color="auto" w:fill="EBEBEC"/>
          </w:tcPr>
          <w:p>
            <w:pPr>
              <w:spacing w:after="0"/>
              <w:rPr>
                <w:sz w:val="11"/>
                <w:szCs w:val="11"/>
                <w:color w:val="auto"/>
              </w:rPr>
            </w:pPr>
          </w:p>
        </w:tc>
        <w:tc>
          <w:tcPr>
            <w:tcW w:w="1020" w:type="dxa"/>
            <w:vAlign w:val="bottom"/>
            <w:shd w:val="clear" w:color="auto" w:fill="EBEBEC"/>
          </w:tcPr>
          <w:p>
            <w:pPr>
              <w:spacing w:after="0"/>
              <w:rPr>
                <w:sz w:val="11"/>
                <w:szCs w:val="11"/>
                <w:color w:val="auto"/>
              </w:rPr>
            </w:pPr>
          </w:p>
        </w:tc>
        <w:tc>
          <w:tcPr>
            <w:tcW w:w="100" w:type="dxa"/>
            <w:vAlign w:val="bottom"/>
            <w:shd w:val="clear" w:color="auto" w:fill="EBEBEC"/>
          </w:tcPr>
          <w:p>
            <w:pPr>
              <w:spacing w:after="0"/>
              <w:rPr>
                <w:sz w:val="11"/>
                <w:szCs w:val="11"/>
                <w:color w:val="auto"/>
              </w:rPr>
            </w:pPr>
          </w:p>
        </w:tc>
        <w:tc>
          <w:tcPr>
            <w:tcW w:w="140" w:type="dxa"/>
            <w:vAlign w:val="bottom"/>
            <w:shd w:val="clear" w:color="auto" w:fill="EBEBEC"/>
          </w:tcPr>
          <w:p>
            <w:pPr>
              <w:spacing w:after="0"/>
              <w:rPr>
                <w:sz w:val="11"/>
                <w:szCs w:val="11"/>
                <w:color w:val="auto"/>
              </w:rPr>
            </w:pPr>
          </w:p>
        </w:tc>
        <w:tc>
          <w:tcPr>
            <w:tcW w:w="980" w:type="dxa"/>
            <w:vAlign w:val="bottom"/>
            <w:shd w:val="clear" w:color="auto" w:fill="EBEBEC"/>
          </w:tcPr>
          <w:p>
            <w:pPr>
              <w:spacing w:after="0"/>
              <w:rPr>
                <w:sz w:val="11"/>
                <w:szCs w:val="11"/>
                <w:color w:val="auto"/>
              </w:rPr>
            </w:pPr>
          </w:p>
        </w:tc>
      </w:tr>
      <w:tr>
        <w:trPr>
          <w:trHeight w:val="127"/>
        </w:trPr>
        <w:tc>
          <w:tcPr>
            <w:tcW w:w="1760" w:type="dxa"/>
            <w:vAlign w:val="bottom"/>
            <w:shd w:val="clear" w:color="auto" w:fill="EBEBEC"/>
          </w:tcPr>
          <w:p>
            <w:pPr>
              <w:ind w:left="180"/>
              <w:spacing w:after="0" w:line="128" w:lineRule="exact"/>
              <w:rPr>
                <w:sz w:val="20"/>
                <w:szCs w:val="20"/>
                <w:color w:val="auto"/>
              </w:rPr>
            </w:pPr>
            <w:r>
              <w:rPr>
                <w:rFonts w:ascii="Arial" w:cs="Arial" w:eastAsia="Arial" w:hAnsi="Arial"/>
                <w:sz w:val="12"/>
                <w:szCs w:val="12"/>
                <w:color w:val="auto"/>
              </w:rPr>
              <w:t>RSU(3)</w:t>
            </w:r>
          </w:p>
        </w:tc>
        <w:tc>
          <w:tcPr>
            <w:tcW w:w="780" w:type="dxa"/>
            <w:vAlign w:val="bottom"/>
            <w:shd w:val="clear" w:color="auto" w:fill="EBEBEC"/>
          </w:tcPr>
          <w:p>
            <w:pPr>
              <w:jc w:val="center"/>
              <w:spacing w:after="0" w:line="128" w:lineRule="exact"/>
              <w:rPr>
                <w:sz w:val="20"/>
                <w:szCs w:val="20"/>
                <w:color w:val="auto"/>
              </w:rPr>
            </w:pPr>
            <w:r>
              <w:rPr>
                <w:rFonts w:ascii="Arial" w:cs="Arial" w:eastAsia="Arial" w:hAnsi="Arial"/>
                <w:sz w:val="12"/>
                <w:szCs w:val="12"/>
                <w:color w:val="auto"/>
                <w:w w:val="97"/>
              </w:rPr>
              <w:t>2/22/2024</w:t>
            </w:r>
          </w:p>
        </w:tc>
        <w:tc>
          <w:tcPr>
            <w:tcW w:w="120" w:type="dxa"/>
            <w:vAlign w:val="bottom"/>
            <w:shd w:val="clear" w:color="auto" w:fill="EBEBEC"/>
          </w:tcPr>
          <w:p>
            <w:pPr>
              <w:spacing w:after="0"/>
              <w:rPr>
                <w:sz w:val="11"/>
                <w:szCs w:val="11"/>
                <w:color w:val="auto"/>
              </w:rPr>
            </w:pPr>
          </w:p>
        </w:tc>
        <w:tc>
          <w:tcPr>
            <w:tcW w:w="740" w:type="dxa"/>
            <w:vAlign w:val="bottom"/>
            <w:shd w:val="clear" w:color="auto" w:fill="EBEBEC"/>
          </w:tcPr>
          <w:p>
            <w:pPr>
              <w:spacing w:after="0"/>
              <w:rPr>
                <w:sz w:val="11"/>
                <w:szCs w:val="11"/>
                <w:color w:val="auto"/>
              </w:rPr>
            </w:pPr>
          </w:p>
        </w:tc>
        <w:tc>
          <w:tcPr>
            <w:tcW w:w="360" w:type="dxa"/>
            <w:vAlign w:val="bottom"/>
            <w:shd w:val="clear" w:color="auto" w:fill="EBEBEC"/>
          </w:tcPr>
          <w:p>
            <w:pPr>
              <w:spacing w:after="0"/>
              <w:rPr>
                <w:sz w:val="11"/>
                <w:szCs w:val="11"/>
                <w:color w:val="auto"/>
              </w:rPr>
            </w:pPr>
          </w:p>
        </w:tc>
        <w:tc>
          <w:tcPr>
            <w:tcW w:w="620" w:type="dxa"/>
            <w:vAlign w:val="bottom"/>
            <w:shd w:val="clear" w:color="auto" w:fill="EBEBEC"/>
          </w:tcPr>
          <w:p>
            <w:pPr>
              <w:spacing w:after="0"/>
              <w:rPr>
                <w:sz w:val="11"/>
                <w:szCs w:val="11"/>
                <w:color w:val="auto"/>
              </w:rPr>
            </w:pPr>
          </w:p>
        </w:tc>
        <w:tc>
          <w:tcPr>
            <w:tcW w:w="400" w:type="dxa"/>
            <w:vAlign w:val="bottom"/>
            <w:shd w:val="clear" w:color="auto" w:fill="EBEBEC"/>
          </w:tcPr>
          <w:p>
            <w:pPr>
              <w:spacing w:after="0"/>
              <w:rPr>
                <w:sz w:val="11"/>
                <w:szCs w:val="11"/>
                <w:color w:val="auto"/>
              </w:rPr>
            </w:pPr>
          </w:p>
        </w:tc>
        <w:tc>
          <w:tcPr>
            <w:tcW w:w="700" w:type="dxa"/>
            <w:vAlign w:val="bottom"/>
            <w:shd w:val="clear" w:color="auto" w:fill="EBEBEC"/>
          </w:tcPr>
          <w:p>
            <w:pPr>
              <w:spacing w:after="0"/>
              <w:rPr>
                <w:sz w:val="11"/>
                <w:szCs w:val="11"/>
                <w:color w:val="auto"/>
              </w:rPr>
            </w:pPr>
          </w:p>
        </w:tc>
        <w:tc>
          <w:tcPr>
            <w:tcW w:w="100" w:type="dxa"/>
            <w:vAlign w:val="bottom"/>
            <w:shd w:val="clear" w:color="auto" w:fill="EBEBEC"/>
          </w:tcPr>
          <w:p>
            <w:pPr>
              <w:spacing w:after="0"/>
              <w:rPr>
                <w:sz w:val="11"/>
                <w:szCs w:val="11"/>
                <w:color w:val="auto"/>
              </w:rPr>
            </w:pPr>
          </w:p>
        </w:tc>
        <w:tc>
          <w:tcPr>
            <w:tcW w:w="120" w:type="dxa"/>
            <w:vAlign w:val="bottom"/>
            <w:shd w:val="clear" w:color="auto" w:fill="EBEBEC"/>
          </w:tcPr>
          <w:p>
            <w:pPr>
              <w:spacing w:after="0"/>
              <w:rPr>
                <w:sz w:val="11"/>
                <w:szCs w:val="11"/>
                <w:color w:val="auto"/>
              </w:rPr>
            </w:pPr>
          </w:p>
        </w:tc>
        <w:tc>
          <w:tcPr>
            <w:tcW w:w="920" w:type="dxa"/>
            <w:vAlign w:val="bottom"/>
            <w:shd w:val="clear" w:color="auto" w:fill="EBEBEC"/>
          </w:tcPr>
          <w:p>
            <w:pPr>
              <w:spacing w:after="0"/>
              <w:rPr>
                <w:sz w:val="11"/>
                <w:szCs w:val="11"/>
                <w:color w:val="auto"/>
              </w:rPr>
            </w:pPr>
          </w:p>
        </w:tc>
        <w:tc>
          <w:tcPr>
            <w:tcW w:w="1400" w:type="dxa"/>
            <w:vAlign w:val="bottom"/>
            <w:shd w:val="clear" w:color="auto" w:fill="EBEBEC"/>
          </w:tcPr>
          <w:p>
            <w:pPr>
              <w:spacing w:after="0"/>
              <w:rPr>
                <w:sz w:val="11"/>
                <w:szCs w:val="11"/>
                <w:color w:val="auto"/>
              </w:rPr>
            </w:pPr>
          </w:p>
        </w:tc>
        <w:tc>
          <w:tcPr>
            <w:tcW w:w="880" w:type="dxa"/>
            <w:vAlign w:val="bottom"/>
            <w:shd w:val="clear" w:color="auto" w:fill="EBEBEC"/>
          </w:tcPr>
          <w:p>
            <w:pPr>
              <w:spacing w:after="0"/>
              <w:rPr>
                <w:sz w:val="11"/>
                <w:szCs w:val="11"/>
                <w:color w:val="auto"/>
              </w:rPr>
            </w:pPr>
          </w:p>
        </w:tc>
        <w:tc>
          <w:tcPr>
            <w:tcW w:w="1120" w:type="dxa"/>
            <w:vAlign w:val="bottom"/>
            <w:gridSpan w:val="2"/>
            <w:shd w:val="clear" w:color="auto" w:fill="EBEBEC"/>
          </w:tcPr>
          <w:p>
            <w:pPr>
              <w:jc w:val="right"/>
              <w:ind w:right="62"/>
              <w:spacing w:after="0" w:line="128" w:lineRule="exact"/>
              <w:rPr>
                <w:sz w:val="20"/>
                <w:szCs w:val="20"/>
                <w:color w:val="auto"/>
              </w:rPr>
            </w:pPr>
            <w:r>
              <w:rPr>
                <w:rFonts w:ascii="Arial" w:cs="Arial" w:eastAsia="Arial" w:hAnsi="Arial"/>
                <w:sz w:val="12"/>
                <w:szCs w:val="12"/>
                <w:color w:val="auto"/>
              </w:rPr>
              <w:t>18,972</w:t>
            </w:r>
          </w:p>
        </w:tc>
        <w:tc>
          <w:tcPr>
            <w:tcW w:w="240" w:type="dxa"/>
            <w:vAlign w:val="bottom"/>
            <w:gridSpan w:val="2"/>
            <w:shd w:val="clear" w:color="auto" w:fill="EBEBEC"/>
          </w:tcPr>
          <w:p>
            <w:pPr>
              <w:jc w:val="right"/>
              <w:ind w:right="60"/>
              <w:spacing w:after="0" w:line="128" w:lineRule="exact"/>
              <w:rPr>
                <w:sz w:val="20"/>
                <w:szCs w:val="20"/>
                <w:color w:val="auto"/>
              </w:rPr>
            </w:pPr>
            <w:r>
              <w:rPr>
                <w:rFonts w:ascii="Arial" w:cs="Arial" w:eastAsia="Arial" w:hAnsi="Arial"/>
                <w:sz w:val="12"/>
                <w:szCs w:val="12"/>
                <w:color w:val="auto"/>
              </w:rPr>
              <w:t>$</w:t>
            </w:r>
          </w:p>
        </w:tc>
        <w:tc>
          <w:tcPr>
            <w:tcW w:w="980" w:type="dxa"/>
            <w:vAlign w:val="bottom"/>
            <w:shd w:val="clear" w:color="auto" w:fill="EBEBEC"/>
          </w:tcPr>
          <w:p>
            <w:pPr>
              <w:jc w:val="right"/>
              <w:ind w:right="62"/>
              <w:spacing w:after="0" w:line="128" w:lineRule="exact"/>
              <w:rPr>
                <w:sz w:val="20"/>
                <w:szCs w:val="20"/>
                <w:color w:val="auto"/>
              </w:rPr>
            </w:pPr>
            <w:r>
              <w:rPr>
                <w:rFonts w:ascii="Arial" w:cs="Arial" w:eastAsia="Arial" w:hAnsi="Arial"/>
                <w:sz w:val="12"/>
                <w:szCs w:val="12"/>
                <w:color w:val="auto"/>
              </w:rPr>
              <w:t>1,040,045</w:t>
            </w:r>
          </w:p>
        </w:tc>
      </w:tr>
      <w:tr>
        <w:trPr>
          <w:trHeight w:val="143"/>
        </w:trPr>
        <w:tc>
          <w:tcPr>
            <w:tcW w:w="1760" w:type="dxa"/>
            <w:vAlign w:val="bottom"/>
            <w:shd w:val="clear" w:color="auto" w:fill="EBEBEC"/>
          </w:tcPr>
          <w:p>
            <w:pPr>
              <w:ind w:left="180"/>
              <w:spacing w:after="0"/>
              <w:rPr>
                <w:sz w:val="20"/>
                <w:szCs w:val="20"/>
                <w:color w:val="auto"/>
              </w:rPr>
            </w:pPr>
            <w:r>
              <w:rPr>
                <w:rFonts w:ascii="Arial" w:cs="Arial" w:eastAsia="Arial" w:hAnsi="Arial"/>
                <w:sz w:val="12"/>
                <w:szCs w:val="12"/>
                <w:color w:val="auto"/>
              </w:rPr>
              <w:t>PSU(4)</w:t>
            </w:r>
          </w:p>
        </w:tc>
        <w:tc>
          <w:tcPr>
            <w:tcW w:w="78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2/22/2024</w:t>
            </w:r>
          </w:p>
        </w:tc>
        <w:tc>
          <w:tcPr>
            <w:tcW w:w="12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c>
          <w:tcPr>
            <w:tcW w:w="360" w:type="dxa"/>
            <w:vAlign w:val="bottom"/>
            <w:shd w:val="clear" w:color="auto" w:fill="EBEBEC"/>
          </w:tcPr>
          <w:p>
            <w:pPr>
              <w:spacing w:after="0"/>
              <w:rPr>
                <w:sz w:val="12"/>
                <w:szCs w:val="12"/>
                <w:color w:val="auto"/>
              </w:rPr>
            </w:pPr>
          </w:p>
        </w:tc>
        <w:tc>
          <w:tcPr>
            <w:tcW w:w="620" w:type="dxa"/>
            <w:vAlign w:val="bottom"/>
            <w:shd w:val="clear" w:color="auto" w:fill="EBEBEC"/>
          </w:tcPr>
          <w:p>
            <w:pPr>
              <w:spacing w:after="0"/>
              <w:rPr>
                <w:sz w:val="12"/>
                <w:szCs w:val="12"/>
                <w:color w:val="auto"/>
              </w:rPr>
            </w:pPr>
          </w:p>
        </w:tc>
        <w:tc>
          <w:tcPr>
            <w:tcW w:w="40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9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3</w:t>
            </w:r>
          </w:p>
        </w:tc>
        <w:tc>
          <w:tcPr>
            <w:tcW w:w="1400" w:type="dxa"/>
            <w:vAlign w:val="bottom"/>
            <w:shd w:val="clear" w:color="auto" w:fill="EBEBEC"/>
          </w:tcPr>
          <w:p>
            <w:pPr>
              <w:jc w:val="right"/>
              <w:ind w:right="323"/>
              <w:spacing w:after="0"/>
              <w:rPr>
                <w:sz w:val="20"/>
                <w:szCs w:val="20"/>
                <w:color w:val="auto"/>
              </w:rPr>
            </w:pPr>
            <w:r>
              <w:rPr>
                <w:rFonts w:ascii="Arial" w:cs="Arial" w:eastAsia="Arial" w:hAnsi="Arial"/>
                <w:sz w:val="12"/>
                <w:szCs w:val="12"/>
                <w:color w:val="auto"/>
              </w:rPr>
              <w:t>28,458</w:t>
            </w:r>
          </w:p>
        </w:tc>
        <w:tc>
          <w:tcPr>
            <w:tcW w:w="880" w:type="dxa"/>
            <w:vAlign w:val="bottom"/>
            <w:shd w:val="clear" w:color="auto" w:fill="EBEBEC"/>
          </w:tcPr>
          <w:p>
            <w:pPr>
              <w:jc w:val="right"/>
              <w:ind w:right="63"/>
              <w:spacing w:after="0"/>
              <w:rPr>
                <w:sz w:val="20"/>
                <w:szCs w:val="20"/>
                <w:color w:val="auto"/>
              </w:rPr>
            </w:pPr>
            <w:r>
              <w:rPr>
                <w:rFonts w:ascii="Arial" w:cs="Arial" w:eastAsia="Arial" w:hAnsi="Arial"/>
                <w:sz w:val="12"/>
                <w:szCs w:val="12"/>
                <w:color w:val="auto"/>
              </w:rPr>
              <w:t>56,916</w:t>
            </w:r>
          </w:p>
        </w:tc>
        <w:tc>
          <w:tcPr>
            <w:tcW w:w="100" w:type="dxa"/>
            <w:vAlign w:val="bottom"/>
            <w:shd w:val="clear" w:color="auto" w:fill="EBEBEC"/>
          </w:tcPr>
          <w:p>
            <w:pPr>
              <w:spacing w:after="0"/>
              <w:rPr>
                <w:sz w:val="12"/>
                <w:szCs w:val="12"/>
                <w:color w:val="auto"/>
              </w:rPr>
            </w:pPr>
          </w:p>
        </w:tc>
        <w:tc>
          <w:tcPr>
            <w:tcW w:w="1020" w:type="dxa"/>
            <w:vAlign w:val="bottom"/>
            <w:shd w:val="clear" w:color="auto" w:fill="EBEBEC"/>
          </w:tcPr>
          <w:p>
            <w:pPr>
              <w:spacing w:after="0"/>
              <w:rPr>
                <w:sz w:val="12"/>
                <w:szCs w:val="12"/>
                <w:color w:val="auto"/>
              </w:rPr>
            </w:pPr>
          </w:p>
        </w:tc>
        <w:tc>
          <w:tcPr>
            <w:tcW w:w="240" w:type="dxa"/>
            <w:vAlign w:val="bottom"/>
            <w:gridSpan w:val="2"/>
            <w:shd w:val="clear" w:color="auto" w:fill="EBEBEC"/>
          </w:tcPr>
          <w:p>
            <w:pPr>
              <w:jc w:val="right"/>
              <w:ind w:right="60"/>
              <w:spacing w:after="0"/>
              <w:rPr>
                <w:sz w:val="20"/>
                <w:szCs w:val="20"/>
                <w:color w:val="auto"/>
              </w:rPr>
            </w:pPr>
            <w:r>
              <w:rPr>
                <w:rFonts w:ascii="Arial" w:cs="Arial" w:eastAsia="Arial" w:hAnsi="Arial"/>
                <w:sz w:val="12"/>
                <w:szCs w:val="12"/>
                <w:color w:val="auto"/>
              </w:rPr>
              <w:t>$</w:t>
            </w:r>
          </w:p>
        </w:tc>
        <w:tc>
          <w:tcPr>
            <w:tcW w:w="98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1,687,559</w:t>
            </w:r>
          </w:p>
        </w:tc>
      </w:tr>
    </w:tbl>
    <w:p>
      <w:pPr>
        <w:spacing w:after="0" w:line="247" w:lineRule="exact"/>
        <w:rPr>
          <w:sz w:val="20"/>
          <w:szCs w:val="20"/>
          <w:color w:val="auto"/>
        </w:rPr>
      </w:pPr>
    </w:p>
    <w:p>
      <w:pPr>
        <w:ind w:left="380" w:right="520" w:hanging="372"/>
        <w:spacing w:after="0" w:line="285" w:lineRule="auto"/>
        <w:tabs>
          <w:tab w:leader="none" w:pos="380" w:val="left"/>
        </w:tabs>
        <w:numPr>
          <w:ilvl w:val="0"/>
          <w:numId w:val="31"/>
        </w:numPr>
        <w:rPr>
          <w:rFonts w:ascii="Arial" w:cs="Arial" w:eastAsia="Arial" w:hAnsi="Arial"/>
          <w:sz w:val="12"/>
          <w:szCs w:val="12"/>
          <w:color w:val="auto"/>
        </w:rPr>
      </w:pPr>
      <w:r>
        <w:rPr>
          <w:rFonts w:ascii="Arial" w:cs="Arial" w:eastAsia="Arial" w:hAnsi="Arial"/>
          <w:sz w:val="14"/>
          <w:szCs w:val="14"/>
          <w:color w:val="auto"/>
        </w:rPr>
        <w:t>The “Threshold” amounts are shown at 0.625% of target, calculated based on threshold payout of the lowest weighted performance metric under the award. Actual payments could have ranged from 0% to 200%.</w:t>
      </w:r>
    </w:p>
    <w:p>
      <w:pPr>
        <w:spacing w:after="0" w:line="297" w:lineRule="exact"/>
        <w:rPr>
          <w:sz w:val="20"/>
          <w:szCs w:val="20"/>
          <w:color w:val="auto"/>
        </w:rPr>
      </w:pPr>
    </w:p>
    <w:p>
      <w:pPr>
        <w:ind w:left="718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4" w:name="page55"/>
    <w:bookmarkEnd w:id="54"/>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74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258" w:lineRule="exact"/>
        <w:rPr>
          <w:sz w:val="20"/>
          <w:szCs w:val="20"/>
          <w:color w:val="auto"/>
        </w:rPr>
      </w:pPr>
    </w:p>
    <w:p>
      <w:pPr>
        <w:ind w:left="380" w:right="80" w:hanging="372"/>
        <w:spacing w:after="0" w:line="285" w:lineRule="auto"/>
        <w:tabs>
          <w:tab w:leader="none" w:pos="380" w:val="left"/>
        </w:tabs>
        <w:numPr>
          <w:ilvl w:val="0"/>
          <w:numId w:val="32"/>
        </w:numPr>
        <w:rPr>
          <w:rFonts w:ascii="Arial" w:cs="Arial" w:eastAsia="Arial" w:hAnsi="Arial"/>
          <w:sz w:val="12"/>
          <w:szCs w:val="12"/>
          <w:color w:val="auto"/>
        </w:rPr>
      </w:pPr>
      <w:r>
        <w:rPr>
          <w:rFonts w:ascii="Arial" w:cs="Arial" w:eastAsia="Arial" w:hAnsi="Arial"/>
          <w:sz w:val="14"/>
          <w:szCs w:val="14"/>
          <w:color w:val="auto"/>
        </w:rPr>
        <w:t>The “Threshold” amounts are shown at 0.01% of target, calculated based on the lowest possible nonzero payout under the award. Actual payments can range from 0% to 200%.</w:t>
      </w:r>
    </w:p>
    <w:p>
      <w:pPr>
        <w:spacing w:after="0" w:line="49" w:lineRule="exact"/>
        <w:rPr>
          <w:rFonts w:ascii="Arial" w:cs="Arial" w:eastAsia="Arial" w:hAnsi="Arial"/>
          <w:sz w:val="12"/>
          <w:szCs w:val="12"/>
          <w:color w:val="auto"/>
        </w:rPr>
      </w:pPr>
    </w:p>
    <w:p>
      <w:pPr>
        <w:ind w:left="380" w:hanging="372"/>
        <w:spacing w:after="0"/>
        <w:tabs>
          <w:tab w:leader="none" w:pos="380" w:val="left"/>
        </w:tabs>
        <w:numPr>
          <w:ilvl w:val="0"/>
          <w:numId w:val="32"/>
        </w:numPr>
        <w:rPr>
          <w:rFonts w:ascii="Arial" w:cs="Arial" w:eastAsia="Arial" w:hAnsi="Arial"/>
          <w:sz w:val="12"/>
          <w:szCs w:val="12"/>
          <w:color w:val="auto"/>
        </w:rPr>
      </w:pPr>
      <w:r>
        <w:rPr>
          <w:rFonts w:ascii="Arial" w:cs="Arial" w:eastAsia="Arial" w:hAnsi="Arial"/>
          <w:sz w:val="14"/>
          <w:szCs w:val="14"/>
          <w:color w:val="auto"/>
        </w:rPr>
        <w:t>The amounts shown represent the estimated grant date fair value of the units granted as computed in accordance with FASB ASC Topic 718, as more fully described in</w:t>
      </w:r>
    </w:p>
    <w:p>
      <w:pPr>
        <w:spacing w:after="0" w:line="15" w:lineRule="exact"/>
        <w:rPr>
          <w:sz w:val="20"/>
          <w:szCs w:val="20"/>
          <w:color w:val="auto"/>
        </w:rPr>
      </w:pPr>
    </w:p>
    <w:p>
      <w:pPr>
        <w:ind w:left="380" w:right="100"/>
        <w:spacing w:after="0" w:line="264" w:lineRule="auto"/>
        <w:rPr>
          <w:sz w:val="20"/>
          <w:szCs w:val="20"/>
          <w:color w:val="auto"/>
        </w:rPr>
      </w:pPr>
      <w:r>
        <w:rPr>
          <w:rFonts w:ascii="Arial" w:cs="Arial" w:eastAsia="Arial" w:hAnsi="Arial"/>
          <w:sz w:val="14"/>
          <w:szCs w:val="14"/>
          <w:color w:val="auto"/>
        </w:rPr>
        <w:t>Note 10 Stock-Based Compensation to CRC’s Consolidated Financial Statements in the Form 10-K for the year ended December 31, 2024. The units vest one-third each on February 22, 2025, February 22, 2026 and February 22, 2027.</w:t>
      </w:r>
    </w:p>
    <w:p>
      <w:pPr>
        <w:spacing w:after="0" w:line="64" w:lineRule="exact"/>
        <w:rPr>
          <w:sz w:val="20"/>
          <w:szCs w:val="20"/>
          <w:color w:val="auto"/>
        </w:rPr>
      </w:pPr>
    </w:p>
    <w:p>
      <w:pPr>
        <w:ind w:left="380" w:hanging="372"/>
        <w:spacing w:after="0" w:line="247" w:lineRule="auto"/>
        <w:tabs>
          <w:tab w:leader="none" w:pos="380" w:val="left"/>
        </w:tabs>
        <w:numPr>
          <w:ilvl w:val="0"/>
          <w:numId w:val="33"/>
        </w:numPr>
        <w:rPr>
          <w:rFonts w:ascii="Arial" w:cs="Arial" w:eastAsia="Arial" w:hAnsi="Arial"/>
          <w:sz w:val="12"/>
          <w:szCs w:val="12"/>
          <w:color w:val="auto"/>
        </w:rPr>
      </w:pPr>
      <w:r>
        <w:rPr>
          <w:rFonts w:ascii="Arial" w:cs="Arial" w:eastAsia="Arial" w:hAnsi="Arial"/>
          <w:sz w:val="14"/>
          <w:szCs w:val="14"/>
          <w:color w:val="auto"/>
        </w:rPr>
        <w:t>The amounts shown represent the estimated grant date fair value of the units granted as computed in accordance with FASB ASC Topic 718, as more fully described in Note 10 Stock-Based Compensation to CRC’s Consolidated Financial Statements in the Form 10-K for the year ended December 31, 2024. The maximum payouts under the awards were: Leon - $6,024,844, Molina - $2,702,846, Bys - $2,655,626, Gould - $2,906,048, Preston - $2,953,371. Payouts under the PSU award can range from 0% to 200% of target number of units based on our cumulative TSR and TSR relative to the companies in the XOP Index during the three-year performance period from January 1, 2024 through December 31, 2026. The threshold amount is shown at 0.01% of target, calculated based on threshold payout under the performance metric for the award. Linear interpolation applies between the thresholds in the payout matrix shown in the “Compensation Discussion and Analysis” section above. The PSU awards vest on February 22, 2027. Vested shares are delivered immediately following certification of the performance result by the Compensation Committee following the vesting date.</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Narrative Disclosure to Summary Compensation Table and Grants of Plan-Based Awards Table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4"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We have entered into an employment agreement with each of our NEOs. For more information, see the “Employment Agreements” section in the “Compensation Discussion and Analysis” section above.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Incentives</w:t>
      </w:r>
    </w:p>
    <w:p>
      <w:pPr>
        <w:spacing w:after="0" w:line="1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During 2024, our NEOs received long-term incentive grants allocated between RSUs and PSUs. While the RSUs and PSUs generally vest (and performance under the PSUs is measured) over a three-year period and payment is made following vesting, please see the description of each NEO’s employment agreement in the “Employment Agreements” section of the “Compensation Discussion and Analysis” section above and the “Potential Payments upon Termination or Change in Control” section below for a description of certain circumstances pursuant to which vesting and payout can occur earlier.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Incentives</w:t>
      </w:r>
    </w:p>
    <w:p>
      <w:pPr>
        <w:spacing w:after="0" w:line="14"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Our NEOs were eligible to participate in the AIP for the 2024 calendar year. Payouts under the AIP are based on a combination of company performance against goals for pre-established performance metrics, and our Compensation Committee’s assessment of each NEO’s individual performance, as described in the “Compensation Discussion and Analysis” section above.</w:t>
      </w:r>
    </w:p>
    <w:p>
      <w:pPr>
        <w:spacing w:after="0" w:line="200" w:lineRule="exact"/>
        <w:rPr>
          <w:sz w:val="20"/>
          <w:szCs w:val="20"/>
          <w:color w:val="auto"/>
        </w:rPr>
      </w:pPr>
    </w:p>
    <w:p>
      <w:pPr>
        <w:spacing w:after="0" w:line="24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5" w:name="page56"/>
    <w:bookmarkEnd w:id="55"/>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74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Outstanding Equity Awards at December 31, 2024</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equity awards for our NEOs as of December 31, 2024.</w:t>
      </w:r>
    </w:p>
    <w:p>
      <w:pPr>
        <w:spacing w:after="0" w:line="100" w:lineRule="exact"/>
        <w:rPr>
          <w:sz w:val="20"/>
          <w:szCs w:val="20"/>
          <w:color w:val="auto"/>
        </w:rPr>
      </w:pPr>
    </w:p>
    <w:tbl>
      <w:tblPr>
        <w:tblLayout w:type="fixed"/>
        <w:tblInd w:w="80" w:type="dxa"/>
        <w:tblCellMar>
          <w:top w:w="0" w:type="dxa"/>
          <w:left w:w="0" w:type="dxa"/>
          <w:bottom w:w="0" w:type="dxa"/>
          <w:right w:w="0" w:type="dxa"/>
        </w:tblCellMar>
      </w:tblPr>
      <w:tr>
        <w:trPr>
          <w:trHeight w:val="153"/>
        </w:trPr>
        <w:tc>
          <w:tcPr>
            <w:tcW w:w="3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Borders>
              <w:bottom w:val="single" w:sz="8" w:color="0075C9"/>
            </w:tcBorders>
          </w:tcPr>
          <w:p>
            <w:pPr>
              <w:spacing w:after="0"/>
              <w:rPr>
                <w:sz w:val="13"/>
                <w:szCs w:val="13"/>
                <w:color w:val="auto"/>
              </w:rPr>
            </w:pPr>
          </w:p>
        </w:tc>
        <w:tc>
          <w:tcPr>
            <w:tcW w:w="660" w:type="dxa"/>
            <w:vAlign w:val="bottom"/>
            <w:tcBorders>
              <w:bottom w:val="single" w:sz="8" w:color="0075C9"/>
            </w:tcBorders>
          </w:tcPr>
          <w:p>
            <w:pPr>
              <w:spacing w:after="0"/>
              <w:rPr>
                <w:sz w:val="13"/>
                <w:szCs w:val="13"/>
                <w:color w:val="auto"/>
              </w:rPr>
            </w:pPr>
          </w:p>
        </w:tc>
        <w:tc>
          <w:tcPr>
            <w:tcW w:w="860" w:type="dxa"/>
            <w:vAlign w:val="bottom"/>
            <w:tcBorders>
              <w:bottom w:val="single" w:sz="8" w:color="0075C9"/>
            </w:tcBorders>
          </w:tcPr>
          <w:p>
            <w:pPr>
              <w:spacing w:after="0"/>
              <w:rPr>
                <w:sz w:val="13"/>
                <w:szCs w:val="13"/>
                <w:color w:val="auto"/>
              </w:rPr>
            </w:pPr>
          </w:p>
        </w:tc>
        <w:tc>
          <w:tcPr>
            <w:tcW w:w="1460" w:type="dxa"/>
            <w:vAlign w:val="bottom"/>
            <w:tcBorders>
              <w:bottom w:val="single" w:sz="8" w:color="0075C9"/>
            </w:tcBorders>
          </w:tcPr>
          <w:p>
            <w:pPr>
              <w:jc w:val="right"/>
              <w:ind w:right="17"/>
              <w:spacing w:after="0"/>
              <w:rPr>
                <w:sz w:val="20"/>
                <w:szCs w:val="20"/>
                <w:color w:val="auto"/>
              </w:rPr>
            </w:pPr>
            <w:r>
              <w:rPr>
                <w:rFonts w:ascii="Arial" w:cs="Arial" w:eastAsia="Arial" w:hAnsi="Arial"/>
                <w:sz w:val="13"/>
                <w:szCs w:val="13"/>
                <w:b w:val="1"/>
                <w:bCs w:val="1"/>
                <w:color w:val="0075C9"/>
              </w:rPr>
              <w:t>Stock Awards</w:t>
            </w:r>
          </w:p>
        </w:tc>
        <w:tc>
          <w:tcPr>
            <w:tcW w:w="1120" w:type="dxa"/>
            <w:vAlign w:val="bottom"/>
            <w:tcBorders>
              <w:bottom w:val="single" w:sz="8" w:color="0075C9"/>
            </w:tcBorders>
          </w:tcPr>
          <w:p>
            <w:pPr>
              <w:spacing w:after="0"/>
              <w:rPr>
                <w:sz w:val="13"/>
                <w:szCs w:val="13"/>
                <w:color w:val="auto"/>
              </w:rPr>
            </w:pPr>
          </w:p>
        </w:tc>
        <w:tc>
          <w:tcPr>
            <w:tcW w:w="580" w:type="dxa"/>
            <w:vAlign w:val="bottom"/>
            <w:tcBorders>
              <w:bottom w:val="single" w:sz="8" w:color="0075C9"/>
            </w:tcBorders>
          </w:tcPr>
          <w:p>
            <w:pPr>
              <w:spacing w:after="0"/>
              <w:rPr>
                <w:sz w:val="13"/>
                <w:szCs w:val="13"/>
                <w:color w:val="auto"/>
              </w:rPr>
            </w:pPr>
          </w:p>
        </w:tc>
        <w:tc>
          <w:tcPr>
            <w:tcW w:w="780" w:type="dxa"/>
            <w:vAlign w:val="bottom"/>
            <w:tcBorders>
              <w:bottom w:val="single" w:sz="8" w:color="0075C9"/>
            </w:tcBorders>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3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60" w:type="dxa"/>
            <w:vAlign w:val="bottom"/>
            <w:gridSpan w:val="2"/>
          </w:tcPr>
          <w:p>
            <w:pPr>
              <w:jc w:val="center"/>
              <w:ind w:right="37"/>
              <w:spacing w:after="0" w:line="111" w:lineRule="exact"/>
              <w:rPr>
                <w:sz w:val="20"/>
                <w:szCs w:val="20"/>
                <w:color w:val="auto"/>
              </w:rPr>
            </w:pPr>
            <w:r>
              <w:rPr>
                <w:rFonts w:ascii="Arial" w:cs="Arial" w:eastAsia="Arial" w:hAnsi="Arial"/>
                <w:sz w:val="12"/>
                <w:szCs w:val="12"/>
                <w:b w:val="1"/>
                <w:bCs w:val="1"/>
                <w:color w:val="0075C9"/>
              </w:rPr>
              <w:t>Equity</w:t>
            </w: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60" w:type="dxa"/>
            <w:vAlign w:val="bottom"/>
            <w:gridSpan w:val="2"/>
          </w:tcPr>
          <w:p>
            <w:pPr>
              <w:jc w:val="center"/>
              <w:ind w:right="37"/>
              <w:spacing w:after="0" w:line="135" w:lineRule="exact"/>
              <w:rPr>
                <w:sz w:val="20"/>
                <w:szCs w:val="20"/>
                <w:color w:val="auto"/>
              </w:rPr>
            </w:pPr>
            <w:r>
              <w:rPr>
                <w:rFonts w:ascii="Arial" w:cs="Arial" w:eastAsia="Arial" w:hAnsi="Arial"/>
                <w:sz w:val="13"/>
                <w:szCs w:val="13"/>
                <w:b w:val="1"/>
                <w:bCs w:val="1"/>
                <w:color w:val="0075C9"/>
                <w:w w:val="95"/>
              </w:rPr>
              <w:t>Incentive</w:t>
            </w: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120" w:type="dxa"/>
            <w:vAlign w:val="bottom"/>
            <w:vMerge w:val="restart"/>
          </w:tcPr>
          <w:p>
            <w:pPr>
              <w:jc w:val="center"/>
              <w:ind w:right="177"/>
              <w:spacing w:after="0"/>
              <w:rPr>
                <w:sz w:val="20"/>
                <w:szCs w:val="20"/>
                <w:color w:val="auto"/>
              </w:rPr>
            </w:pPr>
            <w:r>
              <w:rPr>
                <w:rFonts w:ascii="Arial" w:cs="Arial" w:eastAsia="Arial" w:hAnsi="Arial"/>
                <w:sz w:val="13"/>
                <w:szCs w:val="13"/>
                <w:b w:val="1"/>
                <w:bCs w:val="1"/>
                <w:color w:val="0075C9"/>
              </w:rPr>
              <w:t>Equity</w:t>
            </w:r>
          </w:p>
        </w:tc>
        <w:tc>
          <w:tcPr>
            <w:tcW w:w="1360" w:type="dxa"/>
            <w:vAlign w:val="bottom"/>
            <w:gridSpan w:val="2"/>
          </w:tcPr>
          <w:p>
            <w:pPr>
              <w:jc w:val="center"/>
              <w:ind w:right="37"/>
              <w:spacing w:after="0" w:line="135" w:lineRule="exact"/>
              <w:rPr>
                <w:sz w:val="20"/>
                <w:szCs w:val="20"/>
                <w:color w:val="auto"/>
              </w:rPr>
            </w:pPr>
            <w:r>
              <w:rPr>
                <w:rFonts w:ascii="Arial" w:cs="Arial" w:eastAsia="Arial" w:hAnsi="Arial"/>
                <w:sz w:val="13"/>
                <w:szCs w:val="13"/>
                <w:b w:val="1"/>
                <w:bCs w:val="1"/>
                <w:color w:val="0075C9"/>
                <w:w w:val="94"/>
              </w:rPr>
              <w:t>Plan</w:t>
            </w: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360" w:type="dxa"/>
            <w:vAlign w:val="bottom"/>
            <w:gridSpan w:val="2"/>
          </w:tcPr>
          <w:p>
            <w:pPr>
              <w:jc w:val="center"/>
              <w:ind w:right="37"/>
              <w:spacing w:after="0" w:line="135" w:lineRule="exact"/>
              <w:rPr>
                <w:sz w:val="20"/>
                <w:szCs w:val="20"/>
                <w:color w:val="auto"/>
              </w:rPr>
            </w:pPr>
            <w:r>
              <w:rPr>
                <w:rFonts w:ascii="Arial" w:cs="Arial" w:eastAsia="Arial" w:hAnsi="Arial"/>
                <w:sz w:val="13"/>
                <w:szCs w:val="13"/>
                <w:b w:val="1"/>
                <w:bCs w:val="1"/>
                <w:color w:val="0075C9"/>
                <w:w w:val="97"/>
              </w:rPr>
              <w:t>Awards:</w:t>
            </w: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0075C9"/>
                <w:w w:val="97"/>
              </w:rPr>
              <w:t>Number</w:t>
            </w:r>
          </w:p>
        </w:tc>
        <w:tc>
          <w:tcPr>
            <w:tcW w:w="8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120" w:type="dxa"/>
            <w:vAlign w:val="bottom"/>
          </w:tcPr>
          <w:p>
            <w:pPr>
              <w:jc w:val="center"/>
              <w:ind w:right="177"/>
              <w:spacing w:after="0" w:line="135" w:lineRule="exact"/>
              <w:rPr>
                <w:sz w:val="20"/>
                <w:szCs w:val="20"/>
                <w:color w:val="auto"/>
              </w:rPr>
            </w:pPr>
            <w:r>
              <w:rPr>
                <w:rFonts w:ascii="Arial" w:cs="Arial" w:eastAsia="Arial" w:hAnsi="Arial"/>
                <w:sz w:val="13"/>
                <w:szCs w:val="13"/>
                <w:b w:val="1"/>
                <w:bCs w:val="1"/>
                <w:color w:val="0075C9"/>
                <w:w w:val="99"/>
              </w:rPr>
              <w:t>Incentive</w:t>
            </w:r>
          </w:p>
        </w:tc>
        <w:tc>
          <w:tcPr>
            <w:tcW w:w="1360" w:type="dxa"/>
            <w:vAlign w:val="bottom"/>
            <w:gridSpan w:val="2"/>
          </w:tcPr>
          <w:p>
            <w:pPr>
              <w:jc w:val="center"/>
              <w:ind w:right="57"/>
              <w:spacing w:after="0" w:line="135" w:lineRule="exact"/>
              <w:rPr>
                <w:sz w:val="20"/>
                <w:szCs w:val="20"/>
                <w:color w:val="auto"/>
              </w:rPr>
            </w:pPr>
            <w:r>
              <w:rPr>
                <w:rFonts w:ascii="Arial" w:cs="Arial" w:eastAsia="Arial" w:hAnsi="Arial"/>
                <w:sz w:val="13"/>
                <w:szCs w:val="13"/>
                <w:b w:val="1"/>
                <w:bCs w:val="1"/>
                <w:color w:val="0075C9"/>
                <w:w w:val="95"/>
              </w:rPr>
              <w:t>Market or</w:t>
            </w: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120" w:type="dxa"/>
            <w:vAlign w:val="bottom"/>
          </w:tcPr>
          <w:p>
            <w:pPr>
              <w:jc w:val="center"/>
              <w:ind w:right="177"/>
              <w:spacing w:after="0" w:line="135" w:lineRule="exact"/>
              <w:rPr>
                <w:sz w:val="20"/>
                <w:szCs w:val="20"/>
                <w:color w:val="auto"/>
              </w:rPr>
            </w:pPr>
            <w:r>
              <w:rPr>
                <w:rFonts w:ascii="Arial" w:cs="Arial" w:eastAsia="Arial" w:hAnsi="Arial"/>
                <w:sz w:val="13"/>
                <w:szCs w:val="13"/>
                <w:b w:val="1"/>
                <w:bCs w:val="1"/>
                <w:color w:val="0075C9"/>
              </w:rPr>
              <w:t>Plan</w:t>
            </w:r>
          </w:p>
        </w:tc>
        <w:tc>
          <w:tcPr>
            <w:tcW w:w="1360" w:type="dxa"/>
            <w:vAlign w:val="bottom"/>
            <w:gridSpan w:val="2"/>
          </w:tcPr>
          <w:p>
            <w:pPr>
              <w:jc w:val="center"/>
              <w:ind w:right="37"/>
              <w:spacing w:after="0" w:line="135" w:lineRule="exact"/>
              <w:rPr>
                <w:sz w:val="20"/>
                <w:szCs w:val="20"/>
                <w:color w:val="auto"/>
              </w:rPr>
            </w:pPr>
            <w:r>
              <w:rPr>
                <w:rFonts w:ascii="Arial" w:cs="Arial" w:eastAsia="Arial" w:hAnsi="Arial"/>
                <w:sz w:val="13"/>
                <w:szCs w:val="13"/>
                <w:b w:val="1"/>
                <w:bCs w:val="1"/>
                <w:color w:val="0075C9"/>
                <w:w w:val="96"/>
              </w:rPr>
              <w:t>Payout</w:t>
            </w: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0075C9"/>
                <w:w w:val="97"/>
              </w:rPr>
              <w:t>of</w:t>
            </w:r>
          </w:p>
        </w:tc>
        <w:tc>
          <w:tcPr>
            <w:tcW w:w="860" w:type="dxa"/>
            <w:vAlign w:val="bottom"/>
          </w:tcPr>
          <w:p>
            <w:pPr>
              <w:spacing w:after="0"/>
              <w:rPr>
                <w:sz w:val="11"/>
                <w:szCs w:val="11"/>
                <w:color w:val="auto"/>
              </w:rPr>
            </w:pPr>
          </w:p>
        </w:tc>
        <w:tc>
          <w:tcPr>
            <w:tcW w:w="1460" w:type="dxa"/>
            <w:vAlign w:val="bottom"/>
            <w:vMerge w:val="restart"/>
          </w:tcPr>
          <w:p>
            <w:pPr>
              <w:jc w:val="center"/>
              <w:ind w:right="597"/>
              <w:spacing w:after="0"/>
              <w:rPr>
                <w:sz w:val="20"/>
                <w:szCs w:val="20"/>
                <w:color w:val="auto"/>
              </w:rPr>
            </w:pPr>
            <w:r>
              <w:rPr>
                <w:rFonts w:ascii="Arial" w:cs="Arial" w:eastAsia="Arial" w:hAnsi="Arial"/>
                <w:sz w:val="13"/>
                <w:szCs w:val="13"/>
                <w:b w:val="1"/>
                <w:bCs w:val="1"/>
                <w:color w:val="0075C9"/>
                <w:w w:val="95"/>
              </w:rPr>
              <w:t>Market</w:t>
            </w:r>
          </w:p>
        </w:tc>
        <w:tc>
          <w:tcPr>
            <w:tcW w:w="1120" w:type="dxa"/>
            <w:vAlign w:val="bottom"/>
          </w:tcPr>
          <w:p>
            <w:pPr>
              <w:jc w:val="center"/>
              <w:ind w:right="177"/>
              <w:spacing w:after="0" w:line="135" w:lineRule="exact"/>
              <w:rPr>
                <w:sz w:val="20"/>
                <w:szCs w:val="20"/>
                <w:color w:val="auto"/>
              </w:rPr>
            </w:pPr>
            <w:r>
              <w:rPr>
                <w:rFonts w:ascii="Arial" w:cs="Arial" w:eastAsia="Arial" w:hAnsi="Arial"/>
                <w:sz w:val="13"/>
                <w:szCs w:val="13"/>
                <w:b w:val="1"/>
                <w:bCs w:val="1"/>
                <w:color w:val="0075C9"/>
                <w:w w:val="93"/>
              </w:rPr>
              <w:t>Awards:</w:t>
            </w:r>
          </w:p>
        </w:tc>
        <w:tc>
          <w:tcPr>
            <w:tcW w:w="1360" w:type="dxa"/>
            <w:vAlign w:val="bottom"/>
            <w:gridSpan w:val="2"/>
          </w:tcPr>
          <w:p>
            <w:pPr>
              <w:jc w:val="center"/>
              <w:ind w:right="57"/>
              <w:spacing w:after="0" w:line="135" w:lineRule="exact"/>
              <w:rPr>
                <w:sz w:val="20"/>
                <w:szCs w:val="20"/>
                <w:color w:val="auto"/>
              </w:rPr>
            </w:pPr>
            <w:r>
              <w:rPr>
                <w:rFonts w:ascii="Arial" w:cs="Arial" w:eastAsia="Arial" w:hAnsi="Arial"/>
                <w:sz w:val="13"/>
                <w:szCs w:val="13"/>
                <w:b w:val="1"/>
                <w:bCs w:val="1"/>
                <w:color w:val="0075C9"/>
                <w:w w:val="94"/>
              </w:rPr>
              <w:t>Value of</w:t>
            </w: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0075C9"/>
                <w:w w:val="96"/>
              </w:rPr>
              <w:t>Shares</w:t>
            </w:r>
          </w:p>
        </w:tc>
        <w:tc>
          <w:tcPr>
            <w:tcW w:w="86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120" w:type="dxa"/>
            <w:vAlign w:val="bottom"/>
          </w:tcPr>
          <w:p>
            <w:pPr>
              <w:jc w:val="center"/>
              <w:ind w:right="177"/>
              <w:spacing w:after="0" w:line="135" w:lineRule="exact"/>
              <w:rPr>
                <w:sz w:val="20"/>
                <w:szCs w:val="20"/>
                <w:color w:val="auto"/>
              </w:rPr>
            </w:pPr>
            <w:r>
              <w:rPr>
                <w:rFonts w:ascii="Arial" w:cs="Arial" w:eastAsia="Arial" w:hAnsi="Arial"/>
                <w:sz w:val="13"/>
                <w:szCs w:val="13"/>
                <w:b w:val="1"/>
                <w:bCs w:val="1"/>
                <w:color w:val="0075C9"/>
                <w:w w:val="98"/>
              </w:rPr>
              <w:t>Number of</w:t>
            </w:r>
          </w:p>
        </w:tc>
        <w:tc>
          <w:tcPr>
            <w:tcW w:w="1360" w:type="dxa"/>
            <w:vAlign w:val="bottom"/>
            <w:gridSpan w:val="2"/>
          </w:tcPr>
          <w:p>
            <w:pPr>
              <w:jc w:val="center"/>
              <w:ind w:right="37"/>
              <w:spacing w:after="0" w:line="135" w:lineRule="exact"/>
              <w:rPr>
                <w:sz w:val="20"/>
                <w:szCs w:val="20"/>
                <w:color w:val="auto"/>
              </w:rPr>
            </w:pPr>
            <w:r>
              <w:rPr>
                <w:rFonts w:ascii="Arial" w:cs="Arial" w:eastAsia="Arial" w:hAnsi="Arial"/>
                <w:sz w:val="13"/>
                <w:szCs w:val="13"/>
                <w:b w:val="1"/>
                <w:bCs w:val="1"/>
                <w:color w:val="0075C9"/>
                <w:w w:val="96"/>
              </w:rPr>
              <w:t>Unearned</w:t>
            </w: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0075C9"/>
                <w:w w:val="97"/>
              </w:rPr>
              <w:t>or Units</w:t>
            </w:r>
          </w:p>
        </w:tc>
        <w:tc>
          <w:tcPr>
            <w:tcW w:w="860" w:type="dxa"/>
            <w:vAlign w:val="bottom"/>
          </w:tcPr>
          <w:p>
            <w:pPr>
              <w:spacing w:after="0"/>
              <w:rPr>
                <w:sz w:val="11"/>
                <w:szCs w:val="11"/>
                <w:color w:val="auto"/>
              </w:rPr>
            </w:pPr>
          </w:p>
        </w:tc>
        <w:tc>
          <w:tcPr>
            <w:tcW w:w="1460" w:type="dxa"/>
            <w:vAlign w:val="bottom"/>
          </w:tcPr>
          <w:p>
            <w:pPr>
              <w:jc w:val="center"/>
              <w:ind w:right="597"/>
              <w:spacing w:after="0" w:line="135" w:lineRule="exact"/>
              <w:rPr>
                <w:sz w:val="20"/>
                <w:szCs w:val="20"/>
                <w:color w:val="auto"/>
              </w:rPr>
            </w:pPr>
            <w:r>
              <w:rPr>
                <w:rFonts w:ascii="Arial" w:cs="Arial" w:eastAsia="Arial" w:hAnsi="Arial"/>
                <w:sz w:val="13"/>
                <w:szCs w:val="13"/>
                <w:b w:val="1"/>
                <w:bCs w:val="1"/>
                <w:color w:val="0075C9"/>
                <w:w w:val="94"/>
              </w:rPr>
              <w:t>Value of</w:t>
            </w:r>
          </w:p>
        </w:tc>
        <w:tc>
          <w:tcPr>
            <w:tcW w:w="112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0075C9"/>
                <w:w w:val="96"/>
              </w:rPr>
              <w:t>Unearned</w:t>
            </w:r>
          </w:p>
        </w:tc>
        <w:tc>
          <w:tcPr>
            <w:tcW w:w="1360" w:type="dxa"/>
            <w:vAlign w:val="bottom"/>
            <w:gridSpan w:val="2"/>
          </w:tcPr>
          <w:p>
            <w:pPr>
              <w:jc w:val="center"/>
              <w:ind w:right="37"/>
              <w:spacing w:after="0" w:line="135" w:lineRule="exact"/>
              <w:rPr>
                <w:sz w:val="20"/>
                <w:szCs w:val="20"/>
                <w:color w:val="auto"/>
              </w:rPr>
            </w:pPr>
            <w:r>
              <w:rPr>
                <w:rFonts w:ascii="Arial" w:cs="Arial" w:eastAsia="Arial" w:hAnsi="Arial"/>
                <w:sz w:val="13"/>
                <w:szCs w:val="13"/>
                <w:b w:val="1"/>
                <w:bCs w:val="1"/>
                <w:color w:val="0075C9"/>
                <w:w w:val="97"/>
              </w:rPr>
              <w:t>Shares,</w:t>
            </w: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0075C9"/>
                <w:w w:val="97"/>
              </w:rPr>
              <w:t>of Stock</w:t>
            </w:r>
          </w:p>
        </w:tc>
        <w:tc>
          <w:tcPr>
            <w:tcW w:w="860" w:type="dxa"/>
            <w:vAlign w:val="bottom"/>
          </w:tcPr>
          <w:p>
            <w:pPr>
              <w:spacing w:after="0"/>
              <w:rPr>
                <w:sz w:val="11"/>
                <w:szCs w:val="11"/>
                <w:color w:val="auto"/>
              </w:rPr>
            </w:pPr>
          </w:p>
        </w:tc>
        <w:tc>
          <w:tcPr>
            <w:tcW w:w="1460" w:type="dxa"/>
            <w:vAlign w:val="bottom"/>
          </w:tcPr>
          <w:p>
            <w:pPr>
              <w:jc w:val="center"/>
              <w:ind w:right="617"/>
              <w:spacing w:after="0" w:line="135" w:lineRule="exact"/>
              <w:rPr>
                <w:sz w:val="20"/>
                <w:szCs w:val="20"/>
                <w:color w:val="auto"/>
              </w:rPr>
            </w:pPr>
            <w:r>
              <w:rPr>
                <w:rFonts w:ascii="Arial" w:cs="Arial" w:eastAsia="Arial" w:hAnsi="Arial"/>
                <w:sz w:val="13"/>
                <w:szCs w:val="13"/>
                <w:b w:val="1"/>
                <w:bCs w:val="1"/>
                <w:color w:val="0075C9"/>
                <w:w w:val="96"/>
              </w:rPr>
              <w:t>Shares or</w:t>
            </w:r>
          </w:p>
        </w:tc>
        <w:tc>
          <w:tcPr>
            <w:tcW w:w="1120" w:type="dxa"/>
            <w:vAlign w:val="bottom"/>
          </w:tcPr>
          <w:p>
            <w:pPr>
              <w:jc w:val="center"/>
              <w:ind w:right="177"/>
              <w:spacing w:after="0" w:line="135" w:lineRule="exact"/>
              <w:rPr>
                <w:sz w:val="20"/>
                <w:szCs w:val="20"/>
                <w:color w:val="auto"/>
              </w:rPr>
            </w:pPr>
            <w:r>
              <w:rPr>
                <w:rFonts w:ascii="Arial" w:cs="Arial" w:eastAsia="Arial" w:hAnsi="Arial"/>
                <w:sz w:val="13"/>
                <w:szCs w:val="13"/>
                <w:b w:val="1"/>
                <w:bCs w:val="1"/>
                <w:color w:val="0075C9"/>
                <w:w w:val="96"/>
              </w:rPr>
              <w:t>Shares, Units</w:t>
            </w:r>
          </w:p>
        </w:tc>
        <w:tc>
          <w:tcPr>
            <w:tcW w:w="1360" w:type="dxa"/>
            <w:vAlign w:val="bottom"/>
            <w:gridSpan w:val="2"/>
          </w:tcPr>
          <w:p>
            <w:pPr>
              <w:jc w:val="center"/>
              <w:ind w:right="57"/>
              <w:spacing w:after="0" w:line="135" w:lineRule="exact"/>
              <w:rPr>
                <w:sz w:val="20"/>
                <w:szCs w:val="20"/>
                <w:color w:val="auto"/>
              </w:rPr>
            </w:pPr>
            <w:r>
              <w:rPr>
                <w:rFonts w:ascii="Arial" w:cs="Arial" w:eastAsia="Arial" w:hAnsi="Arial"/>
                <w:sz w:val="13"/>
                <w:szCs w:val="13"/>
                <w:b w:val="1"/>
                <w:bCs w:val="1"/>
                <w:color w:val="0075C9"/>
                <w:w w:val="97"/>
              </w:rPr>
              <w:t>Units or</w:t>
            </w: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0075C9"/>
                <w:w w:val="94"/>
              </w:rPr>
              <w:t>That</w:t>
            </w:r>
          </w:p>
        </w:tc>
        <w:tc>
          <w:tcPr>
            <w:tcW w:w="860" w:type="dxa"/>
            <w:vAlign w:val="bottom"/>
          </w:tcPr>
          <w:p>
            <w:pPr>
              <w:spacing w:after="0"/>
              <w:rPr>
                <w:sz w:val="11"/>
                <w:szCs w:val="11"/>
                <w:color w:val="auto"/>
              </w:rPr>
            </w:pPr>
          </w:p>
        </w:tc>
        <w:tc>
          <w:tcPr>
            <w:tcW w:w="1460" w:type="dxa"/>
            <w:vAlign w:val="bottom"/>
          </w:tcPr>
          <w:p>
            <w:pPr>
              <w:jc w:val="center"/>
              <w:ind w:right="617"/>
              <w:spacing w:after="0" w:line="135" w:lineRule="exact"/>
              <w:rPr>
                <w:sz w:val="20"/>
                <w:szCs w:val="20"/>
                <w:color w:val="auto"/>
              </w:rPr>
            </w:pPr>
            <w:r>
              <w:rPr>
                <w:rFonts w:ascii="Arial" w:cs="Arial" w:eastAsia="Arial" w:hAnsi="Arial"/>
                <w:sz w:val="13"/>
                <w:szCs w:val="13"/>
                <w:b w:val="1"/>
                <w:bCs w:val="1"/>
                <w:color w:val="0075C9"/>
                <w:w w:val="97"/>
              </w:rPr>
              <w:t>Units That</w:t>
            </w:r>
          </w:p>
        </w:tc>
        <w:tc>
          <w:tcPr>
            <w:tcW w:w="1120" w:type="dxa"/>
            <w:vAlign w:val="bottom"/>
          </w:tcPr>
          <w:p>
            <w:pPr>
              <w:jc w:val="center"/>
              <w:ind w:right="177"/>
              <w:spacing w:after="0" w:line="135" w:lineRule="exact"/>
              <w:rPr>
                <w:sz w:val="20"/>
                <w:szCs w:val="20"/>
                <w:color w:val="auto"/>
              </w:rPr>
            </w:pPr>
            <w:r>
              <w:rPr>
                <w:rFonts w:ascii="Arial" w:cs="Arial" w:eastAsia="Arial" w:hAnsi="Arial"/>
                <w:sz w:val="13"/>
                <w:szCs w:val="13"/>
                <w:b w:val="1"/>
                <w:bCs w:val="1"/>
                <w:color w:val="0075C9"/>
                <w:w w:val="93"/>
              </w:rPr>
              <w:t>or Other</w:t>
            </w:r>
          </w:p>
        </w:tc>
        <w:tc>
          <w:tcPr>
            <w:tcW w:w="1360" w:type="dxa"/>
            <w:vAlign w:val="bottom"/>
            <w:gridSpan w:val="2"/>
          </w:tcPr>
          <w:p>
            <w:pPr>
              <w:jc w:val="center"/>
              <w:ind w:right="57"/>
              <w:spacing w:after="0" w:line="135" w:lineRule="exact"/>
              <w:rPr>
                <w:sz w:val="20"/>
                <w:szCs w:val="20"/>
                <w:color w:val="auto"/>
              </w:rPr>
            </w:pPr>
            <w:r>
              <w:rPr>
                <w:rFonts w:ascii="Arial" w:cs="Arial" w:eastAsia="Arial" w:hAnsi="Arial"/>
                <w:sz w:val="13"/>
                <w:szCs w:val="13"/>
                <w:b w:val="1"/>
                <w:bCs w:val="1"/>
                <w:color w:val="0075C9"/>
                <w:w w:val="96"/>
              </w:rPr>
              <w:t>Other Rights</w:t>
            </w:r>
          </w:p>
        </w:tc>
        <w:tc>
          <w:tcPr>
            <w:tcW w:w="0" w:type="dxa"/>
            <w:vAlign w:val="bottom"/>
          </w:tcPr>
          <w:p>
            <w:pPr>
              <w:spacing w:after="0"/>
              <w:rPr>
                <w:sz w:val="1"/>
                <w:szCs w:val="1"/>
                <w:color w:val="auto"/>
              </w:rPr>
            </w:pPr>
          </w:p>
        </w:tc>
      </w:tr>
      <w:tr>
        <w:trPr>
          <w:trHeight w:val="135"/>
        </w:trPr>
        <w:tc>
          <w:tcPr>
            <w:tcW w:w="3500" w:type="dxa"/>
            <w:vAlign w:val="bottom"/>
            <w:vMerge w:val="restart"/>
          </w:tcPr>
          <w:p>
            <w:pPr>
              <w:ind w:left="100"/>
              <w:spacing w:after="0"/>
              <w:rPr>
                <w:sz w:val="20"/>
                <w:szCs w:val="20"/>
                <w:color w:val="auto"/>
              </w:rPr>
            </w:pPr>
            <w:r>
              <w:rPr>
                <w:rFonts w:ascii="Arial" w:cs="Arial" w:eastAsia="Arial" w:hAnsi="Arial"/>
                <w:sz w:val="13"/>
                <w:szCs w:val="13"/>
                <w:b w:val="1"/>
                <w:bCs w:val="1"/>
                <w:color w:val="0075C9"/>
              </w:rPr>
              <w:t>Name / Type</w:t>
            </w:r>
          </w:p>
        </w:tc>
        <w:tc>
          <w:tcPr>
            <w:tcW w:w="300" w:type="dxa"/>
            <w:vAlign w:val="bottom"/>
          </w:tcPr>
          <w:p>
            <w:pPr>
              <w:spacing w:after="0"/>
              <w:rPr>
                <w:sz w:val="11"/>
                <w:szCs w:val="11"/>
                <w:color w:val="auto"/>
              </w:rPr>
            </w:pPr>
          </w:p>
        </w:tc>
        <w:tc>
          <w:tcPr>
            <w:tcW w:w="8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0075C9"/>
              </w:rPr>
              <w:t>Grant</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0075C9"/>
                <w:w w:val="95"/>
              </w:rPr>
              <w:t>Have Not</w:t>
            </w:r>
          </w:p>
        </w:tc>
        <w:tc>
          <w:tcPr>
            <w:tcW w:w="860" w:type="dxa"/>
            <w:vAlign w:val="bottom"/>
          </w:tcPr>
          <w:p>
            <w:pPr>
              <w:spacing w:after="0"/>
              <w:rPr>
                <w:sz w:val="11"/>
                <w:szCs w:val="11"/>
                <w:color w:val="auto"/>
              </w:rPr>
            </w:pPr>
          </w:p>
        </w:tc>
        <w:tc>
          <w:tcPr>
            <w:tcW w:w="1460" w:type="dxa"/>
            <w:vAlign w:val="bottom"/>
          </w:tcPr>
          <w:p>
            <w:pPr>
              <w:jc w:val="center"/>
              <w:ind w:right="617"/>
              <w:spacing w:after="0" w:line="135" w:lineRule="exact"/>
              <w:rPr>
                <w:sz w:val="20"/>
                <w:szCs w:val="20"/>
                <w:color w:val="auto"/>
              </w:rPr>
            </w:pPr>
            <w:r>
              <w:rPr>
                <w:rFonts w:ascii="Arial" w:cs="Arial" w:eastAsia="Arial" w:hAnsi="Arial"/>
                <w:sz w:val="13"/>
                <w:szCs w:val="13"/>
                <w:b w:val="1"/>
                <w:bCs w:val="1"/>
                <w:color w:val="0075C9"/>
                <w:w w:val="95"/>
              </w:rPr>
              <w:t>Have Not</w:t>
            </w:r>
          </w:p>
        </w:tc>
        <w:tc>
          <w:tcPr>
            <w:tcW w:w="1120" w:type="dxa"/>
            <w:vAlign w:val="bottom"/>
          </w:tcPr>
          <w:p>
            <w:pPr>
              <w:jc w:val="center"/>
              <w:ind w:right="177"/>
              <w:spacing w:after="0" w:line="135" w:lineRule="exact"/>
              <w:rPr>
                <w:sz w:val="20"/>
                <w:szCs w:val="20"/>
                <w:color w:val="auto"/>
              </w:rPr>
            </w:pPr>
            <w:r>
              <w:rPr>
                <w:rFonts w:ascii="Arial" w:cs="Arial" w:eastAsia="Arial" w:hAnsi="Arial"/>
                <w:sz w:val="13"/>
                <w:szCs w:val="13"/>
                <w:b w:val="1"/>
                <w:bCs w:val="1"/>
                <w:color w:val="0075C9"/>
                <w:w w:val="95"/>
              </w:rPr>
              <w:t>Rights That</w:t>
            </w:r>
          </w:p>
        </w:tc>
        <w:tc>
          <w:tcPr>
            <w:tcW w:w="1360" w:type="dxa"/>
            <w:vAlign w:val="bottom"/>
            <w:gridSpan w:val="2"/>
          </w:tcPr>
          <w:p>
            <w:pPr>
              <w:jc w:val="center"/>
              <w:ind w:right="57"/>
              <w:spacing w:after="0" w:line="135" w:lineRule="exact"/>
              <w:rPr>
                <w:sz w:val="20"/>
                <w:szCs w:val="20"/>
                <w:color w:val="auto"/>
              </w:rPr>
            </w:pPr>
            <w:r>
              <w:rPr>
                <w:rFonts w:ascii="Arial" w:cs="Arial" w:eastAsia="Arial" w:hAnsi="Arial"/>
                <w:sz w:val="13"/>
                <w:szCs w:val="13"/>
                <w:b w:val="1"/>
                <w:bCs w:val="1"/>
                <w:color w:val="0075C9"/>
                <w:w w:val="96"/>
              </w:rPr>
              <w:t>That Have</w:t>
            </w:r>
          </w:p>
        </w:tc>
        <w:tc>
          <w:tcPr>
            <w:tcW w:w="0" w:type="dxa"/>
            <w:vAlign w:val="bottom"/>
          </w:tcPr>
          <w:p>
            <w:pPr>
              <w:spacing w:after="0"/>
              <w:rPr>
                <w:sz w:val="1"/>
                <w:szCs w:val="1"/>
                <w:color w:val="auto"/>
              </w:rPr>
            </w:pPr>
          </w:p>
        </w:tc>
      </w:tr>
      <w:tr>
        <w:trPr>
          <w:trHeight w:val="135"/>
        </w:trPr>
        <w:tc>
          <w:tcPr>
            <w:tcW w:w="35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0075C9"/>
                <w:w w:val="93"/>
              </w:rPr>
              <w:t>Vested</w:t>
            </w:r>
          </w:p>
        </w:tc>
        <w:tc>
          <w:tcPr>
            <w:tcW w:w="860" w:type="dxa"/>
            <w:vAlign w:val="bottom"/>
          </w:tcPr>
          <w:p>
            <w:pPr>
              <w:spacing w:after="0"/>
              <w:rPr>
                <w:sz w:val="11"/>
                <w:szCs w:val="11"/>
                <w:color w:val="auto"/>
              </w:rPr>
            </w:pPr>
          </w:p>
        </w:tc>
        <w:tc>
          <w:tcPr>
            <w:tcW w:w="1460" w:type="dxa"/>
            <w:vAlign w:val="bottom"/>
          </w:tcPr>
          <w:p>
            <w:pPr>
              <w:jc w:val="center"/>
              <w:ind w:right="617"/>
              <w:spacing w:after="0" w:line="135" w:lineRule="exact"/>
              <w:rPr>
                <w:sz w:val="20"/>
                <w:szCs w:val="20"/>
                <w:color w:val="auto"/>
              </w:rPr>
            </w:pPr>
            <w:r>
              <w:rPr>
                <w:rFonts w:ascii="Arial" w:cs="Arial" w:eastAsia="Arial" w:hAnsi="Arial"/>
                <w:sz w:val="13"/>
                <w:szCs w:val="13"/>
                <w:b w:val="1"/>
                <w:bCs w:val="1"/>
                <w:color w:val="0075C9"/>
                <w:w w:val="98"/>
              </w:rPr>
              <w:t>Vested</w:t>
            </w:r>
          </w:p>
        </w:tc>
        <w:tc>
          <w:tcPr>
            <w:tcW w:w="1120" w:type="dxa"/>
            <w:vAlign w:val="bottom"/>
          </w:tcPr>
          <w:p>
            <w:pPr>
              <w:jc w:val="center"/>
              <w:ind w:right="177"/>
              <w:spacing w:after="0" w:line="135" w:lineRule="exact"/>
              <w:rPr>
                <w:sz w:val="20"/>
                <w:szCs w:val="20"/>
                <w:color w:val="auto"/>
              </w:rPr>
            </w:pPr>
            <w:r>
              <w:rPr>
                <w:rFonts w:ascii="Arial" w:cs="Arial" w:eastAsia="Arial" w:hAnsi="Arial"/>
                <w:sz w:val="13"/>
                <w:szCs w:val="13"/>
                <w:b w:val="1"/>
                <w:bCs w:val="1"/>
                <w:color w:val="0075C9"/>
                <w:w w:val="99"/>
              </w:rPr>
              <w:t>Have Not</w:t>
            </w:r>
          </w:p>
        </w:tc>
        <w:tc>
          <w:tcPr>
            <w:tcW w:w="1360" w:type="dxa"/>
            <w:vAlign w:val="bottom"/>
            <w:gridSpan w:val="2"/>
          </w:tcPr>
          <w:p>
            <w:pPr>
              <w:jc w:val="center"/>
              <w:ind w:right="37"/>
              <w:spacing w:after="0" w:line="135" w:lineRule="exact"/>
              <w:rPr>
                <w:sz w:val="20"/>
                <w:szCs w:val="20"/>
                <w:color w:val="auto"/>
              </w:rPr>
            </w:pPr>
            <w:r>
              <w:rPr>
                <w:rFonts w:ascii="Arial" w:cs="Arial" w:eastAsia="Arial" w:hAnsi="Arial"/>
                <w:sz w:val="13"/>
                <w:szCs w:val="13"/>
                <w:b w:val="1"/>
                <w:bCs w:val="1"/>
                <w:color w:val="0075C9"/>
                <w:w w:val="97"/>
              </w:rPr>
              <w:t>Not Vested</w:t>
            </w:r>
          </w:p>
        </w:tc>
        <w:tc>
          <w:tcPr>
            <w:tcW w:w="0" w:type="dxa"/>
            <w:vAlign w:val="bottom"/>
          </w:tcPr>
          <w:p>
            <w:pPr>
              <w:spacing w:after="0"/>
              <w:rPr>
                <w:sz w:val="1"/>
                <w:szCs w:val="1"/>
                <w:color w:val="auto"/>
              </w:rPr>
            </w:pPr>
          </w:p>
        </w:tc>
      </w:tr>
      <w:tr>
        <w:trPr>
          <w:trHeight w:val="153"/>
        </w:trPr>
        <w:tc>
          <w:tcPr>
            <w:tcW w:w="3500" w:type="dxa"/>
            <w:vAlign w:val="bottom"/>
            <w:tcBorders>
              <w:bottom w:val="single" w:sz="8" w:color="0075C9"/>
            </w:tcBorders>
          </w:tcPr>
          <w:p>
            <w:pPr>
              <w:ind w:left="100"/>
              <w:spacing w:after="0"/>
              <w:rPr>
                <w:sz w:val="20"/>
                <w:szCs w:val="20"/>
                <w:color w:val="auto"/>
              </w:rPr>
            </w:pPr>
            <w:r>
              <w:rPr>
                <w:rFonts w:ascii="Arial" w:cs="Arial" w:eastAsia="Arial" w:hAnsi="Arial"/>
                <w:sz w:val="13"/>
                <w:szCs w:val="13"/>
                <w:b w:val="1"/>
                <w:bCs w:val="1"/>
                <w:color w:val="0075C9"/>
              </w:rPr>
              <w:t>of Grant</w:t>
            </w:r>
          </w:p>
        </w:tc>
        <w:tc>
          <w:tcPr>
            <w:tcW w:w="300" w:type="dxa"/>
            <w:vAlign w:val="bottom"/>
            <w:tcBorders>
              <w:bottom w:val="single" w:sz="8" w:color="0075C9"/>
            </w:tcBorders>
          </w:tcPr>
          <w:p>
            <w:pPr>
              <w:spacing w:after="0"/>
              <w:rPr>
                <w:sz w:val="13"/>
                <w:szCs w:val="13"/>
                <w:color w:val="auto"/>
              </w:rPr>
            </w:pPr>
          </w:p>
        </w:tc>
        <w:tc>
          <w:tcPr>
            <w:tcW w:w="860" w:type="dxa"/>
            <w:vAlign w:val="bottom"/>
            <w:tcBorders>
              <w:bottom w:val="single" w:sz="8" w:color="0075C9"/>
            </w:tcBorders>
          </w:tcPr>
          <w:p>
            <w:pPr>
              <w:jc w:val="right"/>
              <w:ind w:right="237"/>
              <w:spacing w:after="0"/>
              <w:rPr>
                <w:sz w:val="20"/>
                <w:szCs w:val="20"/>
                <w:color w:val="auto"/>
              </w:rPr>
            </w:pPr>
            <w:r>
              <w:rPr>
                <w:rFonts w:ascii="Arial" w:cs="Arial" w:eastAsia="Arial" w:hAnsi="Arial"/>
                <w:sz w:val="13"/>
                <w:szCs w:val="13"/>
                <w:b w:val="1"/>
                <w:bCs w:val="1"/>
                <w:color w:val="0075C9"/>
              </w:rPr>
              <w:t>Date</w:t>
            </w:r>
          </w:p>
        </w:tc>
        <w:tc>
          <w:tcPr>
            <w:tcW w:w="1640" w:type="dxa"/>
            <w:vAlign w:val="bottom"/>
            <w:tcBorders>
              <w:bottom w:val="single" w:sz="8" w:color="0075C9"/>
            </w:tcBorders>
            <w:gridSpan w:val="3"/>
          </w:tcPr>
          <w:p>
            <w:pPr>
              <w:jc w:val="center"/>
              <w:ind w:left="977"/>
              <w:spacing w:after="0"/>
              <w:rPr>
                <w:sz w:val="20"/>
                <w:szCs w:val="20"/>
                <w:color w:val="auto"/>
              </w:rPr>
            </w:pPr>
            <w:r>
              <w:rPr>
                <w:rFonts w:ascii="Arial" w:cs="Arial" w:eastAsia="Arial" w:hAnsi="Arial"/>
                <w:sz w:val="13"/>
                <w:szCs w:val="13"/>
                <w:b w:val="1"/>
                <w:bCs w:val="1"/>
                <w:color w:val="0075C9"/>
              </w:rPr>
              <w:t>(#)</w:t>
            </w:r>
          </w:p>
        </w:tc>
        <w:tc>
          <w:tcPr>
            <w:tcW w:w="860" w:type="dxa"/>
            <w:vAlign w:val="bottom"/>
            <w:tcBorders>
              <w:bottom w:val="single" w:sz="8" w:color="0075C9"/>
            </w:tcBorders>
          </w:tcPr>
          <w:p>
            <w:pPr>
              <w:spacing w:after="0"/>
              <w:rPr>
                <w:sz w:val="13"/>
                <w:szCs w:val="13"/>
                <w:color w:val="auto"/>
              </w:rPr>
            </w:pPr>
          </w:p>
        </w:tc>
        <w:tc>
          <w:tcPr>
            <w:tcW w:w="1460" w:type="dxa"/>
            <w:vAlign w:val="bottom"/>
            <w:tcBorders>
              <w:bottom w:val="single" w:sz="8" w:color="0075C9"/>
            </w:tcBorders>
          </w:tcPr>
          <w:p>
            <w:pPr>
              <w:jc w:val="center"/>
              <w:ind w:right="617"/>
              <w:spacing w:after="0"/>
              <w:rPr>
                <w:sz w:val="20"/>
                <w:szCs w:val="20"/>
                <w:color w:val="auto"/>
              </w:rPr>
            </w:pPr>
            <w:r>
              <w:rPr>
                <w:rFonts w:ascii="Arial" w:cs="Arial" w:eastAsia="Arial" w:hAnsi="Arial"/>
                <w:sz w:val="13"/>
                <w:szCs w:val="13"/>
                <w:b w:val="1"/>
                <w:bCs w:val="1"/>
                <w:color w:val="0075C9"/>
                <w:w w:val="94"/>
              </w:rPr>
              <w:t>($)(1)</w:t>
            </w:r>
          </w:p>
        </w:tc>
        <w:tc>
          <w:tcPr>
            <w:tcW w:w="1120" w:type="dxa"/>
            <w:vAlign w:val="bottom"/>
            <w:tcBorders>
              <w:bottom w:val="single" w:sz="8" w:color="0075C9"/>
            </w:tcBorders>
          </w:tcPr>
          <w:p>
            <w:pPr>
              <w:jc w:val="center"/>
              <w:ind w:right="177"/>
              <w:spacing w:after="0"/>
              <w:rPr>
                <w:sz w:val="20"/>
                <w:szCs w:val="20"/>
                <w:color w:val="auto"/>
              </w:rPr>
            </w:pPr>
            <w:r>
              <w:rPr>
                <w:rFonts w:ascii="Arial" w:cs="Arial" w:eastAsia="Arial" w:hAnsi="Arial"/>
                <w:sz w:val="13"/>
                <w:szCs w:val="13"/>
                <w:b w:val="1"/>
                <w:bCs w:val="1"/>
                <w:color w:val="0075C9"/>
                <w:w w:val="96"/>
              </w:rPr>
              <w:t>Vested (#)</w:t>
            </w:r>
          </w:p>
        </w:tc>
        <w:tc>
          <w:tcPr>
            <w:tcW w:w="580" w:type="dxa"/>
            <w:vAlign w:val="bottom"/>
            <w:tcBorders>
              <w:bottom w:val="single" w:sz="8" w:color="0075C9"/>
            </w:tcBorders>
          </w:tcPr>
          <w:p>
            <w:pPr>
              <w:jc w:val="right"/>
              <w:spacing w:after="0"/>
              <w:rPr>
                <w:sz w:val="20"/>
                <w:szCs w:val="20"/>
                <w:color w:val="auto"/>
              </w:rPr>
            </w:pPr>
            <w:r>
              <w:rPr>
                <w:rFonts w:ascii="Arial" w:cs="Arial" w:eastAsia="Arial" w:hAnsi="Arial"/>
                <w:sz w:val="13"/>
                <w:szCs w:val="13"/>
                <w:b w:val="1"/>
                <w:bCs w:val="1"/>
                <w:color w:val="0075C9"/>
              </w:rPr>
              <w:t>($</w:t>
            </w:r>
          </w:p>
        </w:tc>
        <w:tc>
          <w:tcPr>
            <w:tcW w:w="780" w:type="dxa"/>
            <w:vAlign w:val="bottom"/>
            <w:tcBorders>
              <w:bottom w:val="single" w:sz="8" w:color="0075C9"/>
            </w:tcBorders>
          </w:tcPr>
          <w:p>
            <w:pPr>
              <w:jc w:val="right"/>
              <w:ind w:right="517"/>
              <w:spacing w:after="0"/>
              <w:rPr>
                <w:sz w:val="20"/>
                <w:szCs w:val="20"/>
                <w:color w:val="auto"/>
              </w:rPr>
            </w:pPr>
            <w:r>
              <w:rPr>
                <w:rFonts w:ascii="Arial" w:cs="Arial" w:eastAsia="Arial" w:hAnsi="Arial"/>
                <w:sz w:val="13"/>
                <w:szCs w:val="13"/>
                <w:b w:val="1"/>
                <w:bCs w:val="1"/>
                <w:color w:val="0075C9"/>
                <w:w w:val="88"/>
              </w:rPr>
              <w:t>)(1)</w:t>
            </w:r>
          </w:p>
        </w:tc>
        <w:tc>
          <w:tcPr>
            <w:tcW w:w="0" w:type="dxa"/>
            <w:vAlign w:val="bottom"/>
          </w:tcPr>
          <w:p>
            <w:pPr>
              <w:spacing w:after="0"/>
              <w:rPr>
                <w:sz w:val="1"/>
                <w:szCs w:val="1"/>
                <w:color w:val="auto"/>
              </w:rPr>
            </w:pPr>
          </w:p>
        </w:tc>
      </w:tr>
      <w:tr>
        <w:trPr>
          <w:trHeight w:val="111"/>
        </w:trPr>
        <w:tc>
          <w:tcPr>
            <w:tcW w:w="3500" w:type="dxa"/>
            <w:vAlign w:val="bottom"/>
            <w:shd w:val="clear" w:color="auto" w:fill="EBEBEC"/>
          </w:tcPr>
          <w:p>
            <w:pPr>
              <w:ind w:left="100"/>
              <w:spacing w:after="0" w:line="111" w:lineRule="exact"/>
              <w:rPr>
                <w:sz w:val="20"/>
                <w:szCs w:val="20"/>
                <w:color w:val="auto"/>
              </w:rPr>
            </w:pPr>
            <w:r>
              <w:rPr>
                <w:rFonts w:ascii="Arial" w:cs="Arial" w:eastAsia="Arial" w:hAnsi="Arial"/>
                <w:sz w:val="12"/>
                <w:szCs w:val="12"/>
                <w:b w:val="1"/>
                <w:bCs w:val="1"/>
                <w:color w:val="auto"/>
              </w:rPr>
              <w:t>Francisco J. Leon</w:t>
            </w:r>
          </w:p>
        </w:tc>
        <w:tc>
          <w:tcPr>
            <w:tcW w:w="300" w:type="dxa"/>
            <w:vAlign w:val="bottom"/>
            <w:shd w:val="clear" w:color="auto" w:fill="EBEBEC"/>
          </w:tcPr>
          <w:p>
            <w:pPr>
              <w:spacing w:after="0"/>
              <w:rPr>
                <w:sz w:val="9"/>
                <w:szCs w:val="9"/>
                <w:color w:val="auto"/>
              </w:rPr>
            </w:pPr>
          </w:p>
        </w:tc>
        <w:tc>
          <w:tcPr>
            <w:tcW w:w="860" w:type="dxa"/>
            <w:vAlign w:val="bottom"/>
            <w:shd w:val="clear" w:color="auto" w:fill="EBEBEC"/>
          </w:tcPr>
          <w:p>
            <w:pPr>
              <w:spacing w:after="0"/>
              <w:rPr>
                <w:sz w:val="9"/>
                <w:szCs w:val="9"/>
                <w:color w:val="auto"/>
              </w:rPr>
            </w:pPr>
          </w:p>
        </w:tc>
        <w:tc>
          <w:tcPr>
            <w:tcW w:w="300" w:type="dxa"/>
            <w:vAlign w:val="bottom"/>
            <w:shd w:val="clear" w:color="auto" w:fill="EBEBEC"/>
          </w:tcPr>
          <w:p>
            <w:pPr>
              <w:spacing w:after="0"/>
              <w:rPr>
                <w:sz w:val="9"/>
                <w:szCs w:val="9"/>
                <w:color w:val="auto"/>
              </w:rPr>
            </w:pPr>
          </w:p>
        </w:tc>
        <w:tc>
          <w:tcPr>
            <w:tcW w:w="680" w:type="dxa"/>
            <w:vAlign w:val="bottom"/>
            <w:shd w:val="clear" w:color="auto" w:fill="EBEBEC"/>
          </w:tcPr>
          <w:p>
            <w:pPr>
              <w:spacing w:after="0"/>
              <w:rPr>
                <w:sz w:val="9"/>
                <w:szCs w:val="9"/>
                <w:color w:val="auto"/>
              </w:rPr>
            </w:pPr>
          </w:p>
        </w:tc>
        <w:tc>
          <w:tcPr>
            <w:tcW w:w="660" w:type="dxa"/>
            <w:vAlign w:val="bottom"/>
            <w:shd w:val="clear" w:color="auto" w:fill="EBEBEC"/>
          </w:tcPr>
          <w:p>
            <w:pPr>
              <w:spacing w:after="0"/>
              <w:rPr>
                <w:sz w:val="9"/>
                <w:szCs w:val="9"/>
                <w:color w:val="auto"/>
              </w:rPr>
            </w:pPr>
          </w:p>
        </w:tc>
        <w:tc>
          <w:tcPr>
            <w:tcW w:w="860" w:type="dxa"/>
            <w:vAlign w:val="bottom"/>
            <w:shd w:val="clear" w:color="auto" w:fill="EBEBEC"/>
          </w:tcPr>
          <w:p>
            <w:pPr>
              <w:spacing w:after="0"/>
              <w:rPr>
                <w:sz w:val="9"/>
                <w:szCs w:val="9"/>
                <w:color w:val="auto"/>
              </w:rPr>
            </w:pPr>
          </w:p>
        </w:tc>
        <w:tc>
          <w:tcPr>
            <w:tcW w:w="1460" w:type="dxa"/>
            <w:vAlign w:val="bottom"/>
            <w:shd w:val="clear" w:color="auto" w:fill="EBEBEC"/>
          </w:tcPr>
          <w:p>
            <w:pPr>
              <w:spacing w:after="0"/>
              <w:rPr>
                <w:sz w:val="9"/>
                <w:szCs w:val="9"/>
                <w:color w:val="auto"/>
              </w:rPr>
            </w:pPr>
          </w:p>
        </w:tc>
        <w:tc>
          <w:tcPr>
            <w:tcW w:w="1120" w:type="dxa"/>
            <w:vAlign w:val="bottom"/>
            <w:shd w:val="clear" w:color="auto" w:fill="EBEBEC"/>
          </w:tcPr>
          <w:p>
            <w:pPr>
              <w:spacing w:after="0"/>
              <w:rPr>
                <w:sz w:val="9"/>
                <w:szCs w:val="9"/>
                <w:color w:val="auto"/>
              </w:rPr>
            </w:pPr>
          </w:p>
        </w:tc>
        <w:tc>
          <w:tcPr>
            <w:tcW w:w="580" w:type="dxa"/>
            <w:vAlign w:val="bottom"/>
            <w:shd w:val="clear" w:color="auto" w:fill="EBEBEC"/>
          </w:tcPr>
          <w:p>
            <w:pPr>
              <w:spacing w:after="0"/>
              <w:rPr>
                <w:sz w:val="9"/>
                <w:szCs w:val="9"/>
                <w:color w:val="auto"/>
              </w:rPr>
            </w:pPr>
          </w:p>
        </w:tc>
        <w:tc>
          <w:tcPr>
            <w:tcW w:w="780" w:type="dxa"/>
            <w:vAlign w:val="bottom"/>
            <w:shd w:val="clear" w:color="auto" w:fill="EBEBE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EBEBEC"/>
          </w:tcPr>
          <w:p>
            <w:pPr>
              <w:ind w:left="100"/>
              <w:spacing w:after="0" w:line="135" w:lineRule="exact"/>
              <w:rPr>
                <w:sz w:val="20"/>
                <w:szCs w:val="20"/>
                <w:color w:val="auto"/>
              </w:rPr>
            </w:pPr>
            <w:r>
              <w:rPr>
                <w:rFonts w:ascii="Arial" w:cs="Arial" w:eastAsia="Arial" w:hAnsi="Arial"/>
                <w:sz w:val="13"/>
                <w:szCs w:val="13"/>
                <w:color w:val="auto"/>
              </w:rPr>
              <w:t>RSU(2)</w:t>
            </w:r>
          </w:p>
        </w:tc>
        <w:tc>
          <w:tcPr>
            <w:tcW w:w="300" w:type="dxa"/>
            <w:vAlign w:val="bottom"/>
            <w:shd w:val="clear" w:color="auto" w:fill="EBEBEC"/>
          </w:tcPr>
          <w:p>
            <w:pPr>
              <w:spacing w:after="0"/>
              <w:rPr>
                <w:sz w:val="11"/>
                <w:szCs w:val="11"/>
                <w:color w:val="auto"/>
              </w:rPr>
            </w:pP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2/23/2023</w:t>
            </w:r>
          </w:p>
        </w:tc>
        <w:tc>
          <w:tcPr>
            <w:tcW w:w="1640" w:type="dxa"/>
            <w:vAlign w:val="bottom"/>
            <w:gridSpan w:val="3"/>
            <w:shd w:val="clear" w:color="auto" w:fill="EBEBEC"/>
          </w:tcPr>
          <w:p>
            <w:pPr>
              <w:jc w:val="right"/>
              <w:spacing w:after="0" w:line="135" w:lineRule="exact"/>
              <w:rPr>
                <w:sz w:val="20"/>
                <w:szCs w:val="20"/>
                <w:color w:val="auto"/>
              </w:rPr>
            </w:pPr>
            <w:r>
              <w:rPr>
                <w:rFonts w:ascii="Arial" w:cs="Arial" w:eastAsia="Arial" w:hAnsi="Arial"/>
                <w:sz w:val="13"/>
                <w:szCs w:val="13"/>
                <w:color w:val="auto"/>
              </w:rPr>
              <w:t>29,614</w:t>
            </w: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460" w:type="dxa"/>
            <w:vAlign w:val="bottom"/>
            <w:shd w:val="clear" w:color="auto" w:fill="EBEBEC"/>
          </w:tcPr>
          <w:p>
            <w:pPr>
              <w:jc w:val="right"/>
              <w:ind w:right="597"/>
              <w:spacing w:after="0" w:line="135" w:lineRule="exact"/>
              <w:rPr>
                <w:sz w:val="20"/>
                <w:szCs w:val="20"/>
                <w:color w:val="auto"/>
              </w:rPr>
            </w:pPr>
            <w:r>
              <w:rPr>
                <w:rFonts w:ascii="Arial" w:cs="Arial" w:eastAsia="Arial" w:hAnsi="Arial"/>
                <w:sz w:val="13"/>
                <w:szCs w:val="13"/>
                <w:color w:val="auto"/>
              </w:rPr>
              <w:t>1,536,670</w:t>
            </w:r>
          </w:p>
        </w:tc>
        <w:tc>
          <w:tcPr>
            <w:tcW w:w="1120" w:type="dxa"/>
            <w:vAlign w:val="bottom"/>
            <w:shd w:val="clear" w:color="auto" w:fill="EBEBEC"/>
          </w:tcPr>
          <w:p>
            <w:pPr>
              <w:spacing w:after="0"/>
              <w:rPr>
                <w:sz w:val="11"/>
                <w:szCs w:val="11"/>
                <w:color w:val="auto"/>
              </w:rPr>
            </w:pPr>
          </w:p>
        </w:tc>
        <w:tc>
          <w:tcPr>
            <w:tcW w:w="580" w:type="dxa"/>
            <w:vAlign w:val="bottom"/>
            <w:shd w:val="clear" w:color="auto" w:fill="EBEBEC"/>
          </w:tcPr>
          <w:p>
            <w:pPr>
              <w:spacing w:after="0"/>
              <w:rPr>
                <w:sz w:val="11"/>
                <w:szCs w:val="11"/>
                <w:color w:val="auto"/>
              </w:rPr>
            </w:pPr>
          </w:p>
        </w:tc>
        <w:tc>
          <w:tcPr>
            <w:tcW w:w="780" w:type="dxa"/>
            <w:vAlign w:val="bottom"/>
            <w:shd w:val="clear" w:color="auto" w:fill="EBEB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EBEBEC"/>
          </w:tcPr>
          <w:p>
            <w:pPr>
              <w:ind w:left="100"/>
              <w:spacing w:after="0" w:line="135" w:lineRule="exact"/>
              <w:rPr>
                <w:sz w:val="20"/>
                <w:szCs w:val="20"/>
                <w:color w:val="auto"/>
              </w:rPr>
            </w:pPr>
            <w:r>
              <w:rPr>
                <w:rFonts w:ascii="Arial" w:cs="Arial" w:eastAsia="Arial" w:hAnsi="Arial"/>
                <w:sz w:val="13"/>
                <w:szCs w:val="13"/>
                <w:color w:val="auto"/>
              </w:rPr>
              <w:t>RSU(3)</w:t>
            </w:r>
          </w:p>
        </w:tc>
        <w:tc>
          <w:tcPr>
            <w:tcW w:w="300" w:type="dxa"/>
            <w:vAlign w:val="bottom"/>
            <w:shd w:val="clear" w:color="auto" w:fill="EBEBEC"/>
          </w:tcPr>
          <w:p>
            <w:pPr>
              <w:spacing w:after="0"/>
              <w:rPr>
                <w:sz w:val="11"/>
                <w:szCs w:val="11"/>
                <w:color w:val="auto"/>
              </w:rPr>
            </w:pP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2/23/2023</w:t>
            </w:r>
          </w:p>
        </w:tc>
        <w:tc>
          <w:tcPr>
            <w:tcW w:w="1640" w:type="dxa"/>
            <w:vAlign w:val="bottom"/>
            <w:gridSpan w:val="3"/>
            <w:shd w:val="clear" w:color="auto" w:fill="EBEBEC"/>
          </w:tcPr>
          <w:p>
            <w:pPr>
              <w:jc w:val="right"/>
              <w:spacing w:after="0" w:line="135" w:lineRule="exact"/>
              <w:rPr>
                <w:sz w:val="20"/>
                <w:szCs w:val="20"/>
                <w:color w:val="auto"/>
              </w:rPr>
            </w:pPr>
            <w:r>
              <w:rPr>
                <w:rFonts w:ascii="Arial" w:cs="Arial" w:eastAsia="Arial" w:hAnsi="Arial"/>
                <w:sz w:val="13"/>
                <w:szCs w:val="13"/>
                <w:color w:val="auto"/>
              </w:rPr>
              <w:t>14,807</w:t>
            </w: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460" w:type="dxa"/>
            <w:vAlign w:val="bottom"/>
            <w:shd w:val="clear" w:color="auto" w:fill="EBEBEC"/>
          </w:tcPr>
          <w:p>
            <w:pPr>
              <w:jc w:val="right"/>
              <w:ind w:right="597"/>
              <w:spacing w:after="0" w:line="135" w:lineRule="exact"/>
              <w:rPr>
                <w:sz w:val="20"/>
                <w:szCs w:val="20"/>
                <w:color w:val="auto"/>
              </w:rPr>
            </w:pPr>
            <w:r>
              <w:rPr>
                <w:rFonts w:ascii="Arial" w:cs="Arial" w:eastAsia="Arial" w:hAnsi="Arial"/>
                <w:sz w:val="13"/>
                <w:szCs w:val="13"/>
                <w:color w:val="auto"/>
              </w:rPr>
              <w:t>768,335</w:t>
            </w:r>
          </w:p>
        </w:tc>
        <w:tc>
          <w:tcPr>
            <w:tcW w:w="1120" w:type="dxa"/>
            <w:vAlign w:val="bottom"/>
            <w:shd w:val="clear" w:color="auto" w:fill="EBEBEC"/>
          </w:tcPr>
          <w:p>
            <w:pPr>
              <w:spacing w:after="0"/>
              <w:rPr>
                <w:sz w:val="11"/>
                <w:szCs w:val="11"/>
                <w:color w:val="auto"/>
              </w:rPr>
            </w:pPr>
          </w:p>
        </w:tc>
        <w:tc>
          <w:tcPr>
            <w:tcW w:w="580" w:type="dxa"/>
            <w:vAlign w:val="bottom"/>
            <w:shd w:val="clear" w:color="auto" w:fill="EBEBEC"/>
          </w:tcPr>
          <w:p>
            <w:pPr>
              <w:spacing w:after="0"/>
              <w:rPr>
                <w:sz w:val="11"/>
                <w:szCs w:val="11"/>
                <w:color w:val="auto"/>
              </w:rPr>
            </w:pPr>
          </w:p>
        </w:tc>
        <w:tc>
          <w:tcPr>
            <w:tcW w:w="780" w:type="dxa"/>
            <w:vAlign w:val="bottom"/>
            <w:shd w:val="clear" w:color="auto" w:fill="EBEB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EBEBEC"/>
          </w:tcPr>
          <w:p>
            <w:pPr>
              <w:ind w:left="100"/>
              <w:spacing w:after="0" w:line="135" w:lineRule="exact"/>
              <w:rPr>
                <w:sz w:val="20"/>
                <w:szCs w:val="20"/>
                <w:color w:val="auto"/>
              </w:rPr>
            </w:pPr>
            <w:r>
              <w:rPr>
                <w:rFonts w:ascii="Arial" w:cs="Arial" w:eastAsia="Arial" w:hAnsi="Arial"/>
                <w:sz w:val="13"/>
                <w:szCs w:val="13"/>
                <w:color w:val="auto"/>
              </w:rPr>
              <w:t>RSU(4)</w:t>
            </w:r>
          </w:p>
        </w:tc>
        <w:tc>
          <w:tcPr>
            <w:tcW w:w="300" w:type="dxa"/>
            <w:vAlign w:val="bottom"/>
            <w:shd w:val="clear" w:color="auto" w:fill="EBEBEC"/>
          </w:tcPr>
          <w:p>
            <w:pPr>
              <w:spacing w:after="0"/>
              <w:rPr>
                <w:sz w:val="11"/>
                <w:szCs w:val="11"/>
                <w:color w:val="auto"/>
              </w:rPr>
            </w:pP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2/22/2024</w:t>
            </w:r>
          </w:p>
        </w:tc>
        <w:tc>
          <w:tcPr>
            <w:tcW w:w="300" w:type="dxa"/>
            <w:vAlign w:val="bottom"/>
            <w:shd w:val="clear" w:color="auto" w:fill="EBEBEC"/>
          </w:tcPr>
          <w:p>
            <w:pPr>
              <w:spacing w:after="0"/>
              <w:rPr>
                <w:sz w:val="11"/>
                <w:szCs w:val="11"/>
                <w:color w:val="auto"/>
              </w:rPr>
            </w:pPr>
          </w:p>
        </w:tc>
        <w:tc>
          <w:tcPr>
            <w:tcW w:w="1340" w:type="dxa"/>
            <w:vAlign w:val="bottom"/>
            <w:gridSpan w:val="2"/>
            <w:shd w:val="clear" w:color="auto" w:fill="EBEBEC"/>
          </w:tcPr>
          <w:p>
            <w:pPr>
              <w:jc w:val="right"/>
              <w:spacing w:after="0" w:line="135" w:lineRule="exact"/>
              <w:rPr>
                <w:sz w:val="20"/>
                <w:szCs w:val="20"/>
                <w:color w:val="auto"/>
              </w:rPr>
            </w:pPr>
            <w:r>
              <w:rPr>
                <w:rFonts w:ascii="Arial" w:cs="Arial" w:eastAsia="Arial" w:hAnsi="Arial"/>
                <w:sz w:val="13"/>
                <w:szCs w:val="13"/>
                <w:color w:val="auto"/>
              </w:rPr>
              <w:t>38,702</w:t>
            </w: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460" w:type="dxa"/>
            <w:vAlign w:val="bottom"/>
            <w:shd w:val="clear" w:color="auto" w:fill="EBEBEC"/>
          </w:tcPr>
          <w:p>
            <w:pPr>
              <w:jc w:val="right"/>
              <w:ind w:right="597"/>
              <w:spacing w:after="0" w:line="135" w:lineRule="exact"/>
              <w:rPr>
                <w:sz w:val="20"/>
                <w:szCs w:val="20"/>
                <w:color w:val="auto"/>
              </w:rPr>
            </w:pPr>
            <w:r>
              <w:rPr>
                <w:rFonts w:ascii="Arial" w:cs="Arial" w:eastAsia="Arial" w:hAnsi="Arial"/>
                <w:sz w:val="13"/>
                <w:szCs w:val="13"/>
                <w:color w:val="auto"/>
              </w:rPr>
              <w:t>2,008,247</w:t>
            </w:r>
          </w:p>
        </w:tc>
        <w:tc>
          <w:tcPr>
            <w:tcW w:w="1120" w:type="dxa"/>
            <w:vAlign w:val="bottom"/>
            <w:shd w:val="clear" w:color="auto" w:fill="EBEBEC"/>
          </w:tcPr>
          <w:p>
            <w:pPr>
              <w:spacing w:after="0"/>
              <w:rPr>
                <w:sz w:val="11"/>
                <w:szCs w:val="11"/>
                <w:color w:val="auto"/>
              </w:rPr>
            </w:pPr>
          </w:p>
        </w:tc>
        <w:tc>
          <w:tcPr>
            <w:tcW w:w="580" w:type="dxa"/>
            <w:vAlign w:val="bottom"/>
            <w:shd w:val="clear" w:color="auto" w:fill="EBEBEC"/>
          </w:tcPr>
          <w:p>
            <w:pPr>
              <w:spacing w:after="0"/>
              <w:rPr>
                <w:sz w:val="11"/>
                <w:szCs w:val="11"/>
                <w:color w:val="auto"/>
              </w:rPr>
            </w:pPr>
          </w:p>
        </w:tc>
        <w:tc>
          <w:tcPr>
            <w:tcW w:w="780" w:type="dxa"/>
            <w:vAlign w:val="bottom"/>
            <w:shd w:val="clear" w:color="auto" w:fill="EBEB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EBEBEC"/>
          </w:tcPr>
          <w:p>
            <w:pPr>
              <w:ind w:left="100"/>
              <w:spacing w:after="0" w:line="135" w:lineRule="exact"/>
              <w:rPr>
                <w:sz w:val="20"/>
                <w:szCs w:val="20"/>
                <w:color w:val="auto"/>
              </w:rPr>
            </w:pPr>
            <w:r>
              <w:rPr>
                <w:rFonts w:ascii="Arial" w:cs="Arial" w:eastAsia="Arial" w:hAnsi="Arial"/>
                <w:sz w:val="13"/>
                <w:szCs w:val="13"/>
                <w:color w:val="auto"/>
              </w:rPr>
              <w:t>PSU(5)</w:t>
            </w:r>
          </w:p>
        </w:tc>
        <w:tc>
          <w:tcPr>
            <w:tcW w:w="300" w:type="dxa"/>
            <w:vAlign w:val="bottom"/>
            <w:shd w:val="clear" w:color="auto" w:fill="EBEBEC"/>
          </w:tcPr>
          <w:p>
            <w:pPr>
              <w:spacing w:after="0"/>
              <w:rPr>
                <w:sz w:val="11"/>
                <w:szCs w:val="11"/>
                <w:color w:val="auto"/>
              </w:rPr>
            </w:pP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2/23/2023</w:t>
            </w:r>
          </w:p>
        </w:tc>
        <w:tc>
          <w:tcPr>
            <w:tcW w:w="300" w:type="dxa"/>
            <w:vAlign w:val="bottom"/>
            <w:shd w:val="clear" w:color="auto" w:fill="EBEBEC"/>
          </w:tcPr>
          <w:p>
            <w:pPr>
              <w:spacing w:after="0"/>
              <w:rPr>
                <w:sz w:val="11"/>
                <w:szCs w:val="11"/>
                <w:color w:val="auto"/>
              </w:rPr>
            </w:pPr>
          </w:p>
        </w:tc>
        <w:tc>
          <w:tcPr>
            <w:tcW w:w="680" w:type="dxa"/>
            <w:vAlign w:val="bottom"/>
            <w:shd w:val="clear" w:color="auto" w:fill="EBEBEC"/>
          </w:tcPr>
          <w:p>
            <w:pPr>
              <w:spacing w:after="0"/>
              <w:rPr>
                <w:sz w:val="11"/>
                <w:szCs w:val="11"/>
                <w:color w:val="auto"/>
              </w:rPr>
            </w:pPr>
          </w:p>
        </w:tc>
        <w:tc>
          <w:tcPr>
            <w:tcW w:w="660" w:type="dxa"/>
            <w:vAlign w:val="bottom"/>
            <w:shd w:val="clear" w:color="auto" w:fill="EBEBEC"/>
          </w:tcPr>
          <w:p>
            <w:pPr>
              <w:spacing w:after="0"/>
              <w:rPr>
                <w:sz w:val="11"/>
                <w:szCs w:val="11"/>
                <w:color w:val="auto"/>
              </w:rPr>
            </w:pPr>
          </w:p>
        </w:tc>
        <w:tc>
          <w:tcPr>
            <w:tcW w:w="860" w:type="dxa"/>
            <w:vAlign w:val="bottom"/>
            <w:shd w:val="clear" w:color="auto" w:fill="EBEBEC"/>
          </w:tcPr>
          <w:p>
            <w:pPr>
              <w:spacing w:after="0"/>
              <w:rPr>
                <w:sz w:val="11"/>
                <w:szCs w:val="11"/>
                <w:color w:val="auto"/>
              </w:rPr>
            </w:pPr>
          </w:p>
        </w:tc>
        <w:tc>
          <w:tcPr>
            <w:tcW w:w="1460" w:type="dxa"/>
            <w:vAlign w:val="bottom"/>
            <w:shd w:val="clear" w:color="auto" w:fill="EBEBEC"/>
          </w:tcPr>
          <w:p>
            <w:pPr>
              <w:spacing w:after="0"/>
              <w:rPr>
                <w:sz w:val="11"/>
                <w:szCs w:val="11"/>
                <w:color w:val="auto"/>
              </w:rPr>
            </w:pPr>
          </w:p>
        </w:tc>
        <w:tc>
          <w:tcPr>
            <w:tcW w:w="1120" w:type="dxa"/>
            <w:vAlign w:val="bottom"/>
            <w:shd w:val="clear" w:color="auto" w:fill="EBEBEC"/>
          </w:tcPr>
          <w:p>
            <w:pPr>
              <w:jc w:val="right"/>
              <w:ind w:right="357"/>
              <w:spacing w:after="0" w:line="135" w:lineRule="exact"/>
              <w:rPr>
                <w:sz w:val="20"/>
                <w:szCs w:val="20"/>
                <w:color w:val="auto"/>
              </w:rPr>
            </w:pPr>
            <w:r>
              <w:rPr>
                <w:rFonts w:ascii="Arial" w:cs="Arial" w:eastAsia="Arial" w:hAnsi="Arial"/>
                <w:sz w:val="13"/>
                <w:szCs w:val="13"/>
                <w:color w:val="auto"/>
              </w:rPr>
              <w:t>133,268</w:t>
            </w:r>
          </w:p>
        </w:tc>
        <w:tc>
          <w:tcPr>
            <w:tcW w:w="580" w:type="dxa"/>
            <w:vAlign w:val="bottom"/>
            <w:shd w:val="clear" w:color="auto" w:fill="EBEBEC"/>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57"/>
              <w:spacing w:after="0" w:line="135" w:lineRule="exact"/>
              <w:rPr>
                <w:sz w:val="20"/>
                <w:szCs w:val="20"/>
                <w:color w:val="auto"/>
              </w:rPr>
            </w:pPr>
            <w:r>
              <w:rPr>
                <w:rFonts w:ascii="Arial" w:cs="Arial" w:eastAsia="Arial" w:hAnsi="Arial"/>
                <w:sz w:val="13"/>
                <w:szCs w:val="13"/>
                <w:color w:val="auto"/>
              </w:rPr>
              <w:t>6,915,277</w:t>
            </w:r>
          </w:p>
        </w:tc>
        <w:tc>
          <w:tcPr>
            <w:tcW w:w="0" w:type="dxa"/>
            <w:vAlign w:val="bottom"/>
          </w:tcPr>
          <w:p>
            <w:pPr>
              <w:spacing w:after="0"/>
              <w:rPr>
                <w:sz w:val="1"/>
                <w:szCs w:val="1"/>
                <w:color w:val="auto"/>
              </w:rPr>
            </w:pPr>
          </w:p>
        </w:tc>
      </w:tr>
      <w:tr>
        <w:trPr>
          <w:trHeight w:val="135"/>
        </w:trPr>
        <w:tc>
          <w:tcPr>
            <w:tcW w:w="3500" w:type="dxa"/>
            <w:vAlign w:val="bottom"/>
            <w:shd w:val="clear" w:color="auto" w:fill="EBEBEC"/>
          </w:tcPr>
          <w:p>
            <w:pPr>
              <w:ind w:left="100"/>
              <w:spacing w:after="0" w:line="135" w:lineRule="exact"/>
              <w:rPr>
                <w:sz w:val="20"/>
                <w:szCs w:val="20"/>
                <w:color w:val="auto"/>
              </w:rPr>
            </w:pPr>
            <w:r>
              <w:rPr>
                <w:rFonts w:ascii="Arial" w:cs="Arial" w:eastAsia="Arial" w:hAnsi="Arial"/>
                <w:sz w:val="13"/>
                <w:szCs w:val="13"/>
                <w:color w:val="auto"/>
              </w:rPr>
              <w:t>PSU(6)</w:t>
            </w:r>
          </w:p>
        </w:tc>
        <w:tc>
          <w:tcPr>
            <w:tcW w:w="300" w:type="dxa"/>
            <w:vAlign w:val="bottom"/>
            <w:shd w:val="clear" w:color="auto" w:fill="EBEBEC"/>
          </w:tcPr>
          <w:p>
            <w:pPr>
              <w:spacing w:after="0"/>
              <w:rPr>
                <w:sz w:val="11"/>
                <w:szCs w:val="11"/>
                <w:color w:val="auto"/>
              </w:rPr>
            </w:pP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2/23/2023</w:t>
            </w:r>
          </w:p>
        </w:tc>
        <w:tc>
          <w:tcPr>
            <w:tcW w:w="300" w:type="dxa"/>
            <w:vAlign w:val="bottom"/>
            <w:shd w:val="clear" w:color="auto" w:fill="EBEBEC"/>
          </w:tcPr>
          <w:p>
            <w:pPr>
              <w:spacing w:after="0"/>
              <w:rPr>
                <w:sz w:val="11"/>
                <w:szCs w:val="11"/>
                <w:color w:val="auto"/>
              </w:rPr>
            </w:pPr>
          </w:p>
        </w:tc>
        <w:tc>
          <w:tcPr>
            <w:tcW w:w="1340" w:type="dxa"/>
            <w:vAlign w:val="bottom"/>
            <w:gridSpan w:val="2"/>
            <w:shd w:val="clear" w:color="auto" w:fill="EBEBEC"/>
          </w:tcPr>
          <w:p>
            <w:pPr>
              <w:jc w:val="right"/>
              <w:spacing w:after="0" w:line="135" w:lineRule="exact"/>
              <w:rPr>
                <w:sz w:val="20"/>
                <w:szCs w:val="20"/>
                <w:color w:val="auto"/>
              </w:rPr>
            </w:pPr>
            <w:r>
              <w:rPr>
                <w:rFonts w:ascii="Arial" w:cs="Arial" w:eastAsia="Arial" w:hAnsi="Arial"/>
                <w:sz w:val="13"/>
                <w:szCs w:val="13"/>
                <w:color w:val="auto"/>
              </w:rPr>
              <w:t>69,298</w:t>
            </w: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460" w:type="dxa"/>
            <w:vAlign w:val="bottom"/>
            <w:shd w:val="clear" w:color="auto" w:fill="EBEBEC"/>
          </w:tcPr>
          <w:p>
            <w:pPr>
              <w:jc w:val="right"/>
              <w:ind w:right="597"/>
              <w:spacing w:after="0" w:line="135" w:lineRule="exact"/>
              <w:rPr>
                <w:sz w:val="20"/>
                <w:szCs w:val="20"/>
                <w:color w:val="auto"/>
              </w:rPr>
            </w:pPr>
            <w:r>
              <w:rPr>
                <w:rFonts w:ascii="Arial" w:cs="Arial" w:eastAsia="Arial" w:hAnsi="Arial"/>
                <w:sz w:val="13"/>
                <w:szCs w:val="13"/>
                <w:color w:val="auto"/>
              </w:rPr>
              <w:t>3,595,873</w:t>
            </w:r>
          </w:p>
        </w:tc>
        <w:tc>
          <w:tcPr>
            <w:tcW w:w="1120" w:type="dxa"/>
            <w:vAlign w:val="bottom"/>
            <w:shd w:val="clear" w:color="auto" w:fill="EBEBEC"/>
          </w:tcPr>
          <w:p>
            <w:pPr>
              <w:spacing w:after="0"/>
              <w:rPr>
                <w:sz w:val="11"/>
                <w:szCs w:val="11"/>
                <w:color w:val="auto"/>
              </w:rPr>
            </w:pPr>
          </w:p>
        </w:tc>
        <w:tc>
          <w:tcPr>
            <w:tcW w:w="580" w:type="dxa"/>
            <w:vAlign w:val="bottom"/>
            <w:shd w:val="clear" w:color="auto" w:fill="EBEBEC"/>
          </w:tcPr>
          <w:p>
            <w:pPr>
              <w:spacing w:after="0"/>
              <w:rPr>
                <w:sz w:val="11"/>
                <w:szCs w:val="11"/>
                <w:color w:val="auto"/>
              </w:rPr>
            </w:pPr>
          </w:p>
        </w:tc>
        <w:tc>
          <w:tcPr>
            <w:tcW w:w="780" w:type="dxa"/>
            <w:vAlign w:val="bottom"/>
            <w:shd w:val="clear" w:color="auto" w:fill="EBEB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EBEBEC"/>
          </w:tcPr>
          <w:p>
            <w:pPr>
              <w:ind w:left="100"/>
              <w:spacing w:after="0" w:line="135" w:lineRule="exact"/>
              <w:rPr>
                <w:sz w:val="20"/>
                <w:szCs w:val="20"/>
                <w:color w:val="auto"/>
              </w:rPr>
            </w:pPr>
            <w:r>
              <w:rPr>
                <w:rFonts w:ascii="Arial" w:cs="Arial" w:eastAsia="Arial" w:hAnsi="Arial"/>
                <w:sz w:val="13"/>
                <w:szCs w:val="13"/>
                <w:color w:val="auto"/>
              </w:rPr>
              <w:t>PSU(7)</w:t>
            </w:r>
          </w:p>
        </w:tc>
        <w:tc>
          <w:tcPr>
            <w:tcW w:w="300" w:type="dxa"/>
            <w:vAlign w:val="bottom"/>
            <w:shd w:val="clear" w:color="auto" w:fill="EBEBEC"/>
          </w:tcPr>
          <w:p>
            <w:pPr>
              <w:spacing w:after="0"/>
              <w:rPr>
                <w:sz w:val="11"/>
                <w:szCs w:val="11"/>
                <w:color w:val="auto"/>
              </w:rPr>
            </w:pP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2/22/2024</w:t>
            </w:r>
          </w:p>
        </w:tc>
        <w:tc>
          <w:tcPr>
            <w:tcW w:w="300" w:type="dxa"/>
            <w:vAlign w:val="bottom"/>
            <w:shd w:val="clear" w:color="auto" w:fill="EBEBEC"/>
          </w:tcPr>
          <w:p>
            <w:pPr>
              <w:spacing w:after="0"/>
              <w:rPr>
                <w:sz w:val="11"/>
                <w:szCs w:val="11"/>
                <w:color w:val="auto"/>
              </w:rPr>
            </w:pPr>
          </w:p>
        </w:tc>
        <w:tc>
          <w:tcPr>
            <w:tcW w:w="680" w:type="dxa"/>
            <w:vAlign w:val="bottom"/>
            <w:shd w:val="clear" w:color="auto" w:fill="EBEBEC"/>
          </w:tcPr>
          <w:p>
            <w:pPr>
              <w:spacing w:after="0"/>
              <w:rPr>
                <w:sz w:val="11"/>
                <w:szCs w:val="11"/>
                <w:color w:val="auto"/>
              </w:rPr>
            </w:pPr>
          </w:p>
        </w:tc>
        <w:tc>
          <w:tcPr>
            <w:tcW w:w="660" w:type="dxa"/>
            <w:vAlign w:val="bottom"/>
            <w:shd w:val="clear" w:color="auto" w:fill="EBEBEC"/>
          </w:tcPr>
          <w:p>
            <w:pPr>
              <w:spacing w:after="0"/>
              <w:rPr>
                <w:sz w:val="11"/>
                <w:szCs w:val="11"/>
                <w:color w:val="auto"/>
              </w:rPr>
            </w:pPr>
          </w:p>
        </w:tc>
        <w:tc>
          <w:tcPr>
            <w:tcW w:w="860" w:type="dxa"/>
            <w:vAlign w:val="bottom"/>
            <w:shd w:val="clear" w:color="auto" w:fill="EBEBEC"/>
          </w:tcPr>
          <w:p>
            <w:pPr>
              <w:spacing w:after="0"/>
              <w:rPr>
                <w:sz w:val="11"/>
                <w:szCs w:val="11"/>
                <w:color w:val="auto"/>
              </w:rPr>
            </w:pPr>
          </w:p>
        </w:tc>
        <w:tc>
          <w:tcPr>
            <w:tcW w:w="1460" w:type="dxa"/>
            <w:vAlign w:val="bottom"/>
            <w:shd w:val="clear" w:color="auto" w:fill="EBEBEC"/>
          </w:tcPr>
          <w:p>
            <w:pPr>
              <w:spacing w:after="0"/>
              <w:rPr>
                <w:sz w:val="11"/>
                <w:szCs w:val="11"/>
                <w:color w:val="auto"/>
              </w:rPr>
            </w:pPr>
          </w:p>
        </w:tc>
        <w:tc>
          <w:tcPr>
            <w:tcW w:w="1120" w:type="dxa"/>
            <w:vAlign w:val="bottom"/>
            <w:shd w:val="clear" w:color="auto" w:fill="EBEBEC"/>
          </w:tcPr>
          <w:p>
            <w:pPr>
              <w:jc w:val="right"/>
              <w:ind w:right="357"/>
              <w:spacing w:after="0" w:line="135" w:lineRule="exact"/>
              <w:rPr>
                <w:sz w:val="20"/>
                <w:szCs w:val="20"/>
                <w:color w:val="auto"/>
              </w:rPr>
            </w:pPr>
            <w:r>
              <w:rPr>
                <w:rFonts w:ascii="Arial" w:cs="Arial" w:eastAsia="Arial" w:hAnsi="Arial"/>
                <w:sz w:val="13"/>
                <w:szCs w:val="13"/>
                <w:color w:val="auto"/>
              </w:rPr>
              <w:t>58,054</w:t>
            </w:r>
          </w:p>
        </w:tc>
        <w:tc>
          <w:tcPr>
            <w:tcW w:w="580" w:type="dxa"/>
            <w:vAlign w:val="bottom"/>
            <w:shd w:val="clear" w:color="auto" w:fill="EBEBEC"/>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57"/>
              <w:spacing w:after="0" w:line="135" w:lineRule="exact"/>
              <w:rPr>
                <w:sz w:val="20"/>
                <w:szCs w:val="20"/>
                <w:color w:val="auto"/>
              </w:rPr>
            </w:pPr>
            <w:r>
              <w:rPr>
                <w:rFonts w:ascii="Arial" w:cs="Arial" w:eastAsia="Arial" w:hAnsi="Arial"/>
                <w:sz w:val="13"/>
                <w:szCs w:val="13"/>
                <w:color w:val="auto"/>
              </w:rPr>
              <w:t>3,012,422</w:t>
            </w:r>
          </w:p>
        </w:tc>
        <w:tc>
          <w:tcPr>
            <w:tcW w:w="0" w:type="dxa"/>
            <w:vAlign w:val="bottom"/>
          </w:tcPr>
          <w:p>
            <w:pPr>
              <w:spacing w:after="0"/>
              <w:rPr>
                <w:sz w:val="1"/>
                <w:szCs w:val="1"/>
                <w:color w:val="auto"/>
              </w:rPr>
            </w:pPr>
          </w:p>
        </w:tc>
      </w:tr>
      <w:tr>
        <w:trPr>
          <w:trHeight w:val="135"/>
        </w:trPr>
        <w:tc>
          <w:tcPr>
            <w:tcW w:w="3500" w:type="dxa"/>
            <w:vAlign w:val="bottom"/>
            <w:shd w:val="clear" w:color="auto" w:fill="EBEBEC"/>
          </w:tcPr>
          <w:p>
            <w:pPr>
              <w:ind w:left="100"/>
              <w:spacing w:after="0" w:line="135" w:lineRule="exact"/>
              <w:rPr>
                <w:sz w:val="20"/>
                <w:szCs w:val="20"/>
                <w:color w:val="auto"/>
              </w:rPr>
            </w:pPr>
            <w:r>
              <w:rPr>
                <w:rFonts w:ascii="Arial" w:cs="Arial" w:eastAsia="Arial" w:hAnsi="Arial"/>
                <w:sz w:val="13"/>
                <w:szCs w:val="13"/>
                <w:b w:val="1"/>
                <w:bCs w:val="1"/>
                <w:color w:val="auto"/>
              </w:rPr>
              <w:t>Manuela ("Nelly") Molina</w:t>
            </w:r>
          </w:p>
        </w:tc>
        <w:tc>
          <w:tcPr>
            <w:tcW w:w="300" w:type="dxa"/>
            <w:vAlign w:val="bottom"/>
            <w:shd w:val="clear" w:color="auto" w:fill="EBEBEC"/>
          </w:tcPr>
          <w:p>
            <w:pPr>
              <w:spacing w:after="0"/>
              <w:rPr>
                <w:sz w:val="11"/>
                <w:szCs w:val="11"/>
                <w:color w:val="auto"/>
              </w:rPr>
            </w:pPr>
          </w:p>
        </w:tc>
        <w:tc>
          <w:tcPr>
            <w:tcW w:w="860" w:type="dxa"/>
            <w:vAlign w:val="bottom"/>
            <w:shd w:val="clear" w:color="auto" w:fill="EBEBEC"/>
          </w:tcPr>
          <w:p>
            <w:pPr>
              <w:spacing w:after="0"/>
              <w:rPr>
                <w:sz w:val="11"/>
                <w:szCs w:val="11"/>
                <w:color w:val="auto"/>
              </w:rPr>
            </w:pPr>
          </w:p>
        </w:tc>
        <w:tc>
          <w:tcPr>
            <w:tcW w:w="300" w:type="dxa"/>
            <w:vAlign w:val="bottom"/>
            <w:shd w:val="clear" w:color="auto" w:fill="EBEBEC"/>
          </w:tcPr>
          <w:p>
            <w:pPr>
              <w:spacing w:after="0"/>
              <w:rPr>
                <w:sz w:val="11"/>
                <w:szCs w:val="11"/>
                <w:color w:val="auto"/>
              </w:rPr>
            </w:pPr>
          </w:p>
        </w:tc>
        <w:tc>
          <w:tcPr>
            <w:tcW w:w="680" w:type="dxa"/>
            <w:vAlign w:val="bottom"/>
            <w:shd w:val="clear" w:color="auto" w:fill="EBEBEC"/>
          </w:tcPr>
          <w:p>
            <w:pPr>
              <w:spacing w:after="0"/>
              <w:rPr>
                <w:sz w:val="11"/>
                <w:szCs w:val="11"/>
                <w:color w:val="auto"/>
              </w:rPr>
            </w:pPr>
          </w:p>
        </w:tc>
        <w:tc>
          <w:tcPr>
            <w:tcW w:w="660" w:type="dxa"/>
            <w:vAlign w:val="bottom"/>
            <w:shd w:val="clear" w:color="auto" w:fill="EBEBEC"/>
          </w:tcPr>
          <w:p>
            <w:pPr>
              <w:spacing w:after="0"/>
              <w:rPr>
                <w:sz w:val="11"/>
                <w:szCs w:val="11"/>
                <w:color w:val="auto"/>
              </w:rPr>
            </w:pPr>
          </w:p>
        </w:tc>
        <w:tc>
          <w:tcPr>
            <w:tcW w:w="860" w:type="dxa"/>
            <w:vAlign w:val="bottom"/>
            <w:shd w:val="clear" w:color="auto" w:fill="EBEBEC"/>
          </w:tcPr>
          <w:p>
            <w:pPr>
              <w:spacing w:after="0"/>
              <w:rPr>
                <w:sz w:val="11"/>
                <w:szCs w:val="11"/>
                <w:color w:val="auto"/>
              </w:rPr>
            </w:pPr>
          </w:p>
        </w:tc>
        <w:tc>
          <w:tcPr>
            <w:tcW w:w="1460" w:type="dxa"/>
            <w:vAlign w:val="bottom"/>
            <w:shd w:val="clear" w:color="auto" w:fill="EBEBEC"/>
          </w:tcPr>
          <w:p>
            <w:pPr>
              <w:spacing w:after="0"/>
              <w:rPr>
                <w:sz w:val="11"/>
                <w:szCs w:val="11"/>
                <w:color w:val="auto"/>
              </w:rPr>
            </w:pPr>
          </w:p>
        </w:tc>
        <w:tc>
          <w:tcPr>
            <w:tcW w:w="1120" w:type="dxa"/>
            <w:vAlign w:val="bottom"/>
            <w:shd w:val="clear" w:color="auto" w:fill="EBEBEC"/>
          </w:tcPr>
          <w:p>
            <w:pPr>
              <w:spacing w:after="0"/>
              <w:rPr>
                <w:sz w:val="11"/>
                <w:szCs w:val="11"/>
                <w:color w:val="auto"/>
              </w:rPr>
            </w:pPr>
          </w:p>
        </w:tc>
        <w:tc>
          <w:tcPr>
            <w:tcW w:w="580" w:type="dxa"/>
            <w:vAlign w:val="bottom"/>
            <w:shd w:val="clear" w:color="auto" w:fill="EBEBEC"/>
          </w:tcPr>
          <w:p>
            <w:pPr>
              <w:spacing w:after="0"/>
              <w:rPr>
                <w:sz w:val="11"/>
                <w:szCs w:val="11"/>
                <w:color w:val="auto"/>
              </w:rPr>
            </w:pPr>
          </w:p>
        </w:tc>
        <w:tc>
          <w:tcPr>
            <w:tcW w:w="780" w:type="dxa"/>
            <w:vAlign w:val="bottom"/>
            <w:shd w:val="clear" w:color="auto" w:fill="EBEB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EBEBEC"/>
          </w:tcPr>
          <w:p>
            <w:pPr>
              <w:ind w:left="100"/>
              <w:spacing w:after="0" w:line="135" w:lineRule="exact"/>
              <w:rPr>
                <w:sz w:val="20"/>
                <w:szCs w:val="20"/>
                <w:color w:val="auto"/>
              </w:rPr>
            </w:pPr>
            <w:r>
              <w:rPr>
                <w:rFonts w:ascii="Arial" w:cs="Arial" w:eastAsia="Arial" w:hAnsi="Arial"/>
                <w:sz w:val="13"/>
                <w:szCs w:val="13"/>
                <w:color w:val="auto"/>
              </w:rPr>
              <w:t>PSU(8)</w:t>
            </w:r>
          </w:p>
        </w:tc>
        <w:tc>
          <w:tcPr>
            <w:tcW w:w="300" w:type="dxa"/>
            <w:vAlign w:val="bottom"/>
            <w:shd w:val="clear" w:color="auto" w:fill="EBEBEC"/>
          </w:tcPr>
          <w:p>
            <w:pPr>
              <w:spacing w:after="0"/>
              <w:rPr>
                <w:sz w:val="11"/>
                <w:szCs w:val="11"/>
                <w:color w:val="auto"/>
              </w:rPr>
            </w:pP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5/8/2023</w:t>
            </w:r>
          </w:p>
        </w:tc>
        <w:tc>
          <w:tcPr>
            <w:tcW w:w="300" w:type="dxa"/>
            <w:vAlign w:val="bottom"/>
            <w:shd w:val="clear" w:color="auto" w:fill="EBEBEC"/>
          </w:tcPr>
          <w:p>
            <w:pPr>
              <w:spacing w:after="0"/>
              <w:rPr>
                <w:sz w:val="11"/>
                <w:szCs w:val="11"/>
                <w:color w:val="auto"/>
              </w:rPr>
            </w:pPr>
          </w:p>
        </w:tc>
        <w:tc>
          <w:tcPr>
            <w:tcW w:w="680" w:type="dxa"/>
            <w:vAlign w:val="bottom"/>
            <w:shd w:val="clear" w:color="auto" w:fill="EBEBEC"/>
          </w:tcPr>
          <w:p>
            <w:pPr>
              <w:spacing w:after="0"/>
              <w:rPr>
                <w:sz w:val="11"/>
                <w:szCs w:val="11"/>
                <w:color w:val="auto"/>
              </w:rPr>
            </w:pPr>
          </w:p>
        </w:tc>
        <w:tc>
          <w:tcPr>
            <w:tcW w:w="660" w:type="dxa"/>
            <w:vAlign w:val="bottom"/>
            <w:shd w:val="clear" w:color="auto" w:fill="EBEBEC"/>
          </w:tcPr>
          <w:p>
            <w:pPr>
              <w:spacing w:after="0"/>
              <w:rPr>
                <w:sz w:val="11"/>
                <w:szCs w:val="11"/>
                <w:color w:val="auto"/>
              </w:rPr>
            </w:pPr>
          </w:p>
        </w:tc>
        <w:tc>
          <w:tcPr>
            <w:tcW w:w="860" w:type="dxa"/>
            <w:vAlign w:val="bottom"/>
            <w:shd w:val="clear" w:color="auto" w:fill="EBEBEC"/>
          </w:tcPr>
          <w:p>
            <w:pPr>
              <w:spacing w:after="0"/>
              <w:rPr>
                <w:sz w:val="11"/>
                <w:szCs w:val="11"/>
                <w:color w:val="auto"/>
              </w:rPr>
            </w:pPr>
          </w:p>
        </w:tc>
        <w:tc>
          <w:tcPr>
            <w:tcW w:w="1460" w:type="dxa"/>
            <w:vAlign w:val="bottom"/>
            <w:shd w:val="clear" w:color="auto" w:fill="EBEBEC"/>
          </w:tcPr>
          <w:p>
            <w:pPr>
              <w:spacing w:after="0"/>
              <w:rPr>
                <w:sz w:val="11"/>
                <w:szCs w:val="11"/>
                <w:color w:val="auto"/>
              </w:rPr>
            </w:pPr>
          </w:p>
        </w:tc>
        <w:tc>
          <w:tcPr>
            <w:tcW w:w="1120" w:type="dxa"/>
            <w:vAlign w:val="bottom"/>
            <w:shd w:val="clear" w:color="auto" w:fill="EBEBEC"/>
          </w:tcPr>
          <w:p>
            <w:pPr>
              <w:jc w:val="right"/>
              <w:ind w:right="357"/>
              <w:spacing w:after="0" w:line="135" w:lineRule="exact"/>
              <w:rPr>
                <w:sz w:val="20"/>
                <w:szCs w:val="20"/>
                <w:color w:val="auto"/>
              </w:rPr>
            </w:pPr>
            <w:r>
              <w:rPr>
                <w:rFonts w:ascii="Arial" w:cs="Arial" w:eastAsia="Arial" w:hAnsi="Arial"/>
                <w:sz w:val="13"/>
                <w:szCs w:val="13"/>
                <w:color w:val="auto"/>
              </w:rPr>
              <w:t>36,680</w:t>
            </w:r>
          </w:p>
        </w:tc>
        <w:tc>
          <w:tcPr>
            <w:tcW w:w="580" w:type="dxa"/>
            <w:vAlign w:val="bottom"/>
            <w:shd w:val="clear" w:color="auto" w:fill="EBEBEC"/>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57"/>
              <w:spacing w:after="0" w:line="135" w:lineRule="exact"/>
              <w:rPr>
                <w:sz w:val="20"/>
                <w:szCs w:val="20"/>
                <w:color w:val="auto"/>
              </w:rPr>
            </w:pPr>
            <w:r>
              <w:rPr>
                <w:rFonts w:ascii="Arial" w:cs="Arial" w:eastAsia="Arial" w:hAnsi="Arial"/>
                <w:sz w:val="13"/>
                <w:szCs w:val="13"/>
                <w:color w:val="auto"/>
              </w:rPr>
              <w:t>1,903,325</w:t>
            </w:r>
          </w:p>
        </w:tc>
        <w:tc>
          <w:tcPr>
            <w:tcW w:w="0" w:type="dxa"/>
            <w:vAlign w:val="bottom"/>
          </w:tcPr>
          <w:p>
            <w:pPr>
              <w:spacing w:after="0"/>
              <w:rPr>
                <w:sz w:val="1"/>
                <w:szCs w:val="1"/>
                <w:color w:val="auto"/>
              </w:rPr>
            </w:pPr>
          </w:p>
        </w:tc>
      </w:tr>
      <w:tr>
        <w:trPr>
          <w:trHeight w:val="135"/>
        </w:trPr>
        <w:tc>
          <w:tcPr>
            <w:tcW w:w="3500" w:type="dxa"/>
            <w:vAlign w:val="bottom"/>
            <w:shd w:val="clear" w:color="auto" w:fill="EBEBEC"/>
          </w:tcPr>
          <w:p>
            <w:pPr>
              <w:ind w:left="100"/>
              <w:spacing w:after="0" w:line="135" w:lineRule="exact"/>
              <w:rPr>
                <w:sz w:val="20"/>
                <w:szCs w:val="20"/>
                <w:color w:val="auto"/>
              </w:rPr>
            </w:pPr>
            <w:r>
              <w:rPr>
                <w:rFonts w:ascii="Arial" w:cs="Arial" w:eastAsia="Arial" w:hAnsi="Arial"/>
                <w:sz w:val="13"/>
                <w:szCs w:val="13"/>
                <w:color w:val="auto"/>
              </w:rPr>
              <w:t>PSU(9)</w:t>
            </w:r>
          </w:p>
        </w:tc>
        <w:tc>
          <w:tcPr>
            <w:tcW w:w="300" w:type="dxa"/>
            <w:vAlign w:val="bottom"/>
            <w:shd w:val="clear" w:color="auto" w:fill="EBEBEC"/>
          </w:tcPr>
          <w:p>
            <w:pPr>
              <w:spacing w:after="0"/>
              <w:rPr>
                <w:sz w:val="11"/>
                <w:szCs w:val="11"/>
                <w:color w:val="auto"/>
              </w:rPr>
            </w:pP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2/22/2024</w:t>
            </w:r>
          </w:p>
        </w:tc>
        <w:tc>
          <w:tcPr>
            <w:tcW w:w="300" w:type="dxa"/>
            <w:vAlign w:val="bottom"/>
            <w:shd w:val="clear" w:color="auto" w:fill="EBEBEC"/>
          </w:tcPr>
          <w:p>
            <w:pPr>
              <w:spacing w:after="0"/>
              <w:rPr>
                <w:sz w:val="11"/>
                <w:szCs w:val="11"/>
                <w:color w:val="auto"/>
              </w:rPr>
            </w:pPr>
          </w:p>
        </w:tc>
        <w:tc>
          <w:tcPr>
            <w:tcW w:w="680" w:type="dxa"/>
            <w:vAlign w:val="bottom"/>
            <w:shd w:val="clear" w:color="auto" w:fill="EBEBEC"/>
          </w:tcPr>
          <w:p>
            <w:pPr>
              <w:spacing w:after="0"/>
              <w:rPr>
                <w:sz w:val="11"/>
                <w:szCs w:val="11"/>
                <w:color w:val="auto"/>
              </w:rPr>
            </w:pPr>
          </w:p>
        </w:tc>
        <w:tc>
          <w:tcPr>
            <w:tcW w:w="660" w:type="dxa"/>
            <w:vAlign w:val="bottom"/>
            <w:shd w:val="clear" w:color="auto" w:fill="EBEBEC"/>
          </w:tcPr>
          <w:p>
            <w:pPr>
              <w:spacing w:after="0"/>
              <w:rPr>
                <w:sz w:val="11"/>
                <w:szCs w:val="11"/>
                <w:color w:val="auto"/>
              </w:rPr>
            </w:pPr>
          </w:p>
        </w:tc>
        <w:tc>
          <w:tcPr>
            <w:tcW w:w="860" w:type="dxa"/>
            <w:vAlign w:val="bottom"/>
            <w:shd w:val="clear" w:color="auto" w:fill="EBEBEC"/>
          </w:tcPr>
          <w:p>
            <w:pPr>
              <w:spacing w:after="0"/>
              <w:rPr>
                <w:sz w:val="11"/>
                <w:szCs w:val="11"/>
                <w:color w:val="auto"/>
              </w:rPr>
            </w:pPr>
          </w:p>
        </w:tc>
        <w:tc>
          <w:tcPr>
            <w:tcW w:w="1460" w:type="dxa"/>
            <w:vAlign w:val="bottom"/>
            <w:shd w:val="clear" w:color="auto" w:fill="EBEBEC"/>
          </w:tcPr>
          <w:p>
            <w:pPr>
              <w:spacing w:after="0"/>
              <w:rPr>
                <w:sz w:val="11"/>
                <w:szCs w:val="11"/>
                <w:color w:val="auto"/>
              </w:rPr>
            </w:pPr>
          </w:p>
        </w:tc>
        <w:tc>
          <w:tcPr>
            <w:tcW w:w="1120" w:type="dxa"/>
            <w:vAlign w:val="bottom"/>
            <w:shd w:val="clear" w:color="auto" w:fill="EBEBEC"/>
          </w:tcPr>
          <w:p>
            <w:pPr>
              <w:jc w:val="right"/>
              <w:ind w:right="357"/>
              <w:spacing w:after="0" w:line="135" w:lineRule="exact"/>
              <w:rPr>
                <w:sz w:val="20"/>
                <w:szCs w:val="20"/>
                <w:color w:val="auto"/>
              </w:rPr>
            </w:pPr>
            <w:r>
              <w:rPr>
                <w:rFonts w:ascii="Arial" w:cs="Arial" w:eastAsia="Arial" w:hAnsi="Arial"/>
                <w:sz w:val="13"/>
                <w:szCs w:val="13"/>
                <w:color w:val="auto"/>
              </w:rPr>
              <w:t>7,455</w:t>
            </w:r>
          </w:p>
        </w:tc>
        <w:tc>
          <w:tcPr>
            <w:tcW w:w="580" w:type="dxa"/>
            <w:vAlign w:val="bottom"/>
            <w:shd w:val="clear" w:color="auto" w:fill="EBEBEC"/>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57"/>
              <w:spacing w:after="0" w:line="135" w:lineRule="exact"/>
              <w:rPr>
                <w:sz w:val="20"/>
                <w:szCs w:val="20"/>
                <w:color w:val="auto"/>
              </w:rPr>
            </w:pPr>
            <w:r>
              <w:rPr>
                <w:rFonts w:ascii="Arial" w:cs="Arial" w:eastAsia="Arial" w:hAnsi="Arial"/>
                <w:sz w:val="13"/>
                <w:szCs w:val="13"/>
                <w:color w:val="auto"/>
              </w:rPr>
              <w:t>386,840</w:t>
            </w:r>
          </w:p>
        </w:tc>
        <w:tc>
          <w:tcPr>
            <w:tcW w:w="0" w:type="dxa"/>
            <w:vAlign w:val="bottom"/>
          </w:tcPr>
          <w:p>
            <w:pPr>
              <w:spacing w:after="0"/>
              <w:rPr>
                <w:sz w:val="1"/>
                <w:szCs w:val="1"/>
                <w:color w:val="auto"/>
              </w:rPr>
            </w:pPr>
          </w:p>
        </w:tc>
      </w:tr>
      <w:tr>
        <w:trPr>
          <w:trHeight w:val="135"/>
        </w:trPr>
        <w:tc>
          <w:tcPr>
            <w:tcW w:w="3500" w:type="dxa"/>
            <w:vAlign w:val="bottom"/>
            <w:shd w:val="clear" w:color="auto" w:fill="EBEBEC"/>
          </w:tcPr>
          <w:p>
            <w:pPr>
              <w:ind w:left="100"/>
              <w:spacing w:after="0" w:line="135" w:lineRule="exact"/>
              <w:rPr>
                <w:sz w:val="20"/>
                <w:szCs w:val="20"/>
                <w:color w:val="auto"/>
              </w:rPr>
            </w:pPr>
            <w:r>
              <w:rPr>
                <w:rFonts w:ascii="Arial" w:cs="Arial" w:eastAsia="Arial" w:hAnsi="Arial"/>
                <w:sz w:val="13"/>
                <w:szCs w:val="13"/>
                <w:b w:val="1"/>
                <w:bCs w:val="1"/>
                <w:color w:val="auto"/>
              </w:rPr>
              <w:t>Jay A. Bys</w:t>
            </w:r>
          </w:p>
        </w:tc>
        <w:tc>
          <w:tcPr>
            <w:tcW w:w="300" w:type="dxa"/>
            <w:vAlign w:val="bottom"/>
            <w:shd w:val="clear" w:color="auto" w:fill="EBEBEC"/>
          </w:tcPr>
          <w:p>
            <w:pPr>
              <w:spacing w:after="0"/>
              <w:rPr>
                <w:sz w:val="11"/>
                <w:szCs w:val="11"/>
                <w:color w:val="auto"/>
              </w:rPr>
            </w:pPr>
          </w:p>
        </w:tc>
        <w:tc>
          <w:tcPr>
            <w:tcW w:w="860" w:type="dxa"/>
            <w:vAlign w:val="bottom"/>
            <w:shd w:val="clear" w:color="auto" w:fill="EBEBEC"/>
          </w:tcPr>
          <w:p>
            <w:pPr>
              <w:spacing w:after="0"/>
              <w:rPr>
                <w:sz w:val="11"/>
                <w:szCs w:val="11"/>
                <w:color w:val="auto"/>
              </w:rPr>
            </w:pPr>
          </w:p>
        </w:tc>
        <w:tc>
          <w:tcPr>
            <w:tcW w:w="300" w:type="dxa"/>
            <w:vAlign w:val="bottom"/>
            <w:shd w:val="clear" w:color="auto" w:fill="EBEBEC"/>
          </w:tcPr>
          <w:p>
            <w:pPr>
              <w:spacing w:after="0"/>
              <w:rPr>
                <w:sz w:val="11"/>
                <w:szCs w:val="11"/>
                <w:color w:val="auto"/>
              </w:rPr>
            </w:pPr>
          </w:p>
        </w:tc>
        <w:tc>
          <w:tcPr>
            <w:tcW w:w="680" w:type="dxa"/>
            <w:vAlign w:val="bottom"/>
            <w:shd w:val="clear" w:color="auto" w:fill="EBEBEC"/>
          </w:tcPr>
          <w:p>
            <w:pPr>
              <w:spacing w:after="0"/>
              <w:rPr>
                <w:sz w:val="11"/>
                <w:szCs w:val="11"/>
                <w:color w:val="auto"/>
              </w:rPr>
            </w:pPr>
          </w:p>
        </w:tc>
        <w:tc>
          <w:tcPr>
            <w:tcW w:w="660" w:type="dxa"/>
            <w:vAlign w:val="bottom"/>
            <w:shd w:val="clear" w:color="auto" w:fill="EBEBEC"/>
          </w:tcPr>
          <w:p>
            <w:pPr>
              <w:spacing w:after="0"/>
              <w:rPr>
                <w:sz w:val="11"/>
                <w:szCs w:val="11"/>
                <w:color w:val="auto"/>
              </w:rPr>
            </w:pPr>
          </w:p>
        </w:tc>
        <w:tc>
          <w:tcPr>
            <w:tcW w:w="860" w:type="dxa"/>
            <w:vAlign w:val="bottom"/>
            <w:shd w:val="clear" w:color="auto" w:fill="EBEBEC"/>
          </w:tcPr>
          <w:p>
            <w:pPr>
              <w:spacing w:after="0"/>
              <w:rPr>
                <w:sz w:val="11"/>
                <w:szCs w:val="11"/>
                <w:color w:val="auto"/>
              </w:rPr>
            </w:pPr>
          </w:p>
        </w:tc>
        <w:tc>
          <w:tcPr>
            <w:tcW w:w="1460" w:type="dxa"/>
            <w:vAlign w:val="bottom"/>
            <w:shd w:val="clear" w:color="auto" w:fill="EBEBEC"/>
          </w:tcPr>
          <w:p>
            <w:pPr>
              <w:spacing w:after="0"/>
              <w:rPr>
                <w:sz w:val="11"/>
                <w:szCs w:val="11"/>
                <w:color w:val="auto"/>
              </w:rPr>
            </w:pPr>
          </w:p>
        </w:tc>
        <w:tc>
          <w:tcPr>
            <w:tcW w:w="1120" w:type="dxa"/>
            <w:vAlign w:val="bottom"/>
            <w:shd w:val="clear" w:color="auto" w:fill="EBEBEC"/>
          </w:tcPr>
          <w:p>
            <w:pPr>
              <w:spacing w:after="0"/>
              <w:rPr>
                <w:sz w:val="11"/>
                <w:szCs w:val="11"/>
                <w:color w:val="auto"/>
              </w:rPr>
            </w:pPr>
          </w:p>
        </w:tc>
        <w:tc>
          <w:tcPr>
            <w:tcW w:w="580" w:type="dxa"/>
            <w:vAlign w:val="bottom"/>
            <w:shd w:val="clear" w:color="auto" w:fill="EBEBEC"/>
          </w:tcPr>
          <w:p>
            <w:pPr>
              <w:spacing w:after="0"/>
              <w:rPr>
                <w:sz w:val="11"/>
                <w:szCs w:val="11"/>
                <w:color w:val="auto"/>
              </w:rPr>
            </w:pPr>
          </w:p>
        </w:tc>
        <w:tc>
          <w:tcPr>
            <w:tcW w:w="780" w:type="dxa"/>
            <w:vAlign w:val="bottom"/>
            <w:shd w:val="clear" w:color="auto" w:fill="EBEB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EBEBEC"/>
          </w:tcPr>
          <w:p>
            <w:pPr>
              <w:ind w:left="100"/>
              <w:spacing w:after="0" w:line="135" w:lineRule="exact"/>
              <w:rPr>
                <w:sz w:val="20"/>
                <w:szCs w:val="20"/>
                <w:color w:val="auto"/>
              </w:rPr>
            </w:pPr>
            <w:r>
              <w:rPr>
                <w:rFonts w:ascii="Arial" w:cs="Arial" w:eastAsia="Arial" w:hAnsi="Arial"/>
                <w:sz w:val="13"/>
                <w:szCs w:val="13"/>
                <w:color w:val="auto"/>
              </w:rPr>
              <w:t>RSU(2)</w:t>
            </w:r>
          </w:p>
        </w:tc>
        <w:tc>
          <w:tcPr>
            <w:tcW w:w="300" w:type="dxa"/>
            <w:vAlign w:val="bottom"/>
            <w:shd w:val="clear" w:color="auto" w:fill="EBEBEC"/>
          </w:tcPr>
          <w:p>
            <w:pPr>
              <w:spacing w:after="0"/>
              <w:rPr>
                <w:sz w:val="11"/>
                <w:szCs w:val="11"/>
                <w:color w:val="auto"/>
              </w:rPr>
            </w:pP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2/23/2023</w:t>
            </w:r>
          </w:p>
        </w:tc>
        <w:tc>
          <w:tcPr>
            <w:tcW w:w="300" w:type="dxa"/>
            <w:vAlign w:val="bottom"/>
            <w:shd w:val="clear" w:color="auto" w:fill="EBEBEC"/>
          </w:tcPr>
          <w:p>
            <w:pPr>
              <w:spacing w:after="0"/>
              <w:rPr>
                <w:sz w:val="11"/>
                <w:szCs w:val="11"/>
                <w:color w:val="auto"/>
              </w:rPr>
            </w:pPr>
          </w:p>
        </w:tc>
        <w:tc>
          <w:tcPr>
            <w:tcW w:w="680" w:type="dxa"/>
            <w:vAlign w:val="bottom"/>
            <w:shd w:val="clear" w:color="auto" w:fill="EBEBEC"/>
          </w:tcPr>
          <w:p>
            <w:pPr>
              <w:spacing w:after="0"/>
              <w:rPr>
                <w:sz w:val="11"/>
                <w:szCs w:val="11"/>
                <w:color w:val="auto"/>
              </w:rPr>
            </w:pPr>
          </w:p>
        </w:tc>
        <w:tc>
          <w:tcPr>
            <w:tcW w:w="6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14,215</w:t>
            </w: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460" w:type="dxa"/>
            <w:vAlign w:val="bottom"/>
            <w:shd w:val="clear" w:color="auto" w:fill="EBEBEC"/>
          </w:tcPr>
          <w:p>
            <w:pPr>
              <w:jc w:val="right"/>
              <w:ind w:right="597"/>
              <w:spacing w:after="0" w:line="135" w:lineRule="exact"/>
              <w:rPr>
                <w:sz w:val="20"/>
                <w:szCs w:val="20"/>
                <w:color w:val="auto"/>
              </w:rPr>
            </w:pPr>
            <w:r>
              <w:rPr>
                <w:rFonts w:ascii="Arial" w:cs="Arial" w:eastAsia="Arial" w:hAnsi="Arial"/>
                <w:sz w:val="13"/>
                <w:szCs w:val="13"/>
                <w:color w:val="auto"/>
              </w:rPr>
              <w:t>737,616</w:t>
            </w:r>
          </w:p>
        </w:tc>
        <w:tc>
          <w:tcPr>
            <w:tcW w:w="1120" w:type="dxa"/>
            <w:vAlign w:val="bottom"/>
            <w:shd w:val="clear" w:color="auto" w:fill="EBEBEC"/>
          </w:tcPr>
          <w:p>
            <w:pPr>
              <w:spacing w:after="0"/>
              <w:rPr>
                <w:sz w:val="11"/>
                <w:szCs w:val="11"/>
                <w:color w:val="auto"/>
              </w:rPr>
            </w:pPr>
          </w:p>
        </w:tc>
        <w:tc>
          <w:tcPr>
            <w:tcW w:w="580" w:type="dxa"/>
            <w:vAlign w:val="bottom"/>
            <w:shd w:val="clear" w:color="auto" w:fill="EBEBEC"/>
          </w:tcPr>
          <w:p>
            <w:pPr>
              <w:spacing w:after="0"/>
              <w:rPr>
                <w:sz w:val="11"/>
                <w:szCs w:val="11"/>
                <w:color w:val="auto"/>
              </w:rPr>
            </w:pPr>
          </w:p>
        </w:tc>
        <w:tc>
          <w:tcPr>
            <w:tcW w:w="780" w:type="dxa"/>
            <w:vAlign w:val="bottom"/>
            <w:shd w:val="clear" w:color="auto" w:fill="EBEB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EBEBEC"/>
          </w:tcPr>
          <w:p>
            <w:pPr>
              <w:ind w:left="100"/>
              <w:spacing w:after="0" w:line="135" w:lineRule="exact"/>
              <w:rPr>
                <w:sz w:val="20"/>
                <w:szCs w:val="20"/>
                <w:color w:val="auto"/>
              </w:rPr>
            </w:pPr>
            <w:r>
              <w:rPr>
                <w:rFonts w:ascii="Arial" w:cs="Arial" w:eastAsia="Arial" w:hAnsi="Arial"/>
                <w:sz w:val="13"/>
                <w:szCs w:val="13"/>
                <w:color w:val="auto"/>
              </w:rPr>
              <w:t>RSU(3)</w:t>
            </w:r>
          </w:p>
        </w:tc>
        <w:tc>
          <w:tcPr>
            <w:tcW w:w="300" w:type="dxa"/>
            <w:vAlign w:val="bottom"/>
            <w:shd w:val="clear" w:color="auto" w:fill="EBEBEC"/>
          </w:tcPr>
          <w:p>
            <w:pPr>
              <w:spacing w:after="0"/>
              <w:rPr>
                <w:sz w:val="11"/>
                <w:szCs w:val="11"/>
                <w:color w:val="auto"/>
              </w:rPr>
            </w:pP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2/23/2023</w:t>
            </w:r>
          </w:p>
        </w:tc>
        <w:tc>
          <w:tcPr>
            <w:tcW w:w="300" w:type="dxa"/>
            <w:vAlign w:val="bottom"/>
            <w:shd w:val="clear" w:color="auto" w:fill="EBEBEC"/>
          </w:tcPr>
          <w:p>
            <w:pPr>
              <w:spacing w:after="0"/>
              <w:rPr>
                <w:sz w:val="11"/>
                <w:szCs w:val="11"/>
                <w:color w:val="auto"/>
              </w:rPr>
            </w:pPr>
          </w:p>
        </w:tc>
        <w:tc>
          <w:tcPr>
            <w:tcW w:w="680" w:type="dxa"/>
            <w:vAlign w:val="bottom"/>
            <w:shd w:val="clear" w:color="auto" w:fill="EBEBEC"/>
          </w:tcPr>
          <w:p>
            <w:pPr>
              <w:spacing w:after="0"/>
              <w:rPr>
                <w:sz w:val="11"/>
                <w:szCs w:val="11"/>
                <w:color w:val="auto"/>
              </w:rPr>
            </w:pPr>
          </w:p>
        </w:tc>
        <w:tc>
          <w:tcPr>
            <w:tcW w:w="6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7,107</w:t>
            </w: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460" w:type="dxa"/>
            <w:vAlign w:val="bottom"/>
            <w:shd w:val="clear" w:color="auto" w:fill="EBEBEC"/>
          </w:tcPr>
          <w:p>
            <w:pPr>
              <w:jc w:val="right"/>
              <w:ind w:right="597"/>
              <w:spacing w:after="0" w:line="135" w:lineRule="exact"/>
              <w:rPr>
                <w:sz w:val="20"/>
                <w:szCs w:val="20"/>
                <w:color w:val="auto"/>
              </w:rPr>
            </w:pPr>
            <w:r>
              <w:rPr>
                <w:rFonts w:ascii="Arial" w:cs="Arial" w:eastAsia="Arial" w:hAnsi="Arial"/>
                <w:sz w:val="13"/>
                <w:szCs w:val="13"/>
                <w:color w:val="auto"/>
              </w:rPr>
              <w:t>368,782</w:t>
            </w:r>
          </w:p>
        </w:tc>
        <w:tc>
          <w:tcPr>
            <w:tcW w:w="1120" w:type="dxa"/>
            <w:vAlign w:val="bottom"/>
            <w:shd w:val="clear" w:color="auto" w:fill="EBEBEC"/>
          </w:tcPr>
          <w:p>
            <w:pPr>
              <w:spacing w:after="0"/>
              <w:rPr>
                <w:sz w:val="11"/>
                <w:szCs w:val="11"/>
                <w:color w:val="auto"/>
              </w:rPr>
            </w:pPr>
          </w:p>
        </w:tc>
        <w:tc>
          <w:tcPr>
            <w:tcW w:w="580" w:type="dxa"/>
            <w:vAlign w:val="bottom"/>
            <w:shd w:val="clear" w:color="auto" w:fill="EBEBEC"/>
          </w:tcPr>
          <w:p>
            <w:pPr>
              <w:spacing w:after="0"/>
              <w:rPr>
                <w:sz w:val="11"/>
                <w:szCs w:val="11"/>
                <w:color w:val="auto"/>
              </w:rPr>
            </w:pPr>
          </w:p>
        </w:tc>
        <w:tc>
          <w:tcPr>
            <w:tcW w:w="780" w:type="dxa"/>
            <w:vAlign w:val="bottom"/>
            <w:shd w:val="clear" w:color="auto" w:fill="EBEB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EBEBEC"/>
          </w:tcPr>
          <w:p>
            <w:pPr>
              <w:ind w:left="100"/>
              <w:spacing w:after="0" w:line="135" w:lineRule="exact"/>
              <w:rPr>
                <w:sz w:val="20"/>
                <w:szCs w:val="20"/>
                <w:color w:val="auto"/>
              </w:rPr>
            </w:pPr>
            <w:r>
              <w:rPr>
                <w:rFonts w:ascii="Arial" w:cs="Arial" w:eastAsia="Arial" w:hAnsi="Arial"/>
                <w:sz w:val="13"/>
                <w:szCs w:val="13"/>
                <w:color w:val="auto"/>
              </w:rPr>
              <w:t>RSU(4)</w:t>
            </w:r>
          </w:p>
        </w:tc>
        <w:tc>
          <w:tcPr>
            <w:tcW w:w="300" w:type="dxa"/>
            <w:vAlign w:val="bottom"/>
            <w:shd w:val="clear" w:color="auto" w:fill="EBEBEC"/>
          </w:tcPr>
          <w:p>
            <w:pPr>
              <w:spacing w:after="0"/>
              <w:rPr>
                <w:sz w:val="11"/>
                <w:szCs w:val="11"/>
                <w:color w:val="auto"/>
              </w:rPr>
            </w:pP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2/22/2024</w:t>
            </w:r>
          </w:p>
        </w:tc>
        <w:tc>
          <w:tcPr>
            <w:tcW w:w="300" w:type="dxa"/>
            <w:vAlign w:val="bottom"/>
            <w:shd w:val="clear" w:color="auto" w:fill="EBEBEC"/>
          </w:tcPr>
          <w:p>
            <w:pPr>
              <w:spacing w:after="0"/>
              <w:rPr>
                <w:sz w:val="11"/>
                <w:szCs w:val="11"/>
                <w:color w:val="auto"/>
              </w:rPr>
            </w:pPr>
          </w:p>
        </w:tc>
        <w:tc>
          <w:tcPr>
            <w:tcW w:w="680" w:type="dxa"/>
            <w:vAlign w:val="bottom"/>
            <w:shd w:val="clear" w:color="auto" w:fill="EBEBEC"/>
          </w:tcPr>
          <w:p>
            <w:pPr>
              <w:spacing w:after="0"/>
              <w:rPr>
                <w:sz w:val="11"/>
                <w:szCs w:val="11"/>
                <w:color w:val="auto"/>
              </w:rPr>
            </w:pPr>
          </w:p>
        </w:tc>
        <w:tc>
          <w:tcPr>
            <w:tcW w:w="6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17,059</w:t>
            </w: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460" w:type="dxa"/>
            <w:vAlign w:val="bottom"/>
            <w:shd w:val="clear" w:color="auto" w:fill="EBEBEC"/>
          </w:tcPr>
          <w:p>
            <w:pPr>
              <w:jc w:val="right"/>
              <w:ind w:right="597"/>
              <w:spacing w:after="0" w:line="135" w:lineRule="exact"/>
              <w:rPr>
                <w:sz w:val="20"/>
                <w:szCs w:val="20"/>
                <w:color w:val="auto"/>
              </w:rPr>
            </w:pPr>
            <w:r>
              <w:rPr>
                <w:rFonts w:ascii="Arial" w:cs="Arial" w:eastAsia="Arial" w:hAnsi="Arial"/>
                <w:sz w:val="13"/>
                <w:szCs w:val="13"/>
                <w:color w:val="auto"/>
              </w:rPr>
              <w:t>885,192</w:t>
            </w:r>
          </w:p>
        </w:tc>
        <w:tc>
          <w:tcPr>
            <w:tcW w:w="1120" w:type="dxa"/>
            <w:vAlign w:val="bottom"/>
            <w:shd w:val="clear" w:color="auto" w:fill="EBEBEC"/>
          </w:tcPr>
          <w:p>
            <w:pPr>
              <w:spacing w:after="0"/>
              <w:rPr>
                <w:sz w:val="11"/>
                <w:szCs w:val="11"/>
                <w:color w:val="auto"/>
              </w:rPr>
            </w:pPr>
          </w:p>
        </w:tc>
        <w:tc>
          <w:tcPr>
            <w:tcW w:w="580" w:type="dxa"/>
            <w:vAlign w:val="bottom"/>
            <w:shd w:val="clear" w:color="auto" w:fill="EBEBEC"/>
          </w:tcPr>
          <w:p>
            <w:pPr>
              <w:spacing w:after="0"/>
              <w:rPr>
                <w:sz w:val="11"/>
                <w:szCs w:val="11"/>
                <w:color w:val="auto"/>
              </w:rPr>
            </w:pPr>
          </w:p>
        </w:tc>
        <w:tc>
          <w:tcPr>
            <w:tcW w:w="780" w:type="dxa"/>
            <w:vAlign w:val="bottom"/>
            <w:shd w:val="clear" w:color="auto" w:fill="EBEB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EBEBEC"/>
          </w:tcPr>
          <w:p>
            <w:pPr>
              <w:ind w:left="100"/>
              <w:spacing w:after="0" w:line="135" w:lineRule="exact"/>
              <w:rPr>
                <w:sz w:val="20"/>
                <w:szCs w:val="20"/>
                <w:color w:val="auto"/>
              </w:rPr>
            </w:pPr>
            <w:r>
              <w:rPr>
                <w:rFonts w:ascii="Arial" w:cs="Arial" w:eastAsia="Arial" w:hAnsi="Arial"/>
                <w:sz w:val="13"/>
                <w:szCs w:val="13"/>
                <w:color w:val="auto"/>
              </w:rPr>
              <w:t>PSU(5)</w:t>
            </w:r>
          </w:p>
        </w:tc>
        <w:tc>
          <w:tcPr>
            <w:tcW w:w="300" w:type="dxa"/>
            <w:vAlign w:val="bottom"/>
            <w:shd w:val="clear" w:color="auto" w:fill="EBEBEC"/>
          </w:tcPr>
          <w:p>
            <w:pPr>
              <w:spacing w:after="0"/>
              <w:rPr>
                <w:sz w:val="11"/>
                <w:szCs w:val="11"/>
                <w:color w:val="auto"/>
              </w:rPr>
            </w:pP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2/23/2023</w:t>
            </w:r>
          </w:p>
        </w:tc>
        <w:tc>
          <w:tcPr>
            <w:tcW w:w="300" w:type="dxa"/>
            <w:vAlign w:val="bottom"/>
            <w:shd w:val="clear" w:color="auto" w:fill="EBEBEC"/>
          </w:tcPr>
          <w:p>
            <w:pPr>
              <w:spacing w:after="0"/>
              <w:rPr>
                <w:sz w:val="11"/>
                <w:szCs w:val="11"/>
                <w:color w:val="auto"/>
              </w:rPr>
            </w:pPr>
          </w:p>
        </w:tc>
        <w:tc>
          <w:tcPr>
            <w:tcW w:w="680" w:type="dxa"/>
            <w:vAlign w:val="bottom"/>
            <w:shd w:val="clear" w:color="auto" w:fill="EBEBEC"/>
          </w:tcPr>
          <w:p>
            <w:pPr>
              <w:spacing w:after="0"/>
              <w:rPr>
                <w:sz w:val="11"/>
                <w:szCs w:val="11"/>
                <w:color w:val="auto"/>
              </w:rPr>
            </w:pPr>
          </w:p>
        </w:tc>
        <w:tc>
          <w:tcPr>
            <w:tcW w:w="660" w:type="dxa"/>
            <w:vAlign w:val="bottom"/>
            <w:shd w:val="clear" w:color="auto" w:fill="EBEBEC"/>
          </w:tcPr>
          <w:p>
            <w:pPr>
              <w:spacing w:after="0"/>
              <w:rPr>
                <w:sz w:val="11"/>
                <w:szCs w:val="11"/>
                <w:color w:val="auto"/>
              </w:rPr>
            </w:pPr>
          </w:p>
        </w:tc>
        <w:tc>
          <w:tcPr>
            <w:tcW w:w="860" w:type="dxa"/>
            <w:vAlign w:val="bottom"/>
            <w:shd w:val="clear" w:color="auto" w:fill="EBEBEC"/>
          </w:tcPr>
          <w:p>
            <w:pPr>
              <w:spacing w:after="0"/>
              <w:rPr>
                <w:sz w:val="11"/>
                <w:szCs w:val="11"/>
                <w:color w:val="auto"/>
              </w:rPr>
            </w:pPr>
          </w:p>
        </w:tc>
        <w:tc>
          <w:tcPr>
            <w:tcW w:w="1460" w:type="dxa"/>
            <w:vAlign w:val="bottom"/>
            <w:shd w:val="clear" w:color="auto" w:fill="EBEBEC"/>
          </w:tcPr>
          <w:p>
            <w:pPr>
              <w:spacing w:after="0"/>
              <w:rPr>
                <w:sz w:val="11"/>
                <w:szCs w:val="11"/>
                <w:color w:val="auto"/>
              </w:rPr>
            </w:pPr>
          </w:p>
        </w:tc>
        <w:tc>
          <w:tcPr>
            <w:tcW w:w="1120" w:type="dxa"/>
            <w:vAlign w:val="bottom"/>
            <w:shd w:val="clear" w:color="auto" w:fill="EBEBEC"/>
          </w:tcPr>
          <w:p>
            <w:pPr>
              <w:jc w:val="right"/>
              <w:ind w:right="357"/>
              <w:spacing w:after="0" w:line="135" w:lineRule="exact"/>
              <w:rPr>
                <w:sz w:val="20"/>
                <w:szCs w:val="20"/>
                <w:color w:val="auto"/>
              </w:rPr>
            </w:pPr>
            <w:r>
              <w:rPr>
                <w:rFonts w:ascii="Arial" w:cs="Arial" w:eastAsia="Arial" w:hAnsi="Arial"/>
                <w:sz w:val="13"/>
                <w:szCs w:val="13"/>
                <w:color w:val="auto"/>
              </w:rPr>
              <w:t>63,968</w:t>
            </w:r>
          </w:p>
        </w:tc>
        <w:tc>
          <w:tcPr>
            <w:tcW w:w="580" w:type="dxa"/>
            <w:vAlign w:val="bottom"/>
            <w:shd w:val="clear" w:color="auto" w:fill="EBEBEC"/>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57"/>
              <w:spacing w:after="0" w:line="135" w:lineRule="exact"/>
              <w:rPr>
                <w:sz w:val="20"/>
                <w:szCs w:val="20"/>
                <w:color w:val="auto"/>
              </w:rPr>
            </w:pPr>
            <w:r>
              <w:rPr>
                <w:rFonts w:ascii="Arial" w:cs="Arial" w:eastAsia="Arial" w:hAnsi="Arial"/>
                <w:sz w:val="13"/>
                <w:szCs w:val="13"/>
                <w:color w:val="auto"/>
              </w:rPr>
              <w:t>3,319,300</w:t>
            </w:r>
          </w:p>
        </w:tc>
        <w:tc>
          <w:tcPr>
            <w:tcW w:w="0" w:type="dxa"/>
            <w:vAlign w:val="bottom"/>
          </w:tcPr>
          <w:p>
            <w:pPr>
              <w:spacing w:after="0"/>
              <w:rPr>
                <w:sz w:val="1"/>
                <w:szCs w:val="1"/>
                <w:color w:val="auto"/>
              </w:rPr>
            </w:pPr>
          </w:p>
        </w:tc>
      </w:tr>
      <w:tr>
        <w:trPr>
          <w:trHeight w:val="135"/>
        </w:trPr>
        <w:tc>
          <w:tcPr>
            <w:tcW w:w="3500" w:type="dxa"/>
            <w:vAlign w:val="bottom"/>
            <w:shd w:val="clear" w:color="auto" w:fill="EBEBEC"/>
          </w:tcPr>
          <w:p>
            <w:pPr>
              <w:ind w:left="100"/>
              <w:spacing w:after="0" w:line="135" w:lineRule="exact"/>
              <w:rPr>
                <w:sz w:val="20"/>
                <w:szCs w:val="20"/>
                <w:color w:val="auto"/>
              </w:rPr>
            </w:pPr>
            <w:r>
              <w:rPr>
                <w:rFonts w:ascii="Arial" w:cs="Arial" w:eastAsia="Arial" w:hAnsi="Arial"/>
                <w:sz w:val="13"/>
                <w:szCs w:val="13"/>
                <w:color w:val="auto"/>
              </w:rPr>
              <w:t>PSU(6)</w:t>
            </w:r>
          </w:p>
        </w:tc>
        <w:tc>
          <w:tcPr>
            <w:tcW w:w="300" w:type="dxa"/>
            <w:vAlign w:val="bottom"/>
            <w:shd w:val="clear" w:color="auto" w:fill="EBEBEC"/>
          </w:tcPr>
          <w:p>
            <w:pPr>
              <w:spacing w:after="0"/>
              <w:rPr>
                <w:sz w:val="11"/>
                <w:szCs w:val="11"/>
                <w:color w:val="auto"/>
              </w:rPr>
            </w:pP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2/23/2023</w:t>
            </w:r>
          </w:p>
        </w:tc>
        <w:tc>
          <w:tcPr>
            <w:tcW w:w="300" w:type="dxa"/>
            <w:vAlign w:val="bottom"/>
            <w:shd w:val="clear" w:color="auto" w:fill="EBEBEC"/>
          </w:tcPr>
          <w:p>
            <w:pPr>
              <w:spacing w:after="0"/>
              <w:rPr>
                <w:sz w:val="11"/>
                <w:szCs w:val="11"/>
                <w:color w:val="auto"/>
              </w:rPr>
            </w:pPr>
          </w:p>
        </w:tc>
        <w:tc>
          <w:tcPr>
            <w:tcW w:w="1340" w:type="dxa"/>
            <w:vAlign w:val="bottom"/>
            <w:gridSpan w:val="2"/>
            <w:shd w:val="clear" w:color="auto" w:fill="EBEBEC"/>
          </w:tcPr>
          <w:p>
            <w:pPr>
              <w:jc w:val="right"/>
              <w:spacing w:after="0" w:line="135" w:lineRule="exact"/>
              <w:rPr>
                <w:sz w:val="20"/>
                <w:szCs w:val="20"/>
                <w:color w:val="auto"/>
              </w:rPr>
            </w:pPr>
            <w:r>
              <w:rPr>
                <w:rFonts w:ascii="Arial" w:cs="Arial" w:eastAsia="Arial" w:hAnsi="Arial"/>
                <w:sz w:val="13"/>
                <w:szCs w:val="13"/>
                <w:color w:val="auto"/>
              </w:rPr>
              <w:t>33,264</w:t>
            </w: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460" w:type="dxa"/>
            <w:vAlign w:val="bottom"/>
            <w:shd w:val="clear" w:color="auto" w:fill="EBEBEC"/>
          </w:tcPr>
          <w:p>
            <w:pPr>
              <w:jc w:val="right"/>
              <w:ind w:right="597"/>
              <w:spacing w:after="0" w:line="135" w:lineRule="exact"/>
              <w:rPr>
                <w:sz w:val="20"/>
                <w:szCs w:val="20"/>
                <w:color w:val="auto"/>
              </w:rPr>
            </w:pPr>
            <w:r>
              <w:rPr>
                <w:rFonts w:ascii="Arial" w:cs="Arial" w:eastAsia="Arial" w:hAnsi="Arial"/>
                <w:sz w:val="13"/>
                <w:szCs w:val="13"/>
                <w:color w:val="auto"/>
              </w:rPr>
              <w:t>1,726,069</w:t>
            </w:r>
          </w:p>
        </w:tc>
        <w:tc>
          <w:tcPr>
            <w:tcW w:w="1120" w:type="dxa"/>
            <w:vAlign w:val="bottom"/>
            <w:shd w:val="clear" w:color="auto" w:fill="EBEBEC"/>
          </w:tcPr>
          <w:p>
            <w:pPr>
              <w:spacing w:after="0"/>
              <w:rPr>
                <w:sz w:val="11"/>
                <w:szCs w:val="11"/>
                <w:color w:val="auto"/>
              </w:rPr>
            </w:pPr>
          </w:p>
        </w:tc>
        <w:tc>
          <w:tcPr>
            <w:tcW w:w="580" w:type="dxa"/>
            <w:vAlign w:val="bottom"/>
            <w:shd w:val="clear" w:color="auto" w:fill="EBEBEC"/>
          </w:tcPr>
          <w:p>
            <w:pPr>
              <w:spacing w:after="0"/>
              <w:rPr>
                <w:sz w:val="11"/>
                <w:szCs w:val="11"/>
                <w:color w:val="auto"/>
              </w:rPr>
            </w:pPr>
          </w:p>
        </w:tc>
        <w:tc>
          <w:tcPr>
            <w:tcW w:w="780" w:type="dxa"/>
            <w:vAlign w:val="bottom"/>
            <w:shd w:val="clear" w:color="auto" w:fill="EBEB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EBEBEC"/>
          </w:tcPr>
          <w:p>
            <w:pPr>
              <w:ind w:left="100"/>
              <w:spacing w:after="0" w:line="135" w:lineRule="exact"/>
              <w:rPr>
                <w:sz w:val="20"/>
                <w:szCs w:val="20"/>
                <w:color w:val="auto"/>
              </w:rPr>
            </w:pPr>
            <w:r>
              <w:rPr>
                <w:rFonts w:ascii="Arial" w:cs="Arial" w:eastAsia="Arial" w:hAnsi="Arial"/>
                <w:sz w:val="13"/>
                <w:szCs w:val="13"/>
                <w:color w:val="auto"/>
              </w:rPr>
              <w:t>PSU(7)</w:t>
            </w:r>
          </w:p>
        </w:tc>
        <w:tc>
          <w:tcPr>
            <w:tcW w:w="300" w:type="dxa"/>
            <w:vAlign w:val="bottom"/>
            <w:shd w:val="clear" w:color="auto" w:fill="EBEBEC"/>
          </w:tcPr>
          <w:p>
            <w:pPr>
              <w:spacing w:after="0"/>
              <w:rPr>
                <w:sz w:val="11"/>
                <w:szCs w:val="11"/>
                <w:color w:val="auto"/>
              </w:rPr>
            </w:pP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2/22/2024</w:t>
            </w:r>
          </w:p>
        </w:tc>
        <w:tc>
          <w:tcPr>
            <w:tcW w:w="300" w:type="dxa"/>
            <w:vAlign w:val="bottom"/>
            <w:shd w:val="clear" w:color="auto" w:fill="EBEBEC"/>
          </w:tcPr>
          <w:p>
            <w:pPr>
              <w:spacing w:after="0"/>
              <w:rPr>
                <w:sz w:val="11"/>
                <w:szCs w:val="11"/>
                <w:color w:val="auto"/>
              </w:rPr>
            </w:pPr>
          </w:p>
        </w:tc>
        <w:tc>
          <w:tcPr>
            <w:tcW w:w="680" w:type="dxa"/>
            <w:vAlign w:val="bottom"/>
            <w:shd w:val="clear" w:color="auto" w:fill="EBEBEC"/>
          </w:tcPr>
          <w:p>
            <w:pPr>
              <w:spacing w:after="0"/>
              <w:rPr>
                <w:sz w:val="11"/>
                <w:szCs w:val="11"/>
                <w:color w:val="auto"/>
              </w:rPr>
            </w:pPr>
          </w:p>
        </w:tc>
        <w:tc>
          <w:tcPr>
            <w:tcW w:w="660" w:type="dxa"/>
            <w:vAlign w:val="bottom"/>
            <w:shd w:val="clear" w:color="auto" w:fill="EBEBEC"/>
          </w:tcPr>
          <w:p>
            <w:pPr>
              <w:spacing w:after="0"/>
              <w:rPr>
                <w:sz w:val="11"/>
                <w:szCs w:val="11"/>
                <w:color w:val="auto"/>
              </w:rPr>
            </w:pPr>
          </w:p>
        </w:tc>
        <w:tc>
          <w:tcPr>
            <w:tcW w:w="860" w:type="dxa"/>
            <w:vAlign w:val="bottom"/>
            <w:shd w:val="clear" w:color="auto" w:fill="EBEBEC"/>
          </w:tcPr>
          <w:p>
            <w:pPr>
              <w:spacing w:after="0"/>
              <w:rPr>
                <w:sz w:val="11"/>
                <w:szCs w:val="11"/>
                <w:color w:val="auto"/>
              </w:rPr>
            </w:pPr>
          </w:p>
        </w:tc>
        <w:tc>
          <w:tcPr>
            <w:tcW w:w="1460" w:type="dxa"/>
            <w:vAlign w:val="bottom"/>
            <w:shd w:val="clear" w:color="auto" w:fill="EBEBEC"/>
          </w:tcPr>
          <w:p>
            <w:pPr>
              <w:spacing w:after="0"/>
              <w:rPr>
                <w:sz w:val="11"/>
                <w:szCs w:val="11"/>
                <w:color w:val="auto"/>
              </w:rPr>
            </w:pPr>
          </w:p>
        </w:tc>
        <w:tc>
          <w:tcPr>
            <w:tcW w:w="1120" w:type="dxa"/>
            <w:vAlign w:val="bottom"/>
            <w:shd w:val="clear" w:color="auto" w:fill="EBEBEC"/>
          </w:tcPr>
          <w:p>
            <w:pPr>
              <w:jc w:val="right"/>
              <w:ind w:right="357"/>
              <w:spacing w:after="0" w:line="135" w:lineRule="exact"/>
              <w:rPr>
                <w:sz w:val="20"/>
                <w:szCs w:val="20"/>
                <w:color w:val="auto"/>
              </w:rPr>
            </w:pPr>
            <w:r>
              <w:rPr>
                <w:rFonts w:ascii="Arial" w:cs="Arial" w:eastAsia="Arial" w:hAnsi="Arial"/>
                <w:sz w:val="13"/>
                <w:szCs w:val="13"/>
                <w:color w:val="auto"/>
              </w:rPr>
              <w:t>25,589</w:t>
            </w:r>
          </w:p>
        </w:tc>
        <w:tc>
          <w:tcPr>
            <w:tcW w:w="580" w:type="dxa"/>
            <w:vAlign w:val="bottom"/>
            <w:shd w:val="clear" w:color="auto" w:fill="EBEBEC"/>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57"/>
              <w:spacing w:after="0" w:line="135" w:lineRule="exact"/>
              <w:rPr>
                <w:sz w:val="20"/>
                <w:szCs w:val="20"/>
                <w:color w:val="auto"/>
              </w:rPr>
            </w:pPr>
            <w:r>
              <w:rPr>
                <w:rFonts w:ascii="Arial" w:cs="Arial" w:eastAsia="Arial" w:hAnsi="Arial"/>
                <w:sz w:val="13"/>
                <w:szCs w:val="13"/>
                <w:color w:val="auto"/>
              </w:rPr>
              <w:t>1,327,813</w:t>
            </w:r>
          </w:p>
        </w:tc>
        <w:tc>
          <w:tcPr>
            <w:tcW w:w="0" w:type="dxa"/>
            <w:vAlign w:val="bottom"/>
          </w:tcPr>
          <w:p>
            <w:pPr>
              <w:spacing w:after="0"/>
              <w:rPr>
                <w:sz w:val="1"/>
                <w:szCs w:val="1"/>
                <w:color w:val="auto"/>
              </w:rPr>
            </w:pPr>
          </w:p>
        </w:tc>
      </w:tr>
      <w:tr>
        <w:trPr>
          <w:trHeight w:val="135"/>
        </w:trPr>
        <w:tc>
          <w:tcPr>
            <w:tcW w:w="3500" w:type="dxa"/>
            <w:vAlign w:val="bottom"/>
            <w:shd w:val="clear" w:color="auto" w:fill="EBEBEC"/>
          </w:tcPr>
          <w:p>
            <w:pPr>
              <w:ind w:left="100"/>
              <w:spacing w:after="0" w:line="135" w:lineRule="exact"/>
              <w:rPr>
                <w:sz w:val="20"/>
                <w:szCs w:val="20"/>
                <w:color w:val="auto"/>
              </w:rPr>
            </w:pPr>
            <w:r>
              <w:rPr>
                <w:rFonts w:ascii="Arial" w:cs="Arial" w:eastAsia="Arial" w:hAnsi="Arial"/>
                <w:sz w:val="13"/>
                <w:szCs w:val="13"/>
                <w:b w:val="1"/>
                <w:bCs w:val="1"/>
                <w:color w:val="auto"/>
              </w:rPr>
              <w:t>Chris D. Gould</w:t>
            </w:r>
          </w:p>
        </w:tc>
        <w:tc>
          <w:tcPr>
            <w:tcW w:w="300" w:type="dxa"/>
            <w:vAlign w:val="bottom"/>
            <w:shd w:val="clear" w:color="auto" w:fill="EBEBEC"/>
          </w:tcPr>
          <w:p>
            <w:pPr>
              <w:spacing w:after="0"/>
              <w:rPr>
                <w:sz w:val="11"/>
                <w:szCs w:val="11"/>
                <w:color w:val="auto"/>
              </w:rPr>
            </w:pPr>
          </w:p>
        </w:tc>
        <w:tc>
          <w:tcPr>
            <w:tcW w:w="860" w:type="dxa"/>
            <w:vAlign w:val="bottom"/>
            <w:shd w:val="clear" w:color="auto" w:fill="EBEBEC"/>
          </w:tcPr>
          <w:p>
            <w:pPr>
              <w:spacing w:after="0"/>
              <w:rPr>
                <w:sz w:val="11"/>
                <w:szCs w:val="11"/>
                <w:color w:val="auto"/>
              </w:rPr>
            </w:pPr>
          </w:p>
        </w:tc>
        <w:tc>
          <w:tcPr>
            <w:tcW w:w="300" w:type="dxa"/>
            <w:vAlign w:val="bottom"/>
            <w:shd w:val="clear" w:color="auto" w:fill="EBEBEC"/>
          </w:tcPr>
          <w:p>
            <w:pPr>
              <w:spacing w:after="0"/>
              <w:rPr>
                <w:sz w:val="11"/>
                <w:szCs w:val="11"/>
                <w:color w:val="auto"/>
              </w:rPr>
            </w:pPr>
          </w:p>
        </w:tc>
        <w:tc>
          <w:tcPr>
            <w:tcW w:w="680" w:type="dxa"/>
            <w:vAlign w:val="bottom"/>
            <w:shd w:val="clear" w:color="auto" w:fill="EBEBEC"/>
          </w:tcPr>
          <w:p>
            <w:pPr>
              <w:spacing w:after="0"/>
              <w:rPr>
                <w:sz w:val="11"/>
                <w:szCs w:val="11"/>
                <w:color w:val="auto"/>
              </w:rPr>
            </w:pPr>
          </w:p>
        </w:tc>
        <w:tc>
          <w:tcPr>
            <w:tcW w:w="660" w:type="dxa"/>
            <w:vAlign w:val="bottom"/>
            <w:shd w:val="clear" w:color="auto" w:fill="EBEBEC"/>
          </w:tcPr>
          <w:p>
            <w:pPr>
              <w:spacing w:after="0"/>
              <w:rPr>
                <w:sz w:val="11"/>
                <w:szCs w:val="11"/>
                <w:color w:val="auto"/>
              </w:rPr>
            </w:pPr>
          </w:p>
        </w:tc>
        <w:tc>
          <w:tcPr>
            <w:tcW w:w="860" w:type="dxa"/>
            <w:vAlign w:val="bottom"/>
            <w:shd w:val="clear" w:color="auto" w:fill="EBEBEC"/>
          </w:tcPr>
          <w:p>
            <w:pPr>
              <w:spacing w:after="0"/>
              <w:rPr>
                <w:sz w:val="11"/>
                <w:szCs w:val="11"/>
                <w:color w:val="auto"/>
              </w:rPr>
            </w:pPr>
          </w:p>
        </w:tc>
        <w:tc>
          <w:tcPr>
            <w:tcW w:w="1460" w:type="dxa"/>
            <w:vAlign w:val="bottom"/>
            <w:shd w:val="clear" w:color="auto" w:fill="EBEBEC"/>
          </w:tcPr>
          <w:p>
            <w:pPr>
              <w:spacing w:after="0"/>
              <w:rPr>
                <w:sz w:val="11"/>
                <w:szCs w:val="11"/>
                <w:color w:val="auto"/>
              </w:rPr>
            </w:pPr>
          </w:p>
        </w:tc>
        <w:tc>
          <w:tcPr>
            <w:tcW w:w="1120" w:type="dxa"/>
            <w:vAlign w:val="bottom"/>
            <w:shd w:val="clear" w:color="auto" w:fill="EBEBEC"/>
          </w:tcPr>
          <w:p>
            <w:pPr>
              <w:spacing w:after="0"/>
              <w:rPr>
                <w:sz w:val="11"/>
                <w:szCs w:val="11"/>
                <w:color w:val="auto"/>
              </w:rPr>
            </w:pPr>
          </w:p>
        </w:tc>
        <w:tc>
          <w:tcPr>
            <w:tcW w:w="580" w:type="dxa"/>
            <w:vAlign w:val="bottom"/>
            <w:shd w:val="clear" w:color="auto" w:fill="EBEBEC"/>
          </w:tcPr>
          <w:p>
            <w:pPr>
              <w:spacing w:after="0"/>
              <w:rPr>
                <w:sz w:val="11"/>
                <w:szCs w:val="11"/>
                <w:color w:val="auto"/>
              </w:rPr>
            </w:pPr>
          </w:p>
        </w:tc>
        <w:tc>
          <w:tcPr>
            <w:tcW w:w="780" w:type="dxa"/>
            <w:vAlign w:val="bottom"/>
            <w:shd w:val="clear" w:color="auto" w:fill="EBEB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EBEBEC"/>
          </w:tcPr>
          <w:p>
            <w:pPr>
              <w:ind w:left="100"/>
              <w:spacing w:after="0" w:line="135" w:lineRule="exact"/>
              <w:rPr>
                <w:sz w:val="20"/>
                <w:szCs w:val="20"/>
                <w:color w:val="auto"/>
              </w:rPr>
            </w:pPr>
            <w:r>
              <w:rPr>
                <w:rFonts w:ascii="Arial" w:cs="Arial" w:eastAsia="Arial" w:hAnsi="Arial"/>
                <w:sz w:val="13"/>
                <w:szCs w:val="13"/>
                <w:color w:val="auto"/>
              </w:rPr>
              <w:t>RSU(2)</w:t>
            </w:r>
          </w:p>
        </w:tc>
        <w:tc>
          <w:tcPr>
            <w:tcW w:w="300" w:type="dxa"/>
            <w:vAlign w:val="bottom"/>
            <w:shd w:val="clear" w:color="auto" w:fill="EBEBEC"/>
          </w:tcPr>
          <w:p>
            <w:pPr>
              <w:spacing w:after="0"/>
              <w:rPr>
                <w:sz w:val="11"/>
                <w:szCs w:val="11"/>
                <w:color w:val="auto"/>
              </w:rPr>
            </w:pP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2/23/2023</w:t>
            </w:r>
          </w:p>
        </w:tc>
        <w:tc>
          <w:tcPr>
            <w:tcW w:w="300" w:type="dxa"/>
            <w:vAlign w:val="bottom"/>
            <w:shd w:val="clear" w:color="auto" w:fill="EBEBEC"/>
          </w:tcPr>
          <w:p>
            <w:pPr>
              <w:spacing w:after="0"/>
              <w:rPr>
                <w:sz w:val="11"/>
                <w:szCs w:val="11"/>
                <w:color w:val="auto"/>
              </w:rPr>
            </w:pPr>
          </w:p>
        </w:tc>
        <w:tc>
          <w:tcPr>
            <w:tcW w:w="680" w:type="dxa"/>
            <w:vAlign w:val="bottom"/>
            <w:shd w:val="clear" w:color="auto" w:fill="EBEBEC"/>
          </w:tcPr>
          <w:p>
            <w:pPr>
              <w:spacing w:after="0"/>
              <w:rPr>
                <w:sz w:val="11"/>
                <w:szCs w:val="11"/>
                <w:color w:val="auto"/>
              </w:rPr>
            </w:pPr>
          </w:p>
        </w:tc>
        <w:tc>
          <w:tcPr>
            <w:tcW w:w="6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14,294</w:t>
            </w: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460" w:type="dxa"/>
            <w:vAlign w:val="bottom"/>
            <w:shd w:val="clear" w:color="auto" w:fill="EBEBEC"/>
          </w:tcPr>
          <w:p>
            <w:pPr>
              <w:jc w:val="right"/>
              <w:ind w:right="597"/>
              <w:spacing w:after="0" w:line="135" w:lineRule="exact"/>
              <w:rPr>
                <w:sz w:val="20"/>
                <w:szCs w:val="20"/>
                <w:color w:val="auto"/>
              </w:rPr>
            </w:pPr>
            <w:r>
              <w:rPr>
                <w:rFonts w:ascii="Arial" w:cs="Arial" w:eastAsia="Arial" w:hAnsi="Arial"/>
                <w:sz w:val="13"/>
                <w:szCs w:val="13"/>
                <w:color w:val="auto"/>
              </w:rPr>
              <w:t>741,716</w:t>
            </w:r>
          </w:p>
        </w:tc>
        <w:tc>
          <w:tcPr>
            <w:tcW w:w="1120" w:type="dxa"/>
            <w:vAlign w:val="bottom"/>
            <w:shd w:val="clear" w:color="auto" w:fill="EBEBEC"/>
          </w:tcPr>
          <w:p>
            <w:pPr>
              <w:spacing w:after="0"/>
              <w:rPr>
                <w:sz w:val="11"/>
                <w:szCs w:val="11"/>
                <w:color w:val="auto"/>
              </w:rPr>
            </w:pPr>
          </w:p>
        </w:tc>
        <w:tc>
          <w:tcPr>
            <w:tcW w:w="580" w:type="dxa"/>
            <w:vAlign w:val="bottom"/>
            <w:shd w:val="clear" w:color="auto" w:fill="EBEBEC"/>
          </w:tcPr>
          <w:p>
            <w:pPr>
              <w:spacing w:after="0"/>
              <w:rPr>
                <w:sz w:val="11"/>
                <w:szCs w:val="11"/>
                <w:color w:val="auto"/>
              </w:rPr>
            </w:pPr>
          </w:p>
        </w:tc>
        <w:tc>
          <w:tcPr>
            <w:tcW w:w="780" w:type="dxa"/>
            <w:vAlign w:val="bottom"/>
            <w:shd w:val="clear" w:color="auto" w:fill="EBEB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EBEBEC"/>
          </w:tcPr>
          <w:p>
            <w:pPr>
              <w:ind w:left="100"/>
              <w:spacing w:after="0" w:line="135" w:lineRule="exact"/>
              <w:rPr>
                <w:sz w:val="20"/>
                <w:szCs w:val="20"/>
                <w:color w:val="auto"/>
              </w:rPr>
            </w:pPr>
            <w:r>
              <w:rPr>
                <w:rFonts w:ascii="Arial" w:cs="Arial" w:eastAsia="Arial" w:hAnsi="Arial"/>
                <w:sz w:val="13"/>
                <w:szCs w:val="13"/>
                <w:color w:val="auto"/>
              </w:rPr>
              <w:t>RSU(3)</w:t>
            </w:r>
          </w:p>
        </w:tc>
        <w:tc>
          <w:tcPr>
            <w:tcW w:w="300" w:type="dxa"/>
            <w:vAlign w:val="bottom"/>
            <w:shd w:val="clear" w:color="auto" w:fill="EBEBEC"/>
          </w:tcPr>
          <w:p>
            <w:pPr>
              <w:spacing w:after="0"/>
              <w:rPr>
                <w:sz w:val="11"/>
                <w:szCs w:val="11"/>
                <w:color w:val="auto"/>
              </w:rPr>
            </w:pP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2/23/2023</w:t>
            </w:r>
          </w:p>
        </w:tc>
        <w:tc>
          <w:tcPr>
            <w:tcW w:w="300" w:type="dxa"/>
            <w:vAlign w:val="bottom"/>
            <w:shd w:val="clear" w:color="auto" w:fill="EBEBEC"/>
          </w:tcPr>
          <w:p>
            <w:pPr>
              <w:spacing w:after="0"/>
              <w:rPr>
                <w:sz w:val="11"/>
                <w:szCs w:val="11"/>
                <w:color w:val="auto"/>
              </w:rPr>
            </w:pPr>
          </w:p>
        </w:tc>
        <w:tc>
          <w:tcPr>
            <w:tcW w:w="680" w:type="dxa"/>
            <w:vAlign w:val="bottom"/>
            <w:shd w:val="clear" w:color="auto" w:fill="EBEBEC"/>
          </w:tcPr>
          <w:p>
            <w:pPr>
              <w:spacing w:after="0"/>
              <w:rPr>
                <w:sz w:val="11"/>
                <w:szCs w:val="11"/>
                <w:color w:val="auto"/>
              </w:rPr>
            </w:pPr>
          </w:p>
        </w:tc>
        <w:tc>
          <w:tcPr>
            <w:tcW w:w="6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7,147</w:t>
            </w: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460" w:type="dxa"/>
            <w:vAlign w:val="bottom"/>
            <w:shd w:val="clear" w:color="auto" w:fill="EBEBEC"/>
          </w:tcPr>
          <w:p>
            <w:pPr>
              <w:jc w:val="right"/>
              <w:ind w:right="597"/>
              <w:spacing w:after="0" w:line="135" w:lineRule="exact"/>
              <w:rPr>
                <w:sz w:val="20"/>
                <w:szCs w:val="20"/>
                <w:color w:val="auto"/>
              </w:rPr>
            </w:pPr>
            <w:r>
              <w:rPr>
                <w:rFonts w:ascii="Arial" w:cs="Arial" w:eastAsia="Arial" w:hAnsi="Arial"/>
                <w:sz w:val="13"/>
                <w:szCs w:val="13"/>
                <w:color w:val="auto"/>
              </w:rPr>
              <w:t>370,858</w:t>
            </w:r>
          </w:p>
        </w:tc>
        <w:tc>
          <w:tcPr>
            <w:tcW w:w="1120" w:type="dxa"/>
            <w:vAlign w:val="bottom"/>
            <w:shd w:val="clear" w:color="auto" w:fill="EBEBEC"/>
          </w:tcPr>
          <w:p>
            <w:pPr>
              <w:spacing w:after="0"/>
              <w:rPr>
                <w:sz w:val="11"/>
                <w:szCs w:val="11"/>
                <w:color w:val="auto"/>
              </w:rPr>
            </w:pPr>
          </w:p>
        </w:tc>
        <w:tc>
          <w:tcPr>
            <w:tcW w:w="580" w:type="dxa"/>
            <w:vAlign w:val="bottom"/>
            <w:shd w:val="clear" w:color="auto" w:fill="EBEBEC"/>
          </w:tcPr>
          <w:p>
            <w:pPr>
              <w:spacing w:after="0"/>
              <w:rPr>
                <w:sz w:val="11"/>
                <w:szCs w:val="11"/>
                <w:color w:val="auto"/>
              </w:rPr>
            </w:pPr>
          </w:p>
        </w:tc>
        <w:tc>
          <w:tcPr>
            <w:tcW w:w="780" w:type="dxa"/>
            <w:vAlign w:val="bottom"/>
            <w:shd w:val="clear" w:color="auto" w:fill="EBEB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EBEBEC"/>
          </w:tcPr>
          <w:p>
            <w:pPr>
              <w:ind w:left="100"/>
              <w:spacing w:after="0" w:line="135" w:lineRule="exact"/>
              <w:rPr>
                <w:sz w:val="20"/>
                <w:szCs w:val="20"/>
                <w:color w:val="auto"/>
              </w:rPr>
            </w:pPr>
            <w:r>
              <w:rPr>
                <w:rFonts w:ascii="Arial" w:cs="Arial" w:eastAsia="Arial" w:hAnsi="Arial"/>
                <w:sz w:val="13"/>
                <w:szCs w:val="13"/>
                <w:color w:val="auto"/>
              </w:rPr>
              <w:t>RSU(4)</w:t>
            </w:r>
          </w:p>
        </w:tc>
        <w:tc>
          <w:tcPr>
            <w:tcW w:w="300" w:type="dxa"/>
            <w:vAlign w:val="bottom"/>
            <w:shd w:val="clear" w:color="auto" w:fill="EBEBEC"/>
          </w:tcPr>
          <w:p>
            <w:pPr>
              <w:spacing w:after="0"/>
              <w:rPr>
                <w:sz w:val="11"/>
                <w:szCs w:val="11"/>
                <w:color w:val="auto"/>
              </w:rPr>
            </w:pP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2/22/2024</w:t>
            </w:r>
          </w:p>
        </w:tc>
        <w:tc>
          <w:tcPr>
            <w:tcW w:w="300" w:type="dxa"/>
            <w:vAlign w:val="bottom"/>
            <w:shd w:val="clear" w:color="auto" w:fill="EBEBEC"/>
          </w:tcPr>
          <w:p>
            <w:pPr>
              <w:spacing w:after="0"/>
              <w:rPr>
                <w:sz w:val="11"/>
                <w:szCs w:val="11"/>
                <w:color w:val="auto"/>
              </w:rPr>
            </w:pPr>
          </w:p>
        </w:tc>
        <w:tc>
          <w:tcPr>
            <w:tcW w:w="680" w:type="dxa"/>
            <w:vAlign w:val="bottom"/>
            <w:shd w:val="clear" w:color="auto" w:fill="EBEBEC"/>
          </w:tcPr>
          <w:p>
            <w:pPr>
              <w:spacing w:after="0"/>
              <w:rPr>
                <w:sz w:val="11"/>
                <w:szCs w:val="11"/>
                <w:color w:val="auto"/>
              </w:rPr>
            </w:pPr>
          </w:p>
        </w:tc>
        <w:tc>
          <w:tcPr>
            <w:tcW w:w="6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18,668</w:t>
            </w: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460" w:type="dxa"/>
            <w:vAlign w:val="bottom"/>
            <w:shd w:val="clear" w:color="auto" w:fill="EBEBEC"/>
          </w:tcPr>
          <w:p>
            <w:pPr>
              <w:jc w:val="right"/>
              <w:ind w:right="597"/>
              <w:spacing w:after="0" w:line="135" w:lineRule="exact"/>
              <w:rPr>
                <w:sz w:val="20"/>
                <w:szCs w:val="20"/>
                <w:color w:val="auto"/>
              </w:rPr>
            </w:pPr>
            <w:r>
              <w:rPr>
                <w:rFonts w:ascii="Arial" w:cs="Arial" w:eastAsia="Arial" w:hAnsi="Arial"/>
                <w:sz w:val="13"/>
                <w:szCs w:val="13"/>
                <w:color w:val="auto"/>
              </w:rPr>
              <w:t>968,683</w:t>
            </w:r>
          </w:p>
        </w:tc>
        <w:tc>
          <w:tcPr>
            <w:tcW w:w="1120" w:type="dxa"/>
            <w:vAlign w:val="bottom"/>
            <w:shd w:val="clear" w:color="auto" w:fill="EBEBEC"/>
          </w:tcPr>
          <w:p>
            <w:pPr>
              <w:spacing w:after="0"/>
              <w:rPr>
                <w:sz w:val="11"/>
                <w:szCs w:val="11"/>
                <w:color w:val="auto"/>
              </w:rPr>
            </w:pPr>
          </w:p>
        </w:tc>
        <w:tc>
          <w:tcPr>
            <w:tcW w:w="580" w:type="dxa"/>
            <w:vAlign w:val="bottom"/>
            <w:shd w:val="clear" w:color="auto" w:fill="EBEBEC"/>
          </w:tcPr>
          <w:p>
            <w:pPr>
              <w:spacing w:after="0"/>
              <w:rPr>
                <w:sz w:val="11"/>
                <w:szCs w:val="11"/>
                <w:color w:val="auto"/>
              </w:rPr>
            </w:pPr>
          </w:p>
        </w:tc>
        <w:tc>
          <w:tcPr>
            <w:tcW w:w="780" w:type="dxa"/>
            <w:vAlign w:val="bottom"/>
            <w:shd w:val="clear" w:color="auto" w:fill="EBEB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EBEBEC"/>
          </w:tcPr>
          <w:p>
            <w:pPr>
              <w:ind w:left="100"/>
              <w:spacing w:after="0" w:line="135" w:lineRule="exact"/>
              <w:rPr>
                <w:sz w:val="20"/>
                <w:szCs w:val="20"/>
                <w:color w:val="auto"/>
              </w:rPr>
            </w:pPr>
            <w:r>
              <w:rPr>
                <w:rFonts w:ascii="Arial" w:cs="Arial" w:eastAsia="Arial" w:hAnsi="Arial"/>
                <w:sz w:val="13"/>
                <w:szCs w:val="13"/>
                <w:color w:val="auto"/>
              </w:rPr>
              <w:t>PSU(5)</w:t>
            </w:r>
          </w:p>
        </w:tc>
        <w:tc>
          <w:tcPr>
            <w:tcW w:w="300" w:type="dxa"/>
            <w:vAlign w:val="bottom"/>
            <w:shd w:val="clear" w:color="auto" w:fill="EBEBEC"/>
          </w:tcPr>
          <w:p>
            <w:pPr>
              <w:spacing w:after="0"/>
              <w:rPr>
                <w:sz w:val="11"/>
                <w:szCs w:val="11"/>
                <w:color w:val="auto"/>
              </w:rPr>
            </w:pP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2/23/2023</w:t>
            </w:r>
          </w:p>
        </w:tc>
        <w:tc>
          <w:tcPr>
            <w:tcW w:w="300" w:type="dxa"/>
            <w:vAlign w:val="bottom"/>
            <w:shd w:val="clear" w:color="auto" w:fill="EBEBEC"/>
          </w:tcPr>
          <w:p>
            <w:pPr>
              <w:spacing w:after="0"/>
              <w:rPr>
                <w:sz w:val="11"/>
                <w:szCs w:val="11"/>
                <w:color w:val="auto"/>
              </w:rPr>
            </w:pPr>
          </w:p>
        </w:tc>
        <w:tc>
          <w:tcPr>
            <w:tcW w:w="680" w:type="dxa"/>
            <w:vAlign w:val="bottom"/>
            <w:shd w:val="clear" w:color="auto" w:fill="EBEBEC"/>
          </w:tcPr>
          <w:p>
            <w:pPr>
              <w:spacing w:after="0"/>
              <w:rPr>
                <w:sz w:val="11"/>
                <w:szCs w:val="11"/>
                <w:color w:val="auto"/>
              </w:rPr>
            </w:pPr>
          </w:p>
        </w:tc>
        <w:tc>
          <w:tcPr>
            <w:tcW w:w="660" w:type="dxa"/>
            <w:vAlign w:val="bottom"/>
            <w:shd w:val="clear" w:color="auto" w:fill="EBEBEC"/>
          </w:tcPr>
          <w:p>
            <w:pPr>
              <w:spacing w:after="0"/>
              <w:rPr>
                <w:sz w:val="11"/>
                <w:szCs w:val="11"/>
                <w:color w:val="auto"/>
              </w:rPr>
            </w:pPr>
          </w:p>
        </w:tc>
        <w:tc>
          <w:tcPr>
            <w:tcW w:w="860" w:type="dxa"/>
            <w:vAlign w:val="bottom"/>
            <w:shd w:val="clear" w:color="auto" w:fill="EBEBEC"/>
          </w:tcPr>
          <w:p>
            <w:pPr>
              <w:spacing w:after="0"/>
              <w:rPr>
                <w:sz w:val="11"/>
                <w:szCs w:val="11"/>
                <w:color w:val="auto"/>
              </w:rPr>
            </w:pPr>
          </w:p>
        </w:tc>
        <w:tc>
          <w:tcPr>
            <w:tcW w:w="1460" w:type="dxa"/>
            <w:vAlign w:val="bottom"/>
            <w:shd w:val="clear" w:color="auto" w:fill="EBEBEC"/>
          </w:tcPr>
          <w:p>
            <w:pPr>
              <w:spacing w:after="0"/>
              <w:rPr>
                <w:sz w:val="11"/>
                <w:szCs w:val="11"/>
                <w:color w:val="auto"/>
              </w:rPr>
            </w:pPr>
          </w:p>
        </w:tc>
        <w:tc>
          <w:tcPr>
            <w:tcW w:w="1120" w:type="dxa"/>
            <w:vAlign w:val="bottom"/>
            <w:shd w:val="clear" w:color="auto" w:fill="EBEBEC"/>
          </w:tcPr>
          <w:p>
            <w:pPr>
              <w:jc w:val="right"/>
              <w:ind w:right="357"/>
              <w:spacing w:after="0" w:line="135" w:lineRule="exact"/>
              <w:rPr>
                <w:sz w:val="20"/>
                <w:szCs w:val="20"/>
                <w:color w:val="auto"/>
              </w:rPr>
            </w:pPr>
            <w:r>
              <w:rPr>
                <w:rFonts w:ascii="Arial" w:cs="Arial" w:eastAsia="Arial" w:hAnsi="Arial"/>
                <w:sz w:val="13"/>
                <w:szCs w:val="13"/>
                <w:color w:val="auto"/>
              </w:rPr>
              <w:t>64,324</w:t>
            </w:r>
          </w:p>
        </w:tc>
        <w:tc>
          <w:tcPr>
            <w:tcW w:w="580" w:type="dxa"/>
            <w:vAlign w:val="bottom"/>
            <w:shd w:val="clear" w:color="auto" w:fill="EBEBEC"/>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57"/>
              <w:spacing w:after="0" w:line="135" w:lineRule="exact"/>
              <w:rPr>
                <w:sz w:val="20"/>
                <w:szCs w:val="20"/>
                <w:color w:val="auto"/>
              </w:rPr>
            </w:pPr>
            <w:r>
              <w:rPr>
                <w:rFonts w:ascii="Arial" w:cs="Arial" w:eastAsia="Arial" w:hAnsi="Arial"/>
                <w:sz w:val="13"/>
                <w:szCs w:val="13"/>
                <w:color w:val="auto"/>
              </w:rPr>
              <w:t>3,337,772</w:t>
            </w:r>
          </w:p>
        </w:tc>
        <w:tc>
          <w:tcPr>
            <w:tcW w:w="0" w:type="dxa"/>
            <w:vAlign w:val="bottom"/>
          </w:tcPr>
          <w:p>
            <w:pPr>
              <w:spacing w:after="0"/>
              <w:rPr>
                <w:sz w:val="1"/>
                <w:szCs w:val="1"/>
                <w:color w:val="auto"/>
              </w:rPr>
            </w:pPr>
          </w:p>
        </w:tc>
      </w:tr>
      <w:tr>
        <w:trPr>
          <w:trHeight w:val="135"/>
        </w:trPr>
        <w:tc>
          <w:tcPr>
            <w:tcW w:w="3500" w:type="dxa"/>
            <w:vAlign w:val="bottom"/>
            <w:shd w:val="clear" w:color="auto" w:fill="EBEBEC"/>
          </w:tcPr>
          <w:p>
            <w:pPr>
              <w:ind w:left="100"/>
              <w:spacing w:after="0" w:line="135" w:lineRule="exact"/>
              <w:rPr>
                <w:sz w:val="20"/>
                <w:szCs w:val="20"/>
                <w:color w:val="auto"/>
              </w:rPr>
            </w:pPr>
            <w:r>
              <w:rPr>
                <w:rFonts w:ascii="Arial" w:cs="Arial" w:eastAsia="Arial" w:hAnsi="Arial"/>
                <w:sz w:val="13"/>
                <w:szCs w:val="13"/>
                <w:color w:val="auto"/>
              </w:rPr>
              <w:t>PSU(6)</w:t>
            </w:r>
          </w:p>
        </w:tc>
        <w:tc>
          <w:tcPr>
            <w:tcW w:w="300" w:type="dxa"/>
            <w:vAlign w:val="bottom"/>
            <w:shd w:val="clear" w:color="auto" w:fill="EBEBEC"/>
          </w:tcPr>
          <w:p>
            <w:pPr>
              <w:spacing w:after="0"/>
              <w:rPr>
                <w:sz w:val="11"/>
                <w:szCs w:val="11"/>
                <w:color w:val="auto"/>
              </w:rPr>
            </w:pP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2/23/2023</w:t>
            </w:r>
          </w:p>
        </w:tc>
        <w:tc>
          <w:tcPr>
            <w:tcW w:w="300" w:type="dxa"/>
            <w:vAlign w:val="bottom"/>
            <w:shd w:val="clear" w:color="auto" w:fill="EBEBEC"/>
          </w:tcPr>
          <w:p>
            <w:pPr>
              <w:spacing w:after="0"/>
              <w:rPr>
                <w:sz w:val="11"/>
                <w:szCs w:val="11"/>
                <w:color w:val="auto"/>
              </w:rPr>
            </w:pPr>
          </w:p>
        </w:tc>
        <w:tc>
          <w:tcPr>
            <w:tcW w:w="1340" w:type="dxa"/>
            <w:vAlign w:val="bottom"/>
            <w:gridSpan w:val="2"/>
            <w:shd w:val="clear" w:color="auto" w:fill="EBEBEC"/>
          </w:tcPr>
          <w:p>
            <w:pPr>
              <w:jc w:val="right"/>
              <w:spacing w:after="0" w:line="135" w:lineRule="exact"/>
              <w:rPr>
                <w:sz w:val="20"/>
                <w:szCs w:val="20"/>
                <w:color w:val="auto"/>
              </w:rPr>
            </w:pPr>
            <w:r>
              <w:rPr>
                <w:rFonts w:ascii="Arial" w:cs="Arial" w:eastAsia="Arial" w:hAnsi="Arial"/>
                <w:sz w:val="13"/>
                <w:szCs w:val="13"/>
                <w:color w:val="auto"/>
              </w:rPr>
              <w:t>33,448</w:t>
            </w: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460" w:type="dxa"/>
            <w:vAlign w:val="bottom"/>
            <w:shd w:val="clear" w:color="auto" w:fill="EBEBEC"/>
          </w:tcPr>
          <w:p>
            <w:pPr>
              <w:jc w:val="right"/>
              <w:ind w:right="597"/>
              <w:spacing w:after="0" w:line="135" w:lineRule="exact"/>
              <w:rPr>
                <w:sz w:val="20"/>
                <w:szCs w:val="20"/>
                <w:color w:val="auto"/>
              </w:rPr>
            </w:pPr>
            <w:r>
              <w:rPr>
                <w:rFonts w:ascii="Arial" w:cs="Arial" w:eastAsia="Arial" w:hAnsi="Arial"/>
                <w:sz w:val="13"/>
                <w:szCs w:val="13"/>
                <w:color w:val="auto"/>
              </w:rPr>
              <w:t>1,735,617</w:t>
            </w:r>
          </w:p>
        </w:tc>
        <w:tc>
          <w:tcPr>
            <w:tcW w:w="1120" w:type="dxa"/>
            <w:vAlign w:val="bottom"/>
            <w:shd w:val="clear" w:color="auto" w:fill="EBEBEC"/>
          </w:tcPr>
          <w:p>
            <w:pPr>
              <w:spacing w:after="0"/>
              <w:rPr>
                <w:sz w:val="11"/>
                <w:szCs w:val="11"/>
                <w:color w:val="auto"/>
              </w:rPr>
            </w:pPr>
          </w:p>
        </w:tc>
        <w:tc>
          <w:tcPr>
            <w:tcW w:w="580" w:type="dxa"/>
            <w:vAlign w:val="bottom"/>
            <w:shd w:val="clear" w:color="auto" w:fill="EBEBEC"/>
          </w:tcPr>
          <w:p>
            <w:pPr>
              <w:spacing w:after="0"/>
              <w:rPr>
                <w:sz w:val="11"/>
                <w:szCs w:val="11"/>
                <w:color w:val="auto"/>
              </w:rPr>
            </w:pPr>
          </w:p>
        </w:tc>
        <w:tc>
          <w:tcPr>
            <w:tcW w:w="780" w:type="dxa"/>
            <w:vAlign w:val="bottom"/>
            <w:shd w:val="clear" w:color="auto" w:fill="EBEB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EBEBEC"/>
          </w:tcPr>
          <w:p>
            <w:pPr>
              <w:ind w:left="100"/>
              <w:spacing w:after="0" w:line="135" w:lineRule="exact"/>
              <w:rPr>
                <w:sz w:val="20"/>
                <w:szCs w:val="20"/>
                <w:color w:val="auto"/>
              </w:rPr>
            </w:pPr>
            <w:r>
              <w:rPr>
                <w:rFonts w:ascii="Arial" w:cs="Arial" w:eastAsia="Arial" w:hAnsi="Arial"/>
                <w:sz w:val="13"/>
                <w:szCs w:val="13"/>
                <w:color w:val="auto"/>
              </w:rPr>
              <w:t>PSU(7)</w:t>
            </w:r>
          </w:p>
        </w:tc>
        <w:tc>
          <w:tcPr>
            <w:tcW w:w="300" w:type="dxa"/>
            <w:vAlign w:val="bottom"/>
            <w:shd w:val="clear" w:color="auto" w:fill="EBEBEC"/>
          </w:tcPr>
          <w:p>
            <w:pPr>
              <w:spacing w:after="0"/>
              <w:rPr>
                <w:sz w:val="11"/>
                <w:szCs w:val="11"/>
                <w:color w:val="auto"/>
              </w:rPr>
            </w:pP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2/22/2024</w:t>
            </w:r>
          </w:p>
        </w:tc>
        <w:tc>
          <w:tcPr>
            <w:tcW w:w="300" w:type="dxa"/>
            <w:vAlign w:val="bottom"/>
            <w:shd w:val="clear" w:color="auto" w:fill="EBEBEC"/>
          </w:tcPr>
          <w:p>
            <w:pPr>
              <w:spacing w:after="0"/>
              <w:rPr>
                <w:sz w:val="11"/>
                <w:szCs w:val="11"/>
                <w:color w:val="auto"/>
              </w:rPr>
            </w:pPr>
          </w:p>
        </w:tc>
        <w:tc>
          <w:tcPr>
            <w:tcW w:w="680" w:type="dxa"/>
            <w:vAlign w:val="bottom"/>
            <w:shd w:val="clear" w:color="auto" w:fill="EBEBEC"/>
          </w:tcPr>
          <w:p>
            <w:pPr>
              <w:spacing w:after="0"/>
              <w:rPr>
                <w:sz w:val="11"/>
                <w:szCs w:val="11"/>
                <w:color w:val="auto"/>
              </w:rPr>
            </w:pPr>
          </w:p>
        </w:tc>
        <w:tc>
          <w:tcPr>
            <w:tcW w:w="660" w:type="dxa"/>
            <w:vAlign w:val="bottom"/>
            <w:shd w:val="clear" w:color="auto" w:fill="EBEBEC"/>
          </w:tcPr>
          <w:p>
            <w:pPr>
              <w:spacing w:after="0"/>
              <w:rPr>
                <w:sz w:val="11"/>
                <w:szCs w:val="11"/>
                <w:color w:val="auto"/>
              </w:rPr>
            </w:pPr>
          </w:p>
        </w:tc>
        <w:tc>
          <w:tcPr>
            <w:tcW w:w="860" w:type="dxa"/>
            <w:vAlign w:val="bottom"/>
            <w:shd w:val="clear" w:color="auto" w:fill="EBEBEC"/>
          </w:tcPr>
          <w:p>
            <w:pPr>
              <w:spacing w:after="0"/>
              <w:rPr>
                <w:sz w:val="11"/>
                <w:szCs w:val="11"/>
                <w:color w:val="auto"/>
              </w:rPr>
            </w:pPr>
          </w:p>
        </w:tc>
        <w:tc>
          <w:tcPr>
            <w:tcW w:w="1460" w:type="dxa"/>
            <w:vAlign w:val="bottom"/>
            <w:shd w:val="clear" w:color="auto" w:fill="EBEBEC"/>
          </w:tcPr>
          <w:p>
            <w:pPr>
              <w:spacing w:after="0"/>
              <w:rPr>
                <w:sz w:val="11"/>
                <w:szCs w:val="11"/>
                <w:color w:val="auto"/>
              </w:rPr>
            </w:pPr>
          </w:p>
        </w:tc>
        <w:tc>
          <w:tcPr>
            <w:tcW w:w="1120" w:type="dxa"/>
            <w:vAlign w:val="bottom"/>
            <w:shd w:val="clear" w:color="auto" w:fill="EBEBEC"/>
          </w:tcPr>
          <w:p>
            <w:pPr>
              <w:jc w:val="right"/>
              <w:ind w:right="357"/>
              <w:spacing w:after="0" w:line="135" w:lineRule="exact"/>
              <w:rPr>
                <w:sz w:val="20"/>
                <w:szCs w:val="20"/>
                <w:color w:val="auto"/>
              </w:rPr>
            </w:pPr>
            <w:r>
              <w:rPr>
                <w:rFonts w:ascii="Arial" w:cs="Arial" w:eastAsia="Arial" w:hAnsi="Arial"/>
                <w:sz w:val="13"/>
                <w:szCs w:val="13"/>
                <w:color w:val="auto"/>
              </w:rPr>
              <w:t>28,002</w:t>
            </w:r>
          </w:p>
        </w:tc>
        <w:tc>
          <w:tcPr>
            <w:tcW w:w="580" w:type="dxa"/>
            <w:vAlign w:val="bottom"/>
            <w:shd w:val="clear" w:color="auto" w:fill="EBEBEC"/>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57"/>
              <w:spacing w:after="0" w:line="135" w:lineRule="exact"/>
              <w:rPr>
                <w:sz w:val="20"/>
                <w:szCs w:val="20"/>
                <w:color w:val="auto"/>
              </w:rPr>
            </w:pPr>
            <w:r>
              <w:rPr>
                <w:rFonts w:ascii="Arial" w:cs="Arial" w:eastAsia="Arial" w:hAnsi="Arial"/>
                <w:sz w:val="13"/>
                <w:szCs w:val="13"/>
                <w:color w:val="auto"/>
              </w:rPr>
              <w:t>1,453,024</w:t>
            </w:r>
          </w:p>
        </w:tc>
        <w:tc>
          <w:tcPr>
            <w:tcW w:w="0" w:type="dxa"/>
            <w:vAlign w:val="bottom"/>
          </w:tcPr>
          <w:p>
            <w:pPr>
              <w:spacing w:after="0"/>
              <w:rPr>
                <w:sz w:val="1"/>
                <w:szCs w:val="1"/>
                <w:color w:val="auto"/>
              </w:rPr>
            </w:pPr>
          </w:p>
        </w:tc>
      </w:tr>
      <w:tr>
        <w:trPr>
          <w:trHeight w:val="135"/>
        </w:trPr>
        <w:tc>
          <w:tcPr>
            <w:tcW w:w="3500" w:type="dxa"/>
            <w:vAlign w:val="bottom"/>
            <w:shd w:val="clear" w:color="auto" w:fill="EBEBEC"/>
          </w:tcPr>
          <w:p>
            <w:pPr>
              <w:ind w:left="100"/>
              <w:spacing w:after="0" w:line="135" w:lineRule="exact"/>
              <w:rPr>
                <w:sz w:val="20"/>
                <w:szCs w:val="20"/>
                <w:color w:val="auto"/>
              </w:rPr>
            </w:pPr>
            <w:r>
              <w:rPr>
                <w:rFonts w:ascii="Arial" w:cs="Arial" w:eastAsia="Arial" w:hAnsi="Arial"/>
                <w:sz w:val="13"/>
                <w:szCs w:val="13"/>
                <w:b w:val="1"/>
                <w:bCs w:val="1"/>
                <w:color w:val="auto"/>
              </w:rPr>
              <w:t>Michael L. Preston</w:t>
            </w:r>
          </w:p>
        </w:tc>
        <w:tc>
          <w:tcPr>
            <w:tcW w:w="300" w:type="dxa"/>
            <w:vAlign w:val="bottom"/>
            <w:shd w:val="clear" w:color="auto" w:fill="EBEBEC"/>
          </w:tcPr>
          <w:p>
            <w:pPr>
              <w:spacing w:after="0"/>
              <w:rPr>
                <w:sz w:val="11"/>
                <w:szCs w:val="11"/>
                <w:color w:val="auto"/>
              </w:rPr>
            </w:pPr>
          </w:p>
        </w:tc>
        <w:tc>
          <w:tcPr>
            <w:tcW w:w="860" w:type="dxa"/>
            <w:vAlign w:val="bottom"/>
            <w:shd w:val="clear" w:color="auto" w:fill="EBEBEC"/>
          </w:tcPr>
          <w:p>
            <w:pPr>
              <w:spacing w:after="0"/>
              <w:rPr>
                <w:sz w:val="11"/>
                <w:szCs w:val="11"/>
                <w:color w:val="auto"/>
              </w:rPr>
            </w:pPr>
          </w:p>
        </w:tc>
        <w:tc>
          <w:tcPr>
            <w:tcW w:w="300" w:type="dxa"/>
            <w:vAlign w:val="bottom"/>
            <w:shd w:val="clear" w:color="auto" w:fill="EBEBEC"/>
          </w:tcPr>
          <w:p>
            <w:pPr>
              <w:spacing w:after="0"/>
              <w:rPr>
                <w:sz w:val="11"/>
                <w:szCs w:val="11"/>
                <w:color w:val="auto"/>
              </w:rPr>
            </w:pPr>
          </w:p>
        </w:tc>
        <w:tc>
          <w:tcPr>
            <w:tcW w:w="680" w:type="dxa"/>
            <w:vAlign w:val="bottom"/>
            <w:shd w:val="clear" w:color="auto" w:fill="EBEBEC"/>
          </w:tcPr>
          <w:p>
            <w:pPr>
              <w:spacing w:after="0"/>
              <w:rPr>
                <w:sz w:val="11"/>
                <w:szCs w:val="11"/>
                <w:color w:val="auto"/>
              </w:rPr>
            </w:pPr>
          </w:p>
        </w:tc>
        <w:tc>
          <w:tcPr>
            <w:tcW w:w="660" w:type="dxa"/>
            <w:vAlign w:val="bottom"/>
            <w:shd w:val="clear" w:color="auto" w:fill="EBEBEC"/>
          </w:tcPr>
          <w:p>
            <w:pPr>
              <w:spacing w:after="0"/>
              <w:rPr>
                <w:sz w:val="11"/>
                <w:szCs w:val="11"/>
                <w:color w:val="auto"/>
              </w:rPr>
            </w:pPr>
          </w:p>
        </w:tc>
        <w:tc>
          <w:tcPr>
            <w:tcW w:w="860" w:type="dxa"/>
            <w:vAlign w:val="bottom"/>
            <w:shd w:val="clear" w:color="auto" w:fill="EBEBEC"/>
          </w:tcPr>
          <w:p>
            <w:pPr>
              <w:spacing w:after="0"/>
              <w:rPr>
                <w:sz w:val="11"/>
                <w:szCs w:val="11"/>
                <w:color w:val="auto"/>
              </w:rPr>
            </w:pPr>
          </w:p>
        </w:tc>
        <w:tc>
          <w:tcPr>
            <w:tcW w:w="1460" w:type="dxa"/>
            <w:vAlign w:val="bottom"/>
            <w:shd w:val="clear" w:color="auto" w:fill="EBEBEC"/>
          </w:tcPr>
          <w:p>
            <w:pPr>
              <w:spacing w:after="0"/>
              <w:rPr>
                <w:sz w:val="11"/>
                <w:szCs w:val="11"/>
                <w:color w:val="auto"/>
              </w:rPr>
            </w:pPr>
          </w:p>
        </w:tc>
        <w:tc>
          <w:tcPr>
            <w:tcW w:w="1120" w:type="dxa"/>
            <w:vAlign w:val="bottom"/>
            <w:shd w:val="clear" w:color="auto" w:fill="EBEBEC"/>
          </w:tcPr>
          <w:p>
            <w:pPr>
              <w:spacing w:after="0"/>
              <w:rPr>
                <w:sz w:val="11"/>
                <w:szCs w:val="11"/>
                <w:color w:val="auto"/>
              </w:rPr>
            </w:pPr>
          </w:p>
        </w:tc>
        <w:tc>
          <w:tcPr>
            <w:tcW w:w="580" w:type="dxa"/>
            <w:vAlign w:val="bottom"/>
            <w:shd w:val="clear" w:color="auto" w:fill="EBEBEC"/>
          </w:tcPr>
          <w:p>
            <w:pPr>
              <w:spacing w:after="0"/>
              <w:rPr>
                <w:sz w:val="11"/>
                <w:szCs w:val="11"/>
                <w:color w:val="auto"/>
              </w:rPr>
            </w:pPr>
          </w:p>
        </w:tc>
        <w:tc>
          <w:tcPr>
            <w:tcW w:w="780" w:type="dxa"/>
            <w:vAlign w:val="bottom"/>
            <w:shd w:val="clear" w:color="auto" w:fill="EBEB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EBEBEC"/>
          </w:tcPr>
          <w:p>
            <w:pPr>
              <w:ind w:left="100"/>
              <w:spacing w:after="0" w:line="135" w:lineRule="exact"/>
              <w:rPr>
                <w:sz w:val="20"/>
                <w:szCs w:val="20"/>
                <w:color w:val="auto"/>
              </w:rPr>
            </w:pPr>
            <w:r>
              <w:rPr>
                <w:rFonts w:ascii="Arial" w:cs="Arial" w:eastAsia="Arial" w:hAnsi="Arial"/>
                <w:sz w:val="13"/>
                <w:szCs w:val="13"/>
                <w:color w:val="auto"/>
              </w:rPr>
              <w:t>RSU(2)</w:t>
            </w:r>
          </w:p>
        </w:tc>
        <w:tc>
          <w:tcPr>
            <w:tcW w:w="300" w:type="dxa"/>
            <w:vAlign w:val="bottom"/>
            <w:shd w:val="clear" w:color="auto" w:fill="EBEBEC"/>
          </w:tcPr>
          <w:p>
            <w:pPr>
              <w:spacing w:after="0"/>
              <w:rPr>
                <w:sz w:val="11"/>
                <w:szCs w:val="11"/>
                <w:color w:val="auto"/>
              </w:rPr>
            </w:pP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2/23/2023</w:t>
            </w:r>
          </w:p>
        </w:tc>
        <w:tc>
          <w:tcPr>
            <w:tcW w:w="300" w:type="dxa"/>
            <w:vAlign w:val="bottom"/>
            <w:shd w:val="clear" w:color="auto" w:fill="EBEBEC"/>
          </w:tcPr>
          <w:p>
            <w:pPr>
              <w:spacing w:after="0"/>
              <w:rPr>
                <w:sz w:val="11"/>
                <w:szCs w:val="11"/>
                <w:color w:val="auto"/>
              </w:rPr>
            </w:pPr>
          </w:p>
        </w:tc>
        <w:tc>
          <w:tcPr>
            <w:tcW w:w="680" w:type="dxa"/>
            <w:vAlign w:val="bottom"/>
            <w:shd w:val="clear" w:color="auto" w:fill="EBEBEC"/>
          </w:tcPr>
          <w:p>
            <w:pPr>
              <w:spacing w:after="0"/>
              <w:rPr>
                <w:sz w:val="11"/>
                <w:szCs w:val="11"/>
                <w:color w:val="auto"/>
              </w:rPr>
            </w:pPr>
          </w:p>
        </w:tc>
        <w:tc>
          <w:tcPr>
            <w:tcW w:w="6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14,741</w:t>
            </w: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460" w:type="dxa"/>
            <w:vAlign w:val="bottom"/>
            <w:shd w:val="clear" w:color="auto" w:fill="EBEBEC"/>
          </w:tcPr>
          <w:p>
            <w:pPr>
              <w:jc w:val="right"/>
              <w:ind w:right="597"/>
              <w:spacing w:after="0" w:line="135" w:lineRule="exact"/>
              <w:rPr>
                <w:sz w:val="20"/>
                <w:szCs w:val="20"/>
                <w:color w:val="auto"/>
              </w:rPr>
            </w:pPr>
            <w:r>
              <w:rPr>
                <w:rFonts w:ascii="Arial" w:cs="Arial" w:eastAsia="Arial" w:hAnsi="Arial"/>
                <w:sz w:val="13"/>
                <w:szCs w:val="13"/>
                <w:color w:val="auto"/>
              </w:rPr>
              <w:t>764,910</w:t>
            </w:r>
          </w:p>
        </w:tc>
        <w:tc>
          <w:tcPr>
            <w:tcW w:w="1120" w:type="dxa"/>
            <w:vAlign w:val="bottom"/>
            <w:shd w:val="clear" w:color="auto" w:fill="EBEBEC"/>
          </w:tcPr>
          <w:p>
            <w:pPr>
              <w:spacing w:after="0"/>
              <w:rPr>
                <w:sz w:val="11"/>
                <w:szCs w:val="11"/>
                <w:color w:val="auto"/>
              </w:rPr>
            </w:pPr>
          </w:p>
        </w:tc>
        <w:tc>
          <w:tcPr>
            <w:tcW w:w="580" w:type="dxa"/>
            <w:vAlign w:val="bottom"/>
            <w:shd w:val="clear" w:color="auto" w:fill="EBEBEC"/>
          </w:tcPr>
          <w:p>
            <w:pPr>
              <w:spacing w:after="0"/>
              <w:rPr>
                <w:sz w:val="11"/>
                <w:szCs w:val="11"/>
                <w:color w:val="auto"/>
              </w:rPr>
            </w:pPr>
          </w:p>
        </w:tc>
        <w:tc>
          <w:tcPr>
            <w:tcW w:w="780" w:type="dxa"/>
            <w:vAlign w:val="bottom"/>
            <w:shd w:val="clear" w:color="auto" w:fill="EBEB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EBEBEC"/>
          </w:tcPr>
          <w:p>
            <w:pPr>
              <w:ind w:left="100"/>
              <w:spacing w:after="0" w:line="135" w:lineRule="exact"/>
              <w:rPr>
                <w:sz w:val="20"/>
                <w:szCs w:val="20"/>
                <w:color w:val="auto"/>
              </w:rPr>
            </w:pPr>
            <w:r>
              <w:rPr>
                <w:rFonts w:ascii="Arial" w:cs="Arial" w:eastAsia="Arial" w:hAnsi="Arial"/>
                <w:sz w:val="13"/>
                <w:szCs w:val="13"/>
                <w:color w:val="auto"/>
              </w:rPr>
              <w:t>RSU(3)</w:t>
            </w:r>
          </w:p>
        </w:tc>
        <w:tc>
          <w:tcPr>
            <w:tcW w:w="300" w:type="dxa"/>
            <w:vAlign w:val="bottom"/>
            <w:shd w:val="clear" w:color="auto" w:fill="EBEBEC"/>
          </w:tcPr>
          <w:p>
            <w:pPr>
              <w:spacing w:after="0"/>
              <w:rPr>
                <w:sz w:val="11"/>
                <w:szCs w:val="11"/>
                <w:color w:val="auto"/>
              </w:rPr>
            </w:pP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2/23/2023</w:t>
            </w:r>
          </w:p>
        </w:tc>
        <w:tc>
          <w:tcPr>
            <w:tcW w:w="300" w:type="dxa"/>
            <w:vAlign w:val="bottom"/>
            <w:shd w:val="clear" w:color="auto" w:fill="EBEBEC"/>
          </w:tcPr>
          <w:p>
            <w:pPr>
              <w:spacing w:after="0"/>
              <w:rPr>
                <w:sz w:val="11"/>
                <w:szCs w:val="11"/>
                <w:color w:val="auto"/>
              </w:rPr>
            </w:pPr>
          </w:p>
        </w:tc>
        <w:tc>
          <w:tcPr>
            <w:tcW w:w="680" w:type="dxa"/>
            <w:vAlign w:val="bottom"/>
            <w:shd w:val="clear" w:color="auto" w:fill="EBEBEC"/>
          </w:tcPr>
          <w:p>
            <w:pPr>
              <w:spacing w:after="0"/>
              <w:rPr>
                <w:sz w:val="11"/>
                <w:szCs w:val="11"/>
                <w:color w:val="auto"/>
              </w:rPr>
            </w:pPr>
          </w:p>
        </w:tc>
        <w:tc>
          <w:tcPr>
            <w:tcW w:w="6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7,371</w:t>
            </w: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460" w:type="dxa"/>
            <w:vAlign w:val="bottom"/>
            <w:shd w:val="clear" w:color="auto" w:fill="EBEBEC"/>
          </w:tcPr>
          <w:p>
            <w:pPr>
              <w:jc w:val="right"/>
              <w:ind w:right="597"/>
              <w:spacing w:after="0" w:line="135" w:lineRule="exact"/>
              <w:rPr>
                <w:sz w:val="20"/>
                <w:szCs w:val="20"/>
                <w:color w:val="auto"/>
              </w:rPr>
            </w:pPr>
            <w:r>
              <w:rPr>
                <w:rFonts w:ascii="Arial" w:cs="Arial" w:eastAsia="Arial" w:hAnsi="Arial"/>
                <w:sz w:val="13"/>
                <w:szCs w:val="13"/>
                <w:color w:val="auto"/>
              </w:rPr>
              <w:t>382,481</w:t>
            </w:r>
          </w:p>
        </w:tc>
        <w:tc>
          <w:tcPr>
            <w:tcW w:w="1120" w:type="dxa"/>
            <w:vAlign w:val="bottom"/>
            <w:shd w:val="clear" w:color="auto" w:fill="EBEBEC"/>
          </w:tcPr>
          <w:p>
            <w:pPr>
              <w:spacing w:after="0"/>
              <w:rPr>
                <w:sz w:val="11"/>
                <w:szCs w:val="11"/>
                <w:color w:val="auto"/>
              </w:rPr>
            </w:pPr>
          </w:p>
        </w:tc>
        <w:tc>
          <w:tcPr>
            <w:tcW w:w="580" w:type="dxa"/>
            <w:vAlign w:val="bottom"/>
            <w:shd w:val="clear" w:color="auto" w:fill="EBEBEC"/>
          </w:tcPr>
          <w:p>
            <w:pPr>
              <w:spacing w:after="0"/>
              <w:rPr>
                <w:sz w:val="11"/>
                <w:szCs w:val="11"/>
                <w:color w:val="auto"/>
              </w:rPr>
            </w:pPr>
          </w:p>
        </w:tc>
        <w:tc>
          <w:tcPr>
            <w:tcW w:w="780" w:type="dxa"/>
            <w:vAlign w:val="bottom"/>
            <w:shd w:val="clear" w:color="auto" w:fill="EBEB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EBEBEC"/>
          </w:tcPr>
          <w:p>
            <w:pPr>
              <w:ind w:left="100"/>
              <w:spacing w:after="0" w:line="135" w:lineRule="exact"/>
              <w:rPr>
                <w:sz w:val="20"/>
                <w:szCs w:val="20"/>
                <w:color w:val="auto"/>
              </w:rPr>
            </w:pPr>
            <w:r>
              <w:rPr>
                <w:rFonts w:ascii="Arial" w:cs="Arial" w:eastAsia="Arial" w:hAnsi="Arial"/>
                <w:sz w:val="13"/>
                <w:szCs w:val="13"/>
                <w:color w:val="auto"/>
              </w:rPr>
              <w:t>RSU(4)</w:t>
            </w:r>
          </w:p>
        </w:tc>
        <w:tc>
          <w:tcPr>
            <w:tcW w:w="300" w:type="dxa"/>
            <w:vAlign w:val="bottom"/>
            <w:shd w:val="clear" w:color="auto" w:fill="EBEBEC"/>
          </w:tcPr>
          <w:p>
            <w:pPr>
              <w:spacing w:after="0"/>
              <w:rPr>
                <w:sz w:val="11"/>
                <w:szCs w:val="11"/>
                <w:color w:val="auto"/>
              </w:rPr>
            </w:pP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2/22/2024</w:t>
            </w:r>
          </w:p>
        </w:tc>
        <w:tc>
          <w:tcPr>
            <w:tcW w:w="300" w:type="dxa"/>
            <w:vAlign w:val="bottom"/>
            <w:shd w:val="clear" w:color="auto" w:fill="EBEBEC"/>
          </w:tcPr>
          <w:p>
            <w:pPr>
              <w:spacing w:after="0"/>
              <w:rPr>
                <w:sz w:val="11"/>
                <w:szCs w:val="11"/>
                <w:color w:val="auto"/>
              </w:rPr>
            </w:pPr>
          </w:p>
        </w:tc>
        <w:tc>
          <w:tcPr>
            <w:tcW w:w="680" w:type="dxa"/>
            <w:vAlign w:val="bottom"/>
            <w:shd w:val="clear" w:color="auto" w:fill="EBEBEC"/>
          </w:tcPr>
          <w:p>
            <w:pPr>
              <w:spacing w:after="0"/>
              <w:rPr>
                <w:sz w:val="11"/>
                <w:szCs w:val="11"/>
                <w:color w:val="auto"/>
              </w:rPr>
            </w:pPr>
          </w:p>
        </w:tc>
        <w:tc>
          <w:tcPr>
            <w:tcW w:w="6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18,972</w:t>
            </w: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460" w:type="dxa"/>
            <w:vAlign w:val="bottom"/>
            <w:shd w:val="clear" w:color="auto" w:fill="EBEBEC"/>
          </w:tcPr>
          <w:p>
            <w:pPr>
              <w:jc w:val="right"/>
              <w:ind w:right="597"/>
              <w:spacing w:after="0" w:line="135" w:lineRule="exact"/>
              <w:rPr>
                <w:sz w:val="20"/>
                <w:szCs w:val="20"/>
                <w:color w:val="auto"/>
              </w:rPr>
            </w:pPr>
            <w:r>
              <w:rPr>
                <w:rFonts w:ascii="Arial" w:cs="Arial" w:eastAsia="Arial" w:hAnsi="Arial"/>
                <w:sz w:val="13"/>
                <w:szCs w:val="13"/>
                <w:color w:val="auto"/>
              </w:rPr>
              <w:t>984,457</w:t>
            </w:r>
          </w:p>
        </w:tc>
        <w:tc>
          <w:tcPr>
            <w:tcW w:w="1120" w:type="dxa"/>
            <w:vAlign w:val="bottom"/>
            <w:shd w:val="clear" w:color="auto" w:fill="EBEBEC"/>
          </w:tcPr>
          <w:p>
            <w:pPr>
              <w:spacing w:after="0"/>
              <w:rPr>
                <w:sz w:val="11"/>
                <w:szCs w:val="11"/>
                <w:color w:val="auto"/>
              </w:rPr>
            </w:pPr>
          </w:p>
        </w:tc>
        <w:tc>
          <w:tcPr>
            <w:tcW w:w="580" w:type="dxa"/>
            <w:vAlign w:val="bottom"/>
            <w:shd w:val="clear" w:color="auto" w:fill="EBEBEC"/>
          </w:tcPr>
          <w:p>
            <w:pPr>
              <w:spacing w:after="0"/>
              <w:rPr>
                <w:sz w:val="11"/>
                <w:szCs w:val="11"/>
                <w:color w:val="auto"/>
              </w:rPr>
            </w:pPr>
          </w:p>
        </w:tc>
        <w:tc>
          <w:tcPr>
            <w:tcW w:w="780" w:type="dxa"/>
            <w:vAlign w:val="bottom"/>
            <w:shd w:val="clear" w:color="auto" w:fill="EBEB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EBEBEC"/>
          </w:tcPr>
          <w:p>
            <w:pPr>
              <w:ind w:left="100"/>
              <w:spacing w:after="0" w:line="135" w:lineRule="exact"/>
              <w:rPr>
                <w:sz w:val="20"/>
                <w:szCs w:val="20"/>
                <w:color w:val="auto"/>
              </w:rPr>
            </w:pPr>
            <w:r>
              <w:rPr>
                <w:rFonts w:ascii="Arial" w:cs="Arial" w:eastAsia="Arial" w:hAnsi="Arial"/>
                <w:sz w:val="13"/>
                <w:szCs w:val="13"/>
                <w:color w:val="auto"/>
              </w:rPr>
              <w:t>PSU(5)</w:t>
            </w:r>
          </w:p>
        </w:tc>
        <w:tc>
          <w:tcPr>
            <w:tcW w:w="300" w:type="dxa"/>
            <w:vAlign w:val="bottom"/>
            <w:shd w:val="clear" w:color="auto" w:fill="EBEBEC"/>
          </w:tcPr>
          <w:p>
            <w:pPr>
              <w:spacing w:after="0"/>
              <w:rPr>
                <w:sz w:val="11"/>
                <w:szCs w:val="11"/>
                <w:color w:val="auto"/>
              </w:rPr>
            </w:pP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2/23/2023</w:t>
            </w:r>
          </w:p>
        </w:tc>
        <w:tc>
          <w:tcPr>
            <w:tcW w:w="300" w:type="dxa"/>
            <w:vAlign w:val="bottom"/>
            <w:shd w:val="clear" w:color="auto" w:fill="EBEBEC"/>
          </w:tcPr>
          <w:p>
            <w:pPr>
              <w:spacing w:after="0"/>
              <w:rPr>
                <w:sz w:val="11"/>
                <w:szCs w:val="11"/>
                <w:color w:val="auto"/>
              </w:rPr>
            </w:pPr>
          </w:p>
        </w:tc>
        <w:tc>
          <w:tcPr>
            <w:tcW w:w="680" w:type="dxa"/>
            <w:vAlign w:val="bottom"/>
            <w:shd w:val="clear" w:color="auto" w:fill="EBEBEC"/>
          </w:tcPr>
          <w:p>
            <w:pPr>
              <w:spacing w:after="0"/>
              <w:rPr>
                <w:sz w:val="11"/>
                <w:szCs w:val="11"/>
                <w:color w:val="auto"/>
              </w:rPr>
            </w:pPr>
          </w:p>
        </w:tc>
        <w:tc>
          <w:tcPr>
            <w:tcW w:w="660" w:type="dxa"/>
            <w:vAlign w:val="bottom"/>
            <w:shd w:val="clear" w:color="auto" w:fill="EBEBEC"/>
          </w:tcPr>
          <w:p>
            <w:pPr>
              <w:spacing w:after="0"/>
              <w:rPr>
                <w:sz w:val="11"/>
                <w:szCs w:val="11"/>
                <w:color w:val="auto"/>
              </w:rPr>
            </w:pPr>
          </w:p>
        </w:tc>
        <w:tc>
          <w:tcPr>
            <w:tcW w:w="860" w:type="dxa"/>
            <w:vAlign w:val="bottom"/>
            <w:shd w:val="clear" w:color="auto" w:fill="EBEBEC"/>
          </w:tcPr>
          <w:p>
            <w:pPr>
              <w:spacing w:after="0"/>
              <w:rPr>
                <w:sz w:val="11"/>
                <w:szCs w:val="11"/>
                <w:color w:val="auto"/>
              </w:rPr>
            </w:pPr>
          </w:p>
        </w:tc>
        <w:tc>
          <w:tcPr>
            <w:tcW w:w="1460" w:type="dxa"/>
            <w:vAlign w:val="bottom"/>
            <w:shd w:val="clear" w:color="auto" w:fill="EBEBEC"/>
          </w:tcPr>
          <w:p>
            <w:pPr>
              <w:spacing w:after="0"/>
              <w:rPr>
                <w:sz w:val="11"/>
                <w:szCs w:val="11"/>
                <w:color w:val="auto"/>
              </w:rPr>
            </w:pPr>
          </w:p>
        </w:tc>
        <w:tc>
          <w:tcPr>
            <w:tcW w:w="1120" w:type="dxa"/>
            <w:vAlign w:val="bottom"/>
            <w:shd w:val="clear" w:color="auto" w:fill="EBEBEC"/>
          </w:tcPr>
          <w:p>
            <w:pPr>
              <w:jc w:val="right"/>
              <w:ind w:right="357"/>
              <w:spacing w:after="0" w:line="135" w:lineRule="exact"/>
              <w:rPr>
                <w:sz w:val="20"/>
                <w:szCs w:val="20"/>
                <w:color w:val="auto"/>
              </w:rPr>
            </w:pPr>
            <w:r>
              <w:rPr>
                <w:rFonts w:ascii="Arial" w:cs="Arial" w:eastAsia="Arial" w:hAnsi="Arial"/>
                <w:sz w:val="13"/>
                <w:szCs w:val="13"/>
                <w:color w:val="auto"/>
              </w:rPr>
              <w:t>66,338</w:t>
            </w:r>
          </w:p>
        </w:tc>
        <w:tc>
          <w:tcPr>
            <w:tcW w:w="580" w:type="dxa"/>
            <w:vAlign w:val="bottom"/>
            <w:shd w:val="clear" w:color="auto" w:fill="EBEBEC"/>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57"/>
              <w:spacing w:after="0" w:line="135" w:lineRule="exact"/>
              <w:rPr>
                <w:sz w:val="20"/>
                <w:szCs w:val="20"/>
                <w:color w:val="auto"/>
              </w:rPr>
            </w:pPr>
            <w:r>
              <w:rPr>
                <w:rFonts w:ascii="Arial" w:cs="Arial" w:eastAsia="Arial" w:hAnsi="Arial"/>
                <w:sz w:val="13"/>
                <w:szCs w:val="13"/>
                <w:color w:val="auto"/>
              </w:rPr>
              <w:t>3,442,279</w:t>
            </w:r>
          </w:p>
        </w:tc>
        <w:tc>
          <w:tcPr>
            <w:tcW w:w="0" w:type="dxa"/>
            <w:vAlign w:val="bottom"/>
          </w:tcPr>
          <w:p>
            <w:pPr>
              <w:spacing w:after="0"/>
              <w:rPr>
                <w:sz w:val="1"/>
                <w:szCs w:val="1"/>
                <w:color w:val="auto"/>
              </w:rPr>
            </w:pPr>
          </w:p>
        </w:tc>
      </w:tr>
      <w:tr>
        <w:trPr>
          <w:trHeight w:val="135"/>
        </w:trPr>
        <w:tc>
          <w:tcPr>
            <w:tcW w:w="3500" w:type="dxa"/>
            <w:vAlign w:val="bottom"/>
            <w:shd w:val="clear" w:color="auto" w:fill="EBEBEC"/>
          </w:tcPr>
          <w:p>
            <w:pPr>
              <w:ind w:left="100"/>
              <w:spacing w:after="0" w:line="135" w:lineRule="exact"/>
              <w:rPr>
                <w:sz w:val="20"/>
                <w:szCs w:val="20"/>
                <w:color w:val="auto"/>
              </w:rPr>
            </w:pPr>
            <w:r>
              <w:rPr>
                <w:rFonts w:ascii="Arial" w:cs="Arial" w:eastAsia="Arial" w:hAnsi="Arial"/>
                <w:sz w:val="13"/>
                <w:szCs w:val="13"/>
                <w:color w:val="auto"/>
              </w:rPr>
              <w:t>PSU(6)</w:t>
            </w:r>
          </w:p>
        </w:tc>
        <w:tc>
          <w:tcPr>
            <w:tcW w:w="300" w:type="dxa"/>
            <w:vAlign w:val="bottom"/>
            <w:shd w:val="clear" w:color="auto" w:fill="EBEBEC"/>
          </w:tcPr>
          <w:p>
            <w:pPr>
              <w:spacing w:after="0"/>
              <w:rPr>
                <w:sz w:val="11"/>
                <w:szCs w:val="11"/>
                <w:color w:val="auto"/>
              </w:rPr>
            </w:pP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2/23/2023</w:t>
            </w:r>
          </w:p>
        </w:tc>
        <w:tc>
          <w:tcPr>
            <w:tcW w:w="300" w:type="dxa"/>
            <w:vAlign w:val="bottom"/>
            <w:shd w:val="clear" w:color="auto" w:fill="EBEBEC"/>
          </w:tcPr>
          <w:p>
            <w:pPr>
              <w:spacing w:after="0"/>
              <w:rPr>
                <w:sz w:val="11"/>
                <w:szCs w:val="11"/>
                <w:color w:val="auto"/>
              </w:rPr>
            </w:pPr>
          </w:p>
        </w:tc>
        <w:tc>
          <w:tcPr>
            <w:tcW w:w="1340" w:type="dxa"/>
            <w:vAlign w:val="bottom"/>
            <w:gridSpan w:val="2"/>
            <w:shd w:val="clear" w:color="auto" w:fill="EBEBEC"/>
          </w:tcPr>
          <w:p>
            <w:pPr>
              <w:jc w:val="right"/>
              <w:spacing w:after="0" w:line="135" w:lineRule="exact"/>
              <w:rPr>
                <w:sz w:val="20"/>
                <w:szCs w:val="20"/>
                <w:color w:val="auto"/>
              </w:rPr>
            </w:pPr>
            <w:r>
              <w:rPr>
                <w:rFonts w:ascii="Arial" w:cs="Arial" w:eastAsia="Arial" w:hAnsi="Arial"/>
                <w:sz w:val="13"/>
                <w:szCs w:val="13"/>
                <w:color w:val="auto"/>
              </w:rPr>
              <w:t>34,495</w:t>
            </w:r>
          </w:p>
        </w:tc>
        <w:tc>
          <w:tcPr>
            <w:tcW w:w="8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460" w:type="dxa"/>
            <w:vAlign w:val="bottom"/>
            <w:shd w:val="clear" w:color="auto" w:fill="EBEBEC"/>
          </w:tcPr>
          <w:p>
            <w:pPr>
              <w:jc w:val="right"/>
              <w:ind w:right="597"/>
              <w:spacing w:after="0" w:line="135" w:lineRule="exact"/>
              <w:rPr>
                <w:sz w:val="20"/>
                <w:szCs w:val="20"/>
                <w:color w:val="auto"/>
              </w:rPr>
            </w:pPr>
            <w:r>
              <w:rPr>
                <w:rFonts w:ascii="Arial" w:cs="Arial" w:eastAsia="Arial" w:hAnsi="Arial"/>
                <w:sz w:val="13"/>
                <w:szCs w:val="13"/>
                <w:color w:val="auto"/>
              </w:rPr>
              <w:t>1,789,946</w:t>
            </w:r>
          </w:p>
        </w:tc>
        <w:tc>
          <w:tcPr>
            <w:tcW w:w="1120" w:type="dxa"/>
            <w:vAlign w:val="bottom"/>
            <w:shd w:val="clear" w:color="auto" w:fill="EBEBEC"/>
          </w:tcPr>
          <w:p>
            <w:pPr>
              <w:spacing w:after="0"/>
              <w:rPr>
                <w:sz w:val="11"/>
                <w:szCs w:val="11"/>
                <w:color w:val="auto"/>
              </w:rPr>
            </w:pPr>
          </w:p>
        </w:tc>
        <w:tc>
          <w:tcPr>
            <w:tcW w:w="580" w:type="dxa"/>
            <w:vAlign w:val="bottom"/>
            <w:shd w:val="clear" w:color="auto" w:fill="EBEBEC"/>
          </w:tcPr>
          <w:p>
            <w:pPr>
              <w:spacing w:after="0"/>
              <w:rPr>
                <w:sz w:val="11"/>
                <w:szCs w:val="11"/>
                <w:color w:val="auto"/>
              </w:rPr>
            </w:pPr>
          </w:p>
        </w:tc>
        <w:tc>
          <w:tcPr>
            <w:tcW w:w="780" w:type="dxa"/>
            <w:vAlign w:val="bottom"/>
            <w:shd w:val="clear" w:color="auto" w:fill="EBEBE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EBEBEC"/>
          </w:tcPr>
          <w:p>
            <w:pPr>
              <w:ind w:left="100"/>
              <w:spacing w:after="0"/>
              <w:rPr>
                <w:sz w:val="20"/>
                <w:szCs w:val="20"/>
                <w:color w:val="auto"/>
              </w:rPr>
            </w:pPr>
            <w:r>
              <w:rPr>
                <w:rFonts w:ascii="Arial" w:cs="Arial" w:eastAsia="Arial" w:hAnsi="Arial"/>
                <w:sz w:val="13"/>
                <w:szCs w:val="13"/>
                <w:color w:val="auto"/>
              </w:rPr>
              <w:t>PSU(7)</w:t>
            </w:r>
          </w:p>
        </w:tc>
        <w:tc>
          <w:tcPr>
            <w:tcW w:w="300" w:type="dxa"/>
            <w:vAlign w:val="bottom"/>
            <w:shd w:val="clear" w:color="auto" w:fill="EBEBEC"/>
          </w:tcPr>
          <w:p>
            <w:pPr>
              <w:spacing w:after="0"/>
              <w:rPr>
                <w:sz w:val="13"/>
                <w:szCs w:val="13"/>
                <w:color w:val="auto"/>
              </w:rPr>
            </w:pPr>
          </w:p>
        </w:tc>
        <w:tc>
          <w:tcPr>
            <w:tcW w:w="8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2/22/2024</w:t>
            </w:r>
          </w:p>
        </w:tc>
        <w:tc>
          <w:tcPr>
            <w:tcW w:w="300" w:type="dxa"/>
            <w:vAlign w:val="bottom"/>
            <w:shd w:val="clear" w:color="auto" w:fill="EBEBEC"/>
          </w:tcPr>
          <w:p>
            <w:pPr>
              <w:spacing w:after="0"/>
              <w:rPr>
                <w:sz w:val="13"/>
                <w:szCs w:val="13"/>
                <w:color w:val="auto"/>
              </w:rPr>
            </w:pPr>
          </w:p>
        </w:tc>
        <w:tc>
          <w:tcPr>
            <w:tcW w:w="68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860" w:type="dxa"/>
            <w:vAlign w:val="bottom"/>
            <w:shd w:val="clear" w:color="auto" w:fill="EBEBEC"/>
          </w:tcPr>
          <w:p>
            <w:pPr>
              <w:spacing w:after="0"/>
              <w:rPr>
                <w:sz w:val="13"/>
                <w:szCs w:val="13"/>
                <w:color w:val="auto"/>
              </w:rPr>
            </w:pPr>
          </w:p>
        </w:tc>
        <w:tc>
          <w:tcPr>
            <w:tcW w:w="1460" w:type="dxa"/>
            <w:vAlign w:val="bottom"/>
            <w:shd w:val="clear" w:color="auto" w:fill="EBEBEC"/>
          </w:tcPr>
          <w:p>
            <w:pPr>
              <w:spacing w:after="0"/>
              <w:rPr>
                <w:sz w:val="13"/>
                <w:szCs w:val="13"/>
                <w:color w:val="auto"/>
              </w:rPr>
            </w:pPr>
          </w:p>
        </w:tc>
        <w:tc>
          <w:tcPr>
            <w:tcW w:w="1120" w:type="dxa"/>
            <w:vAlign w:val="bottom"/>
            <w:shd w:val="clear" w:color="auto" w:fill="EBEBEC"/>
          </w:tcPr>
          <w:p>
            <w:pPr>
              <w:jc w:val="right"/>
              <w:ind w:right="357"/>
              <w:spacing w:after="0"/>
              <w:rPr>
                <w:sz w:val="20"/>
                <w:szCs w:val="20"/>
                <w:color w:val="auto"/>
              </w:rPr>
            </w:pPr>
            <w:r>
              <w:rPr>
                <w:rFonts w:ascii="Arial" w:cs="Arial" w:eastAsia="Arial" w:hAnsi="Arial"/>
                <w:sz w:val="13"/>
                <w:szCs w:val="13"/>
                <w:color w:val="auto"/>
              </w:rPr>
              <w:t>28,458</w:t>
            </w:r>
          </w:p>
        </w:tc>
        <w:tc>
          <w:tcPr>
            <w:tcW w:w="58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1,476,686</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480" w:right="20" w:hanging="383"/>
        <w:spacing w:after="0" w:line="281" w:lineRule="auto"/>
        <w:tabs>
          <w:tab w:leader="none" w:pos="480" w:val="left"/>
        </w:tabs>
        <w:numPr>
          <w:ilvl w:val="0"/>
          <w:numId w:val="34"/>
        </w:numPr>
        <w:rPr>
          <w:rFonts w:ascii="Arial" w:cs="Arial" w:eastAsia="Arial" w:hAnsi="Arial"/>
          <w:sz w:val="11"/>
          <w:szCs w:val="11"/>
          <w:color w:val="auto"/>
        </w:rPr>
      </w:pPr>
      <w:r>
        <w:rPr>
          <w:rFonts w:ascii="Arial" w:cs="Arial" w:eastAsia="Arial" w:hAnsi="Arial"/>
          <w:sz w:val="14"/>
          <w:szCs w:val="14"/>
          <w:color w:val="auto"/>
        </w:rPr>
        <w:t>The amount shown represents the product of the number of units in the column immediately to the left and the closing price on December 31, 2024, of our common stock as reported in the NYSE Composite Transactions, which was $51.89 per share.</w:t>
      </w:r>
    </w:p>
    <w:p>
      <w:pPr>
        <w:spacing w:after="0" w:line="1" w:lineRule="exact"/>
        <w:rPr>
          <w:rFonts w:ascii="Arial" w:cs="Arial" w:eastAsia="Arial" w:hAnsi="Arial"/>
          <w:sz w:val="11"/>
          <w:szCs w:val="11"/>
          <w:color w:val="auto"/>
        </w:rPr>
      </w:pPr>
    </w:p>
    <w:p>
      <w:pPr>
        <w:ind w:left="480" w:hanging="383"/>
        <w:spacing w:after="0"/>
        <w:tabs>
          <w:tab w:leader="none" w:pos="480" w:val="left"/>
        </w:tabs>
        <w:numPr>
          <w:ilvl w:val="0"/>
          <w:numId w:val="34"/>
        </w:numPr>
        <w:rPr>
          <w:rFonts w:ascii="Arial" w:cs="Arial" w:eastAsia="Arial" w:hAnsi="Arial"/>
          <w:sz w:val="11"/>
          <w:szCs w:val="11"/>
          <w:color w:val="auto"/>
        </w:rPr>
      </w:pPr>
      <w:r>
        <w:rPr>
          <w:rFonts w:ascii="Arial" w:cs="Arial" w:eastAsia="Arial" w:hAnsi="Arial"/>
          <w:sz w:val="14"/>
          <w:szCs w:val="14"/>
          <w:color w:val="auto"/>
        </w:rPr>
        <w:t>One-half of these units vest on each of February 23, 2025, and February 23, 2026, and settlement of vested units will occur immediately thereafter.</w:t>
      </w:r>
    </w:p>
    <w:p>
      <w:pPr>
        <w:spacing w:after="0" w:line="55" w:lineRule="exact"/>
        <w:rPr>
          <w:rFonts w:ascii="Arial" w:cs="Arial" w:eastAsia="Arial" w:hAnsi="Arial"/>
          <w:sz w:val="11"/>
          <w:szCs w:val="11"/>
          <w:color w:val="auto"/>
        </w:rPr>
      </w:pPr>
    </w:p>
    <w:p>
      <w:pPr>
        <w:ind w:left="480" w:hanging="383"/>
        <w:spacing w:after="0"/>
        <w:tabs>
          <w:tab w:leader="none" w:pos="480" w:val="left"/>
        </w:tabs>
        <w:numPr>
          <w:ilvl w:val="0"/>
          <w:numId w:val="34"/>
        </w:numPr>
        <w:rPr>
          <w:rFonts w:ascii="Arial" w:cs="Arial" w:eastAsia="Arial" w:hAnsi="Arial"/>
          <w:sz w:val="11"/>
          <w:szCs w:val="11"/>
          <w:color w:val="auto"/>
        </w:rPr>
      </w:pPr>
      <w:r>
        <w:rPr>
          <w:rFonts w:ascii="Arial" w:cs="Arial" w:eastAsia="Arial" w:hAnsi="Arial"/>
          <w:sz w:val="14"/>
          <w:szCs w:val="14"/>
          <w:color w:val="auto"/>
        </w:rPr>
        <w:t>The remainder of these units vest on February 23, 2025, and settlement of vested units will occur immediately thereafter.</w:t>
      </w:r>
    </w:p>
    <w:p>
      <w:pPr>
        <w:spacing w:after="0" w:line="55" w:lineRule="exact"/>
        <w:rPr>
          <w:rFonts w:ascii="Arial" w:cs="Arial" w:eastAsia="Arial" w:hAnsi="Arial"/>
          <w:sz w:val="11"/>
          <w:szCs w:val="11"/>
          <w:color w:val="auto"/>
        </w:rPr>
      </w:pPr>
    </w:p>
    <w:p>
      <w:pPr>
        <w:ind w:left="480" w:hanging="383"/>
        <w:spacing w:after="0"/>
        <w:tabs>
          <w:tab w:leader="none" w:pos="480" w:val="left"/>
        </w:tabs>
        <w:numPr>
          <w:ilvl w:val="0"/>
          <w:numId w:val="34"/>
        </w:numPr>
        <w:rPr>
          <w:rFonts w:ascii="Arial" w:cs="Arial" w:eastAsia="Arial" w:hAnsi="Arial"/>
          <w:sz w:val="11"/>
          <w:szCs w:val="11"/>
          <w:color w:val="auto"/>
        </w:rPr>
      </w:pPr>
      <w:r>
        <w:rPr>
          <w:rFonts w:ascii="Arial" w:cs="Arial" w:eastAsia="Arial" w:hAnsi="Arial"/>
          <w:sz w:val="14"/>
          <w:szCs w:val="14"/>
          <w:color w:val="auto"/>
        </w:rPr>
        <w:t>One-third of these units vest on each of February 22, 2025, February 22, 2026, and February 22, 2027, and settlement of vested units will occur immediately thereafter.</w:t>
      </w:r>
    </w:p>
    <w:p>
      <w:pPr>
        <w:spacing w:after="0" w:line="55" w:lineRule="exact"/>
        <w:rPr>
          <w:rFonts w:ascii="Arial" w:cs="Arial" w:eastAsia="Arial" w:hAnsi="Arial"/>
          <w:sz w:val="11"/>
          <w:szCs w:val="11"/>
          <w:color w:val="auto"/>
        </w:rPr>
      </w:pPr>
    </w:p>
    <w:p>
      <w:pPr>
        <w:ind w:left="480" w:right="140" w:hanging="383"/>
        <w:spacing w:after="0" w:line="281" w:lineRule="auto"/>
        <w:tabs>
          <w:tab w:leader="none" w:pos="480" w:val="left"/>
        </w:tabs>
        <w:numPr>
          <w:ilvl w:val="0"/>
          <w:numId w:val="34"/>
        </w:numPr>
        <w:rPr>
          <w:rFonts w:ascii="Arial" w:cs="Arial" w:eastAsia="Arial" w:hAnsi="Arial"/>
          <w:sz w:val="11"/>
          <w:szCs w:val="11"/>
          <w:color w:val="auto"/>
        </w:rPr>
      </w:pPr>
      <w:r>
        <w:rPr>
          <w:rFonts w:ascii="Arial" w:cs="Arial" w:eastAsia="Arial" w:hAnsi="Arial"/>
          <w:sz w:val="14"/>
          <w:szCs w:val="14"/>
          <w:color w:val="auto"/>
        </w:rPr>
        <w:t>Payout of this PSU award is subject to the achievement of specified cumulative TSR and TSR relative to the companies in the XOP Index over a three-year period from January 1, 2023 to December 31, 2025. The units cliff vest on February 23, 2026. The number of shares is shown at maximum performance.</w:t>
      </w:r>
    </w:p>
    <w:p>
      <w:pPr>
        <w:spacing w:after="0" w:line="1" w:lineRule="exact"/>
        <w:rPr>
          <w:rFonts w:ascii="Arial" w:cs="Arial" w:eastAsia="Arial" w:hAnsi="Arial"/>
          <w:sz w:val="11"/>
          <w:szCs w:val="11"/>
          <w:color w:val="auto"/>
        </w:rPr>
      </w:pPr>
    </w:p>
    <w:p>
      <w:pPr>
        <w:jc w:val="both"/>
        <w:ind w:left="480" w:right="240" w:hanging="383"/>
        <w:spacing w:after="0" w:line="263" w:lineRule="auto"/>
        <w:tabs>
          <w:tab w:leader="none" w:pos="480" w:val="left"/>
        </w:tabs>
        <w:numPr>
          <w:ilvl w:val="0"/>
          <w:numId w:val="34"/>
        </w:numPr>
        <w:rPr>
          <w:rFonts w:ascii="Arial" w:cs="Arial" w:eastAsia="Arial" w:hAnsi="Arial"/>
          <w:sz w:val="11"/>
          <w:szCs w:val="11"/>
          <w:color w:val="auto"/>
        </w:rPr>
      </w:pPr>
      <w:r>
        <w:rPr>
          <w:rFonts w:ascii="Arial" w:cs="Arial" w:eastAsia="Arial" w:hAnsi="Arial"/>
          <w:sz w:val="14"/>
          <w:szCs w:val="14"/>
          <w:color w:val="auto"/>
        </w:rPr>
        <w:t>Payout of this PSU award is subject to the achievement of specified cumulative TSR and TSR relative to the companies in the XOP Index over a two-year period from January 1, 2023 to December 31, 2024. The units cliff vest on February 23, 2025. This award is not reported in the Equity Incentive Plan Awards column because the performance condition for earnings a payout of 156% of the target units has been met, although vesting and settlement will not occur until February 23, 2025.</w:t>
      </w:r>
    </w:p>
    <w:p>
      <w:pPr>
        <w:spacing w:after="0" w:line="10" w:lineRule="exact"/>
        <w:rPr>
          <w:rFonts w:ascii="Arial" w:cs="Arial" w:eastAsia="Arial" w:hAnsi="Arial"/>
          <w:sz w:val="11"/>
          <w:szCs w:val="11"/>
          <w:color w:val="auto"/>
        </w:rPr>
      </w:pPr>
    </w:p>
    <w:p>
      <w:pPr>
        <w:ind w:left="480" w:right="140" w:hanging="383"/>
        <w:spacing w:after="0" w:line="281" w:lineRule="auto"/>
        <w:tabs>
          <w:tab w:leader="none" w:pos="480" w:val="left"/>
        </w:tabs>
        <w:numPr>
          <w:ilvl w:val="0"/>
          <w:numId w:val="34"/>
        </w:numPr>
        <w:rPr>
          <w:rFonts w:ascii="Arial" w:cs="Arial" w:eastAsia="Arial" w:hAnsi="Arial"/>
          <w:sz w:val="11"/>
          <w:szCs w:val="11"/>
          <w:color w:val="auto"/>
        </w:rPr>
      </w:pPr>
      <w:r>
        <w:rPr>
          <w:rFonts w:ascii="Arial" w:cs="Arial" w:eastAsia="Arial" w:hAnsi="Arial"/>
          <w:sz w:val="14"/>
          <w:szCs w:val="14"/>
          <w:color w:val="auto"/>
        </w:rPr>
        <w:t>Payout of this PSU award is subject to the achievement of specified cumulative TSR and TSR relative to the companies in the XOP Index over a three-year period from January 1, 2024 to December 31, 2026. The units cliff vest on February 22, 2027. The number of shares is shown at target performance.</w:t>
      </w:r>
    </w:p>
    <w:p>
      <w:pPr>
        <w:spacing w:after="0" w:line="1" w:lineRule="exact"/>
        <w:rPr>
          <w:rFonts w:ascii="Arial" w:cs="Arial" w:eastAsia="Arial" w:hAnsi="Arial"/>
          <w:sz w:val="11"/>
          <w:szCs w:val="11"/>
          <w:color w:val="auto"/>
        </w:rPr>
      </w:pPr>
    </w:p>
    <w:p>
      <w:pPr>
        <w:ind w:left="480" w:right="40" w:hanging="383"/>
        <w:spacing w:after="0" w:line="256" w:lineRule="auto"/>
        <w:tabs>
          <w:tab w:leader="none" w:pos="480" w:val="left"/>
        </w:tabs>
        <w:numPr>
          <w:ilvl w:val="0"/>
          <w:numId w:val="34"/>
        </w:numPr>
        <w:rPr>
          <w:rFonts w:ascii="Arial" w:cs="Arial" w:eastAsia="Arial" w:hAnsi="Arial"/>
          <w:sz w:val="11"/>
          <w:szCs w:val="11"/>
          <w:color w:val="auto"/>
        </w:rPr>
      </w:pPr>
      <w:r>
        <w:rPr>
          <w:rFonts w:ascii="Arial" w:cs="Arial" w:eastAsia="Arial" w:hAnsi="Arial"/>
          <w:sz w:val="14"/>
          <w:szCs w:val="14"/>
          <w:color w:val="auto"/>
        </w:rPr>
        <w:t>Payout of this PSU award is subject to the achievement of specified cumulative TSR and TSR relative to the companies in the XOP Index over a three-year period from January 1, 2023 to December 31, 2025. The units were vested upon Ms. Molina's termination for convenience of the company on December 31, 2024 under the terms of her employment agreement. The number of shares is shown at maximum performance. Shares earned under this award will be delivered to Ms. Molina following certification of the performance achieved by the Compensation Committee following the end of the performance period.</w:t>
      </w:r>
    </w:p>
    <w:p>
      <w:pPr>
        <w:spacing w:after="0" w:line="22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6" w:name="page57"/>
    <w:bookmarkEnd w:id="56"/>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74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204" w:lineRule="exact"/>
        <w:rPr>
          <w:sz w:val="20"/>
          <w:szCs w:val="20"/>
          <w:color w:val="auto"/>
        </w:rPr>
      </w:pPr>
    </w:p>
    <w:p>
      <w:pPr>
        <w:ind w:left="480" w:right="40" w:hanging="383"/>
        <w:spacing w:after="0" w:line="256" w:lineRule="auto"/>
        <w:tabs>
          <w:tab w:leader="none" w:pos="480" w:val="left"/>
        </w:tabs>
        <w:numPr>
          <w:ilvl w:val="0"/>
          <w:numId w:val="35"/>
        </w:numPr>
        <w:rPr>
          <w:rFonts w:ascii="Arial" w:cs="Arial" w:eastAsia="Arial" w:hAnsi="Arial"/>
          <w:sz w:val="11"/>
          <w:szCs w:val="11"/>
          <w:color w:val="auto"/>
        </w:rPr>
      </w:pPr>
      <w:r>
        <w:rPr>
          <w:rFonts w:ascii="Arial" w:cs="Arial" w:eastAsia="Arial" w:hAnsi="Arial"/>
          <w:sz w:val="14"/>
          <w:szCs w:val="14"/>
          <w:color w:val="auto"/>
        </w:rPr>
        <w:t>Payout of this PSU award is subject to the achievement of specified cumulative TSR and TSR relative to the companies in the XOP Index over a three-year period from January 1, 2024 to December 31, 2026. The units were vested upon Ms. Molina's termination for convenience of the company on December 31, 2024 under the terms of her employment agreement. The number of shares is shown at target performance. Shares earned under this award will be delivered to Ms. Molina following certification of the performance achieved by the Compensation Committee following the end of the performance period.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Stock Vested in 2024</w:t>
      </w:r>
    </w:p>
    <w:p>
      <w:pPr>
        <w:spacing w:after="0" w:line="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third tranche of the RSUs granted in 2021 vested during 2024, and vested shares from all three tranches of the 2021 RSUs were delivered in 2024 under the terms of the awards. In addition, the performance period for the PSUs granted in 2021 ended in January 2024 and the awards vested at 100% of the target award amounts, since the maximum 60-day VWAP during the performance period exceeded the threshold for maximum payout. The first tranches of the three- and two-year RSUs granted in 2023 also vested and were delivered during 2024.</w:t>
      </w:r>
    </w:p>
    <w:p>
      <w:pPr>
        <w:spacing w:after="0" w:line="166" w:lineRule="exact"/>
        <w:rPr>
          <w:sz w:val="20"/>
          <w:szCs w:val="20"/>
          <w:color w:val="auto"/>
        </w:rPr>
      </w:pPr>
    </w:p>
    <w:p>
      <w:pPr>
        <w:ind w:right="440"/>
        <w:spacing w:after="0" w:line="301" w:lineRule="auto"/>
        <w:rPr>
          <w:sz w:val="20"/>
          <w:szCs w:val="20"/>
          <w:color w:val="auto"/>
        </w:rPr>
      </w:pPr>
      <w:r>
        <w:rPr>
          <w:rFonts w:ascii="Arial" w:cs="Arial" w:eastAsia="Arial" w:hAnsi="Arial"/>
          <w:sz w:val="17"/>
          <w:szCs w:val="17"/>
          <w:color w:val="auto"/>
        </w:rPr>
        <w:t>At the time shares are delivered under the stock awards, shares are cancelled and the Company pays cash for required tax withholding, reducing the potential stock dilution from shares issued for stock awards. There are no outstanding option awards to be exercised.</w:t>
      </w:r>
    </w:p>
    <w:p>
      <w:pPr>
        <w:spacing w:after="0" w:line="78"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5120" w:type="dxa"/>
            <w:vAlign w:val="bottom"/>
          </w:tcPr>
          <w:p>
            <w:pPr>
              <w:spacing w:after="0"/>
              <w:rPr>
                <w:sz w:val="13"/>
                <w:szCs w:val="13"/>
                <w:color w:val="auto"/>
              </w:rPr>
            </w:pPr>
          </w:p>
        </w:tc>
        <w:tc>
          <w:tcPr>
            <w:tcW w:w="2160" w:type="dxa"/>
            <w:vAlign w:val="bottom"/>
            <w:tcBorders>
              <w:bottom w:val="single" w:sz="8" w:color="0075C9"/>
            </w:tcBorders>
          </w:tcPr>
          <w:p>
            <w:pPr>
              <w:spacing w:after="0"/>
              <w:rPr>
                <w:sz w:val="13"/>
                <w:szCs w:val="13"/>
                <w:color w:val="auto"/>
              </w:rPr>
            </w:pPr>
          </w:p>
        </w:tc>
        <w:tc>
          <w:tcPr>
            <w:tcW w:w="1420" w:type="dxa"/>
            <w:vAlign w:val="bottom"/>
            <w:tcBorders>
              <w:bottom w:val="single" w:sz="8" w:color="0075C9"/>
            </w:tcBorders>
          </w:tcPr>
          <w:p>
            <w:pPr>
              <w:jc w:val="right"/>
              <w:ind w:right="158"/>
              <w:spacing w:after="0"/>
              <w:rPr>
                <w:sz w:val="20"/>
                <w:szCs w:val="20"/>
                <w:color w:val="auto"/>
              </w:rPr>
            </w:pPr>
            <w:r>
              <w:rPr>
                <w:rFonts w:ascii="Arial" w:cs="Arial" w:eastAsia="Arial" w:hAnsi="Arial"/>
                <w:sz w:val="13"/>
                <w:szCs w:val="13"/>
                <w:b w:val="1"/>
                <w:bCs w:val="1"/>
                <w:color w:val="0075C9"/>
              </w:rPr>
              <w:t>Stock Awards</w:t>
            </w:r>
          </w:p>
        </w:tc>
        <w:tc>
          <w:tcPr>
            <w:tcW w:w="2320" w:type="dxa"/>
            <w:vAlign w:val="bottom"/>
            <w:tcBorders>
              <w:bottom w:val="single" w:sz="8" w:color="0075C9"/>
            </w:tcBorders>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5120" w:type="dxa"/>
            <w:vAlign w:val="bottom"/>
          </w:tcPr>
          <w:p>
            <w:pPr>
              <w:spacing w:after="0"/>
              <w:rPr>
                <w:sz w:val="9"/>
                <w:szCs w:val="9"/>
                <w:color w:val="auto"/>
              </w:rPr>
            </w:pPr>
          </w:p>
        </w:tc>
        <w:tc>
          <w:tcPr>
            <w:tcW w:w="2160" w:type="dxa"/>
            <w:vAlign w:val="bottom"/>
          </w:tcPr>
          <w:p>
            <w:pPr>
              <w:jc w:val="center"/>
              <w:ind w:left="398"/>
              <w:spacing w:after="0" w:line="111" w:lineRule="exact"/>
              <w:rPr>
                <w:sz w:val="20"/>
                <w:szCs w:val="20"/>
                <w:color w:val="auto"/>
              </w:rPr>
            </w:pPr>
            <w:r>
              <w:rPr>
                <w:rFonts w:ascii="Arial" w:cs="Arial" w:eastAsia="Arial" w:hAnsi="Arial"/>
                <w:sz w:val="12"/>
                <w:szCs w:val="12"/>
                <w:b w:val="1"/>
                <w:bCs w:val="1"/>
                <w:color w:val="0075C9"/>
              </w:rPr>
              <w:t>Number of</w:t>
            </w:r>
          </w:p>
        </w:tc>
        <w:tc>
          <w:tcPr>
            <w:tcW w:w="1420" w:type="dxa"/>
            <w:vAlign w:val="bottom"/>
          </w:tcPr>
          <w:p>
            <w:pPr>
              <w:spacing w:after="0"/>
              <w:rPr>
                <w:sz w:val="9"/>
                <w:szCs w:val="9"/>
                <w:color w:val="auto"/>
              </w:rPr>
            </w:pPr>
          </w:p>
        </w:tc>
        <w:tc>
          <w:tcPr>
            <w:tcW w:w="2320" w:type="dxa"/>
            <w:vAlign w:val="bottom"/>
            <w:vMerge w:val="restart"/>
          </w:tcPr>
          <w:p>
            <w:pPr>
              <w:jc w:val="center"/>
              <w:ind w:right="898"/>
              <w:spacing w:after="0"/>
              <w:rPr>
                <w:sz w:val="20"/>
                <w:szCs w:val="20"/>
                <w:color w:val="auto"/>
              </w:rPr>
            </w:pPr>
            <w:r>
              <w:rPr>
                <w:rFonts w:ascii="Arial" w:cs="Arial" w:eastAsia="Arial" w:hAnsi="Arial"/>
                <w:sz w:val="13"/>
                <w:szCs w:val="13"/>
                <w:b w:val="1"/>
                <w:bCs w:val="1"/>
                <w:color w:val="0075C9"/>
                <w:w w:val="96"/>
              </w:rPr>
              <w:t>Value Realized</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2160" w:type="dxa"/>
            <w:vAlign w:val="bottom"/>
          </w:tcPr>
          <w:p>
            <w:pPr>
              <w:jc w:val="center"/>
              <w:ind w:left="398"/>
              <w:spacing w:after="0" w:line="135" w:lineRule="exact"/>
              <w:rPr>
                <w:sz w:val="20"/>
                <w:szCs w:val="20"/>
                <w:color w:val="auto"/>
              </w:rPr>
            </w:pPr>
            <w:r>
              <w:rPr>
                <w:rFonts w:ascii="Arial" w:cs="Arial" w:eastAsia="Arial" w:hAnsi="Arial"/>
                <w:sz w:val="13"/>
                <w:szCs w:val="13"/>
                <w:b w:val="1"/>
                <w:bCs w:val="1"/>
                <w:color w:val="0075C9"/>
                <w:w w:val="96"/>
              </w:rPr>
              <w:t>Shares</w:t>
            </w:r>
          </w:p>
        </w:tc>
        <w:tc>
          <w:tcPr>
            <w:tcW w:w="1420" w:type="dxa"/>
            <w:vAlign w:val="bottom"/>
          </w:tcPr>
          <w:p>
            <w:pPr>
              <w:spacing w:after="0"/>
              <w:rPr>
                <w:sz w:val="11"/>
                <w:szCs w:val="11"/>
                <w:color w:val="auto"/>
              </w:rPr>
            </w:pPr>
          </w:p>
        </w:tc>
        <w:tc>
          <w:tcPr>
            <w:tcW w:w="2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vMerge w:val="restart"/>
          </w:tcPr>
          <w:p>
            <w:pPr>
              <w:ind w:left="100"/>
              <w:spacing w:after="0"/>
              <w:rPr>
                <w:sz w:val="20"/>
                <w:szCs w:val="20"/>
                <w:color w:val="auto"/>
              </w:rPr>
            </w:pPr>
            <w:r>
              <w:rPr>
                <w:rFonts w:ascii="Arial" w:cs="Arial" w:eastAsia="Arial" w:hAnsi="Arial"/>
                <w:sz w:val="13"/>
                <w:szCs w:val="13"/>
                <w:b w:val="1"/>
                <w:bCs w:val="1"/>
                <w:color w:val="0075C9"/>
              </w:rPr>
              <w:t>Name</w:t>
            </w:r>
          </w:p>
        </w:tc>
        <w:tc>
          <w:tcPr>
            <w:tcW w:w="2160" w:type="dxa"/>
            <w:vAlign w:val="bottom"/>
          </w:tcPr>
          <w:p>
            <w:pPr>
              <w:jc w:val="center"/>
              <w:ind w:left="398"/>
              <w:spacing w:after="0" w:line="135" w:lineRule="exact"/>
              <w:rPr>
                <w:sz w:val="20"/>
                <w:szCs w:val="20"/>
                <w:color w:val="auto"/>
              </w:rPr>
            </w:pPr>
            <w:r>
              <w:rPr>
                <w:rFonts w:ascii="Arial" w:cs="Arial" w:eastAsia="Arial" w:hAnsi="Arial"/>
                <w:sz w:val="13"/>
                <w:szCs w:val="13"/>
                <w:b w:val="1"/>
                <w:bCs w:val="1"/>
                <w:color w:val="0075C9"/>
                <w:w w:val="97"/>
              </w:rPr>
              <w:t>Acquired on</w:t>
            </w:r>
          </w:p>
        </w:tc>
        <w:tc>
          <w:tcPr>
            <w:tcW w:w="1420" w:type="dxa"/>
            <w:vAlign w:val="bottom"/>
          </w:tcPr>
          <w:p>
            <w:pPr>
              <w:spacing w:after="0"/>
              <w:rPr>
                <w:sz w:val="11"/>
                <w:szCs w:val="11"/>
                <w:color w:val="auto"/>
              </w:rPr>
            </w:pPr>
          </w:p>
        </w:tc>
        <w:tc>
          <w:tcPr>
            <w:tcW w:w="2320" w:type="dxa"/>
            <w:vAlign w:val="bottom"/>
          </w:tcPr>
          <w:p>
            <w:pPr>
              <w:jc w:val="center"/>
              <w:ind w:right="938"/>
              <w:spacing w:after="0" w:line="135" w:lineRule="exact"/>
              <w:rPr>
                <w:sz w:val="20"/>
                <w:szCs w:val="20"/>
                <w:color w:val="auto"/>
              </w:rPr>
            </w:pPr>
            <w:r>
              <w:rPr>
                <w:rFonts w:ascii="Arial" w:cs="Arial" w:eastAsia="Arial" w:hAnsi="Arial"/>
                <w:sz w:val="13"/>
                <w:szCs w:val="13"/>
                <w:b w:val="1"/>
                <w:bCs w:val="1"/>
                <w:color w:val="0075C9"/>
                <w:w w:val="96"/>
              </w:rPr>
              <w:t>on Vesting</w:t>
            </w:r>
          </w:p>
        </w:tc>
        <w:tc>
          <w:tcPr>
            <w:tcW w:w="0" w:type="dxa"/>
            <w:vAlign w:val="bottom"/>
          </w:tcPr>
          <w:p>
            <w:pPr>
              <w:spacing w:after="0"/>
              <w:rPr>
                <w:sz w:val="1"/>
                <w:szCs w:val="1"/>
                <w:color w:val="auto"/>
              </w:rPr>
            </w:pPr>
          </w:p>
        </w:tc>
      </w:tr>
      <w:tr>
        <w:trPr>
          <w:trHeight w:val="153"/>
        </w:trPr>
        <w:tc>
          <w:tcPr>
            <w:tcW w:w="5120" w:type="dxa"/>
            <w:vAlign w:val="bottom"/>
            <w:tcBorders>
              <w:bottom w:val="single" w:sz="8" w:color="0075C9"/>
            </w:tcBorders>
            <w:vMerge w:val="continue"/>
          </w:tcPr>
          <w:p>
            <w:pPr>
              <w:spacing w:after="0"/>
              <w:rPr>
                <w:sz w:val="13"/>
                <w:szCs w:val="13"/>
                <w:color w:val="auto"/>
              </w:rPr>
            </w:pPr>
          </w:p>
        </w:tc>
        <w:tc>
          <w:tcPr>
            <w:tcW w:w="2160" w:type="dxa"/>
            <w:vAlign w:val="bottom"/>
            <w:tcBorders>
              <w:bottom w:val="single" w:sz="8" w:color="0075C9"/>
            </w:tcBorders>
          </w:tcPr>
          <w:p>
            <w:pPr>
              <w:jc w:val="center"/>
              <w:ind w:left="398"/>
              <w:spacing w:after="0"/>
              <w:rPr>
                <w:sz w:val="20"/>
                <w:szCs w:val="20"/>
                <w:color w:val="auto"/>
              </w:rPr>
            </w:pPr>
            <w:r>
              <w:rPr>
                <w:rFonts w:ascii="Arial" w:cs="Arial" w:eastAsia="Arial" w:hAnsi="Arial"/>
                <w:sz w:val="13"/>
                <w:szCs w:val="13"/>
                <w:b w:val="1"/>
                <w:bCs w:val="1"/>
                <w:color w:val="0075C9"/>
                <w:w w:val="94"/>
              </w:rPr>
              <w:t>Vesting (#)(1)</w:t>
            </w:r>
          </w:p>
        </w:tc>
        <w:tc>
          <w:tcPr>
            <w:tcW w:w="1420" w:type="dxa"/>
            <w:vAlign w:val="bottom"/>
            <w:tcBorders>
              <w:bottom w:val="single" w:sz="8" w:color="0075C9"/>
            </w:tcBorders>
          </w:tcPr>
          <w:p>
            <w:pPr>
              <w:spacing w:after="0"/>
              <w:rPr>
                <w:sz w:val="13"/>
                <w:szCs w:val="13"/>
                <w:color w:val="auto"/>
              </w:rPr>
            </w:pPr>
          </w:p>
        </w:tc>
        <w:tc>
          <w:tcPr>
            <w:tcW w:w="2320" w:type="dxa"/>
            <w:vAlign w:val="bottom"/>
            <w:tcBorders>
              <w:bottom w:val="single" w:sz="8" w:color="0075C9"/>
            </w:tcBorders>
          </w:tcPr>
          <w:p>
            <w:pPr>
              <w:jc w:val="center"/>
              <w:ind w:right="898"/>
              <w:spacing w:after="0"/>
              <w:rPr>
                <w:sz w:val="20"/>
                <w:szCs w:val="20"/>
                <w:color w:val="auto"/>
              </w:rPr>
            </w:pPr>
            <w:r>
              <w:rPr>
                <w:rFonts w:ascii="Arial" w:cs="Arial" w:eastAsia="Arial" w:hAnsi="Arial"/>
                <w:sz w:val="13"/>
                <w:szCs w:val="13"/>
                <w:b w:val="1"/>
                <w:bCs w:val="1"/>
                <w:color w:val="0075C9"/>
              </w:rPr>
              <w:t>($)(2)</w:t>
            </w:r>
          </w:p>
        </w:tc>
        <w:tc>
          <w:tcPr>
            <w:tcW w:w="0" w:type="dxa"/>
            <w:vAlign w:val="bottom"/>
          </w:tcPr>
          <w:p>
            <w:pPr>
              <w:spacing w:after="0"/>
              <w:rPr>
                <w:sz w:val="1"/>
                <w:szCs w:val="1"/>
                <w:color w:val="auto"/>
              </w:rPr>
            </w:pPr>
          </w:p>
        </w:tc>
      </w:tr>
      <w:tr>
        <w:trPr>
          <w:trHeight w:val="111"/>
        </w:trPr>
        <w:tc>
          <w:tcPr>
            <w:tcW w:w="5120" w:type="dxa"/>
            <w:vAlign w:val="bottom"/>
            <w:shd w:val="clear" w:color="auto" w:fill="EBEBEC"/>
          </w:tcPr>
          <w:p>
            <w:pPr>
              <w:ind w:left="100"/>
              <w:spacing w:after="0" w:line="111" w:lineRule="exact"/>
              <w:rPr>
                <w:sz w:val="20"/>
                <w:szCs w:val="20"/>
                <w:color w:val="auto"/>
              </w:rPr>
            </w:pPr>
            <w:r>
              <w:rPr>
                <w:rFonts w:ascii="Arial" w:cs="Arial" w:eastAsia="Arial" w:hAnsi="Arial"/>
                <w:sz w:val="12"/>
                <w:szCs w:val="12"/>
                <w:b w:val="1"/>
                <w:bCs w:val="1"/>
                <w:color w:val="auto"/>
              </w:rPr>
              <w:t>Francisco J. Leon</w:t>
            </w:r>
          </w:p>
        </w:tc>
        <w:tc>
          <w:tcPr>
            <w:tcW w:w="2160" w:type="dxa"/>
            <w:vAlign w:val="bottom"/>
            <w:shd w:val="clear" w:color="auto" w:fill="EBEBEC"/>
          </w:tcPr>
          <w:p>
            <w:pPr>
              <w:jc w:val="right"/>
              <w:spacing w:after="0" w:line="111" w:lineRule="exact"/>
              <w:rPr>
                <w:sz w:val="20"/>
                <w:szCs w:val="20"/>
                <w:color w:val="auto"/>
              </w:rPr>
            </w:pPr>
            <w:r>
              <w:rPr>
                <w:rFonts w:ascii="Arial" w:cs="Arial" w:eastAsia="Arial" w:hAnsi="Arial"/>
                <w:sz w:val="12"/>
                <w:szCs w:val="12"/>
                <w:color w:val="auto"/>
              </w:rPr>
              <w:t>140,447</w:t>
            </w:r>
          </w:p>
        </w:tc>
        <w:tc>
          <w:tcPr>
            <w:tcW w:w="1420" w:type="dxa"/>
            <w:vAlign w:val="bottom"/>
            <w:shd w:val="clear" w:color="auto" w:fill="EBEBEC"/>
          </w:tcPr>
          <w:p>
            <w:pPr>
              <w:jc w:val="right"/>
              <w:ind w:right="218"/>
              <w:spacing w:after="0" w:line="111" w:lineRule="exact"/>
              <w:rPr>
                <w:sz w:val="20"/>
                <w:szCs w:val="20"/>
                <w:color w:val="auto"/>
              </w:rPr>
            </w:pPr>
            <w:r>
              <w:rPr>
                <w:rFonts w:ascii="Arial" w:cs="Arial" w:eastAsia="Arial" w:hAnsi="Arial"/>
                <w:sz w:val="12"/>
                <w:szCs w:val="12"/>
                <w:color w:val="auto"/>
              </w:rPr>
              <w:t>$</w:t>
            </w:r>
          </w:p>
        </w:tc>
        <w:tc>
          <w:tcPr>
            <w:tcW w:w="2320" w:type="dxa"/>
            <w:vAlign w:val="bottom"/>
            <w:shd w:val="clear" w:color="auto" w:fill="EBEBEC"/>
          </w:tcPr>
          <w:p>
            <w:pPr>
              <w:jc w:val="right"/>
              <w:ind w:right="458"/>
              <w:spacing w:after="0" w:line="111" w:lineRule="exact"/>
              <w:rPr>
                <w:sz w:val="20"/>
                <w:szCs w:val="20"/>
                <w:color w:val="auto"/>
              </w:rPr>
            </w:pPr>
            <w:r>
              <w:rPr>
                <w:rFonts w:ascii="Arial" w:cs="Arial" w:eastAsia="Arial" w:hAnsi="Arial"/>
                <w:sz w:val="12"/>
                <w:szCs w:val="12"/>
                <w:color w:val="auto"/>
              </w:rPr>
              <w:t>7,310,978</w:t>
            </w:r>
          </w:p>
        </w:tc>
        <w:tc>
          <w:tcPr>
            <w:tcW w:w="0" w:type="dxa"/>
            <w:vAlign w:val="bottom"/>
          </w:tcPr>
          <w:p>
            <w:pPr>
              <w:spacing w:after="0"/>
              <w:rPr>
                <w:sz w:val="1"/>
                <w:szCs w:val="1"/>
                <w:color w:val="auto"/>
              </w:rPr>
            </w:pPr>
          </w:p>
        </w:tc>
      </w:tr>
      <w:tr>
        <w:trPr>
          <w:trHeight w:val="135"/>
        </w:trPr>
        <w:tc>
          <w:tcPr>
            <w:tcW w:w="5120" w:type="dxa"/>
            <w:vAlign w:val="bottom"/>
            <w:shd w:val="clear" w:color="auto" w:fill="EBEBEC"/>
          </w:tcPr>
          <w:p>
            <w:pPr>
              <w:ind w:left="100"/>
              <w:spacing w:after="0" w:line="135" w:lineRule="exact"/>
              <w:rPr>
                <w:sz w:val="20"/>
                <w:szCs w:val="20"/>
                <w:color w:val="auto"/>
              </w:rPr>
            </w:pPr>
            <w:r>
              <w:rPr>
                <w:rFonts w:ascii="Arial" w:cs="Arial" w:eastAsia="Arial" w:hAnsi="Arial"/>
                <w:sz w:val="13"/>
                <w:szCs w:val="13"/>
                <w:b w:val="1"/>
                <w:bCs w:val="1"/>
                <w:color w:val="auto"/>
              </w:rPr>
              <w:t>Manuela ("Nelly") Molina</w:t>
            </w:r>
          </w:p>
        </w:tc>
        <w:tc>
          <w:tcPr>
            <w:tcW w:w="21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17,197</w:t>
            </w:r>
          </w:p>
        </w:tc>
        <w:tc>
          <w:tcPr>
            <w:tcW w:w="1420" w:type="dxa"/>
            <w:vAlign w:val="bottom"/>
            <w:shd w:val="clear" w:color="auto" w:fill="EBEBEC"/>
          </w:tcPr>
          <w:p>
            <w:pPr>
              <w:jc w:val="right"/>
              <w:ind w:right="218"/>
              <w:spacing w:after="0" w:line="135" w:lineRule="exact"/>
              <w:rPr>
                <w:sz w:val="20"/>
                <w:szCs w:val="20"/>
                <w:color w:val="auto"/>
              </w:rPr>
            </w:pPr>
            <w:r>
              <w:rPr>
                <w:rFonts w:ascii="Arial" w:cs="Arial" w:eastAsia="Arial" w:hAnsi="Arial"/>
                <w:sz w:val="13"/>
                <w:szCs w:val="13"/>
                <w:color w:val="auto"/>
              </w:rPr>
              <w:t>$</w:t>
            </w:r>
          </w:p>
        </w:tc>
        <w:tc>
          <w:tcPr>
            <w:tcW w:w="2320" w:type="dxa"/>
            <w:vAlign w:val="bottom"/>
            <w:shd w:val="clear" w:color="auto" w:fill="EBEBEC"/>
          </w:tcPr>
          <w:p>
            <w:pPr>
              <w:jc w:val="right"/>
              <w:ind w:right="458"/>
              <w:spacing w:after="0" w:line="135" w:lineRule="exact"/>
              <w:rPr>
                <w:sz w:val="20"/>
                <w:szCs w:val="20"/>
                <w:color w:val="auto"/>
              </w:rPr>
            </w:pPr>
            <w:r>
              <w:rPr>
                <w:rFonts w:ascii="Arial" w:cs="Arial" w:eastAsia="Arial" w:hAnsi="Arial"/>
                <w:sz w:val="13"/>
                <w:szCs w:val="13"/>
                <w:color w:val="auto"/>
              </w:rPr>
              <w:t>879,029</w:t>
            </w:r>
          </w:p>
        </w:tc>
        <w:tc>
          <w:tcPr>
            <w:tcW w:w="0" w:type="dxa"/>
            <w:vAlign w:val="bottom"/>
          </w:tcPr>
          <w:p>
            <w:pPr>
              <w:spacing w:after="0"/>
              <w:rPr>
                <w:sz w:val="1"/>
                <w:szCs w:val="1"/>
                <w:color w:val="auto"/>
              </w:rPr>
            </w:pPr>
          </w:p>
        </w:tc>
      </w:tr>
      <w:tr>
        <w:trPr>
          <w:trHeight w:val="135"/>
        </w:trPr>
        <w:tc>
          <w:tcPr>
            <w:tcW w:w="5120" w:type="dxa"/>
            <w:vAlign w:val="bottom"/>
            <w:shd w:val="clear" w:color="auto" w:fill="EBEBEC"/>
          </w:tcPr>
          <w:p>
            <w:pPr>
              <w:ind w:left="100"/>
              <w:spacing w:after="0" w:line="135" w:lineRule="exact"/>
              <w:rPr>
                <w:sz w:val="20"/>
                <w:szCs w:val="20"/>
                <w:color w:val="auto"/>
              </w:rPr>
            </w:pPr>
            <w:r>
              <w:rPr>
                <w:rFonts w:ascii="Arial" w:cs="Arial" w:eastAsia="Arial" w:hAnsi="Arial"/>
                <w:sz w:val="13"/>
                <w:szCs w:val="13"/>
                <w:b w:val="1"/>
                <w:bCs w:val="1"/>
                <w:color w:val="auto"/>
              </w:rPr>
              <w:t>Jay A. Bys</w:t>
            </w:r>
          </w:p>
        </w:tc>
        <w:tc>
          <w:tcPr>
            <w:tcW w:w="21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97,819</w:t>
            </w:r>
          </w:p>
        </w:tc>
        <w:tc>
          <w:tcPr>
            <w:tcW w:w="1420" w:type="dxa"/>
            <w:vAlign w:val="bottom"/>
            <w:shd w:val="clear" w:color="auto" w:fill="EBEBEC"/>
          </w:tcPr>
          <w:p>
            <w:pPr>
              <w:jc w:val="right"/>
              <w:ind w:right="218"/>
              <w:spacing w:after="0" w:line="135" w:lineRule="exact"/>
              <w:rPr>
                <w:sz w:val="20"/>
                <w:szCs w:val="20"/>
                <w:color w:val="auto"/>
              </w:rPr>
            </w:pPr>
            <w:r>
              <w:rPr>
                <w:rFonts w:ascii="Arial" w:cs="Arial" w:eastAsia="Arial" w:hAnsi="Arial"/>
                <w:sz w:val="13"/>
                <w:szCs w:val="13"/>
                <w:color w:val="auto"/>
              </w:rPr>
              <w:t>$</w:t>
            </w:r>
          </w:p>
        </w:tc>
        <w:tc>
          <w:tcPr>
            <w:tcW w:w="2320" w:type="dxa"/>
            <w:vAlign w:val="bottom"/>
            <w:shd w:val="clear" w:color="auto" w:fill="EBEBEC"/>
          </w:tcPr>
          <w:p>
            <w:pPr>
              <w:jc w:val="right"/>
              <w:ind w:right="458"/>
              <w:spacing w:after="0" w:line="135" w:lineRule="exact"/>
              <w:rPr>
                <w:sz w:val="20"/>
                <w:szCs w:val="20"/>
                <w:color w:val="auto"/>
              </w:rPr>
            </w:pPr>
            <w:r>
              <w:rPr>
                <w:rFonts w:ascii="Arial" w:cs="Arial" w:eastAsia="Arial" w:hAnsi="Arial"/>
                <w:sz w:val="13"/>
                <w:szCs w:val="13"/>
                <w:color w:val="auto"/>
              </w:rPr>
              <w:t>5,076,011</w:t>
            </w:r>
          </w:p>
        </w:tc>
        <w:tc>
          <w:tcPr>
            <w:tcW w:w="0" w:type="dxa"/>
            <w:vAlign w:val="bottom"/>
          </w:tcPr>
          <w:p>
            <w:pPr>
              <w:spacing w:after="0"/>
              <w:rPr>
                <w:sz w:val="1"/>
                <w:szCs w:val="1"/>
                <w:color w:val="auto"/>
              </w:rPr>
            </w:pPr>
          </w:p>
        </w:tc>
      </w:tr>
      <w:tr>
        <w:trPr>
          <w:trHeight w:val="135"/>
        </w:trPr>
        <w:tc>
          <w:tcPr>
            <w:tcW w:w="5120" w:type="dxa"/>
            <w:vAlign w:val="bottom"/>
            <w:shd w:val="clear" w:color="auto" w:fill="EBEBEC"/>
          </w:tcPr>
          <w:p>
            <w:pPr>
              <w:ind w:left="100"/>
              <w:spacing w:after="0" w:line="135" w:lineRule="exact"/>
              <w:rPr>
                <w:sz w:val="20"/>
                <w:szCs w:val="20"/>
                <w:color w:val="auto"/>
              </w:rPr>
            </w:pPr>
            <w:r>
              <w:rPr>
                <w:rFonts w:ascii="Arial" w:cs="Arial" w:eastAsia="Arial" w:hAnsi="Arial"/>
                <w:sz w:val="13"/>
                <w:szCs w:val="13"/>
                <w:b w:val="1"/>
                <w:bCs w:val="1"/>
                <w:color w:val="auto"/>
              </w:rPr>
              <w:t>Chris D. Gould</w:t>
            </w:r>
          </w:p>
        </w:tc>
        <w:tc>
          <w:tcPr>
            <w:tcW w:w="21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14,294</w:t>
            </w:r>
          </w:p>
        </w:tc>
        <w:tc>
          <w:tcPr>
            <w:tcW w:w="1420" w:type="dxa"/>
            <w:vAlign w:val="bottom"/>
            <w:shd w:val="clear" w:color="auto" w:fill="EBEBEC"/>
          </w:tcPr>
          <w:p>
            <w:pPr>
              <w:jc w:val="right"/>
              <w:ind w:right="218"/>
              <w:spacing w:after="0" w:line="135" w:lineRule="exact"/>
              <w:rPr>
                <w:sz w:val="20"/>
                <w:szCs w:val="20"/>
                <w:color w:val="auto"/>
              </w:rPr>
            </w:pPr>
            <w:r>
              <w:rPr>
                <w:rFonts w:ascii="Arial" w:cs="Arial" w:eastAsia="Arial" w:hAnsi="Arial"/>
                <w:sz w:val="13"/>
                <w:szCs w:val="13"/>
                <w:color w:val="auto"/>
              </w:rPr>
              <w:t>$</w:t>
            </w:r>
          </w:p>
        </w:tc>
        <w:tc>
          <w:tcPr>
            <w:tcW w:w="2320" w:type="dxa"/>
            <w:vAlign w:val="bottom"/>
            <w:shd w:val="clear" w:color="auto" w:fill="EBEBEC"/>
          </w:tcPr>
          <w:p>
            <w:pPr>
              <w:jc w:val="right"/>
              <w:ind w:right="458"/>
              <w:spacing w:after="0" w:line="135" w:lineRule="exact"/>
              <w:rPr>
                <w:sz w:val="20"/>
                <w:szCs w:val="20"/>
                <w:color w:val="auto"/>
              </w:rPr>
            </w:pPr>
            <w:r>
              <w:rPr>
                <w:rFonts w:ascii="Arial" w:cs="Arial" w:eastAsia="Arial" w:hAnsi="Arial"/>
                <w:sz w:val="13"/>
                <w:szCs w:val="13"/>
                <w:color w:val="auto"/>
              </w:rPr>
              <w:t>772,162</w:t>
            </w:r>
          </w:p>
        </w:tc>
        <w:tc>
          <w:tcPr>
            <w:tcW w:w="0" w:type="dxa"/>
            <w:vAlign w:val="bottom"/>
          </w:tcPr>
          <w:p>
            <w:pPr>
              <w:spacing w:after="0"/>
              <w:rPr>
                <w:sz w:val="1"/>
                <w:szCs w:val="1"/>
                <w:color w:val="auto"/>
              </w:rPr>
            </w:pPr>
          </w:p>
        </w:tc>
      </w:tr>
      <w:tr>
        <w:trPr>
          <w:trHeight w:val="153"/>
        </w:trPr>
        <w:tc>
          <w:tcPr>
            <w:tcW w:w="5120" w:type="dxa"/>
            <w:vAlign w:val="bottom"/>
            <w:shd w:val="clear" w:color="auto" w:fill="EBEBEC"/>
          </w:tcPr>
          <w:p>
            <w:pPr>
              <w:ind w:left="100"/>
              <w:spacing w:after="0"/>
              <w:rPr>
                <w:sz w:val="20"/>
                <w:szCs w:val="20"/>
                <w:color w:val="auto"/>
              </w:rPr>
            </w:pPr>
            <w:r>
              <w:rPr>
                <w:rFonts w:ascii="Arial" w:cs="Arial" w:eastAsia="Arial" w:hAnsi="Arial"/>
                <w:sz w:val="13"/>
                <w:szCs w:val="13"/>
                <w:b w:val="1"/>
                <w:bCs w:val="1"/>
                <w:color w:val="auto"/>
              </w:rPr>
              <w:t>Michael L. Preston</w:t>
            </w:r>
          </w:p>
        </w:tc>
        <w:tc>
          <w:tcPr>
            <w:tcW w:w="21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125,573</w:t>
            </w:r>
          </w:p>
        </w:tc>
        <w:tc>
          <w:tcPr>
            <w:tcW w:w="1420" w:type="dxa"/>
            <w:vAlign w:val="bottom"/>
            <w:shd w:val="clear" w:color="auto" w:fill="EBEBEC"/>
          </w:tcPr>
          <w:p>
            <w:pPr>
              <w:jc w:val="right"/>
              <w:ind w:right="218"/>
              <w:spacing w:after="0"/>
              <w:rPr>
                <w:sz w:val="20"/>
                <w:szCs w:val="20"/>
                <w:color w:val="auto"/>
              </w:rPr>
            </w:pPr>
            <w:r>
              <w:rPr>
                <w:rFonts w:ascii="Arial" w:cs="Arial" w:eastAsia="Arial" w:hAnsi="Arial"/>
                <w:sz w:val="13"/>
                <w:szCs w:val="13"/>
                <w:color w:val="auto"/>
              </w:rPr>
              <w:t>$</w:t>
            </w:r>
          </w:p>
        </w:tc>
        <w:tc>
          <w:tcPr>
            <w:tcW w:w="2320" w:type="dxa"/>
            <w:vAlign w:val="bottom"/>
            <w:shd w:val="clear" w:color="auto" w:fill="EBEBEC"/>
          </w:tcPr>
          <w:p>
            <w:pPr>
              <w:jc w:val="right"/>
              <w:ind w:right="458"/>
              <w:spacing w:after="0"/>
              <w:rPr>
                <w:sz w:val="20"/>
                <w:szCs w:val="20"/>
                <w:color w:val="auto"/>
              </w:rPr>
            </w:pPr>
            <w:r>
              <w:rPr>
                <w:rFonts w:ascii="Arial" w:cs="Arial" w:eastAsia="Arial" w:hAnsi="Arial"/>
                <w:sz w:val="13"/>
                <w:szCs w:val="13"/>
                <w:color w:val="auto"/>
              </w:rPr>
              <w:t>6,507,484</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480" w:right="40" w:hanging="383"/>
        <w:spacing w:after="0" w:line="252" w:lineRule="auto"/>
        <w:tabs>
          <w:tab w:leader="none" w:pos="480" w:val="left"/>
        </w:tabs>
        <w:numPr>
          <w:ilvl w:val="0"/>
          <w:numId w:val="36"/>
        </w:numPr>
        <w:rPr>
          <w:rFonts w:ascii="Arial" w:cs="Arial" w:eastAsia="Arial" w:hAnsi="Arial"/>
          <w:sz w:val="11"/>
          <w:szCs w:val="11"/>
          <w:color w:val="auto"/>
        </w:rPr>
      </w:pPr>
      <w:r>
        <w:rPr>
          <w:rFonts w:ascii="Arial" w:cs="Arial" w:eastAsia="Arial" w:hAnsi="Arial"/>
          <w:sz w:val="14"/>
          <w:szCs w:val="14"/>
          <w:color w:val="auto"/>
        </w:rPr>
        <w:t>The third tranche of the RSUs and 100% of the PSUs granted on January 25, 2021, to Messrs. Leon and Preston and on May 12, 2021, to Mr. Bys vested on January 25, 2024. In addition, the first tranche of the RSUs granted to Messrs. Leon, Bys, Gould, and Preston on February 23, 2023, vested on February 23, 2024, and the first tranche of RSUs granted to Ms. Molina on May 8, 2023, vested on May 8, 2024. A prorated portion of the RSUs granted to Ms. Molina on May 8, 2023 and February 23, 2024 also vested upon her termination for convenience of the Company on December 31, 2024, in accordance with the terms of her employment agreement, while the remainder of her unvested RSUs were forfeited at that time.</w:t>
      </w:r>
    </w:p>
    <w:p>
      <w:pPr>
        <w:spacing w:after="0" w:line="72" w:lineRule="exact"/>
        <w:rPr>
          <w:rFonts w:ascii="Arial" w:cs="Arial" w:eastAsia="Arial" w:hAnsi="Arial"/>
          <w:sz w:val="11"/>
          <w:szCs w:val="11"/>
          <w:color w:val="auto"/>
        </w:rPr>
      </w:pPr>
    </w:p>
    <w:p>
      <w:pPr>
        <w:ind w:left="480" w:right="120" w:hanging="383"/>
        <w:spacing w:after="0" w:line="263" w:lineRule="auto"/>
        <w:tabs>
          <w:tab w:leader="none" w:pos="480" w:val="left"/>
        </w:tabs>
        <w:numPr>
          <w:ilvl w:val="0"/>
          <w:numId w:val="36"/>
        </w:numPr>
        <w:rPr>
          <w:rFonts w:ascii="Arial" w:cs="Arial" w:eastAsia="Arial" w:hAnsi="Arial"/>
          <w:sz w:val="11"/>
          <w:szCs w:val="11"/>
          <w:color w:val="auto"/>
        </w:rPr>
      </w:pPr>
      <w:r>
        <w:rPr>
          <w:rFonts w:ascii="Arial" w:cs="Arial" w:eastAsia="Arial" w:hAnsi="Arial"/>
          <w:sz w:val="14"/>
          <w:szCs w:val="14"/>
          <w:color w:val="auto"/>
        </w:rPr>
        <w:t>These amounts were calculated as the number of vesting RSUs and PSUs times the closing stock price of our common stock as reported in the NYSE Composite Transactions on the respective vesting dates. Includes the cash value of RSUs and PSUs canceled to pay certain tax liabilities on RSUs and PSUs which vested during 2024. The number of RSUs canceled were: Mr. Leon - 102,726; Ms. Molina - 3,980; Mr. Bys – 59,604; Mr. Gould – 6,579; and Mr. Preston - 94,740.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2024 Nonqualified Deferred Compensation Table</w:t>
      </w:r>
    </w:p>
    <w:p>
      <w:pPr>
        <w:spacing w:after="0" w:line="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table sets forth for 2024 the contributions, earnings, withdrawals and balances under the SSP, SRP II and the DCP in which the NEOs participated. Messrs. Leon, Bys, Gould, and Preston were fully vested in their respective aggregate balances shown below, which include amounts CRC assumed from our former parent Occidental Petroleum Corporation’s plans. Ms. Molina was not fully vested in her SSP balance at the time she left the company, so she forfeited the unvested portion of her SSP balance. For additional information relating to these plans, see “Nonqualified Defined Contribution Plans” and “Nonqualified Deferred Compensation Plan” above.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gridSpan w:val="2"/>
            <w:vMerge w:val="restart"/>
          </w:tcPr>
          <w:p>
            <w:pPr>
              <w:jc w:val="right"/>
              <w:ind w:right="78"/>
              <w:spacing w:after="0"/>
              <w:rPr>
                <w:sz w:val="20"/>
                <w:szCs w:val="20"/>
                <w:color w:val="auto"/>
              </w:rPr>
            </w:pPr>
            <w:r>
              <w:rPr>
                <w:rFonts w:ascii="Arial" w:cs="Arial" w:eastAsia="Arial" w:hAnsi="Arial"/>
                <w:sz w:val="13"/>
                <w:szCs w:val="13"/>
                <w:b w:val="1"/>
                <w:bCs w:val="1"/>
                <w:color w:val="0075C9"/>
                <w:w w:val="98"/>
              </w:rPr>
              <w:t>Executive</w:t>
            </w:r>
          </w:p>
        </w:tc>
        <w:tc>
          <w:tcPr>
            <w:tcW w:w="560" w:type="dxa"/>
            <w:vAlign w:val="bottom"/>
          </w:tcPr>
          <w:p>
            <w:pPr>
              <w:spacing w:after="0"/>
              <w:rPr>
                <w:sz w:val="12"/>
                <w:szCs w:val="12"/>
                <w:color w:val="auto"/>
              </w:rPr>
            </w:pPr>
          </w:p>
        </w:tc>
        <w:tc>
          <w:tcPr>
            <w:tcW w:w="1000" w:type="dxa"/>
            <w:vAlign w:val="bottom"/>
            <w:vMerge w:val="restart"/>
          </w:tcPr>
          <w:p>
            <w:pPr>
              <w:jc w:val="center"/>
              <w:ind w:right="238"/>
              <w:spacing w:after="0"/>
              <w:rPr>
                <w:sz w:val="20"/>
                <w:szCs w:val="20"/>
                <w:color w:val="auto"/>
              </w:rPr>
            </w:pPr>
            <w:r>
              <w:rPr>
                <w:rFonts w:ascii="Arial" w:cs="Arial" w:eastAsia="Arial" w:hAnsi="Arial"/>
                <w:sz w:val="13"/>
                <w:szCs w:val="13"/>
                <w:b w:val="1"/>
                <w:bCs w:val="1"/>
                <w:color w:val="0075C9"/>
                <w:w w:val="97"/>
              </w:rPr>
              <w:t>Company</w:t>
            </w:r>
          </w:p>
        </w:tc>
        <w:tc>
          <w:tcPr>
            <w:tcW w:w="360" w:type="dxa"/>
            <w:vAlign w:val="bottom"/>
          </w:tcPr>
          <w:p>
            <w:pPr>
              <w:spacing w:after="0"/>
              <w:rPr>
                <w:sz w:val="12"/>
                <w:szCs w:val="12"/>
                <w:color w:val="auto"/>
              </w:rPr>
            </w:pPr>
          </w:p>
        </w:tc>
        <w:tc>
          <w:tcPr>
            <w:tcW w:w="940" w:type="dxa"/>
            <w:vAlign w:val="bottom"/>
            <w:vMerge w:val="restart"/>
          </w:tcPr>
          <w:p>
            <w:pPr>
              <w:jc w:val="center"/>
              <w:ind w:right="177"/>
              <w:spacing w:after="0"/>
              <w:rPr>
                <w:sz w:val="20"/>
                <w:szCs w:val="20"/>
                <w:color w:val="auto"/>
              </w:rPr>
            </w:pPr>
            <w:r>
              <w:rPr>
                <w:rFonts w:ascii="Arial" w:cs="Arial" w:eastAsia="Arial" w:hAnsi="Arial"/>
                <w:sz w:val="13"/>
                <w:szCs w:val="13"/>
                <w:b w:val="1"/>
                <w:bCs w:val="1"/>
                <w:color w:val="0075C9"/>
                <w:w w:val="96"/>
              </w:rPr>
              <w:t>Aggregate</w:t>
            </w:r>
          </w:p>
        </w:tc>
        <w:tc>
          <w:tcPr>
            <w:tcW w:w="380" w:type="dxa"/>
            <w:vAlign w:val="bottom"/>
          </w:tcPr>
          <w:p>
            <w:pPr>
              <w:spacing w:after="0"/>
              <w:rPr>
                <w:sz w:val="12"/>
                <w:szCs w:val="12"/>
                <w:color w:val="auto"/>
              </w:rPr>
            </w:pPr>
          </w:p>
        </w:tc>
        <w:tc>
          <w:tcPr>
            <w:tcW w:w="1100" w:type="dxa"/>
            <w:vAlign w:val="bottom"/>
          </w:tcPr>
          <w:p>
            <w:pPr>
              <w:jc w:val="center"/>
              <w:ind w:right="177"/>
              <w:spacing w:after="0"/>
              <w:rPr>
                <w:sz w:val="20"/>
                <w:szCs w:val="20"/>
                <w:color w:val="auto"/>
              </w:rPr>
            </w:pPr>
            <w:r>
              <w:rPr>
                <w:rFonts w:ascii="Arial" w:cs="Arial" w:eastAsia="Arial" w:hAnsi="Arial"/>
                <w:sz w:val="13"/>
                <w:szCs w:val="13"/>
                <w:b w:val="1"/>
                <w:bCs w:val="1"/>
                <w:color w:val="0075C9"/>
                <w:w w:val="96"/>
              </w:rPr>
              <w:t>Aggregate</w:t>
            </w:r>
          </w:p>
        </w:tc>
        <w:tc>
          <w:tcPr>
            <w:tcW w:w="400" w:type="dxa"/>
            <w:vAlign w:val="bottom"/>
          </w:tcPr>
          <w:p>
            <w:pPr>
              <w:spacing w:after="0"/>
              <w:rPr>
                <w:sz w:val="12"/>
                <w:szCs w:val="12"/>
                <w:color w:val="auto"/>
              </w:rPr>
            </w:pPr>
          </w:p>
        </w:tc>
        <w:tc>
          <w:tcPr>
            <w:tcW w:w="1280" w:type="dxa"/>
            <w:vAlign w:val="bottom"/>
            <w:vMerge w:val="restart"/>
          </w:tcPr>
          <w:p>
            <w:pPr>
              <w:jc w:val="center"/>
              <w:ind w:right="277"/>
              <w:spacing w:after="0"/>
              <w:rPr>
                <w:sz w:val="20"/>
                <w:szCs w:val="20"/>
                <w:color w:val="auto"/>
              </w:rPr>
            </w:pPr>
            <w:r>
              <w:rPr>
                <w:rFonts w:ascii="Arial" w:cs="Arial" w:eastAsia="Arial" w:hAnsi="Arial"/>
                <w:sz w:val="13"/>
                <w:szCs w:val="13"/>
                <w:b w:val="1"/>
                <w:bCs w:val="1"/>
                <w:color w:val="0075C9"/>
                <w:w w:val="96"/>
              </w:rPr>
              <w:t>Aggregate</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jc w:val="center"/>
              <w:ind w:right="177"/>
              <w:spacing w:after="0" w:line="135" w:lineRule="exact"/>
              <w:rPr>
                <w:sz w:val="20"/>
                <w:szCs w:val="20"/>
                <w:color w:val="auto"/>
              </w:rPr>
            </w:pPr>
            <w:r>
              <w:rPr>
                <w:rFonts w:ascii="Arial" w:cs="Arial" w:eastAsia="Arial" w:hAnsi="Arial"/>
                <w:sz w:val="13"/>
                <w:szCs w:val="13"/>
                <w:b w:val="1"/>
                <w:bCs w:val="1"/>
                <w:color w:val="0075C9"/>
                <w:w w:val="97"/>
              </w:rPr>
              <w:t>Withdrawals/</w:t>
            </w:r>
          </w:p>
        </w:tc>
        <w:tc>
          <w:tcPr>
            <w:tcW w:w="4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0075C9"/>
              </w:rPr>
              <w:t>Contributions</w:t>
            </w:r>
          </w:p>
        </w:tc>
        <w:tc>
          <w:tcPr>
            <w:tcW w:w="1560" w:type="dxa"/>
            <w:vAlign w:val="bottom"/>
            <w:gridSpan w:val="2"/>
          </w:tcPr>
          <w:p>
            <w:pPr>
              <w:jc w:val="center"/>
              <w:ind w:left="198"/>
              <w:spacing w:after="0" w:line="135" w:lineRule="exact"/>
              <w:rPr>
                <w:sz w:val="20"/>
                <w:szCs w:val="20"/>
                <w:color w:val="auto"/>
              </w:rPr>
            </w:pPr>
            <w:r>
              <w:rPr>
                <w:rFonts w:ascii="Arial" w:cs="Arial" w:eastAsia="Arial" w:hAnsi="Arial"/>
                <w:sz w:val="13"/>
                <w:szCs w:val="13"/>
                <w:b w:val="1"/>
                <w:bCs w:val="1"/>
                <w:color w:val="0075C9"/>
                <w:w w:val="96"/>
              </w:rPr>
              <w:t>Contributions</w:t>
            </w:r>
          </w:p>
        </w:tc>
        <w:tc>
          <w:tcPr>
            <w:tcW w:w="360" w:type="dxa"/>
            <w:vAlign w:val="bottom"/>
          </w:tcPr>
          <w:p>
            <w:pPr>
              <w:spacing w:after="0"/>
              <w:rPr>
                <w:sz w:val="11"/>
                <w:szCs w:val="11"/>
                <w:color w:val="auto"/>
              </w:rPr>
            </w:pPr>
          </w:p>
        </w:tc>
        <w:tc>
          <w:tcPr>
            <w:tcW w:w="940" w:type="dxa"/>
            <w:vAlign w:val="bottom"/>
          </w:tcPr>
          <w:p>
            <w:pPr>
              <w:jc w:val="center"/>
              <w:ind w:right="177"/>
              <w:spacing w:after="0" w:line="135" w:lineRule="exact"/>
              <w:rPr>
                <w:sz w:val="20"/>
                <w:szCs w:val="20"/>
                <w:color w:val="auto"/>
              </w:rPr>
            </w:pPr>
            <w:r>
              <w:rPr>
                <w:rFonts w:ascii="Arial" w:cs="Arial" w:eastAsia="Arial" w:hAnsi="Arial"/>
                <w:sz w:val="13"/>
                <w:szCs w:val="13"/>
                <w:b w:val="1"/>
                <w:bCs w:val="1"/>
                <w:color w:val="0075C9"/>
                <w:w w:val="96"/>
              </w:rPr>
              <w:t>Earnings</w:t>
            </w:r>
          </w:p>
        </w:tc>
        <w:tc>
          <w:tcPr>
            <w:tcW w:w="380" w:type="dxa"/>
            <w:vAlign w:val="bottom"/>
          </w:tcPr>
          <w:p>
            <w:pPr>
              <w:spacing w:after="0"/>
              <w:rPr>
                <w:sz w:val="11"/>
                <w:szCs w:val="11"/>
                <w:color w:val="auto"/>
              </w:rPr>
            </w:pPr>
          </w:p>
        </w:tc>
        <w:tc>
          <w:tcPr>
            <w:tcW w:w="1100" w:type="dxa"/>
            <w:vAlign w:val="bottom"/>
          </w:tcPr>
          <w:p>
            <w:pPr>
              <w:jc w:val="center"/>
              <w:ind w:right="177"/>
              <w:spacing w:after="0" w:line="135" w:lineRule="exact"/>
              <w:rPr>
                <w:sz w:val="20"/>
                <w:szCs w:val="20"/>
                <w:color w:val="auto"/>
              </w:rPr>
            </w:pPr>
            <w:r>
              <w:rPr>
                <w:rFonts w:ascii="Arial" w:cs="Arial" w:eastAsia="Arial" w:hAnsi="Arial"/>
                <w:sz w:val="13"/>
                <w:szCs w:val="13"/>
                <w:b w:val="1"/>
                <w:bCs w:val="1"/>
                <w:color w:val="0075C9"/>
                <w:w w:val="97"/>
              </w:rPr>
              <w:t>Distributions</w:t>
            </w:r>
          </w:p>
        </w:tc>
        <w:tc>
          <w:tcPr>
            <w:tcW w:w="400" w:type="dxa"/>
            <w:vAlign w:val="bottom"/>
          </w:tcPr>
          <w:p>
            <w:pPr>
              <w:spacing w:after="0"/>
              <w:rPr>
                <w:sz w:val="11"/>
                <w:szCs w:val="11"/>
                <w:color w:val="auto"/>
              </w:rPr>
            </w:pPr>
          </w:p>
        </w:tc>
        <w:tc>
          <w:tcPr>
            <w:tcW w:w="1280" w:type="dxa"/>
            <w:vAlign w:val="bottom"/>
          </w:tcPr>
          <w:p>
            <w:pPr>
              <w:jc w:val="center"/>
              <w:ind w:right="277"/>
              <w:spacing w:after="0" w:line="135" w:lineRule="exact"/>
              <w:rPr>
                <w:sz w:val="20"/>
                <w:szCs w:val="20"/>
                <w:color w:val="auto"/>
              </w:rPr>
            </w:pPr>
            <w:r>
              <w:rPr>
                <w:rFonts w:ascii="Arial" w:cs="Arial" w:eastAsia="Arial" w:hAnsi="Arial"/>
                <w:sz w:val="13"/>
                <w:szCs w:val="13"/>
                <w:b w:val="1"/>
                <w:bCs w:val="1"/>
                <w:color w:val="0075C9"/>
              </w:rPr>
              <w:t>Balance</w:t>
            </w:r>
          </w:p>
        </w:tc>
        <w:tc>
          <w:tcPr>
            <w:tcW w:w="0" w:type="dxa"/>
            <w:vAlign w:val="bottom"/>
          </w:tcPr>
          <w:p>
            <w:pPr>
              <w:spacing w:after="0"/>
              <w:rPr>
                <w:sz w:val="1"/>
                <w:szCs w:val="1"/>
                <w:color w:val="auto"/>
              </w:rPr>
            </w:pPr>
          </w:p>
        </w:tc>
      </w:tr>
      <w:tr>
        <w:trPr>
          <w:trHeight w:val="135"/>
        </w:trPr>
        <w:tc>
          <w:tcPr>
            <w:tcW w:w="3120" w:type="dxa"/>
            <w:vAlign w:val="bottom"/>
            <w:vMerge w:val="restart"/>
          </w:tcPr>
          <w:p>
            <w:pPr>
              <w:ind w:left="120"/>
              <w:spacing w:after="0"/>
              <w:rPr>
                <w:sz w:val="20"/>
                <w:szCs w:val="20"/>
                <w:color w:val="auto"/>
              </w:rPr>
            </w:pPr>
            <w:r>
              <w:rPr>
                <w:rFonts w:ascii="Arial" w:cs="Arial" w:eastAsia="Arial" w:hAnsi="Arial"/>
                <w:sz w:val="13"/>
                <w:szCs w:val="13"/>
                <w:b w:val="1"/>
                <w:bCs w:val="1"/>
                <w:color w:val="0075C9"/>
              </w:rPr>
              <w:t>Name</w:t>
            </w:r>
          </w:p>
        </w:tc>
        <w:tc>
          <w:tcPr>
            <w:tcW w:w="20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b w:val="1"/>
                <w:bCs w:val="1"/>
                <w:color w:val="0075C9"/>
                <w:w w:val="94"/>
              </w:rPr>
              <w:t>Plan</w:t>
            </w:r>
          </w:p>
        </w:tc>
        <w:tc>
          <w:tcPr>
            <w:tcW w:w="1300" w:type="dxa"/>
            <w:vAlign w:val="bottom"/>
            <w:gridSpan w:val="3"/>
          </w:tcPr>
          <w:p>
            <w:pPr>
              <w:jc w:val="right"/>
              <w:ind w:right="238"/>
              <w:spacing w:after="0" w:line="135" w:lineRule="exact"/>
              <w:rPr>
                <w:sz w:val="20"/>
                <w:szCs w:val="20"/>
                <w:color w:val="auto"/>
              </w:rPr>
            </w:pPr>
            <w:r>
              <w:rPr>
                <w:rFonts w:ascii="Arial" w:cs="Arial" w:eastAsia="Arial" w:hAnsi="Arial"/>
                <w:sz w:val="13"/>
                <w:szCs w:val="13"/>
                <w:b w:val="1"/>
                <w:bCs w:val="1"/>
                <w:color w:val="0075C9"/>
              </w:rPr>
              <w:t>2024</w:t>
            </w:r>
          </w:p>
        </w:tc>
        <w:tc>
          <w:tcPr>
            <w:tcW w:w="560" w:type="dxa"/>
            <w:vAlign w:val="bottom"/>
          </w:tcPr>
          <w:p>
            <w:pPr>
              <w:spacing w:after="0"/>
              <w:rPr>
                <w:sz w:val="11"/>
                <w:szCs w:val="11"/>
                <w:color w:val="auto"/>
              </w:rPr>
            </w:pPr>
          </w:p>
        </w:tc>
        <w:tc>
          <w:tcPr>
            <w:tcW w:w="1000" w:type="dxa"/>
            <w:vAlign w:val="bottom"/>
          </w:tcPr>
          <w:p>
            <w:pPr>
              <w:jc w:val="center"/>
              <w:ind w:right="238"/>
              <w:spacing w:after="0" w:line="135" w:lineRule="exact"/>
              <w:rPr>
                <w:sz w:val="20"/>
                <w:szCs w:val="20"/>
                <w:color w:val="auto"/>
              </w:rPr>
            </w:pPr>
            <w:r>
              <w:rPr>
                <w:rFonts w:ascii="Arial" w:cs="Arial" w:eastAsia="Arial" w:hAnsi="Arial"/>
                <w:sz w:val="13"/>
                <w:szCs w:val="13"/>
                <w:b w:val="1"/>
                <w:bCs w:val="1"/>
                <w:color w:val="0075C9"/>
                <w:w w:val="95"/>
              </w:rPr>
              <w:t>in 2024</w:t>
            </w:r>
          </w:p>
        </w:tc>
        <w:tc>
          <w:tcPr>
            <w:tcW w:w="360" w:type="dxa"/>
            <w:vAlign w:val="bottom"/>
          </w:tcPr>
          <w:p>
            <w:pPr>
              <w:spacing w:after="0"/>
              <w:rPr>
                <w:sz w:val="11"/>
                <w:szCs w:val="11"/>
                <w:color w:val="auto"/>
              </w:rPr>
            </w:pPr>
          </w:p>
        </w:tc>
        <w:tc>
          <w:tcPr>
            <w:tcW w:w="940" w:type="dxa"/>
            <w:vAlign w:val="bottom"/>
          </w:tcPr>
          <w:p>
            <w:pPr>
              <w:jc w:val="center"/>
              <w:ind w:right="177"/>
              <w:spacing w:after="0" w:line="135" w:lineRule="exact"/>
              <w:rPr>
                <w:sz w:val="20"/>
                <w:szCs w:val="20"/>
                <w:color w:val="auto"/>
              </w:rPr>
            </w:pPr>
            <w:r>
              <w:rPr>
                <w:rFonts w:ascii="Arial" w:cs="Arial" w:eastAsia="Arial" w:hAnsi="Arial"/>
                <w:sz w:val="13"/>
                <w:szCs w:val="13"/>
                <w:b w:val="1"/>
                <w:bCs w:val="1"/>
                <w:color w:val="0075C9"/>
                <w:w w:val="95"/>
              </w:rPr>
              <w:t>in 2024</w:t>
            </w:r>
          </w:p>
        </w:tc>
        <w:tc>
          <w:tcPr>
            <w:tcW w:w="380" w:type="dxa"/>
            <w:vAlign w:val="bottom"/>
          </w:tcPr>
          <w:p>
            <w:pPr>
              <w:spacing w:after="0"/>
              <w:rPr>
                <w:sz w:val="11"/>
                <w:szCs w:val="11"/>
                <w:color w:val="auto"/>
              </w:rPr>
            </w:pPr>
          </w:p>
        </w:tc>
        <w:tc>
          <w:tcPr>
            <w:tcW w:w="1100" w:type="dxa"/>
            <w:vAlign w:val="bottom"/>
          </w:tcPr>
          <w:p>
            <w:pPr>
              <w:jc w:val="center"/>
              <w:ind w:right="177"/>
              <w:spacing w:after="0" w:line="135" w:lineRule="exact"/>
              <w:rPr>
                <w:sz w:val="20"/>
                <w:szCs w:val="20"/>
                <w:color w:val="auto"/>
              </w:rPr>
            </w:pPr>
            <w:r>
              <w:rPr>
                <w:rFonts w:ascii="Arial" w:cs="Arial" w:eastAsia="Arial" w:hAnsi="Arial"/>
                <w:sz w:val="13"/>
                <w:szCs w:val="13"/>
                <w:b w:val="1"/>
                <w:bCs w:val="1"/>
                <w:color w:val="0075C9"/>
                <w:w w:val="95"/>
              </w:rPr>
              <w:t>in 2024</w:t>
            </w:r>
          </w:p>
        </w:tc>
        <w:tc>
          <w:tcPr>
            <w:tcW w:w="400" w:type="dxa"/>
            <w:vAlign w:val="bottom"/>
          </w:tcPr>
          <w:p>
            <w:pPr>
              <w:spacing w:after="0"/>
              <w:rPr>
                <w:sz w:val="11"/>
                <w:szCs w:val="11"/>
                <w:color w:val="auto"/>
              </w:rPr>
            </w:pPr>
          </w:p>
        </w:tc>
        <w:tc>
          <w:tcPr>
            <w:tcW w:w="1280" w:type="dxa"/>
            <w:vAlign w:val="bottom"/>
          </w:tcPr>
          <w:p>
            <w:pPr>
              <w:jc w:val="center"/>
              <w:ind w:right="277"/>
              <w:spacing w:after="0" w:line="135" w:lineRule="exact"/>
              <w:rPr>
                <w:sz w:val="20"/>
                <w:szCs w:val="20"/>
                <w:color w:val="auto"/>
              </w:rPr>
            </w:pPr>
            <w:r>
              <w:rPr>
                <w:rFonts w:ascii="Arial" w:cs="Arial" w:eastAsia="Arial" w:hAnsi="Arial"/>
                <w:sz w:val="13"/>
                <w:szCs w:val="13"/>
                <w:b w:val="1"/>
                <w:bCs w:val="1"/>
                <w:color w:val="0075C9"/>
                <w:w w:val="97"/>
              </w:rPr>
              <w:t>at 12/31/2024</w:t>
            </w:r>
          </w:p>
        </w:tc>
        <w:tc>
          <w:tcPr>
            <w:tcW w:w="0" w:type="dxa"/>
            <w:vAlign w:val="bottom"/>
          </w:tcPr>
          <w:p>
            <w:pPr>
              <w:spacing w:after="0"/>
              <w:rPr>
                <w:sz w:val="1"/>
                <w:szCs w:val="1"/>
                <w:color w:val="auto"/>
              </w:rPr>
            </w:pPr>
          </w:p>
        </w:tc>
      </w:tr>
      <w:tr>
        <w:trPr>
          <w:trHeight w:val="153"/>
        </w:trPr>
        <w:tc>
          <w:tcPr>
            <w:tcW w:w="3120" w:type="dxa"/>
            <w:vAlign w:val="bottom"/>
            <w:tcBorders>
              <w:bottom w:val="single" w:sz="8" w:color="0075C9"/>
            </w:tcBorders>
            <w:vMerge w:val="continue"/>
          </w:tcPr>
          <w:p>
            <w:pPr>
              <w:spacing w:after="0"/>
              <w:rPr>
                <w:sz w:val="13"/>
                <w:szCs w:val="13"/>
                <w:color w:val="auto"/>
              </w:rPr>
            </w:pPr>
          </w:p>
        </w:tc>
        <w:tc>
          <w:tcPr>
            <w:tcW w:w="200" w:type="dxa"/>
            <w:vAlign w:val="bottom"/>
            <w:tcBorders>
              <w:bottom w:val="single" w:sz="8" w:color="0075C9"/>
            </w:tcBorders>
          </w:tcPr>
          <w:p>
            <w:pPr>
              <w:spacing w:after="0"/>
              <w:rPr>
                <w:sz w:val="13"/>
                <w:szCs w:val="13"/>
                <w:color w:val="auto"/>
              </w:rPr>
            </w:pPr>
          </w:p>
        </w:tc>
        <w:tc>
          <w:tcPr>
            <w:tcW w:w="600" w:type="dxa"/>
            <w:vAlign w:val="bottom"/>
            <w:tcBorders>
              <w:bottom w:val="single" w:sz="8" w:color="0075C9"/>
            </w:tcBorders>
            <w:vMerge w:val="continue"/>
          </w:tcPr>
          <w:p>
            <w:pPr>
              <w:spacing w:after="0"/>
              <w:rPr>
                <w:sz w:val="13"/>
                <w:szCs w:val="13"/>
                <w:color w:val="auto"/>
              </w:rPr>
            </w:pPr>
          </w:p>
        </w:tc>
        <w:tc>
          <w:tcPr>
            <w:tcW w:w="820" w:type="dxa"/>
            <w:vAlign w:val="bottom"/>
            <w:tcBorders>
              <w:bottom w:val="single" w:sz="8" w:color="0075C9"/>
            </w:tcBorders>
            <w:gridSpan w:val="2"/>
          </w:tcPr>
          <w:p>
            <w:pPr>
              <w:jc w:val="right"/>
              <w:spacing w:after="0"/>
              <w:rPr>
                <w:sz w:val="20"/>
                <w:szCs w:val="20"/>
                <w:color w:val="auto"/>
              </w:rPr>
            </w:pPr>
            <w:r>
              <w:rPr>
                <w:rFonts w:ascii="Arial" w:cs="Arial" w:eastAsia="Arial" w:hAnsi="Arial"/>
                <w:sz w:val="13"/>
                <w:szCs w:val="13"/>
                <w:b w:val="1"/>
                <w:bCs w:val="1"/>
                <w:color w:val="0075C9"/>
              </w:rPr>
              <w:t>($</w:t>
            </w:r>
          </w:p>
        </w:tc>
        <w:tc>
          <w:tcPr>
            <w:tcW w:w="480" w:type="dxa"/>
            <w:vAlign w:val="bottom"/>
            <w:tcBorders>
              <w:bottom w:val="single" w:sz="8" w:color="0075C9"/>
            </w:tcBorders>
          </w:tcPr>
          <w:p>
            <w:pPr>
              <w:jc w:val="right"/>
              <w:ind w:right="218"/>
              <w:spacing w:after="0"/>
              <w:rPr>
                <w:sz w:val="20"/>
                <w:szCs w:val="20"/>
                <w:color w:val="auto"/>
              </w:rPr>
            </w:pPr>
            <w:r>
              <w:rPr>
                <w:rFonts w:ascii="Arial" w:cs="Arial" w:eastAsia="Arial" w:hAnsi="Arial"/>
                <w:sz w:val="13"/>
                <w:szCs w:val="13"/>
                <w:b w:val="1"/>
                <w:bCs w:val="1"/>
                <w:color w:val="0075C9"/>
                <w:w w:val="88"/>
              </w:rPr>
              <w:t>)(1)</w:t>
            </w:r>
          </w:p>
        </w:tc>
        <w:tc>
          <w:tcPr>
            <w:tcW w:w="560" w:type="dxa"/>
            <w:vAlign w:val="bottom"/>
            <w:tcBorders>
              <w:bottom w:val="single" w:sz="8" w:color="0075C9"/>
            </w:tcBorders>
          </w:tcPr>
          <w:p>
            <w:pPr>
              <w:spacing w:after="0"/>
              <w:rPr>
                <w:sz w:val="13"/>
                <w:szCs w:val="13"/>
                <w:color w:val="auto"/>
              </w:rPr>
            </w:pPr>
          </w:p>
        </w:tc>
        <w:tc>
          <w:tcPr>
            <w:tcW w:w="1000" w:type="dxa"/>
            <w:vAlign w:val="bottom"/>
            <w:tcBorders>
              <w:bottom w:val="single" w:sz="8" w:color="0075C9"/>
            </w:tcBorders>
          </w:tcPr>
          <w:p>
            <w:pPr>
              <w:jc w:val="center"/>
              <w:ind w:right="238"/>
              <w:spacing w:after="0"/>
              <w:rPr>
                <w:sz w:val="20"/>
                <w:szCs w:val="20"/>
                <w:color w:val="auto"/>
              </w:rPr>
            </w:pPr>
            <w:r>
              <w:rPr>
                <w:rFonts w:ascii="Arial" w:cs="Arial" w:eastAsia="Arial" w:hAnsi="Arial"/>
                <w:sz w:val="13"/>
                <w:szCs w:val="13"/>
                <w:b w:val="1"/>
                <w:bCs w:val="1"/>
                <w:color w:val="0075C9"/>
                <w:w w:val="94"/>
              </w:rPr>
              <w:t>($)(2)</w:t>
            </w:r>
          </w:p>
        </w:tc>
        <w:tc>
          <w:tcPr>
            <w:tcW w:w="360" w:type="dxa"/>
            <w:vAlign w:val="bottom"/>
            <w:tcBorders>
              <w:bottom w:val="single" w:sz="8" w:color="0075C9"/>
            </w:tcBorders>
          </w:tcPr>
          <w:p>
            <w:pPr>
              <w:spacing w:after="0"/>
              <w:rPr>
                <w:sz w:val="13"/>
                <w:szCs w:val="13"/>
                <w:color w:val="auto"/>
              </w:rPr>
            </w:pPr>
          </w:p>
        </w:tc>
        <w:tc>
          <w:tcPr>
            <w:tcW w:w="940" w:type="dxa"/>
            <w:vAlign w:val="bottom"/>
            <w:tcBorders>
              <w:bottom w:val="single" w:sz="8" w:color="0075C9"/>
            </w:tcBorders>
          </w:tcPr>
          <w:p>
            <w:pPr>
              <w:jc w:val="center"/>
              <w:ind w:right="177"/>
              <w:spacing w:after="0"/>
              <w:rPr>
                <w:sz w:val="20"/>
                <w:szCs w:val="20"/>
                <w:color w:val="auto"/>
              </w:rPr>
            </w:pPr>
            <w:r>
              <w:rPr>
                <w:rFonts w:ascii="Arial" w:cs="Arial" w:eastAsia="Arial" w:hAnsi="Arial"/>
                <w:sz w:val="13"/>
                <w:szCs w:val="13"/>
                <w:b w:val="1"/>
                <w:bCs w:val="1"/>
                <w:color w:val="0075C9"/>
                <w:w w:val="94"/>
              </w:rPr>
              <w:t>($)(3)</w:t>
            </w:r>
          </w:p>
        </w:tc>
        <w:tc>
          <w:tcPr>
            <w:tcW w:w="380" w:type="dxa"/>
            <w:vAlign w:val="bottom"/>
            <w:tcBorders>
              <w:bottom w:val="single" w:sz="8" w:color="0075C9"/>
            </w:tcBorders>
          </w:tcPr>
          <w:p>
            <w:pPr>
              <w:spacing w:after="0"/>
              <w:rPr>
                <w:sz w:val="13"/>
                <w:szCs w:val="13"/>
                <w:color w:val="auto"/>
              </w:rPr>
            </w:pPr>
          </w:p>
        </w:tc>
        <w:tc>
          <w:tcPr>
            <w:tcW w:w="1100" w:type="dxa"/>
            <w:vAlign w:val="bottom"/>
            <w:tcBorders>
              <w:bottom w:val="single" w:sz="8" w:color="0075C9"/>
            </w:tcBorders>
          </w:tcPr>
          <w:p>
            <w:pPr>
              <w:jc w:val="center"/>
              <w:ind w:right="197"/>
              <w:spacing w:after="0"/>
              <w:rPr>
                <w:sz w:val="20"/>
                <w:szCs w:val="20"/>
                <w:color w:val="auto"/>
              </w:rPr>
            </w:pPr>
            <w:r>
              <w:rPr>
                <w:rFonts w:ascii="Arial" w:cs="Arial" w:eastAsia="Arial" w:hAnsi="Arial"/>
                <w:sz w:val="13"/>
                <w:szCs w:val="13"/>
                <w:b w:val="1"/>
                <w:bCs w:val="1"/>
                <w:color w:val="0075C9"/>
              </w:rPr>
              <w:t>($)</w:t>
            </w:r>
          </w:p>
        </w:tc>
        <w:tc>
          <w:tcPr>
            <w:tcW w:w="400" w:type="dxa"/>
            <w:vAlign w:val="bottom"/>
            <w:tcBorders>
              <w:bottom w:val="single" w:sz="8" w:color="0075C9"/>
            </w:tcBorders>
          </w:tcPr>
          <w:p>
            <w:pPr>
              <w:spacing w:after="0"/>
              <w:rPr>
                <w:sz w:val="13"/>
                <w:szCs w:val="13"/>
                <w:color w:val="auto"/>
              </w:rPr>
            </w:pPr>
          </w:p>
        </w:tc>
        <w:tc>
          <w:tcPr>
            <w:tcW w:w="1280" w:type="dxa"/>
            <w:vAlign w:val="bottom"/>
            <w:tcBorders>
              <w:bottom w:val="single" w:sz="8" w:color="0075C9"/>
            </w:tcBorders>
          </w:tcPr>
          <w:p>
            <w:pPr>
              <w:jc w:val="center"/>
              <w:ind w:right="277"/>
              <w:spacing w:after="0"/>
              <w:rPr>
                <w:sz w:val="20"/>
                <w:szCs w:val="20"/>
                <w:color w:val="auto"/>
              </w:rPr>
            </w:pPr>
            <w:r>
              <w:rPr>
                <w:rFonts w:ascii="Arial" w:cs="Arial" w:eastAsia="Arial" w:hAnsi="Arial"/>
                <w:sz w:val="13"/>
                <w:szCs w:val="13"/>
                <w:b w:val="1"/>
                <w:bCs w:val="1"/>
                <w:color w:val="0075C9"/>
                <w:w w:val="94"/>
              </w:rPr>
              <w:t>($)(4)</w:t>
            </w:r>
          </w:p>
        </w:tc>
        <w:tc>
          <w:tcPr>
            <w:tcW w:w="0" w:type="dxa"/>
            <w:vAlign w:val="bottom"/>
          </w:tcPr>
          <w:p>
            <w:pPr>
              <w:spacing w:after="0"/>
              <w:rPr>
                <w:sz w:val="1"/>
                <w:szCs w:val="1"/>
                <w:color w:val="auto"/>
              </w:rPr>
            </w:pPr>
          </w:p>
        </w:tc>
      </w:tr>
      <w:tr>
        <w:trPr>
          <w:trHeight w:val="111"/>
        </w:trPr>
        <w:tc>
          <w:tcPr>
            <w:tcW w:w="3120" w:type="dxa"/>
            <w:vAlign w:val="bottom"/>
            <w:shd w:val="clear" w:color="auto" w:fill="EBEBEC"/>
          </w:tcPr>
          <w:p>
            <w:pPr>
              <w:ind w:left="120"/>
              <w:spacing w:after="0" w:line="111" w:lineRule="exact"/>
              <w:rPr>
                <w:sz w:val="20"/>
                <w:szCs w:val="20"/>
                <w:color w:val="auto"/>
              </w:rPr>
            </w:pPr>
            <w:r>
              <w:rPr>
                <w:rFonts w:ascii="Arial" w:cs="Arial" w:eastAsia="Arial" w:hAnsi="Arial"/>
                <w:sz w:val="12"/>
                <w:szCs w:val="12"/>
                <w:b w:val="1"/>
                <w:bCs w:val="1"/>
                <w:color w:val="auto"/>
              </w:rPr>
              <w:t>Francisco J. Leon</w:t>
            </w:r>
          </w:p>
        </w:tc>
        <w:tc>
          <w:tcPr>
            <w:tcW w:w="200" w:type="dxa"/>
            <w:vAlign w:val="bottom"/>
            <w:shd w:val="clear" w:color="auto" w:fill="EBEBEC"/>
          </w:tcPr>
          <w:p>
            <w:pPr>
              <w:spacing w:after="0"/>
              <w:rPr>
                <w:sz w:val="9"/>
                <w:szCs w:val="9"/>
                <w:color w:val="auto"/>
              </w:rPr>
            </w:pPr>
          </w:p>
        </w:tc>
        <w:tc>
          <w:tcPr>
            <w:tcW w:w="600" w:type="dxa"/>
            <w:vAlign w:val="bottom"/>
            <w:shd w:val="clear" w:color="auto" w:fill="EBEBEC"/>
          </w:tcPr>
          <w:p>
            <w:pPr>
              <w:jc w:val="center"/>
              <w:spacing w:after="0" w:line="111" w:lineRule="exact"/>
              <w:rPr>
                <w:sz w:val="20"/>
                <w:szCs w:val="20"/>
                <w:color w:val="auto"/>
              </w:rPr>
            </w:pPr>
            <w:r>
              <w:rPr>
                <w:rFonts w:ascii="Arial" w:cs="Arial" w:eastAsia="Arial" w:hAnsi="Arial"/>
                <w:sz w:val="12"/>
                <w:szCs w:val="12"/>
                <w:color w:val="auto"/>
              </w:rPr>
              <w:t>SSP</w:t>
            </w:r>
          </w:p>
        </w:tc>
        <w:tc>
          <w:tcPr>
            <w:tcW w:w="540" w:type="dxa"/>
            <w:vAlign w:val="bottom"/>
            <w:shd w:val="clear" w:color="auto" w:fill="EBEBEC"/>
          </w:tcPr>
          <w:p>
            <w:pPr>
              <w:jc w:val="right"/>
              <w:spacing w:after="0" w:line="111" w:lineRule="exact"/>
              <w:rPr>
                <w:sz w:val="20"/>
                <w:szCs w:val="20"/>
                <w:color w:val="auto"/>
              </w:rPr>
            </w:pPr>
            <w:r>
              <w:rPr>
                <w:rFonts w:ascii="Arial" w:cs="Arial" w:eastAsia="Arial" w:hAnsi="Arial"/>
                <w:sz w:val="12"/>
                <w:szCs w:val="12"/>
                <w:color w:val="auto"/>
              </w:rPr>
              <w:t>$</w:t>
            </w:r>
          </w:p>
        </w:tc>
        <w:tc>
          <w:tcPr>
            <w:tcW w:w="280" w:type="dxa"/>
            <w:vAlign w:val="bottom"/>
            <w:shd w:val="clear" w:color="auto" w:fill="EBEBEC"/>
          </w:tcPr>
          <w:p>
            <w:pPr>
              <w:spacing w:after="0"/>
              <w:rPr>
                <w:sz w:val="9"/>
                <w:szCs w:val="9"/>
                <w:color w:val="auto"/>
              </w:rPr>
            </w:pPr>
          </w:p>
        </w:tc>
        <w:tc>
          <w:tcPr>
            <w:tcW w:w="480" w:type="dxa"/>
            <w:vAlign w:val="bottom"/>
            <w:shd w:val="clear" w:color="auto" w:fill="EBEBEC"/>
          </w:tcPr>
          <w:p>
            <w:pPr>
              <w:jc w:val="right"/>
              <w:ind w:right="78"/>
              <w:spacing w:after="0" w:line="111" w:lineRule="exact"/>
              <w:rPr>
                <w:sz w:val="20"/>
                <w:szCs w:val="20"/>
                <w:color w:val="auto"/>
              </w:rPr>
            </w:pPr>
            <w:r>
              <w:rPr>
                <w:rFonts w:ascii="Arial" w:cs="Arial" w:eastAsia="Arial" w:hAnsi="Arial"/>
                <w:sz w:val="12"/>
                <w:szCs w:val="12"/>
                <w:color w:val="auto"/>
              </w:rPr>
              <w:t>0</w:t>
            </w:r>
          </w:p>
        </w:tc>
        <w:tc>
          <w:tcPr>
            <w:tcW w:w="560" w:type="dxa"/>
            <w:vAlign w:val="bottom"/>
            <w:shd w:val="clear" w:color="auto" w:fill="EBEBEC"/>
          </w:tcPr>
          <w:p>
            <w:pPr>
              <w:jc w:val="right"/>
              <w:spacing w:after="0" w:line="111" w:lineRule="exact"/>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ind w:right="238"/>
              <w:spacing w:after="0" w:line="111" w:lineRule="exact"/>
              <w:rPr>
                <w:sz w:val="20"/>
                <w:szCs w:val="20"/>
                <w:color w:val="auto"/>
              </w:rPr>
            </w:pPr>
            <w:r>
              <w:rPr>
                <w:rFonts w:ascii="Arial" w:cs="Arial" w:eastAsia="Arial" w:hAnsi="Arial"/>
                <w:sz w:val="12"/>
                <w:szCs w:val="12"/>
                <w:color w:val="auto"/>
              </w:rPr>
              <w:t>156,384</w:t>
            </w:r>
          </w:p>
        </w:tc>
        <w:tc>
          <w:tcPr>
            <w:tcW w:w="360" w:type="dxa"/>
            <w:vAlign w:val="bottom"/>
            <w:shd w:val="clear" w:color="auto" w:fill="EBEBEC"/>
          </w:tcPr>
          <w:p>
            <w:pPr>
              <w:jc w:val="right"/>
              <w:spacing w:after="0" w:line="111" w:lineRule="exact"/>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97"/>
              <w:spacing w:after="0" w:line="111" w:lineRule="exact"/>
              <w:rPr>
                <w:sz w:val="20"/>
                <w:szCs w:val="20"/>
                <w:color w:val="auto"/>
              </w:rPr>
            </w:pPr>
            <w:r>
              <w:rPr>
                <w:rFonts w:ascii="Arial" w:cs="Arial" w:eastAsia="Arial" w:hAnsi="Arial"/>
                <w:sz w:val="12"/>
                <w:szCs w:val="12"/>
                <w:color w:val="auto"/>
              </w:rPr>
              <w:t>53,416</w:t>
            </w:r>
          </w:p>
        </w:tc>
        <w:tc>
          <w:tcPr>
            <w:tcW w:w="380" w:type="dxa"/>
            <w:vAlign w:val="bottom"/>
            <w:shd w:val="clear" w:color="auto" w:fill="EBEBEC"/>
          </w:tcPr>
          <w:p>
            <w:pPr>
              <w:jc w:val="right"/>
              <w:spacing w:after="0" w:line="111" w:lineRule="exact"/>
              <w:rPr>
                <w:sz w:val="20"/>
                <w:szCs w:val="20"/>
                <w:color w:val="auto"/>
              </w:rPr>
            </w:pPr>
            <w:r>
              <w:rPr>
                <w:rFonts w:ascii="Arial" w:cs="Arial" w:eastAsia="Arial" w:hAnsi="Arial"/>
                <w:sz w:val="12"/>
                <w:szCs w:val="12"/>
                <w:color w:val="auto"/>
              </w:rPr>
              <w:t>$</w:t>
            </w:r>
          </w:p>
        </w:tc>
        <w:tc>
          <w:tcPr>
            <w:tcW w:w="1100" w:type="dxa"/>
            <w:vAlign w:val="bottom"/>
            <w:shd w:val="clear" w:color="auto" w:fill="EBEBEC"/>
          </w:tcPr>
          <w:p>
            <w:pPr>
              <w:jc w:val="right"/>
              <w:ind w:right="197"/>
              <w:spacing w:after="0" w:line="111" w:lineRule="exact"/>
              <w:rPr>
                <w:sz w:val="20"/>
                <w:szCs w:val="20"/>
                <w:color w:val="auto"/>
              </w:rPr>
            </w:pPr>
            <w:r>
              <w:rPr>
                <w:rFonts w:ascii="Arial" w:cs="Arial" w:eastAsia="Arial" w:hAnsi="Arial"/>
                <w:sz w:val="12"/>
                <w:szCs w:val="12"/>
                <w:color w:val="auto"/>
              </w:rPr>
              <w:t>0</w:t>
            </w:r>
          </w:p>
        </w:tc>
        <w:tc>
          <w:tcPr>
            <w:tcW w:w="400" w:type="dxa"/>
            <w:vAlign w:val="bottom"/>
            <w:shd w:val="clear" w:color="auto" w:fill="EBEBEC"/>
          </w:tcPr>
          <w:p>
            <w:pPr>
              <w:jc w:val="right"/>
              <w:spacing w:after="0" w:line="111" w:lineRule="exact"/>
              <w:rPr>
                <w:sz w:val="20"/>
                <w:szCs w:val="20"/>
                <w:color w:val="auto"/>
              </w:rPr>
            </w:pPr>
            <w:r>
              <w:rPr>
                <w:rFonts w:ascii="Arial" w:cs="Arial" w:eastAsia="Arial" w:hAnsi="Arial"/>
                <w:sz w:val="12"/>
                <w:szCs w:val="12"/>
                <w:color w:val="auto"/>
              </w:rPr>
              <w:t>$</w:t>
            </w:r>
          </w:p>
        </w:tc>
        <w:tc>
          <w:tcPr>
            <w:tcW w:w="1280" w:type="dxa"/>
            <w:vAlign w:val="bottom"/>
            <w:shd w:val="clear" w:color="auto" w:fill="EBEBEC"/>
          </w:tcPr>
          <w:p>
            <w:pPr>
              <w:jc w:val="right"/>
              <w:ind w:right="257"/>
              <w:spacing w:after="0" w:line="111" w:lineRule="exact"/>
              <w:rPr>
                <w:sz w:val="20"/>
                <w:szCs w:val="20"/>
                <w:color w:val="auto"/>
              </w:rPr>
            </w:pPr>
            <w:r>
              <w:rPr>
                <w:rFonts w:ascii="Arial" w:cs="Arial" w:eastAsia="Arial" w:hAnsi="Arial"/>
                <w:sz w:val="12"/>
                <w:szCs w:val="12"/>
                <w:color w:val="auto"/>
              </w:rPr>
              <w:t>1,080,796</w:t>
            </w:r>
          </w:p>
        </w:tc>
        <w:tc>
          <w:tcPr>
            <w:tcW w:w="0" w:type="dxa"/>
            <w:vAlign w:val="bottom"/>
          </w:tcPr>
          <w:p>
            <w:pPr>
              <w:spacing w:after="0"/>
              <w:rPr>
                <w:sz w:val="1"/>
                <w:szCs w:val="1"/>
                <w:color w:val="auto"/>
              </w:rPr>
            </w:pPr>
          </w:p>
        </w:tc>
      </w:tr>
      <w:tr>
        <w:trPr>
          <w:trHeight w:val="135"/>
        </w:trPr>
        <w:tc>
          <w:tcPr>
            <w:tcW w:w="3120" w:type="dxa"/>
            <w:vAlign w:val="bottom"/>
            <w:shd w:val="clear" w:color="auto" w:fill="EBEBEC"/>
          </w:tcPr>
          <w:p>
            <w:pPr>
              <w:spacing w:after="0"/>
              <w:rPr>
                <w:sz w:val="11"/>
                <w:szCs w:val="11"/>
                <w:color w:val="auto"/>
              </w:rPr>
            </w:pPr>
          </w:p>
        </w:tc>
        <w:tc>
          <w:tcPr>
            <w:tcW w:w="200" w:type="dxa"/>
            <w:vAlign w:val="bottom"/>
            <w:shd w:val="clear" w:color="auto" w:fill="EBEBEC"/>
          </w:tcPr>
          <w:p>
            <w:pPr>
              <w:spacing w:after="0"/>
              <w:rPr>
                <w:sz w:val="11"/>
                <w:szCs w:val="11"/>
                <w:color w:val="auto"/>
              </w:rPr>
            </w:pPr>
          </w:p>
        </w:tc>
        <w:tc>
          <w:tcPr>
            <w:tcW w:w="600" w:type="dxa"/>
            <w:vAlign w:val="bottom"/>
            <w:shd w:val="clear" w:color="auto" w:fill="EBEBEC"/>
          </w:tcPr>
          <w:p>
            <w:pPr>
              <w:jc w:val="center"/>
              <w:spacing w:after="0" w:line="135" w:lineRule="exact"/>
              <w:rPr>
                <w:sz w:val="20"/>
                <w:szCs w:val="20"/>
                <w:color w:val="auto"/>
              </w:rPr>
            </w:pPr>
            <w:r>
              <w:rPr>
                <w:rFonts w:ascii="Arial" w:cs="Arial" w:eastAsia="Arial" w:hAnsi="Arial"/>
                <w:sz w:val="13"/>
                <w:szCs w:val="13"/>
                <w:color w:val="auto"/>
                <w:w w:val="95"/>
              </w:rPr>
              <w:t>SRP II</w:t>
            </w:r>
          </w:p>
        </w:tc>
        <w:tc>
          <w:tcPr>
            <w:tcW w:w="54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EBEBEC"/>
          </w:tcPr>
          <w:p>
            <w:pPr>
              <w:spacing w:after="0"/>
              <w:rPr>
                <w:sz w:val="11"/>
                <w:szCs w:val="11"/>
                <w:color w:val="auto"/>
              </w:rPr>
            </w:pPr>
          </w:p>
        </w:tc>
        <w:tc>
          <w:tcPr>
            <w:tcW w:w="480" w:type="dxa"/>
            <w:vAlign w:val="bottom"/>
            <w:shd w:val="clear" w:color="auto" w:fill="EBEBEC"/>
          </w:tcPr>
          <w:p>
            <w:pPr>
              <w:jc w:val="right"/>
              <w:ind w:right="78"/>
              <w:spacing w:after="0" w:line="135" w:lineRule="exact"/>
              <w:rPr>
                <w:sz w:val="20"/>
                <w:szCs w:val="20"/>
                <w:color w:val="auto"/>
              </w:rPr>
            </w:pPr>
            <w:r>
              <w:rPr>
                <w:rFonts w:ascii="Arial" w:cs="Arial" w:eastAsia="Arial" w:hAnsi="Arial"/>
                <w:sz w:val="13"/>
                <w:szCs w:val="13"/>
                <w:color w:val="auto"/>
              </w:rPr>
              <w:t>0</w:t>
            </w:r>
          </w:p>
        </w:tc>
        <w:tc>
          <w:tcPr>
            <w:tcW w:w="5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000" w:type="dxa"/>
            <w:vAlign w:val="bottom"/>
            <w:shd w:val="clear" w:color="auto" w:fill="EBEBEC"/>
          </w:tcPr>
          <w:p>
            <w:pPr>
              <w:jc w:val="right"/>
              <w:ind w:right="238"/>
              <w:spacing w:after="0" w:line="135" w:lineRule="exact"/>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EBEBEC"/>
          </w:tcPr>
          <w:p>
            <w:pPr>
              <w:jc w:val="right"/>
              <w:ind w:right="197"/>
              <w:spacing w:after="0" w:line="135" w:lineRule="exact"/>
              <w:rPr>
                <w:sz w:val="20"/>
                <w:szCs w:val="20"/>
                <w:color w:val="auto"/>
              </w:rPr>
            </w:pPr>
            <w:r>
              <w:rPr>
                <w:rFonts w:ascii="Arial" w:cs="Arial" w:eastAsia="Arial" w:hAnsi="Arial"/>
                <w:sz w:val="13"/>
                <w:szCs w:val="13"/>
                <w:color w:val="auto"/>
              </w:rPr>
              <w:t>11,216</w:t>
            </w:r>
          </w:p>
        </w:tc>
        <w:tc>
          <w:tcPr>
            <w:tcW w:w="38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jc w:val="right"/>
              <w:ind w:right="197"/>
              <w:spacing w:after="0" w:line="135" w:lineRule="exact"/>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ind w:right="257"/>
              <w:spacing w:after="0" w:line="135" w:lineRule="exact"/>
              <w:rPr>
                <w:sz w:val="20"/>
                <w:szCs w:val="20"/>
                <w:color w:val="auto"/>
              </w:rPr>
            </w:pPr>
            <w:r>
              <w:rPr>
                <w:rFonts w:ascii="Arial" w:cs="Arial" w:eastAsia="Arial" w:hAnsi="Arial"/>
                <w:sz w:val="13"/>
                <w:szCs w:val="13"/>
                <w:color w:val="auto"/>
              </w:rPr>
              <w:t>189,386</w:t>
            </w:r>
          </w:p>
        </w:tc>
        <w:tc>
          <w:tcPr>
            <w:tcW w:w="0" w:type="dxa"/>
            <w:vAlign w:val="bottom"/>
          </w:tcPr>
          <w:p>
            <w:pPr>
              <w:spacing w:after="0"/>
              <w:rPr>
                <w:sz w:val="1"/>
                <w:szCs w:val="1"/>
                <w:color w:val="auto"/>
              </w:rPr>
            </w:pPr>
          </w:p>
        </w:tc>
      </w:tr>
      <w:tr>
        <w:trPr>
          <w:trHeight w:val="135"/>
        </w:trPr>
        <w:tc>
          <w:tcPr>
            <w:tcW w:w="3120" w:type="dxa"/>
            <w:vAlign w:val="bottom"/>
            <w:shd w:val="clear" w:color="auto" w:fill="EBEBEC"/>
          </w:tcPr>
          <w:p>
            <w:pPr>
              <w:spacing w:after="0"/>
              <w:rPr>
                <w:sz w:val="11"/>
                <w:szCs w:val="11"/>
                <w:color w:val="auto"/>
              </w:rPr>
            </w:pPr>
          </w:p>
        </w:tc>
        <w:tc>
          <w:tcPr>
            <w:tcW w:w="200" w:type="dxa"/>
            <w:vAlign w:val="bottom"/>
            <w:shd w:val="clear" w:color="auto" w:fill="EBEBEC"/>
          </w:tcPr>
          <w:p>
            <w:pPr>
              <w:spacing w:after="0"/>
              <w:rPr>
                <w:sz w:val="11"/>
                <w:szCs w:val="11"/>
                <w:color w:val="auto"/>
              </w:rPr>
            </w:pPr>
          </w:p>
        </w:tc>
        <w:tc>
          <w:tcPr>
            <w:tcW w:w="600" w:type="dxa"/>
            <w:vAlign w:val="bottom"/>
            <w:shd w:val="clear" w:color="auto" w:fill="EBEBEC"/>
          </w:tcPr>
          <w:p>
            <w:pPr>
              <w:jc w:val="center"/>
              <w:spacing w:after="0" w:line="135" w:lineRule="exact"/>
              <w:rPr>
                <w:sz w:val="20"/>
                <w:szCs w:val="20"/>
                <w:color w:val="auto"/>
              </w:rPr>
            </w:pPr>
            <w:r>
              <w:rPr>
                <w:rFonts w:ascii="Arial" w:cs="Arial" w:eastAsia="Arial" w:hAnsi="Arial"/>
                <w:sz w:val="13"/>
                <w:szCs w:val="13"/>
                <w:color w:val="auto"/>
                <w:w w:val="94"/>
              </w:rPr>
              <w:t>RSU</w:t>
            </w:r>
          </w:p>
        </w:tc>
        <w:tc>
          <w:tcPr>
            <w:tcW w:w="540" w:type="dxa"/>
            <w:vAlign w:val="bottom"/>
            <w:shd w:val="clear" w:color="auto" w:fill="EBEBEC"/>
          </w:tcPr>
          <w:p>
            <w:pPr>
              <w:spacing w:after="0"/>
              <w:rPr>
                <w:sz w:val="11"/>
                <w:szCs w:val="11"/>
                <w:color w:val="auto"/>
              </w:rPr>
            </w:pPr>
          </w:p>
        </w:tc>
        <w:tc>
          <w:tcPr>
            <w:tcW w:w="280" w:type="dxa"/>
            <w:vAlign w:val="bottom"/>
            <w:shd w:val="clear" w:color="auto" w:fill="EBEBEC"/>
          </w:tcPr>
          <w:p>
            <w:pPr>
              <w:spacing w:after="0"/>
              <w:rPr>
                <w:sz w:val="11"/>
                <w:szCs w:val="11"/>
                <w:color w:val="auto"/>
              </w:rPr>
            </w:pPr>
          </w:p>
        </w:tc>
        <w:tc>
          <w:tcPr>
            <w:tcW w:w="480" w:type="dxa"/>
            <w:vAlign w:val="bottom"/>
            <w:shd w:val="clear" w:color="auto" w:fill="EBEBEC"/>
          </w:tcPr>
          <w:p>
            <w:pPr>
              <w:spacing w:after="0"/>
              <w:rPr>
                <w:sz w:val="11"/>
                <w:szCs w:val="11"/>
                <w:color w:val="auto"/>
              </w:rPr>
            </w:pPr>
          </w:p>
        </w:tc>
        <w:tc>
          <w:tcPr>
            <w:tcW w:w="560" w:type="dxa"/>
            <w:vAlign w:val="bottom"/>
            <w:shd w:val="clear" w:color="auto" w:fill="EBEBEC"/>
          </w:tcPr>
          <w:p>
            <w:pPr>
              <w:spacing w:after="0"/>
              <w:rPr>
                <w:sz w:val="11"/>
                <w:szCs w:val="11"/>
                <w:color w:val="auto"/>
              </w:rPr>
            </w:pPr>
          </w:p>
        </w:tc>
        <w:tc>
          <w:tcPr>
            <w:tcW w:w="1000" w:type="dxa"/>
            <w:vAlign w:val="bottom"/>
            <w:shd w:val="clear" w:color="auto" w:fill="EBEBEC"/>
          </w:tcPr>
          <w:p>
            <w:pPr>
              <w:spacing w:after="0"/>
              <w:rPr>
                <w:sz w:val="11"/>
                <w:szCs w:val="11"/>
                <w:color w:val="auto"/>
              </w:rPr>
            </w:pPr>
          </w:p>
        </w:tc>
        <w:tc>
          <w:tcPr>
            <w:tcW w:w="3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EBEBEC"/>
          </w:tcPr>
          <w:p>
            <w:pPr>
              <w:jc w:val="right"/>
              <w:ind w:right="197"/>
              <w:spacing w:after="0" w:line="135" w:lineRule="exact"/>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jc w:val="right"/>
              <w:ind w:right="197"/>
              <w:spacing w:after="0" w:line="135" w:lineRule="exact"/>
              <w:rPr>
                <w:sz w:val="20"/>
                <w:szCs w:val="20"/>
                <w:color w:val="auto"/>
              </w:rPr>
            </w:pPr>
            <w:r>
              <w:rPr>
                <w:rFonts w:ascii="Arial" w:cs="Arial" w:eastAsia="Arial" w:hAnsi="Arial"/>
                <w:sz w:val="13"/>
                <w:szCs w:val="13"/>
                <w:color w:val="auto"/>
              </w:rPr>
              <w:t>2,946,657</w:t>
            </w:r>
          </w:p>
        </w:tc>
        <w:tc>
          <w:tcPr>
            <w:tcW w:w="40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120" w:type="dxa"/>
            <w:vAlign w:val="bottom"/>
            <w:shd w:val="clear" w:color="auto" w:fill="EBEBEC"/>
          </w:tcPr>
          <w:p>
            <w:pPr>
              <w:ind w:left="120"/>
              <w:spacing w:after="0" w:line="135" w:lineRule="exact"/>
              <w:rPr>
                <w:sz w:val="20"/>
                <w:szCs w:val="20"/>
                <w:color w:val="auto"/>
              </w:rPr>
            </w:pPr>
            <w:r>
              <w:rPr>
                <w:rFonts w:ascii="Arial" w:cs="Arial" w:eastAsia="Arial" w:hAnsi="Arial"/>
                <w:sz w:val="13"/>
                <w:szCs w:val="13"/>
                <w:b w:val="1"/>
                <w:bCs w:val="1"/>
                <w:color w:val="auto"/>
              </w:rPr>
              <w:t>Manuela ("Nelly") Molina</w:t>
            </w:r>
          </w:p>
        </w:tc>
        <w:tc>
          <w:tcPr>
            <w:tcW w:w="200" w:type="dxa"/>
            <w:vAlign w:val="bottom"/>
            <w:shd w:val="clear" w:color="auto" w:fill="EBEBEC"/>
          </w:tcPr>
          <w:p>
            <w:pPr>
              <w:spacing w:after="0"/>
              <w:rPr>
                <w:sz w:val="11"/>
                <w:szCs w:val="11"/>
                <w:color w:val="auto"/>
              </w:rPr>
            </w:pPr>
          </w:p>
        </w:tc>
        <w:tc>
          <w:tcPr>
            <w:tcW w:w="600" w:type="dxa"/>
            <w:vAlign w:val="bottom"/>
            <w:shd w:val="clear" w:color="auto" w:fill="EBEBEC"/>
          </w:tcPr>
          <w:p>
            <w:pPr>
              <w:jc w:val="center"/>
              <w:spacing w:after="0" w:line="135" w:lineRule="exact"/>
              <w:rPr>
                <w:sz w:val="20"/>
                <w:szCs w:val="20"/>
                <w:color w:val="auto"/>
              </w:rPr>
            </w:pPr>
            <w:r>
              <w:rPr>
                <w:rFonts w:ascii="Arial" w:cs="Arial" w:eastAsia="Arial" w:hAnsi="Arial"/>
                <w:sz w:val="13"/>
                <w:szCs w:val="13"/>
                <w:color w:val="auto"/>
                <w:w w:val="99"/>
              </w:rPr>
              <w:t>SSP</w:t>
            </w:r>
          </w:p>
        </w:tc>
        <w:tc>
          <w:tcPr>
            <w:tcW w:w="54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EBEBEC"/>
          </w:tcPr>
          <w:p>
            <w:pPr>
              <w:spacing w:after="0"/>
              <w:rPr>
                <w:sz w:val="11"/>
                <w:szCs w:val="11"/>
                <w:color w:val="auto"/>
              </w:rPr>
            </w:pPr>
          </w:p>
        </w:tc>
        <w:tc>
          <w:tcPr>
            <w:tcW w:w="480" w:type="dxa"/>
            <w:vAlign w:val="bottom"/>
            <w:shd w:val="clear" w:color="auto" w:fill="EBEBEC"/>
          </w:tcPr>
          <w:p>
            <w:pPr>
              <w:jc w:val="right"/>
              <w:ind w:right="78"/>
              <w:spacing w:after="0" w:line="135" w:lineRule="exact"/>
              <w:rPr>
                <w:sz w:val="20"/>
                <w:szCs w:val="20"/>
                <w:color w:val="auto"/>
              </w:rPr>
            </w:pPr>
            <w:r>
              <w:rPr>
                <w:rFonts w:ascii="Arial" w:cs="Arial" w:eastAsia="Arial" w:hAnsi="Arial"/>
                <w:sz w:val="13"/>
                <w:szCs w:val="13"/>
                <w:color w:val="auto"/>
              </w:rPr>
              <w:t>0</w:t>
            </w:r>
          </w:p>
        </w:tc>
        <w:tc>
          <w:tcPr>
            <w:tcW w:w="5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000" w:type="dxa"/>
            <w:vAlign w:val="bottom"/>
            <w:shd w:val="clear" w:color="auto" w:fill="EBEBEC"/>
          </w:tcPr>
          <w:p>
            <w:pPr>
              <w:jc w:val="right"/>
              <w:ind w:right="238"/>
              <w:spacing w:after="0" w:line="135" w:lineRule="exact"/>
              <w:rPr>
                <w:sz w:val="20"/>
                <w:szCs w:val="20"/>
                <w:color w:val="auto"/>
              </w:rPr>
            </w:pPr>
            <w:r>
              <w:rPr>
                <w:rFonts w:ascii="Arial" w:cs="Arial" w:eastAsia="Arial" w:hAnsi="Arial"/>
                <w:sz w:val="13"/>
                <w:szCs w:val="13"/>
                <w:color w:val="auto"/>
              </w:rPr>
              <w:t>59,453</w:t>
            </w:r>
          </w:p>
        </w:tc>
        <w:tc>
          <w:tcPr>
            <w:tcW w:w="3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EBEBEC"/>
          </w:tcPr>
          <w:p>
            <w:pPr>
              <w:jc w:val="right"/>
              <w:ind w:right="197"/>
              <w:spacing w:after="0" w:line="135" w:lineRule="exact"/>
              <w:rPr>
                <w:sz w:val="20"/>
                <w:szCs w:val="20"/>
                <w:color w:val="auto"/>
              </w:rPr>
            </w:pPr>
            <w:r>
              <w:rPr>
                <w:rFonts w:ascii="Arial" w:cs="Arial" w:eastAsia="Arial" w:hAnsi="Arial"/>
                <w:sz w:val="13"/>
                <w:szCs w:val="13"/>
                <w:color w:val="auto"/>
              </w:rPr>
              <w:t>1,399</w:t>
            </w:r>
          </w:p>
        </w:tc>
        <w:tc>
          <w:tcPr>
            <w:tcW w:w="38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jc w:val="right"/>
              <w:ind w:right="197"/>
              <w:spacing w:after="0" w:line="135" w:lineRule="exact"/>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ind w:right="257"/>
              <w:spacing w:after="0" w:line="135" w:lineRule="exact"/>
              <w:rPr>
                <w:sz w:val="20"/>
                <w:szCs w:val="20"/>
                <w:color w:val="auto"/>
              </w:rPr>
            </w:pPr>
            <w:r>
              <w:rPr>
                <w:rFonts w:ascii="Arial" w:cs="Arial" w:eastAsia="Arial" w:hAnsi="Arial"/>
                <w:sz w:val="13"/>
                <w:szCs w:val="13"/>
                <w:color w:val="auto"/>
              </w:rPr>
              <w:t>87,326</w:t>
            </w:r>
          </w:p>
        </w:tc>
        <w:tc>
          <w:tcPr>
            <w:tcW w:w="0" w:type="dxa"/>
            <w:vAlign w:val="bottom"/>
          </w:tcPr>
          <w:p>
            <w:pPr>
              <w:spacing w:after="0"/>
              <w:rPr>
                <w:sz w:val="1"/>
                <w:szCs w:val="1"/>
                <w:color w:val="auto"/>
              </w:rPr>
            </w:pPr>
          </w:p>
        </w:tc>
      </w:tr>
      <w:tr>
        <w:trPr>
          <w:trHeight w:val="135"/>
        </w:trPr>
        <w:tc>
          <w:tcPr>
            <w:tcW w:w="3120" w:type="dxa"/>
            <w:vAlign w:val="bottom"/>
            <w:shd w:val="clear" w:color="auto" w:fill="EBEBEC"/>
          </w:tcPr>
          <w:p>
            <w:pPr>
              <w:ind w:left="120"/>
              <w:spacing w:after="0" w:line="135" w:lineRule="exact"/>
              <w:rPr>
                <w:sz w:val="20"/>
                <w:szCs w:val="20"/>
                <w:color w:val="auto"/>
              </w:rPr>
            </w:pPr>
            <w:r>
              <w:rPr>
                <w:rFonts w:ascii="Arial" w:cs="Arial" w:eastAsia="Arial" w:hAnsi="Arial"/>
                <w:sz w:val="13"/>
                <w:szCs w:val="13"/>
                <w:b w:val="1"/>
                <w:bCs w:val="1"/>
                <w:color w:val="auto"/>
              </w:rPr>
              <w:t>Jay A. Bys</w:t>
            </w:r>
          </w:p>
        </w:tc>
        <w:tc>
          <w:tcPr>
            <w:tcW w:w="200" w:type="dxa"/>
            <w:vAlign w:val="bottom"/>
            <w:shd w:val="clear" w:color="auto" w:fill="EBEBEC"/>
          </w:tcPr>
          <w:p>
            <w:pPr>
              <w:spacing w:after="0"/>
              <w:rPr>
                <w:sz w:val="11"/>
                <w:szCs w:val="11"/>
                <w:color w:val="auto"/>
              </w:rPr>
            </w:pPr>
          </w:p>
        </w:tc>
        <w:tc>
          <w:tcPr>
            <w:tcW w:w="600" w:type="dxa"/>
            <w:vAlign w:val="bottom"/>
            <w:shd w:val="clear" w:color="auto" w:fill="EBEBEC"/>
          </w:tcPr>
          <w:p>
            <w:pPr>
              <w:jc w:val="center"/>
              <w:spacing w:after="0" w:line="135" w:lineRule="exact"/>
              <w:rPr>
                <w:sz w:val="20"/>
                <w:szCs w:val="20"/>
                <w:color w:val="auto"/>
              </w:rPr>
            </w:pPr>
            <w:r>
              <w:rPr>
                <w:rFonts w:ascii="Arial" w:cs="Arial" w:eastAsia="Arial" w:hAnsi="Arial"/>
                <w:sz w:val="13"/>
                <w:szCs w:val="13"/>
                <w:color w:val="auto"/>
                <w:w w:val="99"/>
              </w:rPr>
              <w:t>SSP</w:t>
            </w:r>
          </w:p>
        </w:tc>
        <w:tc>
          <w:tcPr>
            <w:tcW w:w="54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EBEBEC"/>
          </w:tcPr>
          <w:p>
            <w:pPr>
              <w:spacing w:after="0"/>
              <w:rPr>
                <w:sz w:val="11"/>
                <w:szCs w:val="11"/>
                <w:color w:val="auto"/>
              </w:rPr>
            </w:pPr>
          </w:p>
        </w:tc>
        <w:tc>
          <w:tcPr>
            <w:tcW w:w="480" w:type="dxa"/>
            <w:vAlign w:val="bottom"/>
            <w:shd w:val="clear" w:color="auto" w:fill="EBEBEC"/>
          </w:tcPr>
          <w:p>
            <w:pPr>
              <w:jc w:val="right"/>
              <w:ind w:right="78"/>
              <w:spacing w:after="0" w:line="135" w:lineRule="exact"/>
              <w:rPr>
                <w:sz w:val="20"/>
                <w:szCs w:val="20"/>
                <w:color w:val="auto"/>
              </w:rPr>
            </w:pPr>
            <w:r>
              <w:rPr>
                <w:rFonts w:ascii="Arial" w:cs="Arial" w:eastAsia="Arial" w:hAnsi="Arial"/>
                <w:sz w:val="13"/>
                <w:szCs w:val="13"/>
                <w:color w:val="auto"/>
              </w:rPr>
              <w:t>0</w:t>
            </w:r>
          </w:p>
        </w:tc>
        <w:tc>
          <w:tcPr>
            <w:tcW w:w="5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000" w:type="dxa"/>
            <w:vAlign w:val="bottom"/>
            <w:shd w:val="clear" w:color="auto" w:fill="EBEBEC"/>
          </w:tcPr>
          <w:p>
            <w:pPr>
              <w:jc w:val="right"/>
              <w:ind w:right="238"/>
              <w:spacing w:after="0" w:line="135" w:lineRule="exact"/>
              <w:rPr>
                <w:sz w:val="20"/>
                <w:szCs w:val="20"/>
                <w:color w:val="auto"/>
              </w:rPr>
            </w:pPr>
            <w:r>
              <w:rPr>
                <w:rFonts w:ascii="Arial" w:cs="Arial" w:eastAsia="Arial" w:hAnsi="Arial"/>
                <w:sz w:val="13"/>
                <w:szCs w:val="13"/>
                <w:color w:val="auto"/>
              </w:rPr>
              <w:t>79,481</w:t>
            </w:r>
          </w:p>
        </w:tc>
        <w:tc>
          <w:tcPr>
            <w:tcW w:w="3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EBEBEC"/>
          </w:tcPr>
          <w:p>
            <w:pPr>
              <w:jc w:val="right"/>
              <w:ind w:right="197"/>
              <w:spacing w:after="0" w:line="135" w:lineRule="exact"/>
              <w:rPr>
                <w:sz w:val="20"/>
                <w:szCs w:val="20"/>
                <w:color w:val="auto"/>
              </w:rPr>
            </w:pPr>
            <w:r>
              <w:rPr>
                <w:rFonts w:ascii="Arial" w:cs="Arial" w:eastAsia="Arial" w:hAnsi="Arial"/>
                <w:sz w:val="13"/>
                <w:szCs w:val="13"/>
                <w:color w:val="auto"/>
              </w:rPr>
              <w:t>13,776</w:t>
            </w:r>
          </w:p>
        </w:tc>
        <w:tc>
          <w:tcPr>
            <w:tcW w:w="38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jc w:val="right"/>
              <w:ind w:right="197"/>
              <w:spacing w:after="0" w:line="135" w:lineRule="exact"/>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ind w:right="257"/>
              <w:spacing w:after="0" w:line="135" w:lineRule="exact"/>
              <w:rPr>
                <w:sz w:val="20"/>
                <w:szCs w:val="20"/>
                <w:color w:val="auto"/>
              </w:rPr>
            </w:pPr>
            <w:r>
              <w:rPr>
                <w:rFonts w:ascii="Arial" w:cs="Arial" w:eastAsia="Arial" w:hAnsi="Arial"/>
                <w:sz w:val="13"/>
                <w:szCs w:val="13"/>
                <w:color w:val="auto"/>
              </w:rPr>
              <w:t>325,588</w:t>
            </w:r>
          </w:p>
        </w:tc>
        <w:tc>
          <w:tcPr>
            <w:tcW w:w="0" w:type="dxa"/>
            <w:vAlign w:val="bottom"/>
          </w:tcPr>
          <w:p>
            <w:pPr>
              <w:spacing w:after="0"/>
              <w:rPr>
                <w:sz w:val="1"/>
                <w:szCs w:val="1"/>
                <w:color w:val="auto"/>
              </w:rPr>
            </w:pPr>
          </w:p>
        </w:tc>
      </w:tr>
      <w:tr>
        <w:trPr>
          <w:trHeight w:val="135"/>
        </w:trPr>
        <w:tc>
          <w:tcPr>
            <w:tcW w:w="3120" w:type="dxa"/>
            <w:vAlign w:val="bottom"/>
            <w:shd w:val="clear" w:color="auto" w:fill="EBEBEC"/>
          </w:tcPr>
          <w:p>
            <w:pPr>
              <w:spacing w:after="0"/>
              <w:rPr>
                <w:sz w:val="11"/>
                <w:szCs w:val="11"/>
                <w:color w:val="auto"/>
              </w:rPr>
            </w:pPr>
          </w:p>
        </w:tc>
        <w:tc>
          <w:tcPr>
            <w:tcW w:w="200" w:type="dxa"/>
            <w:vAlign w:val="bottom"/>
            <w:shd w:val="clear" w:color="auto" w:fill="EBEBEC"/>
          </w:tcPr>
          <w:p>
            <w:pPr>
              <w:spacing w:after="0"/>
              <w:rPr>
                <w:sz w:val="11"/>
                <w:szCs w:val="11"/>
                <w:color w:val="auto"/>
              </w:rPr>
            </w:pPr>
          </w:p>
        </w:tc>
        <w:tc>
          <w:tcPr>
            <w:tcW w:w="600" w:type="dxa"/>
            <w:vAlign w:val="bottom"/>
            <w:shd w:val="clear" w:color="auto" w:fill="EBEBEC"/>
          </w:tcPr>
          <w:p>
            <w:pPr>
              <w:jc w:val="center"/>
              <w:spacing w:after="0" w:line="135" w:lineRule="exact"/>
              <w:rPr>
                <w:sz w:val="20"/>
                <w:szCs w:val="20"/>
                <w:color w:val="auto"/>
              </w:rPr>
            </w:pPr>
            <w:r>
              <w:rPr>
                <w:rFonts w:ascii="Arial" w:cs="Arial" w:eastAsia="Arial" w:hAnsi="Arial"/>
                <w:sz w:val="13"/>
                <w:szCs w:val="13"/>
                <w:color w:val="auto"/>
                <w:w w:val="94"/>
              </w:rPr>
              <w:t>RSU</w:t>
            </w:r>
          </w:p>
        </w:tc>
        <w:tc>
          <w:tcPr>
            <w:tcW w:w="540" w:type="dxa"/>
            <w:vAlign w:val="bottom"/>
            <w:shd w:val="clear" w:color="auto" w:fill="EBEBEC"/>
          </w:tcPr>
          <w:p>
            <w:pPr>
              <w:spacing w:after="0"/>
              <w:rPr>
                <w:sz w:val="11"/>
                <w:szCs w:val="11"/>
                <w:color w:val="auto"/>
              </w:rPr>
            </w:pPr>
          </w:p>
        </w:tc>
        <w:tc>
          <w:tcPr>
            <w:tcW w:w="280" w:type="dxa"/>
            <w:vAlign w:val="bottom"/>
            <w:shd w:val="clear" w:color="auto" w:fill="EBEBEC"/>
          </w:tcPr>
          <w:p>
            <w:pPr>
              <w:spacing w:after="0"/>
              <w:rPr>
                <w:sz w:val="11"/>
                <w:szCs w:val="11"/>
                <w:color w:val="auto"/>
              </w:rPr>
            </w:pPr>
          </w:p>
        </w:tc>
        <w:tc>
          <w:tcPr>
            <w:tcW w:w="480" w:type="dxa"/>
            <w:vAlign w:val="bottom"/>
            <w:shd w:val="clear" w:color="auto" w:fill="EBEBEC"/>
          </w:tcPr>
          <w:p>
            <w:pPr>
              <w:spacing w:after="0"/>
              <w:rPr>
                <w:sz w:val="11"/>
                <w:szCs w:val="11"/>
                <w:color w:val="auto"/>
              </w:rPr>
            </w:pPr>
          </w:p>
        </w:tc>
        <w:tc>
          <w:tcPr>
            <w:tcW w:w="560" w:type="dxa"/>
            <w:vAlign w:val="bottom"/>
            <w:shd w:val="clear" w:color="auto" w:fill="EBEBEC"/>
          </w:tcPr>
          <w:p>
            <w:pPr>
              <w:spacing w:after="0"/>
              <w:rPr>
                <w:sz w:val="11"/>
                <w:szCs w:val="11"/>
                <w:color w:val="auto"/>
              </w:rPr>
            </w:pPr>
          </w:p>
        </w:tc>
        <w:tc>
          <w:tcPr>
            <w:tcW w:w="1000" w:type="dxa"/>
            <w:vAlign w:val="bottom"/>
            <w:shd w:val="clear" w:color="auto" w:fill="EBEBEC"/>
          </w:tcPr>
          <w:p>
            <w:pPr>
              <w:spacing w:after="0"/>
              <w:rPr>
                <w:sz w:val="11"/>
                <w:szCs w:val="11"/>
                <w:color w:val="auto"/>
              </w:rPr>
            </w:pPr>
          </w:p>
        </w:tc>
        <w:tc>
          <w:tcPr>
            <w:tcW w:w="3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EBEBEC"/>
          </w:tcPr>
          <w:p>
            <w:pPr>
              <w:jc w:val="right"/>
              <w:ind w:right="197"/>
              <w:spacing w:after="0" w:line="135" w:lineRule="exact"/>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jc w:val="right"/>
              <w:ind w:right="197"/>
              <w:spacing w:after="0" w:line="135" w:lineRule="exact"/>
              <w:rPr>
                <w:sz w:val="20"/>
                <w:szCs w:val="20"/>
                <w:color w:val="auto"/>
              </w:rPr>
            </w:pPr>
            <w:r>
              <w:rPr>
                <w:rFonts w:ascii="Arial" w:cs="Arial" w:eastAsia="Arial" w:hAnsi="Arial"/>
                <w:sz w:val="13"/>
                <w:szCs w:val="13"/>
                <w:color w:val="auto"/>
              </w:rPr>
              <w:t>2,082,180</w:t>
            </w:r>
          </w:p>
        </w:tc>
        <w:tc>
          <w:tcPr>
            <w:tcW w:w="40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120" w:type="dxa"/>
            <w:vAlign w:val="bottom"/>
            <w:shd w:val="clear" w:color="auto" w:fill="EBEBEC"/>
          </w:tcPr>
          <w:p>
            <w:pPr>
              <w:ind w:left="120"/>
              <w:spacing w:after="0" w:line="135" w:lineRule="exact"/>
              <w:rPr>
                <w:sz w:val="20"/>
                <w:szCs w:val="20"/>
                <w:color w:val="auto"/>
              </w:rPr>
            </w:pPr>
            <w:r>
              <w:rPr>
                <w:rFonts w:ascii="Arial" w:cs="Arial" w:eastAsia="Arial" w:hAnsi="Arial"/>
                <w:sz w:val="13"/>
                <w:szCs w:val="13"/>
                <w:b w:val="1"/>
                <w:bCs w:val="1"/>
                <w:color w:val="auto"/>
              </w:rPr>
              <w:t>Chris D. Gould</w:t>
            </w:r>
          </w:p>
        </w:tc>
        <w:tc>
          <w:tcPr>
            <w:tcW w:w="200" w:type="dxa"/>
            <w:vAlign w:val="bottom"/>
            <w:shd w:val="clear" w:color="auto" w:fill="EBEBEC"/>
          </w:tcPr>
          <w:p>
            <w:pPr>
              <w:spacing w:after="0"/>
              <w:rPr>
                <w:sz w:val="11"/>
                <w:szCs w:val="11"/>
                <w:color w:val="auto"/>
              </w:rPr>
            </w:pPr>
          </w:p>
        </w:tc>
        <w:tc>
          <w:tcPr>
            <w:tcW w:w="600" w:type="dxa"/>
            <w:vAlign w:val="bottom"/>
            <w:shd w:val="clear" w:color="auto" w:fill="EBEBEC"/>
          </w:tcPr>
          <w:p>
            <w:pPr>
              <w:jc w:val="center"/>
              <w:spacing w:after="0" w:line="135" w:lineRule="exact"/>
              <w:rPr>
                <w:sz w:val="20"/>
                <w:szCs w:val="20"/>
                <w:color w:val="auto"/>
              </w:rPr>
            </w:pPr>
            <w:r>
              <w:rPr>
                <w:rFonts w:ascii="Arial" w:cs="Arial" w:eastAsia="Arial" w:hAnsi="Arial"/>
                <w:sz w:val="13"/>
                <w:szCs w:val="13"/>
                <w:color w:val="auto"/>
                <w:w w:val="99"/>
              </w:rPr>
              <w:t>SSP</w:t>
            </w:r>
          </w:p>
        </w:tc>
        <w:tc>
          <w:tcPr>
            <w:tcW w:w="54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EBEBEC"/>
          </w:tcPr>
          <w:p>
            <w:pPr>
              <w:spacing w:after="0"/>
              <w:rPr>
                <w:sz w:val="11"/>
                <w:szCs w:val="11"/>
                <w:color w:val="auto"/>
              </w:rPr>
            </w:pPr>
          </w:p>
        </w:tc>
        <w:tc>
          <w:tcPr>
            <w:tcW w:w="480" w:type="dxa"/>
            <w:vAlign w:val="bottom"/>
            <w:shd w:val="clear" w:color="auto" w:fill="EBEBEC"/>
          </w:tcPr>
          <w:p>
            <w:pPr>
              <w:jc w:val="right"/>
              <w:ind w:right="78"/>
              <w:spacing w:after="0" w:line="135" w:lineRule="exact"/>
              <w:rPr>
                <w:sz w:val="20"/>
                <w:szCs w:val="20"/>
                <w:color w:val="auto"/>
              </w:rPr>
            </w:pPr>
            <w:r>
              <w:rPr>
                <w:rFonts w:ascii="Arial" w:cs="Arial" w:eastAsia="Arial" w:hAnsi="Arial"/>
                <w:sz w:val="13"/>
                <w:szCs w:val="13"/>
                <w:color w:val="auto"/>
              </w:rPr>
              <w:t>0</w:t>
            </w:r>
          </w:p>
        </w:tc>
        <w:tc>
          <w:tcPr>
            <w:tcW w:w="5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000" w:type="dxa"/>
            <w:vAlign w:val="bottom"/>
            <w:shd w:val="clear" w:color="auto" w:fill="EBEBEC"/>
          </w:tcPr>
          <w:p>
            <w:pPr>
              <w:jc w:val="right"/>
              <w:ind w:right="238"/>
              <w:spacing w:after="0" w:line="135" w:lineRule="exact"/>
              <w:rPr>
                <w:sz w:val="20"/>
                <w:szCs w:val="20"/>
                <w:color w:val="auto"/>
              </w:rPr>
            </w:pPr>
            <w:r>
              <w:rPr>
                <w:rFonts w:ascii="Arial" w:cs="Arial" w:eastAsia="Arial" w:hAnsi="Arial"/>
                <w:sz w:val="13"/>
                <w:szCs w:val="13"/>
                <w:color w:val="auto"/>
              </w:rPr>
              <w:t>96,847</w:t>
            </w:r>
          </w:p>
        </w:tc>
        <w:tc>
          <w:tcPr>
            <w:tcW w:w="3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EBEBEC"/>
          </w:tcPr>
          <w:p>
            <w:pPr>
              <w:jc w:val="right"/>
              <w:ind w:right="197"/>
              <w:spacing w:after="0" w:line="135" w:lineRule="exact"/>
              <w:rPr>
                <w:sz w:val="20"/>
                <w:szCs w:val="20"/>
                <w:color w:val="auto"/>
              </w:rPr>
            </w:pPr>
            <w:r>
              <w:rPr>
                <w:rFonts w:ascii="Arial" w:cs="Arial" w:eastAsia="Arial" w:hAnsi="Arial"/>
                <w:sz w:val="13"/>
                <w:szCs w:val="13"/>
                <w:color w:val="auto"/>
              </w:rPr>
              <w:t>10,864</w:t>
            </w:r>
          </w:p>
        </w:tc>
        <w:tc>
          <w:tcPr>
            <w:tcW w:w="38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jc w:val="right"/>
              <w:ind w:right="197"/>
              <w:spacing w:after="0" w:line="135" w:lineRule="exact"/>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ind w:right="257"/>
              <w:spacing w:after="0" w:line="135" w:lineRule="exact"/>
              <w:rPr>
                <w:sz w:val="20"/>
                <w:szCs w:val="20"/>
                <w:color w:val="auto"/>
              </w:rPr>
            </w:pPr>
            <w:r>
              <w:rPr>
                <w:rFonts w:ascii="Arial" w:cs="Arial" w:eastAsia="Arial" w:hAnsi="Arial"/>
                <w:sz w:val="13"/>
                <w:szCs w:val="13"/>
                <w:color w:val="auto"/>
              </w:rPr>
              <w:t>295,079</w:t>
            </w:r>
          </w:p>
        </w:tc>
        <w:tc>
          <w:tcPr>
            <w:tcW w:w="0" w:type="dxa"/>
            <w:vAlign w:val="bottom"/>
          </w:tcPr>
          <w:p>
            <w:pPr>
              <w:spacing w:after="0"/>
              <w:rPr>
                <w:sz w:val="1"/>
                <w:szCs w:val="1"/>
                <w:color w:val="auto"/>
              </w:rPr>
            </w:pPr>
          </w:p>
        </w:tc>
      </w:tr>
      <w:tr>
        <w:trPr>
          <w:trHeight w:val="135"/>
        </w:trPr>
        <w:tc>
          <w:tcPr>
            <w:tcW w:w="3120" w:type="dxa"/>
            <w:vAlign w:val="bottom"/>
            <w:shd w:val="clear" w:color="auto" w:fill="EBEBEC"/>
          </w:tcPr>
          <w:p>
            <w:pPr>
              <w:ind w:left="120"/>
              <w:spacing w:after="0" w:line="135" w:lineRule="exact"/>
              <w:rPr>
                <w:sz w:val="20"/>
                <w:szCs w:val="20"/>
                <w:color w:val="auto"/>
              </w:rPr>
            </w:pPr>
            <w:r>
              <w:rPr>
                <w:rFonts w:ascii="Arial" w:cs="Arial" w:eastAsia="Arial" w:hAnsi="Arial"/>
                <w:sz w:val="13"/>
                <w:szCs w:val="13"/>
                <w:b w:val="1"/>
                <w:bCs w:val="1"/>
                <w:color w:val="auto"/>
              </w:rPr>
              <w:t>Michael L. Preston</w:t>
            </w:r>
          </w:p>
        </w:tc>
        <w:tc>
          <w:tcPr>
            <w:tcW w:w="200" w:type="dxa"/>
            <w:vAlign w:val="bottom"/>
            <w:shd w:val="clear" w:color="auto" w:fill="EBEBEC"/>
          </w:tcPr>
          <w:p>
            <w:pPr>
              <w:spacing w:after="0"/>
              <w:rPr>
                <w:sz w:val="11"/>
                <w:szCs w:val="11"/>
                <w:color w:val="auto"/>
              </w:rPr>
            </w:pPr>
          </w:p>
        </w:tc>
        <w:tc>
          <w:tcPr>
            <w:tcW w:w="600" w:type="dxa"/>
            <w:vAlign w:val="bottom"/>
            <w:shd w:val="clear" w:color="auto" w:fill="EBEBEC"/>
          </w:tcPr>
          <w:p>
            <w:pPr>
              <w:jc w:val="center"/>
              <w:spacing w:after="0" w:line="135" w:lineRule="exact"/>
              <w:rPr>
                <w:sz w:val="20"/>
                <w:szCs w:val="20"/>
                <w:color w:val="auto"/>
              </w:rPr>
            </w:pPr>
            <w:r>
              <w:rPr>
                <w:rFonts w:ascii="Arial" w:cs="Arial" w:eastAsia="Arial" w:hAnsi="Arial"/>
                <w:sz w:val="13"/>
                <w:szCs w:val="13"/>
                <w:color w:val="auto"/>
                <w:w w:val="99"/>
              </w:rPr>
              <w:t>SSP</w:t>
            </w:r>
          </w:p>
        </w:tc>
        <w:tc>
          <w:tcPr>
            <w:tcW w:w="54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EBEBEC"/>
          </w:tcPr>
          <w:p>
            <w:pPr>
              <w:spacing w:after="0"/>
              <w:rPr>
                <w:sz w:val="11"/>
                <w:szCs w:val="11"/>
                <w:color w:val="auto"/>
              </w:rPr>
            </w:pPr>
          </w:p>
        </w:tc>
        <w:tc>
          <w:tcPr>
            <w:tcW w:w="480" w:type="dxa"/>
            <w:vAlign w:val="bottom"/>
            <w:shd w:val="clear" w:color="auto" w:fill="EBEBEC"/>
          </w:tcPr>
          <w:p>
            <w:pPr>
              <w:jc w:val="right"/>
              <w:ind w:right="78"/>
              <w:spacing w:after="0" w:line="135" w:lineRule="exact"/>
              <w:rPr>
                <w:sz w:val="20"/>
                <w:szCs w:val="20"/>
                <w:color w:val="auto"/>
              </w:rPr>
            </w:pPr>
            <w:r>
              <w:rPr>
                <w:rFonts w:ascii="Arial" w:cs="Arial" w:eastAsia="Arial" w:hAnsi="Arial"/>
                <w:sz w:val="13"/>
                <w:szCs w:val="13"/>
                <w:color w:val="auto"/>
              </w:rPr>
              <w:t>0</w:t>
            </w:r>
          </w:p>
        </w:tc>
        <w:tc>
          <w:tcPr>
            <w:tcW w:w="5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000" w:type="dxa"/>
            <w:vAlign w:val="bottom"/>
            <w:shd w:val="clear" w:color="auto" w:fill="EBEBEC"/>
          </w:tcPr>
          <w:p>
            <w:pPr>
              <w:jc w:val="right"/>
              <w:ind w:right="238"/>
              <w:spacing w:after="0" w:line="135" w:lineRule="exact"/>
              <w:rPr>
                <w:sz w:val="20"/>
                <w:szCs w:val="20"/>
                <w:color w:val="auto"/>
              </w:rPr>
            </w:pPr>
            <w:r>
              <w:rPr>
                <w:rFonts w:ascii="Arial" w:cs="Arial" w:eastAsia="Arial" w:hAnsi="Arial"/>
                <w:sz w:val="13"/>
                <w:szCs w:val="13"/>
                <w:color w:val="auto"/>
              </w:rPr>
              <w:t>114,866</w:t>
            </w:r>
          </w:p>
        </w:tc>
        <w:tc>
          <w:tcPr>
            <w:tcW w:w="3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EBEBEC"/>
          </w:tcPr>
          <w:p>
            <w:pPr>
              <w:jc w:val="right"/>
              <w:ind w:right="197"/>
              <w:spacing w:after="0" w:line="135" w:lineRule="exact"/>
              <w:rPr>
                <w:sz w:val="20"/>
                <w:szCs w:val="20"/>
                <w:color w:val="auto"/>
              </w:rPr>
            </w:pPr>
            <w:r>
              <w:rPr>
                <w:rFonts w:ascii="Arial" w:cs="Arial" w:eastAsia="Arial" w:hAnsi="Arial"/>
                <w:sz w:val="13"/>
                <w:szCs w:val="13"/>
                <w:color w:val="auto"/>
              </w:rPr>
              <w:t>82,204</w:t>
            </w:r>
          </w:p>
        </w:tc>
        <w:tc>
          <w:tcPr>
            <w:tcW w:w="38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jc w:val="right"/>
              <w:ind w:right="197"/>
              <w:spacing w:after="0" w:line="135" w:lineRule="exact"/>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ind w:right="257"/>
              <w:spacing w:after="0" w:line="135" w:lineRule="exact"/>
              <w:rPr>
                <w:sz w:val="20"/>
                <w:szCs w:val="20"/>
                <w:color w:val="auto"/>
              </w:rPr>
            </w:pPr>
            <w:r>
              <w:rPr>
                <w:rFonts w:ascii="Arial" w:cs="Arial" w:eastAsia="Arial" w:hAnsi="Arial"/>
                <w:sz w:val="13"/>
                <w:szCs w:val="13"/>
                <w:color w:val="auto"/>
              </w:rPr>
              <w:t>1,519,423</w:t>
            </w:r>
          </w:p>
        </w:tc>
        <w:tc>
          <w:tcPr>
            <w:tcW w:w="0" w:type="dxa"/>
            <w:vAlign w:val="bottom"/>
          </w:tcPr>
          <w:p>
            <w:pPr>
              <w:spacing w:after="0"/>
              <w:rPr>
                <w:sz w:val="1"/>
                <w:szCs w:val="1"/>
                <w:color w:val="auto"/>
              </w:rPr>
            </w:pPr>
          </w:p>
        </w:tc>
      </w:tr>
      <w:tr>
        <w:trPr>
          <w:trHeight w:val="135"/>
        </w:trPr>
        <w:tc>
          <w:tcPr>
            <w:tcW w:w="3120" w:type="dxa"/>
            <w:vAlign w:val="bottom"/>
            <w:shd w:val="clear" w:color="auto" w:fill="EBEBEC"/>
          </w:tcPr>
          <w:p>
            <w:pPr>
              <w:spacing w:after="0"/>
              <w:rPr>
                <w:sz w:val="11"/>
                <w:szCs w:val="11"/>
                <w:color w:val="auto"/>
              </w:rPr>
            </w:pPr>
          </w:p>
        </w:tc>
        <w:tc>
          <w:tcPr>
            <w:tcW w:w="200" w:type="dxa"/>
            <w:vAlign w:val="bottom"/>
            <w:shd w:val="clear" w:color="auto" w:fill="EBEBEC"/>
          </w:tcPr>
          <w:p>
            <w:pPr>
              <w:spacing w:after="0"/>
              <w:rPr>
                <w:sz w:val="11"/>
                <w:szCs w:val="11"/>
                <w:color w:val="auto"/>
              </w:rPr>
            </w:pPr>
          </w:p>
        </w:tc>
        <w:tc>
          <w:tcPr>
            <w:tcW w:w="600" w:type="dxa"/>
            <w:vAlign w:val="bottom"/>
            <w:shd w:val="clear" w:color="auto" w:fill="EBEBEC"/>
          </w:tcPr>
          <w:p>
            <w:pPr>
              <w:jc w:val="center"/>
              <w:spacing w:after="0" w:line="135" w:lineRule="exact"/>
              <w:rPr>
                <w:sz w:val="20"/>
                <w:szCs w:val="20"/>
                <w:color w:val="auto"/>
              </w:rPr>
            </w:pPr>
            <w:r>
              <w:rPr>
                <w:rFonts w:ascii="Arial" w:cs="Arial" w:eastAsia="Arial" w:hAnsi="Arial"/>
                <w:sz w:val="13"/>
                <w:szCs w:val="13"/>
                <w:color w:val="auto"/>
                <w:w w:val="95"/>
              </w:rPr>
              <w:t>SRP II</w:t>
            </w:r>
          </w:p>
        </w:tc>
        <w:tc>
          <w:tcPr>
            <w:tcW w:w="54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EBEBEC"/>
          </w:tcPr>
          <w:p>
            <w:pPr>
              <w:spacing w:after="0"/>
              <w:rPr>
                <w:sz w:val="11"/>
                <w:szCs w:val="11"/>
                <w:color w:val="auto"/>
              </w:rPr>
            </w:pPr>
          </w:p>
        </w:tc>
        <w:tc>
          <w:tcPr>
            <w:tcW w:w="480" w:type="dxa"/>
            <w:vAlign w:val="bottom"/>
            <w:shd w:val="clear" w:color="auto" w:fill="EBEBEC"/>
          </w:tcPr>
          <w:p>
            <w:pPr>
              <w:jc w:val="right"/>
              <w:ind w:right="78"/>
              <w:spacing w:after="0" w:line="135" w:lineRule="exact"/>
              <w:rPr>
                <w:sz w:val="20"/>
                <w:szCs w:val="20"/>
                <w:color w:val="auto"/>
              </w:rPr>
            </w:pPr>
            <w:r>
              <w:rPr>
                <w:rFonts w:ascii="Arial" w:cs="Arial" w:eastAsia="Arial" w:hAnsi="Arial"/>
                <w:sz w:val="13"/>
                <w:szCs w:val="13"/>
                <w:color w:val="auto"/>
              </w:rPr>
              <w:t>0</w:t>
            </w:r>
          </w:p>
        </w:tc>
        <w:tc>
          <w:tcPr>
            <w:tcW w:w="5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000" w:type="dxa"/>
            <w:vAlign w:val="bottom"/>
            <w:shd w:val="clear" w:color="auto" w:fill="EBEBEC"/>
          </w:tcPr>
          <w:p>
            <w:pPr>
              <w:jc w:val="right"/>
              <w:ind w:right="238"/>
              <w:spacing w:after="0" w:line="135" w:lineRule="exact"/>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EBEBEC"/>
          </w:tcPr>
          <w:p>
            <w:pPr>
              <w:jc w:val="right"/>
              <w:ind w:right="197"/>
              <w:spacing w:after="0" w:line="135" w:lineRule="exact"/>
              <w:rPr>
                <w:sz w:val="20"/>
                <w:szCs w:val="20"/>
                <w:color w:val="auto"/>
              </w:rPr>
            </w:pPr>
            <w:r>
              <w:rPr>
                <w:rFonts w:ascii="Arial" w:cs="Arial" w:eastAsia="Arial" w:hAnsi="Arial"/>
                <w:sz w:val="13"/>
                <w:szCs w:val="13"/>
                <w:color w:val="auto"/>
              </w:rPr>
              <w:t>75,082</w:t>
            </w:r>
          </w:p>
        </w:tc>
        <w:tc>
          <w:tcPr>
            <w:tcW w:w="38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jc w:val="right"/>
              <w:ind w:right="197"/>
              <w:spacing w:after="0" w:line="135" w:lineRule="exact"/>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line="135" w:lineRule="exact"/>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ind w:right="257"/>
              <w:spacing w:after="0" w:line="135" w:lineRule="exact"/>
              <w:rPr>
                <w:sz w:val="20"/>
                <w:szCs w:val="20"/>
                <w:color w:val="auto"/>
              </w:rPr>
            </w:pPr>
            <w:r>
              <w:rPr>
                <w:rFonts w:ascii="Arial" w:cs="Arial" w:eastAsia="Arial" w:hAnsi="Arial"/>
                <w:sz w:val="13"/>
                <w:szCs w:val="13"/>
                <w:color w:val="auto"/>
              </w:rPr>
              <w:t>1,267,751</w:t>
            </w:r>
          </w:p>
        </w:tc>
        <w:tc>
          <w:tcPr>
            <w:tcW w:w="0" w:type="dxa"/>
            <w:vAlign w:val="bottom"/>
          </w:tcPr>
          <w:p>
            <w:pPr>
              <w:spacing w:after="0"/>
              <w:rPr>
                <w:sz w:val="1"/>
                <w:szCs w:val="1"/>
                <w:color w:val="auto"/>
              </w:rPr>
            </w:pPr>
          </w:p>
        </w:tc>
      </w:tr>
      <w:tr>
        <w:trPr>
          <w:trHeight w:val="153"/>
        </w:trPr>
        <w:tc>
          <w:tcPr>
            <w:tcW w:w="3120" w:type="dxa"/>
            <w:vAlign w:val="bottom"/>
            <w:shd w:val="clear" w:color="auto" w:fill="EBEBEC"/>
          </w:tcPr>
          <w:p>
            <w:pPr>
              <w:spacing w:after="0"/>
              <w:rPr>
                <w:sz w:val="13"/>
                <w:szCs w:val="13"/>
                <w:color w:val="auto"/>
              </w:rPr>
            </w:pPr>
          </w:p>
        </w:tc>
        <w:tc>
          <w:tcPr>
            <w:tcW w:w="200" w:type="dxa"/>
            <w:vAlign w:val="bottom"/>
            <w:shd w:val="clear" w:color="auto" w:fill="EBEBEC"/>
          </w:tcPr>
          <w:p>
            <w:pPr>
              <w:spacing w:after="0"/>
              <w:rPr>
                <w:sz w:val="13"/>
                <w:szCs w:val="13"/>
                <w:color w:val="auto"/>
              </w:rPr>
            </w:pPr>
          </w:p>
        </w:tc>
        <w:tc>
          <w:tcPr>
            <w:tcW w:w="60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4"/>
              </w:rPr>
              <w:t>RSU</w:t>
            </w:r>
          </w:p>
        </w:tc>
        <w:tc>
          <w:tcPr>
            <w:tcW w:w="540" w:type="dxa"/>
            <w:vAlign w:val="bottom"/>
            <w:shd w:val="clear" w:color="auto" w:fill="EBEBEC"/>
          </w:tcPr>
          <w:p>
            <w:pPr>
              <w:spacing w:after="0"/>
              <w:rPr>
                <w:sz w:val="13"/>
                <w:szCs w:val="13"/>
                <w:color w:val="auto"/>
              </w:rPr>
            </w:pPr>
          </w:p>
        </w:tc>
        <w:tc>
          <w:tcPr>
            <w:tcW w:w="280" w:type="dxa"/>
            <w:vAlign w:val="bottom"/>
            <w:shd w:val="clear" w:color="auto" w:fill="EBEBEC"/>
          </w:tcPr>
          <w:p>
            <w:pPr>
              <w:spacing w:after="0"/>
              <w:rPr>
                <w:sz w:val="13"/>
                <w:szCs w:val="13"/>
                <w:color w:val="auto"/>
              </w:rPr>
            </w:pPr>
          </w:p>
        </w:tc>
        <w:tc>
          <w:tcPr>
            <w:tcW w:w="480" w:type="dxa"/>
            <w:vAlign w:val="bottom"/>
            <w:shd w:val="clear" w:color="auto" w:fill="EBEBEC"/>
          </w:tcPr>
          <w:p>
            <w:pPr>
              <w:spacing w:after="0"/>
              <w:rPr>
                <w:sz w:val="13"/>
                <w:szCs w:val="13"/>
                <w:color w:val="auto"/>
              </w:rPr>
            </w:pPr>
          </w:p>
        </w:tc>
        <w:tc>
          <w:tcPr>
            <w:tcW w:w="560" w:type="dxa"/>
            <w:vAlign w:val="bottom"/>
            <w:shd w:val="clear" w:color="auto" w:fill="EBEBEC"/>
          </w:tcPr>
          <w:p>
            <w:pPr>
              <w:spacing w:after="0"/>
              <w:rPr>
                <w:sz w:val="13"/>
                <w:szCs w:val="13"/>
                <w:color w:val="auto"/>
              </w:rPr>
            </w:pPr>
          </w:p>
        </w:tc>
        <w:tc>
          <w:tcPr>
            <w:tcW w:w="1000" w:type="dxa"/>
            <w:vAlign w:val="bottom"/>
            <w:shd w:val="clear" w:color="auto" w:fill="EBEBEC"/>
          </w:tcPr>
          <w:p>
            <w:pPr>
              <w:spacing w:after="0"/>
              <w:rPr>
                <w:sz w:val="13"/>
                <w:szCs w:val="13"/>
                <w:color w:val="auto"/>
              </w:rPr>
            </w:pP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2,946,600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1"/>
          <w:szCs w:val="11"/>
          <w:color w:val="auto"/>
        </w:rPr>
      </w:pPr>
      <w:r>
        <w:rPr>
          <w:rFonts w:ascii="Arial" w:cs="Arial" w:eastAsia="Arial" w:hAnsi="Arial"/>
          <w:sz w:val="14"/>
          <w:szCs w:val="14"/>
          <w:color w:val="auto"/>
        </w:rPr>
        <w:t>No employee contributions are permitted in the SSP or SRP II. None of the NEOs elected to defer compensation under the DCP for 2024.</w:t>
      </w:r>
    </w:p>
    <w:p>
      <w:pPr>
        <w:spacing w:after="0" w:line="26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7" w:name="page58"/>
    <w:bookmarkEnd w:id="57"/>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74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258"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1"/>
          <w:szCs w:val="11"/>
          <w:color w:val="auto"/>
        </w:rPr>
      </w:pPr>
      <w:r>
        <w:rPr>
          <w:rFonts w:ascii="Arial" w:cs="Arial" w:eastAsia="Arial" w:hAnsi="Arial"/>
          <w:sz w:val="14"/>
          <w:szCs w:val="14"/>
          <w:color w:val="auto"/>
        </w:rPr>
        <w:t>Amounts represent Company contributions to the SSP and are reported under “All Other Compensation” in the Summary Compensation Table for 2024.</w:t>
      </w:r>
    </w:p>
    <w:p>
      <w:pPr>
        <w:spacing w:after="0" w:line="109" w:lineRule="exact"/>
        <w:rPr>
          <w:rFonts w:ascii="Arial" w:cs="Arial" w:eastAsia="Arial" w:hAnsi="Arial"/>
          <w:sz w:val="11"/>
          <w:szCs w:val="11"/>
          <w:color w:val="auto"/>
        </w:rPr>
      </w:pPr>
    </w:p>
    <w:p>
      <w:pPr>
        <w:ind w:left="320" w:right="20" w:hanging="312"/>
        <w:spacing w:after="0" w:line="263" w:lineRule="auto"/>
        <w:tabs>
          <w:tab w:leader="none" w:pos="320" w:val="left"/>
        </w:tabs>
        <w:numPr>
          <w:ilvl w:val="0"/>
          <w:numId w:val="38"/>
        </w:numPr>
        <w:rPr>
          <w:rFonts w:ascii="Arial" w:cs="Arial" w:eastAsia="Arial" w:hAnsi="Arial"/>
          <w:sz w:val="11"/>
          <w:szCs w:val="11"/>
          <w:color w:val="auto"/>
        </w:rPr>
      </w:pPr>
      <w:r>
        <w:rPr>
          <w:rFonts w:ascii="Arial" w:cs="Arial" w:eastAsia="Arial" w:hAnsi="Arial"/>
          <w:sz w:val="14"/>
          <w:szCs w:val="14"/>
          <w:color w:val="auto"/>
        </w:rPr>
        <w:t>The amounts reported in this column include aggregate interest as provided in the SSP, SRP II, and DCP plans that accrued during 2024. Included in these amounts are excess earnings which are reported under the “Change in Pension Value and Nonqualified Deferred Compensation Earnings” column in the Summary Compensation Table for 2024 because they were above-market earnings as follows: Mr. Leon - $9,629; Mr. Bys – $2,043; Mr. Gould - $1,610; Ms. Molina - $207; Mr. Preston - $23,567.</w:t>
      </w:r>
    </w:p>
    <w:p>
      <w:pPr>
        <w:spacing w:after="0" w:line="64" w:lineRule="exact"/>
        <w:rPr>
          <w:rFonts w:ascii="Arial" w:cs="Arial" w:eastAsia="Arial" w:hAnsi="Arial"/>
          <w:sz w:val="11"/>
          <w:szCs w:val="11"/>
          <w:color w:val="auto"/>
        </w:rPr>
      </w:pPr>
    </w:p>
    <w:p>
      <w:pPr>
        <w:ind w:left="320" w:right="20" w:hanging="312"/>
        <w:spacing w:after="0" w:line="263" w:lineRule="auto"/>
        <w:tabs>
          <w:tab w:leader="none" w:pos="320" w:val="left"/>
        </w:tabs>
        <w:numPr>
          <w:ilvl w:val="0"/>
          <w:numId w:val="38"/>
        </w:numPr>
        <w:rPr>
          <w:rFonts w:ascii="Arial" w:cs="Arial" w:eastAsia="Arial" w:hAnsi="Arial"/>
          <w:sz w:val="11"/>
          <w:szCs w:val="11"/>
          <w:color w:val="auto"/>
        </w:rPr>
      </w:pPr>
      <w:r>
        <w:rPr>
          <w:rFonts w:ascii="Arial" w:cs="Arial" w:eastAsia="Arial" w:hAnsi="Arial"/>
          <w:sz w:val="14"/>
          <w:szCs w:val="14"/>
          <w:color w:val="auto"/>
        </w:rPr>
        <w:t>The amounts reported in this column reflect the total balance of the NEO’s accounts in the plans as of December 31, 2024. The total amount previously reported in the Summary Compensation Table for each of the NEOs was as follows: Mr. Leon – $665,989; Ms. Molina - $86,134; Mr. Bys – $306,497; Mr. Gould – $191,688; Mr. Preston – $889,805.</w:t>
      </w:r>
    </w:p>
    <w:p>
      <w:pPr>
        <w:spacing w:after="0" w:line="64" w:lineRule="exact"/>
        <w:rPr>
          <w:rFonts w:ascii="Arial" w:cs="Arial" w:eastAsia="Arial" w:hAnsi="Arial"/>
          <w:sz w:val="11"/>
          <w:szCs w:val="11"/>
          <w:color w:val="auto"/>
        </w:rPr>
      </w:pPr>
    </w:p>
    <w:p>
      <w:pPr>
        <w:ind w:left="320" w:right="20" w:hanging="312"/>
        <w:spacing w:after="0" w:line="285" w:lineRule="auto"/>
        <w:tabs>
          <w:tab w:leader="none" w:pos="320" w:val="left"/>
        </w:tabs>
        <w:numPr>
          <w:ilvl w:val="0"/>
          <w:numId w:val="38"/>
        </w:numPr>
        <w:rPr>
          <w:rFonts w:ascii="Arial" w:cs="Arial" w:eastAsia="Arial" w:hAnsi="Arial"/>
          <w:sz w:val="11"/>
          <w:szCs w:val="11"/>
          <w:color w:val="auto"/>
        </w:rPr>
      </w:pPr>
      <w:r>
        <w:rPr>
          <w:rFonts w:ascii="Arial" w:cs="Arial" w:eastAsia="Arial" w:hAnsi="Arial"/>
          <w:sz w:val="14"/>
          <w:szCs w:val="14"/>
          <w:color w:val="auto"/>
        </w:rPr>
        <w:t>Under the terms of RSU awards granted in 2021, vested RSUs were not delivered to the NEOs until 2024 and were considered deferred compensation arrangements since the shares were not delivered upon vesting. All previously-vested RSUs with deferred distribution dates were delivered to the NEOs in 2024.</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Potential Payments upon Termination or Change in Control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0075C9"/>
        </w:rPr>
        <w:t>Summary</w:t>
      </w:r>
    </w:p>
    <w:p>
      <w:pPr>
        <w:spacing w:after="0" w:line="10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Payments and other benefits payable to NEOs in various termination circumstances and a change in control were subject to certain policies, plans and employment agreements. Following is a summary of the material terms of these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w:t>
      </w:r>
    </w:p>
    <w:p>
      <w:pPr>
        <w:spacing w:after="0" w:line="18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2023 CEO Employment Agreement provides for certain severance payments and benefits to be provided to Mr. Leon upon his termination of employment by the Company without “Cause” (including a termination of employment at the expiration of the term because the Company elected not to renew the 2023 CEO Employment Agreement) or the executive’s resignation for “Good Reason,” death or “Disability” (each quoted term as defined in the 2023 CEO Employment Agreement). Upon Mr. Leon’s termination of employment for any reason, the 2023 CEO Employment Agreement provides that the Company shall pay all unpaid base salary, any unreimbursed business expenses incurred prior to the date on which the employment terminates (as applicable, the “Termination Date”), and all benefits to which he is entitled under the terms of any applicable benefit plan (collectively, the “Accrued Benefits”). Upon Mr. Leon’s termination of employment by the Company without Cause (including a termination of employment at the expiration of the term because the Company elected not to renew the 2023 CEO Employment Agreement), or by Mr. Leon for Good Reason, Mr. Leon will receive payment of any earned but unpaid annual bonus for the calendar year preceding the calendar year in which the Termination Date occurs and, so long as Mr. Leon executes a release of claims in favor of the Company and its affiliates and abides by the restrictive covenants within the 2023 CEO Employment Agreement, Mr. Leon shall receive severance payments, generally payable in monthly installments following the Termination Date consisting of: (i) cash payments equal to a predetermined multiple of annual base salary plus target annual bonus awards for the year in which the termination occurs (the multiple being two (2.0) times, increased to two and one-half (2.5) times if such termination of employment occurs within the one (1)-year period following a qualifying Change in Control (such term as defined in the 2023 CEO Employment Agreement); (ii) a pro-rata annual bonus for the calendar year in which the Termination Date occurs, based on actual performance levels earned for the applicable calendar year, and (iii) reimbursement for the difference between the amount Mr. Leon pays to effect continued coverage (including coverage for his spouse and eligible dependents) under the Company’s group health plans pursuant to the Consolidated Omnibus Budget Reconciliation Act of 1985, as amended, and Mr. Leon’s contribution amount that similarly situated executives of the Company pay for the same or similar coverage under such group health plans, during the portion, if any, of the 24-month period for following the Termination Date that Mr. Leon elects to continue coverage. If Mr. Leon’s employment is terminated due to death or Disability, then he will receive (i) the Accrued Benefits, (ii) payment of any earned but unpaid annual bonus for the calendar year preceding the calendar year in which the termination of employment occurs, and (iii) a pro-rata portion of the annual bonus for the calendar year in which the Termination Date occurs, based on actual performance for such calendar year and payable at the time such bonuses are paid to similarly situated executives of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CFO</w:t>
      </w:r>
    </w:p>
    <w:p>
      <w:pPr>
        <w:spacing w:after="0" w:line="212"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Ms. Molina's termination on December 31, 2024 was a termination “for the convenience of the Company,” as defined in the employment agreement and each of the PSU and RSU award agreements. Per the terms of her employment agreement, she received (i) 18 months of base salary plus her target annual incentive and reimbursement for up to 18 months of the difference between the amount she paid for Company-provided</w:t>
      </w:r>
    </w:p>
    <w:p>
      <w:pPr>
        <w:spacing w:after="0" w:line="21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8" w:name="page59"/>
    <w:bookmarkEnd w:id="58"/>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74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356"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continued health care and the amount paid by similarly situated active employees and (ii) her annual bonus for 2024, based on actual AIP scorecard performance achieved for 2024. Under the terms of the PSUs and RSUs granted to her in 2023 and 2024, she vested in prorated portions of those awards and the prorated PSUs will remain outstanding and eligible to become earned based on satisfaction of the applicable performance goals following the end of the applicable performance period. The remainder of her unvested PSUs and RSUs were forfeited upon her termination. Ms. Molina signed a release in favor of the company upon her termination.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CSO</w:t>
      </w:r>
    </w:p>
    <w:p>
      <w:pPr>
        <w:spacing w:after="0" w:line="17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2023 CSO Employment Agreement provides for certain severance payments and benefits to be provided to Mr. Gould upon his termination of employment by the Company without “Cause” (including a termination of employment at the expiration of the term because the Company elected not to renew the 2023 CSO Employment Agreement) or his resignation for “Good Reason,” death or “Disability” (each quoted term as defined in the 2023 CSO Employment Agreement). Upon Mr. Gould’s termination of employment for any reason, his 2023 CSO Employment Agreement provides that the Company shall pay him all unpaid base salary, any unreimbursed business expenses incurred prior to the date on which the employment terminates (as applicable, the “Termination Date”) and all benefits to which he is entitled under the terms of any applicable benefit plan. Upon Mr. Gould’s termination of employment by the Company without Cause (including a termination of employment at the expiration of the term because the Company elected not to renew the 2023 CSO Employment Agreement), or by him for Good Reason, he will receive payment of any earned but unpaid annual bonus for the calendar year preceding the calendar year in which the Termination Date occurs and, so long as Mr. Gould executes a release of claims in favor of the Company and its affiliates and abides by the restrictive covenants within the 2023 CSO Employment Agreement, he shall receive severance payments, generally payable in monthly installments following the Termination Date consisting of: (i) cash payments equal to a predetermined multiple of annual base salary plus target annual bonus awards for the year in which the termination occurs (the multiple being one and one-half (1.5) times for Mr. Gould, increased to two (2) times for him if such termination of employment occurs within the one (1)-year period following a qualifying Change in Control (such term as defined in the 2023 CSO Employment Agreement)); (ii) a pro-rata annual bonus for the calendar year in which the Termination Date occurs, based on actual performance levels earned for the applicable calendar year and payable at the time such bonuses are paid to similarly situated executives of the Company; and (iii) reimbursement for the difference between the amount Mr. Gould pays to effect continued coverage (including coverage for his spouse and eligible dependents) under the Company’s group health plans pursuant to the Consolidated Omnibus Budget Reconciliation Act of 1985, as amended, and his contribution amount that similarly situated executives of the Company pay for the same or similar coverage under such group health plans, during the portion, if any, of the 18-month period for Mr. Gould following the Termination Date (or 24-month period in the event of a termination during the one (1)-year period following a qualifying Change in Control) that he elects to continue coverage. If Mr. Gould’s employment is terminated due to death or Disability, then he will receive (i) payment of any earned but unpaid annual bonus for the calendar year preceding the calendar year in which the termination of employment occurs and (ii) a pro-rata portion of the annual bonus for the calendar year in which the Termination Date occurs, based on actual performance for such calendar year and payable at the time such bonuses are paid to similarly situated executives of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NEOs</w:t>
      </w:r>
    </w:p>
    <w:p>
      <w:pPr>
        <w:spacing w:after="0" w:line="21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Under the terms of the 2021 Employment Agreements, if the NEO's employment was terminated by the Company without “Cause or by the NEO with Good Reason,” as defined in the employment agreement, the NEO is eligible for (i) 18 – 30 months of base salary, (ii) 1- to 2.5-times the target annual incentive, depending on the employee’s position and the nature of the termination, and (iii) reimbursement for up to 24 months of the difference between the amount paid by the NEO for Company-provided continued health care and the employee contribution amount paid by similarly situated active employees. If an NEO’s employment is terminated due to his death or disability, then he will receive under the terms of his employment agreement (i) payment of any earned but unpaid annual bonus for the calendar year preceding the calendar year in which the termination of employment occurs and (ii) a pro-rata portion of the annual bonus for the calendar year in which the termination of employment occurs, based on actual performance for such calendar year and payable at the time such bonuses are paid to similarly situated executives of the Company.</w:t>
      </w:r>
    </w:p>
    <w:p>
      <w:pPr>
        <w:spacing w:after="0" w:line="23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9" w:name="page60"/>
    <w:bookmarkEnd w:id="59"/>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74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59" w:lineRule="exact"/>
        <w:rPr>
          <w:sz w:val="20"/>
          <w:szCs w:val="20"/>
          <w:color w:val="auto"/>
        </w:rPr>
      </w:pPr>
    </w:p>
    <w:p>
      <w:pPr>
        <w:ind w:left="9180"/>
        <w:spacing w:after="0"/>
        <w:rPr>
          <w:sz w:val="20"/>
          <w:szCs w:val="20"/>
          <w:color w:val="auto"/>
        </w:rPr>
      </w:pPr>
      <w:r>
        <w:rPr>
          <w:rFonts w:ascii="Arial" w:cs="Arial" w:eastAsia="Arial" w:hAnsi="Arial"/>
          <w:sz w:val="14"/>
          <w:szCs w:val="14"/>
          <w:color w:val="auto"/>
        </w:rPr>
        <w:t>Executive Compensation Tables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RSUs and PSUs</w:t>
      </w:r>
    </w:p>
    <w:p>
      <w:pPr>
        <w:spacing w:after="0" w:line="21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Under the terms of the agreements evidencing the RSUs granted to all our NEOs in 2023 and 2024, (a) if the NEO’s employment is terminated without Cause, for Good Reason or due to disability, then a prorated portion of the number of units scheduled to vest as of the next anniversary of the date of grant will immediately vest as of the date of termination, (b) if the NEO’s employment is terminated due to the NEO’s death, then 100% of the unvested units will immediately vest as of the date of death, and (c) if the NEO’s employment is terminated on or within 12 months after a qualifying “Change in Control” (as defined in the LTIP, but excluding any event that would otherwise constitute a Change in Control and that relates to any acquisition of securities of the Company by a stockholder that owns 20% or more of our outstanding stock or outstanding voting securities as of the date of grant of the award) without Cause, for Good Reason, or due to disability or death, then 100% of the unvested units will immediately vest as of the date of such termination.</w:t>
      </w:r>
    </w:p>
    <w:p>
      <w:pPr>
        <w:spacing w:after="0" w:line="18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Under the terms of the agreements evidencing the PSUs granted to the NEOs in 2023 and 2024, (a) if the NEO’s employment is terminated (whether or not in connection with a qualifying “Change in Control”) without Cause, for Good Reason, or due to death or disability, then a prorated portion of the number of units subject to such award will become vested and shall remain outstanding and eligible to become earned based on satisfaction of the applicable performance goal, or (b) if the NEO’s employment is terminated due to the NEO’s voluntary termination of employment without “Good Reason” (as defined in the award agreement), then all of the PSUs will terminate automatically and be forfeited as of the date of such termination of employment.</w:t>
      </w:r>
    </w:p>
    <w:p>
      <w:pPr>
        <w:spacing w:after="0" w:line="17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Except as described in this summary and below under “Potential Payments,” we did not have any other agreements or plans in effect at the end of 2024 that would have required us to provide compensation to our NEOs in the event of a termination of employment or a change in control.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0075C9"/>
        </w:rPr>
        <w:t>Potential Payments</w:t>
      </w:r>
    </w:p>
    <w:p>
      <w:pPr>
        <w:spacing w:after="0" w:line="104" w:lineRule="exact"/>
        <w:rPr>
          <w:sz w:val="20"/>
          <w:szCs w:val="20"/>
          <w:color w:val="auto"/>
        </w:rPr>
      </w:pPr>
    </w:p>
    <w:p>
      <w:pPr>
        <w:jc w:val="both"/>
        <w:ind w:right="80"/>
        <w:spacing w:after="0" w:line="242" w:lineRule="auto"/>
        <w:rPr>
          <w:sz w:val="20"/>
          <w:szCs w:val="20"/>
          <w:color w:val="auto"/>
        </w:rPr>
      </w:pPr>
      <w:r>
        <w:rPr>
          <w:rFonts w:ascii="Arial" w:cs="Arial" w:eastAsia="Arial" w:hAnsi="Arial"/>
          <w:sz w:val="18"/>
          <w:szCs w:val="18"/>
          <w:color w:val="auto"/>
        </w:rPr>
        <w:t>In the discussion that follows, payments and other benefits that would have been payable upon various terminations and change in control situations are set out as if the conditions for payments had occurred and the terminations took place on December 31, 2024, and reflect the terms of applicable agreements then in effect. All of our NEOs had employment agreements which provide for certain payments in the event of termination. The amounts set forth below are estimates of the amounts that would have been paid to each NEO upon his termination. The disclosures below do not take into consideration any requirements under Section 409A of the Code, which could have affected, among other things, the timing of payments and distributions.</w:t>
      </w:r>
    </w:p>
    <w:p>
      <w:pPr>
        <w:spacing w:after="0" w:line="179"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 following payments and benefits, which are potentially available on a non-discriminatory basis to all full-time salaried employees when their employment terminates, are not included in the amounts shown below:</w:t>
      </w:r>
    </w:p>
    <w:p>
      <w:pPr>
        <w:spacing w:after="0" w:line="46" w:lineRule="exact"/>
        <w:rPr>
          <w:sz w:val="20"/>
          <w:szCs w:val="20"/>
          <w:color w:val="auto"/>
        </w:rPr>
      </w:pPr>
    </w:p>
    <w:p>
      <w:pPr>
        <w:ind w:left="540" w:hanging="322"/>
        <w:spacing w:after="0"/>
        <w:tabs>
          <w:tab w:leader="none" w:pos="54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Life insurance proceeds equal to two times base salary, payable on death as was available to all eligible employees.</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Payout of unused accrued vacation.</w:t>
      </w:r>
    </w:p>
    <w:p>
      <w:pPr>
        <w:spacing w:after="0" w:line="278" w:lineRule="exact"/>
        <w:rPr>
          <w:sz w:val="20"/>
          <w:szCs w:val="20"/>
          <w:color w:val="auto"/>
        </w:rPr>
      </w:pPr>
    </w:p>
    <w:p>
      <w:pPr>
        <w:ind w:left="718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0" w:name="page61"/>
    <w:bookmarkEnd w:id="60"/>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74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59" w:lineRule="exact"/>
        <w:rPr>
          <w:sz w:val="20"/>
          <w:szCs w:val="20"/>
          <w:color w:val="auto"/>
        </w:rPr>
      </w:pPr>
    </w:p>
    <w:p>
      <w:pPr>
        <w:ind w:left="9180"/>
        <w:spacing w:after="0"/>
        <w:rPr>
          <w:sz w:val="20"/>
          <w:szCs w:val="20"/>
          <w:color w:val="auto"/>
        </w:rPr>
      </w:pPr>
      <w:r>
        <w:rPr>
          <w:rFonts w:ascii="Arial" w:cs="Arial" w:eastAsia="Arial" w:hAnsi="Arial"/>
          <w:sz w:val="14"/>
          <w:szCs w:val="14"/>
          <w:color w:val="auto"/>
        </w:rPr>
        <w:t>Executive Compensation Tables</w:t>
      </w:r>
    </w:p>
    <w:p>
      <w:pPr>
        <w:spacing w:after="0" w:line="356"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following is a summary of the payments and benefits each of our active NEOs would have been entitled to receive if the event specified occurred as of December 31, 2024.</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90" w:type="dxa"/>
            <w:vAlign w:val="bottom"/>
          </w:tcPr>
          <w:p>
            <w:pPr>
              <w:spacing w:after="0"/>
              <w:rPr>
                <w:sz w:val="10"/>
                <w:szCs w:val="10"/>
                <w:color w:val="auto"/>
              </w:rPr>
            </w:pPr>
          </w:p>
        </w:tc>
        <w:tc>
          <w:tcPr>
            <w:tcW w:w="170" w:type="dxa"/>
            <w:vAlign w:val="bottom"/>
          </w:tcPr>
          <w:p>
            <w:pPr>
              <w:spacing w:after="0"/>
              <w:rPr>
                <w:sz w:val="10"/>
                <w:szCs w:val="10"/>
                <w:color w:val="auto"/>
              </w:rPr>
            </w:pPr>
          </w:p>
        </w:tc>
        <w:tc>
          <w:tcPr>
            <w:tcW w:w="1300" w:type="dxa"/>
            <w:vAlign w:val="bottom"/>
          </w:tcPr>
          <w:p>
            <w:pPr>
              <w:jc w:val="center"/>
              <w:ind w:right="66"/>
              <w:spacing w:after="0"/>
              <w:rPr>
                <w:sz w:val="20"/>
                <w:szCs w:val="20"/>
                <w:color w:val="auto"/>
              </w:rPr>
            </w:pPr>
            <w:r>
              <w:rPr>
                <w:rFonts w:ascii="Arial" w:cs="Arial" w:eastAsia="Arial" w:hAnsi="Arial"/>
                <w:sz w:val="11"/>
                <w:szCs w:val="11"/>
                <w:b w:val="1"/>
                <w:bCs w:val="1"/>
                <w:color w:val="0075C9"/>
                <w:w w:val="98"/>
              </w:rPr>
              <w:t>Termination</w:t>
            </w:r>
          </w:p>
        </w:tc>
        <w:tc>
          <w:tcPr>
            <w:tcW w:w="5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122"/>
        </w:trPr>
        <w:tc>
          <w:tcPr>
            <w:tcW w:w="2590" w:type="dxa"/>
            <w:vAlign w:val="bottom"/>
          </w:tcPr>
          <w:p>
            <w:pPr>
              <w:spacing w:after="0"/>
              <w:rPr>
                <w:sz w:val="10"/>
                <w:szCs w:val="10"/>
                <w:color w:val="auto"/>
              </w:rPr>
            </w:pPr>
          </w:p>
        </w:tc>
        <w:tc>
          <w:tcPr>
            <w:tcW w:w="170" w:type="dxa"/>
            <w:vAlign w:val="bottom"/>
          </w:tcPr>
          <w:p>
            <w:pPr>
              <w:spacing w:after="0"/>
              <w:rPr>
                <w:sz w:val="10"/>
                <w:szCs w:val="10"/>
                <w:color w:val="auto"/>
              </w:rPr>
            </w:pPr>
          </w:p>
        </w:tc>
        <w:tc>
          <w:tcPr>
            <w:tcW w:w="130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0075C9"/>
                <w:w w:val="98"/>
              </w:rPr>
              <w:t>Without Cause or</w:t>
            </w:r>
          </w:p>
        </w:tc>
        <w:tc>
          <w:tcPr>
            <w:tcW w:w="520" w:type="dxa"/>
            <w:vAlign w:val="bottom"/>
          </w:tcPr>
          <w:p>
            <w:pPr>
              <w:spacing w:after="0"/>
              <w:rPr>
                <w:sz w:val="10"/>
                <w:szCs w:val="10"/>
                <w:color w:val="auto"/>
              </w:rPr>
            </w:pPr>
          </w:p>
        </w:tc>
        <w:tc>
          <w:tcPr>
            <w:tcW w:w="116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0075C9"/>
                <w:w w:val="98"/>
              </w:rPr>
              <w:t>Termination</w:t>
            </w:r>
          </w:p>
        </w:tc>
        <w:tc>
          <w:tcPr>
            <w:tcW w:w="5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40" w:type="dxa"/>
            <w:vAlign w:val="bottom"/>
          </w:tcPr>
          <w:p>
            <w:pPr>
              <w:jc w:val="center"/>
              <w:ind w:right="466"/>
              <w:spacing w:after="0" w:line="122" w:lineRule="exact"/>
              <w:rPr>
                <w:sz w:val="20"/>
                <w:szCs w:val="20"/>
                <w:color w:val="auto"/>
              </w:rPr>
            </w:pPr>
            <w:r>
              <w:rPr>
                <w:rFonts w:ascii="Arial" w:cs="Arial" w:eastAsia="Arial" w:hAnsi="Arial"/>
                <w:sz w:val="11"/>
                <w:szCs w:val="11"/>
                <w:b w:val="1"/>
                <w:bCs w:val="1"/>
                <w:color w:val="0075C9"/>
                <w:w w:val="97"/>
              </w:rPr>
              <w:t>Change in</w:t>
            </w:r>
          </w:p>
        </w:tc>
      </w:tr>
      <w:tr>
        <w:trPr>
          <w:trHeight w:val="122"/>
        </w:trPr>
        <w:tc>
          <w:tcPr>
            <w:tcW w:w="2590" w:type="dxa"/>
            <w:vAlign w:val="bottom"/>
          </w:tcPr>
          <w:p>
            <w:pPr>
              <w:spacing w:after="0"/>
              <w:rPr>
                <w:sz w:val="10"/>
                <w:szCs w:val="10"/>
                <w:color w:val="auto"/>
              </w:rPr>
            </w:pPr>
          </w:p>
        </w:tc>
        <w:tc>
          <w:tcPr>
            <w:tcW w:w="170" w:type="dxa"/>
            <w:vAlign w:val="bottom"/>
          </w:tcPr>
          <w:p>
            <w:pPr>
              <w:spacing w:after="0"/>
              <w:rPr>
                <w:sz w:val="10"/>
                <w:szCs w:val="10"/>
                <w:color w:val="auto"/>
              </w:rPr>
            </w:pPr>
          </w:p>
        </w:tc>
        <w:tc>
          <w:tcPr>
            <w:tcW w:w="130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0075C9"/>
                <w:w w:val="98"/>
              </w:rPr>
              <w:t>Termination by</w:t>
            </w:r>
          </w:p>
        </w:tc>
        <w:tc>
          <w:tcPr>
            <w:tcW w:w="520" w:type="dxa"/>
            <w:vAlign w:val="bottom"/>
          </w:tcPr>
          <w:p>
            <w:pPr>
              <w:spacing w:after="0"/>
              <w:rPr>
                <w:sz w:val="10"/>
                <w:szCs w:val="10"/>
                <w:color w:val="auto"/>
              </w:rPr>
            </w:pPr>
          </w:p>
        </w:tc>
        <w:tc>
          <w:tcPr>
            <w:tcW w:w="116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0075C9"/>
                <w:w w:val="98"/>
              </w:rPr>
              <w:t>by Executive</w:t>
            </w:r>
          </w:p>
        </w:tc>
        <w:tc>
          <w:tcPr>
            <w:tcW w:w="540" w:type="dxa"/>
            <w:vAlign w:val="bottom"/>
          </w:tcPr>
          <w:p>
            <w:pPr>
              <w:spacing w:after="0"/>
              <w:rPr>
                <w:sz w:val="10"/>
                <w:szCs w:val="10"/>
                <w:color w:val="auto"/>
              </w:rPr>
            </w:pPr>
          </w:p>
        </w:tc>
        <w:tc>
          <w:tcPr>
            <w:tcW w:w="110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0075C9"/>
                <w:w w:val="98"/>
              </w:rPr>
              <w:t>Termination</w:t>
            </w:r>
          </w:p>
        </w:tc>
        <w:tc>
          <w:tcPr>
            <w:tcW w:w="520" w:type="dxa"/>
            <w:vAlign w:val="bottom"/>
          </w:tcPr>
          <w:p>
            <w:pPr>
              <w:spacing w:after="0"/>
              <w:rPr>
                <w:sz w:val="10"/>
                <w:szCs w:val="10"/>
                <w:color w:val="auto"/>
              </w:rPr>
            </w:pPr>
          </w:p>
        </w:tc>
        <w:tc>
          <w:tcPr>
            <w:tcW w:w="112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0075C9"/>
                <w:w w:val="98"/>
              </w:rPr>
              <w:t>Termination</w:t>
            </w:r>
          </w:p>
        </w:tc>
        <w:tc>
          <w:tcPr>
            <w:tcW w:w="780" w:type="dxa"/>
            <w:vAlign w:val="bottom"/>
          </w:tcPr>
          <w:p>
            <w:pPr>
              <w:spacing w:after="0"/>
              <w:rPr>
                <w:sz w:val="10"/>
                <w:szCs w:val="10"/>
                <w:color w:val="auto"/>
              </w:rPr>
            </w:pPr>
          </w:p>
        </w:tc>
        <w:tc>
          <w:tcPr>
            <w:tcW w:w="1440" w:type="dxa"/>
            <w:vAlign w:val="bottom"/>
          </w:tcPr>
          <w:p>
            <w:pPr>
              <w:jc w:val="center"/>
              <w:ind w:right="446"/>
              <w:spacing w:after="0" w:line="122" w:lineRule="exact"/>
              <w:rPr>
                <w:sz w:val="20"/>
                <w:szCs w:val="20"/>
                <w:color w:val="auto"/>
              </w:rPr>
            </w:pPr>
            <w:r>
              <w:rPr>
                <w:rFonts w:ascii="Arial" w:cs="Arial" w:eastAsia="Arial" w:hAnsi="Arial"/>
                <w:sz w:val="11"/>
                <w:szCs w:val="11"/>
                <w:b w:val="1"/>
                <w:bCs w:val="1"/>
                <w:color w:val="0075C9"/>
                <w:w w:val="96"/>
              </w:rPr>
              <w:t>Control with</w:t>
            </w:r>
          </w:p>
        </w:tc>
      </w:tr>
      <w:tr>
        <w:trPr>
          <w:trHeight w:val="121"/>
        </w:trPr>
        <w:tc>
          <w:tcPr>
            <w:tcW w:w="2590" w:type="dxa"/>
            <w:vAlign w:val="bottom"/>
          </w:tcPr>
          <w:p>
            <w:pPr>
              <w:ind w:left="100"/>
              <w:spacing w:after="0" w:line="122" w:lineRule="exact"/>
              <w:rPr>
                <w:sz w:val="20"/>
                <w:szCs w:val="20"/>
                <w:color w:val="auto"/>
              </w:rPr>
            </w:pPr>
            <w:r>
              <w:rPr>
                <w:rFonts w:ascii="Arial" w:cs="Arial" w:eastAsia="Arial" w:hAnsi="Arial"/>
                <w:sz w:val="11"/>
                <w:szCs w:val="11"/>
                <w:b w:val="1"/>
                <w:bCs w:val="1"/>
                <w:color w:val="0075C9"/>
              </w:rPr>
              <w:t>Benefits and Payments</w:t>
            </w:r>
          </w:p>
        </w:tc>
        <w:tc>
          <w:tcPr>
            <w:tcW w:w="170" w:type="dxa"/>
            <w:vAlign w:val="bottom"/>
          </w:tcPr>
          <w:p>
            <w:pPr>
              <w:spacing w:after="0"/>
              <w:rPr>
                <w:sz w:val="10"/>
                <w:szCs w:val="10"/>
                <w:color w:val="auto"/>
              </w:rPr>
            </w:pPr>
          </w:p>
        </w:tc>
        <w:tc>
          <w:tcPr>
            <w:tcW w:w="130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0075C9"/>
                <w:w w:val="99"/>
              </w:rPr>
              <w:t>Executive with</w:t>
            </w:r>
          </w:p>
        </w:tc>
        <w:tc>
          <w:tcPr>
            <w:tcW w:w="520" w:type="dxa"/>
            <w:vAlign w:val="bottom"/>
          </w:tcPr>
          <w:p>
            <w:pPr>
              <w:spacing w:after="0"/>
              <w:rPr>
                <w:sz w:val="10"/>
                <w:szCs w:val="10"/>
                <w:color w:val="auto"/>
              </w:rPr>
            </w:pPr>
          </w:p>
        </w:tc>
        <w:tc>
          <w:tcPr>
            <w:tcW w:w="116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0075C9"/>
                <w:w w:val="95"/>
              </w:rPr>
              <w:t>for</w:t>
            </w:r>
          </w:p>
        </w:tc>
        <w:tc>
          <w:tcPr>
            <w:tcW w:w="540" w:type="dxa"/>
            <w:vAlign w:val="bottom"/>
          </w:tcPr>
          <w:p>
            <w:pPr>
              <w:spacing w:after="0"/>
              <w:rPr>
                <w:sz w:val="10"/>
                <w:szCs w:val="10"/>
                <w:color w:val="auto"/>
              </w:rPr>
            </w:pPr>
          </w:p>
        </w:tc>
        <w:tc>
          <w:tcPr>
            <w:tcW w:w="110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0075C9"/>
                <w:w w:val="93"/>
              </w:rPr>
              <w:t>Due to</w:t>
            </w:r>
          </w:p>
        </w:tc>
        <w:tc>
          <w:tcPr>
            <w:tcW w:w="520" w:type="dxa"/>
            <w:vAlign w:val="bottom"/>
          </w:tcPr>
          <w:p>
            <w:pPr>
              <w:spacing w:after="0"/>
              <w:rPr>
                <w:sz w:val="10"/>
                <w:szCs w:val="10"/>
                <w:color w:val="auto"/>
              </w:rPr>
            </w:pPr>
          </w:p>
        </w:tc>
        <w:tc>
          <w:tcPr>
            <w:tcW w:w="112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0075C9"/>
                <w:w w:val="99"/>
              </w:rPr>
              <w:t>Due to</w:t>
            </w:r>
          </w:p>
        </w:tc>
        <w:tc>
          <w:tcPr>
            <w:tcW w:w="780" w:type="dxa"/>
            <w:vAlign w:val="bottom"/>
          </w:tcPr>
          <w:p>
            <w:pPr>
              <w:spacing w:after="0"/>
              <w:rPr>
                <w:sz w:val="10"/>
                <w:szCs w:val="10"/>
                <w:color w:val="auto"/>
              </w:rPr>
            </w:pPr>
          </w:p>
        </w:tc>
        <w:tc>
          <w:tcPr>
            <w:tcW w:w="1440" w:type="dxa"/>
            <w:vAlign w:val="bottom"/>
          </w:tcPr>
          <w:p>
            <w:pPr>
              <w:jc w:val="center"/>
              <w:ind w:right="446"/>
              <w:spacing w:after="0" w:line="122" w:lineRule="exact"/>
              <w:rPr>
                <w:sz w:val="20"/>
                <w:szCs w:val="20"/>
                <w:color w:val="auto"/>
              </w:rPr>
            </w:pPr>
            <w:r>
              <w:rPr>
                <w:rFonts w:ascii="Arial" w:cs="Arial" w:eastAsia="Arial" w:hAnsi="Arial"/>
                <w:sz w:val="11"/>
                <w:szCs w:val="11"/>
                <w:b w:val="1"/>
                <w:bCs w:val="1"/>
                <w:color w:val="0075C9"/>
                <w:w w:val="98"/>
              </w:rPr>
              <w:t>Termination</w:t>
            </w:r>
          </w:p>
        </w:tc>
      </w:tr>
      <w:tr>
        <w:trPr>
          <w:trHeight w:val="135"/>
        </w:trPr>
        <w:tc>
          <w:tcPr>
            <w:tcW w:w="2590" w:type="dxa"/>
            <w:vAlign w:val="bottom"/>
            <w:tcBorders>
              <w:bottom w:val="single" w:sz="8" w:color="0075C9"/>
            </w:tcBorders>
          </w:tcPr>
          <w:p>
            <w:pPr>
              <w:ind w:left="100"/>
              <w:spacing w:after="0"/>
              <w:rPr>
                <w:sz w:val="20"/>
                <w:szCs w:val="20"/>
                <w:color w:val="auto"/>
              </w:rPr>
            </w:pPr>
            <w:r>
              <w:rPr>
                <w:rFonts w:ascii="Arial" w:cs="Arial" w:eastAsia="Arial" w:hAnsi="Arial"/>
                <w:sz w:val="11"/>
                <w:szCs w:val="11"/>
                <w:b w:val="1"/>
                <w:bCs w:val="1"/>
                <w:color w:val="0075C9"/>
              </w:rPr>
              <w:t>Upon Termination</w:t>
            </w:r>
          </w:p>
        </w:tc>
        <w:tc>
          <w:tcPr>
            <w:tcW w:w="170" w:type="dxa"/>
            <w:vAlign w:val="bottom"/>
            <w:tcBorders>
              <w:bottom w:val="single" w:sz="8" w:color="0075C9"/>
            </w:tcBorders>
          </w:tcPr>
          <w:p>
            <w:pPr>
              <w:spacing w:after="0"/>
              <w:rPr>
                <w:sz w:val="11"/>
                <w:szCs w:val="11"/>
                <w:color w:val="auto"/>
              </w:rPr>
            </w:pPr>
          </w:p>
        </w:tc>
        <w:tc>
          <w:tcPr>
            <w:tcW w:w="1300" w:type="dxa"/>
            <w:vAlign w:val="bottom"/>
            <w:tcBorders>
              <w:bottom w:val="single" w:sz="8" w:color="0075C9"/>
            </w:tcBorders>
          </w:tcPr>
          <w:p>
            <w:pPr>
              <w:jc w:val="center"/>
              <w:ind w:right="66"/>
              <w:spacing w:after="0"/>
              <w:rPr>
                <w:sz w:val="20"/>
                <w:szCs w:val="20"/>
                <w:color w:val="auto"/>
              </w:rPr>
            </w:pPr>
            <w:r>
              <w:rPr>
                <w:rFonts w:ascii="Arial" w:cs="Arial" w:eastAsia="Arial" w:hAnsi="Arial"/>
                <w:sz w:val="11"/>
                <w:szCs w:val="11"/>
                <w:b w:val="1"/>
                <w:bCs w:val="1"/>
                <w:color w:val="0075C9"/>
                <w:w w:val="97"/>
              </w:rPr>
              <w:t>Good Reason</w:t>
            </w:r>
          </w:p>
        </w:tc>
        <w:tc>
          <w:tcPr>
            <w:tcW w:w="520" w:type="dxa"/>
            <w:vAlign w:val="bottom"/>
            <w:tcBorders>
              <w:bottom w:val="single" w:sz="8" w:color="0075C9"/>
            </w:tcBorders>
          </w:tcPr>
          <w:p>
            <w:pPr>
              <w:spacing w:after="0"/>
              <w:rPr>
                <w:sz w:val="11"/>
                <w:szCs w:val="11"/>
                <w:color w:val="auto"/>
              </w:rPr>
            </w:pPr>
          </w:p>
        </w:tc>
        <w:tc>
          <w:tcPr>
            <w:tcW w:w="1160" w:type="dxa"/>
            <w:vAlign w:val="bottom"/>
            <w:tcBorders>
              <w:bottom w:val="single" w:sz="8" w:color="0075C9"/>
            </w:tcBorders>
          </w:tcPr>
          <w:p>
            <w:pPr>
              <w:jc w:val="center"/>
              <w:ind w:right="66"/>
              <w:spacing w:after="0"/>
              <w:rPr>
                <w:sz w:val="20"/>
                <w:szCs w:val="20"/>
                <w:color w:val="auto"/>
              </w:rPr>
            </w:pPr>
            <w:r>
              <w:rPr>
                <w:rFonts w:ascii="Arial" w:cs="Arial" w:eastAsia="Arial" w:hAnsi="Arial"/>
                <w:sz w:val="11"/>
                <w:szCs w:val="11"/>
                <w:b w:val="1"/>
                <w:bCs w:val="1"/>
                <w:color w:val="0075C9"/>
                <w:w w:val="97"/>
              </w:rPr>
              <w:t>Retirement</w:t>
            </w:r>
          </w:p>
        </w:tc>
        <w:tc>
          <w:tcPr>
            <w:tcW w:w="540" w:type="dxa"/>
            <w:vAlign w:val="bottom"/>
            <w:tcBorders>
              <w:bottom w:val="single" w:sz="8" w:color="0075C9"/>
            </w:tcBorders>
          </w:tcPr>
          <w:p>
            <w:pPr>
              <w:spacing w:after="0"/>
              <w:rPr>
                <w:sz w:val="11"/>
                <w:szCs w:val="11"/>
                <w:color w:val="auto"/>
              </w:rPr>
            </w:pPr>
          </w:p>
        </w:tc>
        <w:tc>
          <w:tcPr>
            <w:tcW w:w="1100" w:type="dxa"/>
            <w:vAlign w:val="bottom"/>
            <w:tcBorders>
              <w:bottom w:val="single" w:sz="8" w:color="0075C9"/>
            </w:tcBorders>
          </w:tcPr>
          <w:p>
            <w:pPr>
              <w:jc w:val="center"/>
              <w:ind w:right="66"/>
              <w:spacing w:after="0"/>
              <w:rPr>
                <w:sz w:val="20"/>
                <w:szCs w:val="20"/>
                <w:color w:val="auto"/>
              </w:rPr>
            </w:pPr>
            <w:r>
              <w:rPr>
                <w:rFonts w:ascii="Arial" w:cs="Arial" w:eastAsia="Arial" w:hAnsi="Arial"/>
                <w:sz w:val="11"/>
                <w:szCs w:val="11"/>
                <w:b w:val="1"/>
                <w:bCs w:val="1"/>
                <w:color w:val="0075C9"/>
                <w:w w:val="98"/>
              </w:rPr>
              <w:t>Death</w:t>
            </w:r>
          </w:p>
        </w:tc>
        <w:tc>
          <w:tcPr>
            <w:tcW w:w="520" w:type="dxa"/>
            <w:vAlign w:val="bottom"/>
            <w:tcBorders>
              <w:bottom w:val="single" w:sz="8" w:color="0075C9"/>
            </w:tcBorders>
          </w:tcPr>
          <w:p>
            <w:pPr>
              <w:spacing w:after="0"/>
              <w:rPr>
                <w:sz w:val="11"/>
                <w:szCs w:val="11"/>
                <w:color w:val="auto"/>
              </w:rPr>
            </w:pPr>
          </w:p>
        </w:tc>
        <w:tc>
          <w:tcPr>
            <w:tcW w:w="1120" w:type="dxa"/>
            <w:vAlign w:val="bottom"/>
            <w:tcBorders>
              <w:bottom w:val="single" w:sz="8" w:color="0075C9"/>
            </w:tcBorders>
          </w:tcPr>
          <w:p>
            <w:pPr>
              <w:jc w:val="center"/>
              <w:ind w:right="66"/>
              <w:spacing w:after="0"/>
              <w:rPr>
                <w:sz w:val="20"/>
                <w:szCs w:val="20"/>
                <w:color w:val="auto"/>
              </w:rPr>
            </w:pPr>
            <w:r>
              <w:rPr>
                <w:rFonts w:ascii="Arial" w:cs="Arial" w:eastAsia="Arial" w:hAnsi="Arial"/>
                <w:sz w:val="11"/>
                <w:szCs w:val="11"/>
                <w:b w:val="1"/>
                <w:bCs w:val="1"/>
                <w:color w:val="0075C9"/>
                <w:w w:val="98"/>
              </w:rPr>
              <w:t>Disability</w:t>
            </w:r>
          </w:p>
        </w:tc>
        <w:tc>
          <w:tcPr>
            <w:tcW w:w="780" w:type="dxa"/>
            <w:vAlign w:val="bottom"/>
            <w:tcBorders>
              <w:bottom w:val="single" w:sz="8" w:color="0075C9"/>
            </w:tcBorders>
          </w:tcPr>
          <w:p>
            <w:pPr>
              <w:spacing w:after="0"/>
              <w:rPr>
                <w:sz w:val="11"/>
                <w:szCs w:val="11"/>
                <w:color w:val="auto"/>
              </w:rPr>
            </w:pPr>
          </w:p>
        </w:tc>
        <w:tc>
          <w:tcPr>
            <w:tcW w:w="1440" w:type="dxa"/>
            <w:vAlign w:val="bottom"/>
            <w:tcBorders>
              <w:bottom w:val="single" w:sz="8" w:color="0075C9"/>
            </w:tcBorders>
          </w:tcPr>
          <w:p>
            <w:pPr>
              <w:jc w:val="center"/>
              <w:ind w:right="466"/>
              <w:spacing w:after="0"/>
              <w:rPr>
                <w:sz w:val="20"/>
                <w:szCs w:val="20"/>
                <w:color w:val="auto"/>
              </w:rPr>
            </w:pPr>
            <w:r>
              <w:rPr>
                <w:rFonts w:ascii="Arial" w:cs="Arial" w:eastAsia="Arial" w:hAnsi="Arial"/>
                <w:sz w:val="11"/>
                <w:szCs w:val="11"/>
                <w:b w:val="1"/>
                <w:bCs w:val="1"/>
                <w:color w:val="0075C9"/>
                <w:w w:val="98"/>
              </w:rPr>
              <w:t>as Result</w:t>
            </w:r>
          </w:p>
        </w:tc>
      </w:tr>
      <w:tr>
        <w:trPr>
          <w:trHeight w:val="102"/>
        </w:trPr>
        <w:tc>
          <w:tcPr>
            <w:tcW w:w="2590" w:type="dxa"/>
            <w:vAlign w:val="bottom"/>
            <w:shd w:val="clear" w:color="auto" w:fill="EBEBEC"/>
          </w:tcPr>
          <w:p>
            <w:pPr>
              <w:ind w:left="100"/>
              <w:spacing w:after="0" w:line="102" w:lineRule="exact"/>
              <w:rPr>
                <w:sz w:val="20"/>
                <w:szCs w:val="20"/>
                <w:color w:val="auto"/>
              </w:rPr>
            </w:pPr>
            <w:r>
              <w:rPr>
                <w:rFonts w:ascii="Arial" w:cs="Arial" w:eastAsia="Arial" w:hAnsi="Arial"/>
                <w:sz w:val="11"/>
                <w:szCs w:val="11"/>
                <w:b w:val="1"/>
                <w:bCs w:val="1"/>
                <w:color w:val="auto"/>
              </w:rPr>
              <w:t>Francisco J. Leon</w:t>
            </w:r>
          </w:p>
        </w:tc>
        <w:tc>
          <w:tcPr>
            <w:tcW w:w="170" w:type="dxa"/>
            <w:vAlign w:val="bottom"/>
            <w:shd w:val="clear" w:color="auto" w:fill="EBEBEC"/>
          </w:tcPr>
          <w:p>
            <w:pPr>
              <w:spacing w:after="0"/>
              <w:rPr>
                <w:sz w:val="8"/>
                <w:szCs w:val="8"/>
                <w:color w:val="auto"/>
              </w:rPr>
            </w:pPr>
          </w:p>
        </w:tc>
        <w:tc>
          <w:tcPr>
            <w:tcW w:w="1300" w:type="dxa"/>
            <w:vAlign w:val="bottom"/>
            <w:shd w:val="clear" w:color="auto" w:fill="EBEBEC"/>
          </w:tcPr>
          <w:p>
            <w:pPr>
              <w:spacing w:after="0"/>
              <w:rPr>
                <w:sz w:val="8"/>
                <w:szCs w:val="8"/>
                <w:color w:val="auto"/>
              </w:rPr>
            </w:pPr>
          </w:p>
        </w:tc>
        <w:tc>
          <w:tcPr>
            <w:tcW w:w="520" w:type="dxa"/>
            <w:vAlign w:val="bottom"/>
            <w:shd w:val="clear" w:color="auto" w:fill="EBEBEC"/>
          </w:tcPr>
          <w:p>
            <w:pPr>
              <w:spacing w:after="0"/>
              <w:rPr>
                <w:sz w:val="8"/>
                <w:szCs w:val="8"/>
                <w:color w:val="auto"/>
              </w:rPr>
            </w:pPr>
          </w:p>
        </w:tc>
        <w:tc>
          <w:tcPr>
            <w:tcW w:w="1160" w:type="dxa"/>
            <w:vAlign w:val="bottom"/>
            <w:shd w:val="clear" w:color="auto" w:fill="EBEBEC"/>
          </w:tcPr>
          <w:p>
            <w:pPr>
              <w:spacing w:after="0"/>
              <w:rPr>
                <w:sz w:val="8"/>
                <w:szCs w:val="8"/>
                <w:color w:val="auto"/>
              </w:rPr>
            </w:pPr>
          </w:p>
        </w:tc>
        <w:tc>
          <w:tcPr>
            <w:tcW w:w="540" w:type="dxa"/>
            <w:vAlign w:val="bottom"/>
            <w:shd w:val="clear" w:color="auto" w:fill="EBEBEC"/>
          </w:tcPr>
          <w:p>
            <w:pPr>
              <w:spacing w:after="0"/>
              <w:rPr>
                <w:sz w:val="8"/>
                <w:szCs w:val="8"/>
                <w:color w:val="auto"/>
              </w:rPr>
            </w:pPr>
          </w:p>
        </w:tc>
        <w:tc>
          <w:tcPr>
            <w:tcW w:w="1100" w:type="dxa"/>
            <w:vAlign w:val="bottom"/>
            <w:shd w:val="clear" w:color="auto" w:fill="EBEBEC"/>
          </w:tcPr>
          <w:p>
            <w:pPr>
              <w:spacing w:after="0"/>
              <w:rPr>
                <w:sz w:val="8"/>
                <w:szCs w:val="8"/>
                <w:color w:val="auto"/>
              </w:rPr>
            </w:pPr>
          </w:p>
        </w:tc>
        <w:tc>
          <w:tcPr>
            <w:tcW w:w="520" w:type="dxa"/>
            <w:vAlign w:val="bottom"/>
            <w:shd w:val="clear" w:color="auto" w:fill="EBEBEC"/>
          </w:tcPr>
          <w:p>
            <w:pPr>
              <w:spacing w:after="0"/>
              <w:rPr>
                <w:sz w:val="8"/>
                <w:szCs w:val="8"/>
                <w:color w:val="auto"/>
              </w:rPr>
            </w:pPr>
          </w:p>
        </w:tc>
        <w:tc>
          <w:tcPr>
            <w:tcW w:w="1120" w:type="dxa"/>
            <w:vAlign w:val="bottom"/>
            <w:shd w:val="clear" w:color="auto" w:fill="EBEBEC"/>
          </w:tcPr>
          <w:p>
            <w:pPr>
              <w:spacing w:after="0"/>
              <w:rPr>
                <w:sz w:val="8"/>
                <w:szCs w:val="8"/>
                <w:color w:val="auto"/>
              </w:rPr>
            </w:pPr>
          </w:p>
        </w:tc>
        <w:tc>
          <w:tcPr>
            <w:tcW w:w="780" w:type="dxa"/>
            <w:vAlign w:val="bottom"/>
            <w:shd w:val="clear" w:color="auto" w:fill="EBEBEC"/>
          </w:tcPr>
          <w:p>
            <w:pPr>
              <w:spacing w:after="0"/>
              <w:rPr>
                <w:sz w:val="8"/>
                <w:szCs w:val="8"/>
                <w:color w:val="auto"/>
              </w:rPr>
            </w:pPr>
          </w:p>
        </w:tc>
        <w:tc>
          <w:tcPr>
            <w:tcW w:w="1440" w:type="dxa"/>
            <w:vAlign w:val="bottom"/>
            <w:shd w:val="clear" w:color="auto" w:fill="EBEBEC"/>
          </w:tcPr>
          <w:p>
            <w:pPr>
              <w:spacing w:after="0"/>
              <w:rPr>
                <w:sz w:val="8"/>
                <w:szCs w:val="8"/>
                <w:color w:val="auto"/>
              </w:rPr>
            </w:pPr>
          </w:p>
        </w:tc>
      </w:tr>
      <w:tr>
        <w:trPr>
          <w:trHeight w:val="122"/>
        </w:trPr>
        <w:tc>
          <w:tcPr>
            <w:tcW w:w="2590" w:type="dxa"/>
            <w:vAlign w:val="bottom"/>
            <w:shd w:val="clear" w:color="auto" w:fill="EBEBEC"/>
          </w:tcPr>
          <w:p>
            <w:pPr>
              <w:ind w:left="100"/>
              <w:spacing w:after="0" w:line="122" w:lineRule="exact"/>
              <w:rPr>
                <w:sz w:val="20"/>
                <w:szCs w:val="20"/>
                <w:color w:val="auto"/>
              </w:rPr>
            </w:pPr>
            <w:r>
              <w:rPr>
                <w:rFonts w:ascii="Arial" w:cs="Arial" w:eastAsia="Arial" w:hAnsi="Arial"/>
                <w:sz w:val="11"/>
                <w:szCs w:val="11"/>
                <w:color w:val="auto"/>
              </w:rPr>
              <w:t>Annual Bonus(1)</w:t>
            </w:r>
          </w:p>
        </w:tc>
        <w:tc>
          <w:tcPr>
            <w:tcW w:w="17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130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1,399,603</w:t>
            </w:r>
          </w:p>
        </w:tc>
        <w:tc>
          <w:tcPr>
            <w:tcW w:w="52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116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1,399,603</w:t>
            </w:r>
          </w:p>
        </w:tc>
        <w:tc>
          <w:tcPr>
            <w:tcW w:w="54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1,399,603</w:t>
            </w:r>
          </w:p>
        </w:tc>
        <w:tc>
          <w:tcPr>
            <w:tcW w:w="52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1,399,603</w:t>
            </w:r>
          </w:p>
        </w:tc>
        <w:tc>
          <w:tcPr>
            <w:tcW w:w="780" w:type="dxa"/>
            <w:vAlign w:val="bottom"/>
            <w:shd w:val="clear" w:color="auto" w:fill="EBEBEC"/>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440" w:type="dxa"/>
            <w:vAlign w:val="bottom"/>
            <w:shd w:val="clear" w:color="auto" w:fill="EBEBEC"/>
          </w:tcPr>
          <w:p>
            <w:pPr>
              <w:jc w:val="right"/>
              <w:ind w:right="246"/>
              <w:spacing w:after="0" w:line="122" w:lineRule="exact"/>
              <w:rPr>
                <w:sz w:val="20"/>
                <w:szCs w:val="20"/>
                <w:color w:val="auto"/>
              </w:rPr>
            </w:pPr>
            <w:r>
              <w:rPr>
                <w:rFonts w:ascii="Arial" w:cs="Arial" w:eastAsia="Arial" w:hAnsi="Arial"/>
                <w:sz w:val="11"/>
                <w:szCs w:val="11"/>
                <w:color w:val="auto"/>
              </w:rPr>
              <w:t>1,399,603</w:t>
            </w:r>
          </w:p>
        </w:tc>
      </w:tr>
      <w:tr>
        <w:trPr>
          <w:trHeight w:val="122"/>
        </w:trPr>
        <w:tc>
          <w:tcPr>
            <w:tcW w:w="2590" w:type="dxa"/>
            <w:vAlign w:val="bottom"/>
            <w:shd w:val="clear" w:color="auto" w:fill="EBEBEC"/>
          </w:tcPr>
          <w:p>
            <w:pPr>
              <w:ind w:left="100"/>
              <w:spacing w:after="0" w:line="122" w:lineRule="exact"/>
              <w:rPr>
                <w:sz w:val="20"/>
                <w:szCs w:val="20"/>
                <w:color w:val="auto"/>
              </w:rPr>
            </w:pPr>
            <w:r>
              <w:rPr>
                <w:rFonts w:ascii="Arial" w:cs="Arial" w:eastAsia="Arial" w:hAnsi="Arial"/>
                <w:sz w:val="11"/>
                <w:szCs w:val="11"/>
                <w:color w:val="auto"/>
              </w:rPr>
              <w:t>Severance(2)</w:t>
            </w:r>
          </w:p>
        </w:tc>
        <w:tc>
          <w:tcPr>
            <w:tcW w:w="17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130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3,740,000</w:t>
            </w:r>
          </w:p>
        </w:tc>
        <w:tc>
          <w:tcPr>
            <w:tcW w:w="52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116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0</w:t>
            </w:r>
          </w:p>
        </w:tc>
        <w:tc>
          <w:tcPr>
            <w:tcW w:w="54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0</w:t>
            </w:r>
          </w:p>
        </w:tc>
        <w:tc>
          <w:tcPr>
            <w:tcW w:w="52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0</w:t>
            </w:r>
          </w:p>
        </w:tc>
        <w:tc>
          <w:tcPr>
            <w:tcW w:w="780" w:type="dxa"/>
            <w:vAlign w:val="bottom"/>
            <w:shd w:val="clear" w:color="auto" w:fill="EBEBEC"/>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440" w:type="dxa"/>
            <w:vAlign w:val="bottom"/>
            <w:shd w:val="clear" w:color="auto" w:fill="EBEBEC"/>
          </w:tcPr>
          <w:p>
            <w:pPr>
              <w:jc w:val="right"/>
              <w:ind w:right="246"/>
              <w:spacing w:after="0" w:line="122" w:lineRule="exact"/>
              <w:rPr>
                <w:sz w:val="20"/>
                <w:szCs w:val="20"/>
                <w:color w:val="auto"/>
              </w:rPr>
            </w:pPr>
            <w:r>
              <w:rPr>
                <w:rFonts w:ascii="Arial" w:cs="Arial" w:eastAsia="Arial" w:hAnsi="Arial"/>
                <w:sz w:val="11"/>
                <w:szCs w:val="11"/>
                <w:color w:val="auto"/>
              </w:rPr>
              <w:t>4,986,667</w:t>
            </w:r>
          </w:p>
        </w:tc>
      </w:tr>
      <w:tr>
        <w:trPr>
          <w:trHeight w:val="122"/>
        </w:trPr>
        <w:tc>
          <w:tcPr>
            <w:tcW w:w="2590" w:type="dxa"/>
            <w:vAlign w:val="bottom"/>
            <w:shd w:val="clear" w:color="auto" w:fill="EBEBEC"/>
          </w:tcPr>
          <w:p>
            <w:pPr>
              <w:ind w:left="100"/>
              <w:spacing w:after="0" w:line="122" w:lineRule="exact"/>
              <w:rPr>
                <w:sz w:val="20"/>
                <w:szCs w:val="20"/>
                <w:color w:val="auto"/>
              </w:rPr>
            </w:pPr>
            <w:r>
              <w:rPr>
                <w:rFonts w:ascii="Arial" w:cs="Arial" w:eastAsia="Arial" w:hAnsi="Arial"/>
                <w:sz w:val="11"/>
                <w:szCs w:val="11"/>
                <w:color w:val="auto"/>
              </w:rPr>
              <w:t>Equity Awards(3)</w:t>
            </w:r>
          </w:p>
        </w:tc>
        <w:tc>
          <w:tcPr>
            <w:tcW w:w="17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130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8,750,801</w:t>
            </w:r>
          </w:p>
        </w:tc>
        <w:tc>
          <w:tcPr>
            <w:tcW w:w="52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116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0</w:t>
            </w:r>
          </w:p>
        </w:tc>
        <w:tc>
          <w:tcPr>
            <w:tcW w:w="54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11,062,792</w:t>
            </w:r>
          </w:p>
        </w:tc>
        <w:tc>
          <w:tcPr>
            <w:tcW w:w="52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8,750,801</w:t>
            </w:r>
          </w:p>
        </w:tc>
        <w:tc>
          <w:tcPr>
            <w:tcW w:w="780" w:type="dxa"/>
            <w:vAlign w:val="bottom"/>
            <w:shd w:val="clear" w:color="auto" w:fill="EBEBEC"/>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440" w:type="dxa"/>
            <w:vAlign w:val="bottom"/>
            <w:shd w:val="clear" w:color="auto" w:fill="EBEBEC"/>
          </w:tcPr>
          <w:p>
            <w:pPr>
              <w:jc w:val="right"/>
              <w:ind w:right="246"/>
              <w:spacing w:after="0" w:line="122" w:lineRule="exact"/>
              <w:rPr>
                <w:sz w:val="20"/>
                <w:szCs w:val="20"/>
                <w:color w:val="auto"/>
              </w:rPr>
            </w:pPr>
            <w:r>
              <w:rPr>
                <w:rFonts w:ascii="Arial" w:cs="Arial" w:eastAsia="Arial" w:hAnsi="Arial"/>
                <w:sz w:val="11"/>
                <w:szCs w:val="11"/>
                <w:color w:val="auto"/>
              </w:rPr>
              <w:t>11,062,792</w:t>
            </w:r>
          </w:p>
        </w:tc>
      </w:tr>
      <w:tr>
        <w:trPr>
          <w:trHeight w:val="121"/>
        </w:trPr>
        <w:tc>
          <w:tcPr>
            <w:tcW w:w="2590" w:type="dxa"/>
            <w:vAlign w:val="bottom"/>
            <w:shd w:val="clear" w:color="auto" w:fill="EBEBEC"/>
          </w:tcPr>
          <w:p>
            <w:pPr>
              <w:ind w:left="100"/>
              <w:spacing w:after="0" w:line="122" w:lineRule="exact"/>
              <w:rPr>
                <w:sz w:val="20"/>
                <w:szCs w:val="20"/>
                <w:color w:val="auto"/>
              </w:rPr>
            </w:pPr>
            <w:r>
              <w:rPr>
                <w:rFonts w:ascii="Arial" w:cs="Arial" w:eastAsia="Arial" w:hAnsi="Arial"/>
                <w:sz w:val="11"/>
                <w:szCs w:val="11"/>
                <w:color w:val="auto"/>
              </w:rPr>
              <w:t>Medical Benefits(4)</w:t>
            </w:r>
          </w:p>
        </w:tc>
        <w:tc>
          <w:tcPr>
            <w:tcW w:w="17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130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53,231</w:t>
            </w:r>
          </w:p>
        </w:tc>
        <w:tc>
          <w:tcPr>
            <w:tcW w:w="52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116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0</w:t>
            </w:r>
          </w:p>
        </w:tc>
        <w:tc>
          <w:tcPr>
            <w:tcW w:w="54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0</w:t>
            </w:r>
          </w:p>
        </w:tc>
        <w:tc>
          <w:tcPr>
            <w:tcW w:w="52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spacing w:after="0" w:line="122" w:lineRule="exact"/>
              <w:rPr>
                <w:sz w:val="20"/>
                <w:szCs w:val="20"/>
                <w:color w:val="auto"/>
              </w:rPr>
            </w:pPr>
            <w:r>
              <w:rPr>
                <w:rFonts w:ascii="Arial" w:cs="Arial" w:eastAsia="Arial" w:hAnsi="Arial"/>
                <w:sz w:val="11"/>
                <w:szCs w:val="11"/>
                <w:color w:val="auto"/>
              </w:rPr>
              <w:t>0</w:t>
            </w:r>
          </w:p>
        </w:tc>
        <w:tc>
          <w:tcPr>
            <w:tcW w:w="780" w:type="dxa"/>
            <w:vAlign w:val="bottom"/>
            <w:shd w:val="clear" w:color="auto" w:fill="EBEBEC"/>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440" w:type="dxa"/>
            <w:vAlign w:val="bottom"/>
            <w:shd w:val="clear" w:color="auto" w:fill="EBEBEC"/>
          </w:tcPr>
          <w:p>
            <w:pPr>
              <w:jc w:val="right"/>
              <w:ind w:right="246"/>
              <w:spacing w:after="0" w:line="122" w:lineRule="exact"/>
              <w:rPr>
                <w:sz w:val="20"/>
                <w:szCs w:val="20"/>
                <w:color w:val="auto"/>
              </w:rPr>
            </w:pPr>
            <w:r>
              <w:rPr>
                <w:rFonts w:ascii="Arial" w:cs="Arial" w:eastAsia="Arial" w:hAnsi="Arial"/>
                <w:sz w:val="11"/>
                <w:szCs w:val="11"/>
                <w:color w:val="auto"/>
              </w:rPr>
              <w:t>53,231</w:t>
            </w:r>
          </w:p>
        </w:tc>
      </w:tr>
      <w:tr>
        <w:trPr>
          <w:trHeight w:val="135"/>
        </w:trPr>
        <w:tc>
          <w:tcPr>
            <w:tcW w:w="2590" w:type="dxa"/>
            <w:vAlign w:val="bottom"/>
            <w:shd w:val="clear" w:color="auto" w:fill="EBEBEC"/>
          </w:tcPr>
          <w:p>
            <w:pPr>
              <w:ind w:left="100"/>
              <w:spacing w:after="0"/>
              <w:rPr>
                <w:sz w:val="20"/>
                <w:szCs w:val="20"/>
                <w:color w:val="auto"/>
              </w:rPr>
            </w:pPr>
            <w:r>
              <w:rPr>
                <w:rFonts w:ascii="Arial" w:cs="Arial" w:eastAsia="Arial" w:hAnsi="Arial"/>
                <w:sz w:val="11"/>
                <w:szCs w:val="11"/>
                <w:b w:val="1"/>
                <w:bCs w:val="1"/>
                <w:color w:val="auto"/>
              </w:rPr>
              <w:t>Jay A. Bys</w:t>
            </w:r>
          </w:p>
        </w:tc>
        <w:tc>
          <w:tcPr>
            <w:tcW w:w="170" w:type="dxa"/>
            <w:vAlign w:val="bottom"/>
            <w:shd w:val="clear" w:color="auto" w:fill="EBEBEC"/>
          </w:tcPr>
          <w:p>
            <w:pPr>
              <w:spacing w:after="0"/>
              <w:rPr>
                <w:sz w:val="11"/>
                <w:szCs w:val="11"/>
                <w:color w:val="auto"/>
              </w:rPr>
            </w:pPr>
          </w:p>
        </w:tc>
        <w:tc>
          <w:tcPr>
            <w:tcW w:w="1300" w:type="dxa"/>
            <w:vAlign w:val="bottom"/>
            <w:shd w:val="clear" w:color="auto" w:fill="EBEBEC"/>
          </w:tcPr>
          <w:p>
            <w:pPr>
              <w:spacing w:after="0"/>
              <w:rPr>
                <w:sz w:val="11"/>
                <w:szCs w:val="11"/>
                <w:color w:val="auto"/>
              </w:rPr>
            </w:pPr>
          </w:p>
        </w:tc>
        <w:tc>
          <w:tcPr>
            <w:tcW w:w="520" w:type="dxa"/>
            <w:vAlign w:val="bottom"/>
            <w:shd w:val="clear" w:color="auto" w:fill="EBEBEC"/>
          </w:tcPr>
          <w:p>
            <w:pPr>
              <w:spacing w:after="0"/>
              <w:rPr>
                <w:sz w:val="11"/>
                <w:szCs w:val="11"/>
                <w:color w:val="auto"/>
              </w:rPr>
            </w:pPr>
          </w:p>
        </w:tc>
        <w:tc>
          <w:tcPr>
            <w:tcW w:w="1160" w:type="dxa"/>
            <w:vAlign w:val="bottom"/>
            <w:shd w:val="clear" w:color="auto" w:fill="EBEBEC"/>
          </w:tcPr>
          <w:p>
            <w:pPr>
              <w:spacing w:after="0"/>
              <w:rPr>
                <w:sz w:val="11"/>
                <w:szCs w:val="11"/>
                <w:color w:val="auto"/>
              </w:rPr>
            </w:pPr>
          </w:p>
        </w:tc>
        <w:tc>
          <w:tcPr>
            <w:tcW w:w="540" w:type="dxa"/>
            <w:vAlign w:val="bottom"/>
            <w:shd w:val="clear" w:color="auto" w:fill="EBEBEC"/>
          </w:tcPr>
          <w:p>
            <w:pPr>
              <w:spacing w:after="0"/>
              <w:rPr>
                <w:sz w:val="11"/>
                <w:szCs w:val="11"/>
                <w:color w:val="auto"/>
              </w:rPr>
            </w:pPr>
          </w:p>
        </w:tc>
        <w:tc>
          <w:tcPr>
            <w:tcW w:w="1100" w:type="dxa"/>
            <w:vAlign w:val="bottom"/>
            <w:shd w:val="clear" w:color="auto" w:fill="EBEBEC"/>
          </w:tcPr>
          <w:p>
            <w:pPr>
              <w:spacing w:after="0"/>
              <w:rPr>
                <w:sz w:val="11"/>
                <w:szCs w:val="11"/>
                <w:color w:val="auto"/>
              </w:rPr>
            </w:pPr>
          </w:p>
        </w:tc>
        <w:tc>
          <w:tcPr>
            <w:tcW w:w="520" w:type="dxa"/>
            <w:vAlign w:val="bottom"/>
            <w:shd w:val="clear" w:color="auto" w:fill="EBEBEC"/>
          </w:tcPr>
          <w:p>
            <w:pPr>
              <w:spacing w:after="0"/>
              <w:rPr>
                <w:sz w:val="11"/>
                <w:szCs w:val="11"/>
                <w:color w:val="auto"/>
              </w:rPr>
            </w:pPr>
          </w:p>
        </w:tc>
        <w:tc>
          <w:tcPr>
            <w:tcW w:w="1120" w:type="dxa"/>
            <w:vAlign w:val="bottom"/>
            <w:shd w:val="clear" w:color="auto" w:fill="EBEBEC"/>
          </w:tcPr>
          <w:p>
            <w:pPr>
              <w:spacing w:after="0"/>
              <w:rPr>
                <w:sz w:val="11"/>
                <w:szCs w:val="11"/>
                <w:color w:val="auto"/>
              </w:rPr>
            </w:pPr>
          </w:p>
        </w:tc>
        <w:tc>
          <w:tcPr>
            <w:tcW w:w="780" w:type="dxa"/>
            <w:vAlign w:val="bottom"/>
            <w:shd w:val="clear" w:color="auto" w:fill="EBEBEC"/>
          </w:tcPr>
          <w:p>
            <w:pPr>
              <w:spacing w:after="0"/>
              <w:rPr>
                <w:sz w:val="11"/>
                <w:szCs w:val="11"/>
                <w:color w:val="auto"/>
              </w:rPr>
            </w:pPr>
          </w:p>
        </w:tc>
        <w:tc>
          <w:tcPr>
            <w:tcW w:w="1440" w:type="dxa"/>
            <w:vAlign w:val="bottom"/>
            <w:shd w:val="clear" w:color="auto" w:fill="EBEBEC"/>
          </w:tcPr>
          <w:p>
            <w:pPr>
              <w:spacing w:after="0"/>
              <w:rPr>
                <w:sz w:val="11"/>
                <w:szCs w:val="11"/>
                <w:color w:val="auto"/>
              </w:rPr>
            </w:pPr>
          </w:p>
        </w:tc>
      </w:tr>
      <w:tr>
        <w:trPr>
          <w:trHeight w:val="135"/>
        </w:trPr>
        <w:tc>
          <w:tcPr>
            <w:tcW w:w="2590" w:type="dxa"/>
            <w:vAlign w:val="bottom"/>
            <w:shd w:val="clear" w:color="auto" w:fill="EBEBEC"/>
          </w:tcPr>
          <w:p>
            <w:pPr>
              <w:ind w:left="100"/>
              <w:spacing w:after="0"/>
              <w:rPr>
                <w:sz w:val="20"/>
                <w:szCs w:val="20"/>
                <w:color w:val="auto"/>
              </w:rPr>
            </w:pPr>
            <w:r>
              <w:rPr>
                <w:rFonts w:ascii="Arial" w:cs="Arial" w:eastAsia="Arial" w:hAnsi="Arial"/>
                <w:sz w:val="11"/>
                <w:szCs w:val="11"/>
                <w:color w:val="auto"/>
              </w:rPr>
              <w:t>Annual Bonus(1)</w:t>
            </w:r>
          </w:p>
        </w:tc>
        <w:tc>
          <w:tcPr>
            <w:tcW w:w="17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562,000</w:t>
            </w:r>
          </w:p>
        </w:tc>
        <w:tc>
          <w:tcPr>
            <w:tcW w:w="5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759,914</w:t>
            </w:r>
          </w:p>
        </w:tc>
        <w:tc>
          <w:tcPr>
            <w:tcW w:w="5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759,914</w:t>
            </w:r>
          </w:p>
        </w:tc>
        <w:tc>
          <w:tcPr>
            <w:tcW w:w="5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759,914</w:t>
            </w:r>
          </w:p>
        </w:tc>
        <w:tc>
          <w:tcPr>
            <w:tcW w:w="780" w:type="dxa"/>
            <w:vAlign w:val="bottom"/>
            <w:shd w:val="clear" w:color="auto" w:fill="EBEBEC"/>
          </w:tcPr>
          <w:p>
            <w:pPr>
              <w:jc w:val="right"/>
              <w:ind w:right="86"/>
              <w:spacing w:after="0"/>
              <w:rPr>
                <w:sz w:val="20"/>
                <w:szCs w:val="20"/>
                <w:color w:val="auto"/>
              </w:rPr>
            </w:pPr>
            <w:r>
              <w:rPr>
                <w:rFonts w:ascii="Arial" w:cs="Arial" w:eastAsia="Arial" w:hAnsi="Arial"/>
                <w:sz w:val="11"/>
                <w:szCs w:val="11"/>
                <w:color w:val="auto"/>
              </w:rPr>
              <w:t>$</w:t>
            </w:r>
          </w:p>
        </w:tc>
        <w:tc>
          <w:tcPr>
            <w:tcW w:w="1440" w:type="dxa"/>
            <w:vAlign w:val="bottom"/>
            <w:shd w:val="clear" w:color="auto" w:fill="EBEBEC"/>
          </w:tcPr>
          <w:p>
            <w:pPr>
              <w:jc w:val="right"/>
              <w:ind w:right="246"/>
              <w:spacing w:after="0"/>
              <w:rPr>
                <w:sz w:val="20"/>
                <w:szCs w:val="20"/>
                <w:color w:val="auto"/>
              </w:rPr>
            </w:pPr>
            <w:r>
              <w:rPr>
                <w:rFonts w:ascii="Arial" w:cs="Arial" w:eastAsia="Arial" w:hAnsi="Arial"/>
                <w:sz w:val="11"/>
                <w:szCs w:val="11"/>
                <w:color w:val="auto"/>
              </w:rPr>
              <w:t>562,000</w:t>
            </w:r>
          </w:p>
        </w:tc>
      </w:tr>
      <w:tr>
        <w:trPr>
          <w:trHeight w:val="135"/>
        </w:trPr>
        <w:tc>
          <w:tcPr>
            <w:tcW w:w="2590" w:type="dxa"/>
            <w:vAlign w:val="bottom"/>
            <w:shd w:val="clear" w:color="auto" w:fill="EBEBEC"/>
          </w:tcPr>
          <w:p>
            <w:pPr>
              <w:ind w:left="100"/>
              <w:spacing w:after="0"/>
              <w:rPr>
                <w:sz w:val="20"/>
                <w:szCs w:val="20"/>
                <w:color w:val="auto"/>
              </w:rPr>
            </w:pPr>
            <w:r>
              <w:rPr>
                <w:rFonts w:ascii="Arial" w:cs="Arial" w:eastAsia="Arial" w:hAnsi="Arial"/>
                <w:sz w:val="11"/>
                <w:szCs w:val="11"/>
                <w:color w:val="auto"/>
              </w:rPr>
              <w:t>Severance(2)</w:t>
            </w:r>
          </w:p>
        </w:tc>
        <w:tc>
          <w:tcPr>
            <w:tcW w:w="17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843,000</w:t>
            </w:r>
          </w:p>
        </w:tc>
        <w:tc>
          <w:tcPr>
            <w:tcW w:w="5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5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5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780" w:type="dxa"/>
            <w:vAlign w:val="bottom"/>
            <w:shd w:val="clear" w:color="auto" w:fill="EBEBEC"/>
          </w:tcPr>
          <w:p>
            <w:pPr>
              <w:jc w:val="right"/>
              <w:ind w:right="86"/>
              <w:spacing w:after="0"/>
              <w:rPr>
                <w:sz w:val="20"/>
                <w:szCs w:val="20"/>
                <w:color w:val="auto"/>
              </w:rPr>
            </w:pPr>
            <w:r>
              <w:rPr>
                <w:rFonts w:ascii="Arial" w:cs="Arial" w:eastAsia="Arial" w:hAnsi="Arial"/>
                <w:sz w:val="11"/>
                <w:szCs w:val="11"/>
                <w:color w:val="auto"/>
              </w:rPr>
              <w:t>$</w:t>
            </w:r>
          </w:p>
        </w:tc>
        <w:tc>
          <w:tcPr>
            <w:tcW w:w="1440" w:type="dxa"/>
            <w:vAlign w:val="bottom"/>
            <w:shd w:val="clear" w:color="auto" w:fill="EBEBEC"/>
          </w:tcPr>
          <w:p>
            <w:pPr>
              <w:jc w:val="right"/>
              <w:ind w:right="246"/>
              <w:spacing w:after="0"/>
              <w:rPr>
                <w:sz w:val="20"/>
                <w:szCs w:val="20"/>
                <w:color w:val="auto"/>
              </w:rPr>
            </w:pPr>
            <w:r>
              <w:rPr>
                <w:rFonts w:ascii="Arial" w:cs="Arial" w:eastAsia="Arial" w:hAnsi="Arial"/>
                <w:sz w:val="11"/>
                <w:szCs w:val="11"/>
                <w:color w:val="auto"/>
              </w:rPr>
              <w:t>1,124,000</w:t>
            </w:r>
          </w:p>
        </w:tc>
      </w:tr>
      <w:tr>
        <w:trPr>
          <w:trHeight w:val="135"/>
        </w:trPr>
        <w:tc>
          <w:tcPr>
            <w:tcW w:w="2590" w:type="dxa"/>
            <w:vAlign w:val="bottom"/>
            <w:shd w:val="clear" w:color="auto" w:fill="EBEBEC"/>
          </w:tcPr>
          <w:p>
            <w:pPr>
              <w:ind w:left="100"/>
              <w:spacing w:after="0"/>
              <w:rPr>
                <w:sz w:val="20"/>
                <w:szCs w:val="20"/>
                <w:color w:val="auto"/>
              </w:rPr>
            </w:pPr>
            <w:r>
              <w:rPr>
                <w:rFonts w:ascii="Arial" w:cs="Arial" w:eastAsia="Arial" w:hAnsi="Arial"/>
                <w:sz w:val="11"/>
                <w:szCs w:val="11"/>
                <w:color w:val="auto"/>
              </w:rPr>
              <w:t>Equity Awards(3)</w:t>
            </w:r>
          </w:p>
        </w:tc>
        <w:tc>
          <w:tcPr>
            <w:tcW w:w="17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4,142,319</w:t>
            </w:r>
          </w:p>
        </w:tc>
        <w:tc>
          <w:tcPr>
            <w:tcW w:w="5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5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5,195,872</w:t>
            </w:r>
          </w:p>
        </w:tc>
        <w:tc>
          <w:tcPr>
            <w:tcW w:w="5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4,142,319</w:t>
            </w:r>
          </w:p>
        </w:tc>
        <w:tc>
          <w:tcPr>
            <w:tcW w:w="780" w:type="dxa"/>
            <w:vAlign w:val="bottom"/>
            <w:shd w:val="clear" w:color="auto" w:fill="EBEBEC"/>
          </w:tcPr>
          <w:p>
            <w:pPr>
              <w:jc w:val="right"/>
              <w:ind w:right="86"/>
              <w:spacing w:after="0"/>
              <w:rPr>
                <w:sz w:val="20"/>
                <w:szCs w:val="20"/>
                <w:color w:val="auto"/>
              </w:rPr>
            </w:pPr>
            <w:r>
              <w:rPr>
                <w:rFonts w:ascii="Arial" w:cs="Arial" w:eastAsia="Arial" w:hAnsi="Arial"/>
                <w:sz w:val="11"/>
                <w:szCs w:val="11"/>
                <w:color w:val="auto"/>
              </w:rPr>
              <w:t>$</w:t>
            </w:r>
          </w:p>
        </w:tc>
        <w:tc>
          <w:tcPr>
            <w:tcW w:w="1440" w:type="dxa"/>
            <w:vAlign w:val="bottom"/>
            <w:shd w:val="clear" w:color="auto" w:fill="EBEBEC"/>
          </w:tcPr>
          <w:p>
            <w:pPr>
              <w:jc w:val="right"/>
              <w:ind w:right="246"/>
              <w:spacing w:after="0"/>
              <w:rPr>
                <w:sz w:val="20"/>
                <w:szCs w:val="20"/>
                <w:color w:val="auto"/>
              </w:rPr>
            </w:pPr>
            <w:r>
              <w:rPr>
                <w:rFonts w:ascii="Arial" w:cs="Arial" w:eastAsia="Arial" w:hAnsi="Arial"/>
                <w:sz w:val="11"/>
                <w:szCs w:val="11"/>
                <w:color w:val="auto"/>
              </w:rPr>
              <w:t>5,195,872</w:t>
            </w:r>
          </w:p>
        </w:tc>
      </w:tr>
      <w:tr>
        <w:trPr>
          <w:trHeight w:val="135"/>
        </w:trPr>
        <w:tc>
          <w:tcPr>
            <w:tcW w:w="2590" w:type="dxa"/>
            <w:vAlign w:val="bottom"/>
            <w:shd w:val="clear" w:color="auto" w:fill="EBEBEC"/>
          </w:tcPr>
          <w:p>
            <w:pPr>
              <w:ind w:left="100"/>
              <w:spacing w:after="0"/>
              <w:rPr>
                <w:sz w:val="20"/>
                <w:szCs w:val="20"/>
                <w:color w:val="auto"/>
              </w:rPr>
            </w:pPr>
            <w:r>
              <w:rPr>
                <w:rFonts w:ascii="Arial" w:cs="Arial" w:eastAsia="Arial" w:hAnsi="Arial"/>
                <w:sz w:val="11"/>
                <w:szCs w:val="11"/>
                <w:color w:val="auto"/>
              </w:rPr>
              <w:t>Medical Benefits(4)</w:t>
            </w:r>
          </w:p>
        </w:tc>
        <w:tc>
          <w:tcPr>
            <w:tcW w:w="17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39,923</w:t>
            </w:r>
          </w:p>
        </w:tc>
        <w:tc>
          <w:tcPr>
            <w:tcW w:w="5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5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5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780" w:type="dxa"/>
            <w:vAlign w:val="bottom"/>
            <w:shd w:val="clear" w:color="auto" w:fill="EBEBEC"/>
          </w:tcPr>
          <w:p>
            <w:pPr>
              <w:jc w:val="right"/>
              <w:ind w:right="86"/>
              <w:spacing w:after="0"/>
              <w:rPr>
                <w:sz w:val="20"/>
                <w:szCs w:val="20"/>
                <w:color w:val="auto"/>
              </w:rPr>
            </w:pPr>
            <w:r>
              <w:rPr>
                <w:rFonts w:ascii="Arial" w:cs="Arial" w:eastAsia="Arial" w:hAnsi="Arial"/>
                <w:sz w:val="11"/>
                <w:szCs w:val="11"/>
                <w:color w:val="auto"/>
              </w:rPr>
              <w:t>$</w:t>
            </w:r>
          </w:p>
        </w:tc>
        <w:tc>
          <w:tcPr>
            <w:tcW w:w="1440" w:type="dxa"/>
            <w:vAlign w:val="bottom"/>
            <w:shd w:val="clear" w:color="auto" w:fill="EBEBEC"/>
          </w:tcPr>
          <w:p>
            <w:pPr>
              <w:jc w:val="right"/>
              <w:ind w:right="246"/>
              <w:spacing w:after="0"/>
              <w:rPr>
                <w:sz w:val="20"/>
                <w:szCs w:val="20"/>
                <w:color w:val="auto"/>
              </w:rPr>
            </w:pPr>
            <w:r>
              <w:rPr>
                <w:rFonts w:ascii="Arial" w:cs="Arial" w:eastAsia="Arial" w:hAnsi="Arial"/>
                <w:sz w:val="11"/>
                <w:szCs w:val="11"/>
                <w:color w:val="auto"/>
              </w:rPr>
              <w:t>53,231</w:t>
            </w:r>
          </w:p>
        </w:tc>
      </w:tr>
      <w:tr>
        <w:trPr>
          <w:trHeight w:val="135"/>
        </w:trPr>
        <w:tc>
          <w:tcPr>
            <w:tcW w:w="2590" w:type="dxa"/>
            <w:vAlign w:val="bottom"/>
            <w:shd w:val="clear" w:color="auto" w:fill="EBEBEC"/>
          </w:tcPr>
          <w:p>
            <w:pPr>
              <w:ind w:left="100"/>
              <w:spacing w:after="0"/>
              <w:rPr>
                <w:sz w:val="20"/>
                <w:szCs w:val="20"/>
                <w:color w:val="auto"/>
              </w:rPr>
            </w:pPr>
            <w:r>
              <w:rPr>
                <w:rFonts w:ascii="Arial" w:cs="Arial" w:eastAsia="Arial" w:hAnsi="Arial"/>
                <w:sz w:val="11"/>
                <w:szCs w:val="11"/>
                <w:b w:val="1"/>
                <w:bCs w:val="1"/>
                <w:color w:val="auto"/>
              </w:rPr>
              <w:t>Chris D. Gould</w:t>
            </w:r>
          </w:p>
        </w:tc>
        <w:tc>
          <w:tcPr>
            <w:tcW w:w="170" w:type="dxa"/>
            <w:vAlign w:val="bottom"/>
            <w:shd w:val="clear" w:color="auto" w:fill="EBEBEC"/>
          </w:tcPr>
          <w:p>
            <w:pPr>
              <w:spacing w:after="0"/>
              <w:rPr>
                <w:sz w:val="11"/>
                <w:szCs w:val="11"/>
                <w:color w:val="auto"/>
              </w:rPr>
            </w:pPr>
          </w:p>
        </w:tc>
        <w:tc>
          <w:tcPr>
            <w:tcW w:w="1300" w:type="dxa"/>
            <w:vAlign w:val="bottom"/>
            <w:shd w:val="clear" w:color="auto" w:fill="EBEBEC"/>
          </w:tcPr>
          <w:p>
            <w:pPr>
              <w:spacing w:after="0"/>
              <w:rPr>
                <w:sz w:val="11"/>
                <w:szCs w:val="11"/>
                <w:color w:val="auto"/>
              </w:rPr>
            </w:pPr>
          </w:p>
        </w:tc>
        <w:tc>
          <w:tcPr>
            <w:tcW w:w="520" w:type="dxa"/>
            <w:vAlign w:val="bottom"/>
            <w:shd w:val="clear" w:color="auto" w:fill="EBEBEC"/>
          </w:tcPr>
          <w:p>
            <w:pPr>
              <w:spacing w:after="0"/>
              <w:rPr>
                <w:sz w:val="11"/>
                <w:szCs w:val="11"/>
                <w:color w:val="auto"/>
              </w:rPr>
            </w:pPr>
          </w:p>
        </w:tc>
        <w:tc>
          <w:tcPr>
            <w:tcW w:w="1160" w:type="dxa"/>
            <w:vAlign w:val="bottom"/>
            <w:shd w:val="clear" w:color="auto" w:fill="EBEBEC"/>
          </w:tcPr>
          <w:p>
            <w:pPr>
              <w:spacing w:after="0"/>
              <w:rPr>
                <w:sz w:val="11"/>
                <w:szCs w:val="11"/>
                <w:color w:val="auto"/>
              </w:rPr>
            </w:pPr>
          </w:p>
        </w:tc>
        <w:tc>
          <w:tcPr>
            <w:tcW w:w="540" w:type="dxa"/>
            <w:vAlign w:val="bottom"/>
            <w:shd w:val="clear" w:color="auto" w:fill="EBEBEC"/>
          </w:tcPr>
          <w:p>
            <w:pPr>
              <w:spacing w:after="0"/>
              <w:rPr>
                <w:sz w:val="11"/>
                <w:szCs w:val="11"/>
                <w:color w:val="auto"/>
              </w:rPr>
            </w:pPr>
          </w:p>
        </w:tc>
        <w:tc>
          <w:tcPr>
            <w:tcW w:w="1100" w:type="dxa"/>
            <w:vAlign w:val="bottom"/>
            <w:shd w:val="clear" w:color="auto" w:fill="EBEBEC"/>
          </w:tcPr>
          <w:p>
            <w:pPr>
              <w:spacing w:after="0"/>
              <w:rPr>
                <w:sz w:val="11"/>
                <w:szCs w:val="11"/>
                <w:color w:val="auto"/>
              </w:rPr>
            </w:pPr>
          </w:p>
        </w:tc>
        <w:tc>
          <w:tcPr>
            <w:tcW w:w="520" w:type="dxa"/>
            <w:vAlign w:val="bottom"/>
            <w:shd w:val="clear" w:color="auto" w:fill="EBEBEC"/>
          </w:tcPr>
          <w:p>
            <w:pPr>
              <w:spacing w:after="0"/>
              <w:rPr>
                <w:sz w:val="11"/>
                <w:szCs w:val="11"/>
                <w:color w:val="auto"/>
              </w:rPr>
            </w:pPr>
          </w:p>
        </w:tc>
        <w:tc>
          <w:tcPr>
            <w:tcW w:w="1120" w:type="dxa"/>
            <w:vAlign w:val="bottom"/>
            <w:shd w:val="clear" w:color="auto" w:fill="EBEBEC"/>
          </w:tcPr>
          <w:p>
            <w:pPr>
              <w:spacing w:after="0"/>
              <w:rPr>
                <w:sz w:val="11"/>
                <w:szCs w:val="11"/>
                <w:color w:val="auto"/>
              </w:rPr>
            </w:pPr>
          </w:p>
        </w:tc>
        <w:tc>
          <w:tcPr>
            <w:tcW w:w="780" w:type="dxa"/>
            <w:vAlign w:val="bottom"/>
            <w:shd w:val="clear" w:color="auto" w:fill="EBEBEC"/>
          </w:tcPr>
          <w:p>
            <w:pPr>
              <w:spacing w:after="0"/>
              <w:rPr>
                <w:sz w:val="11"/>
                <w:szCs w:val="11"/>
                <w:color w:val="auto"/>
              </w:rPr>
            </w:pPr>
          </w:p>
        </w:tc>
        <w:tc>
          <w:tcPr>
            <w:tcW w:w="1440" w:type="dxa"/>
            <w:vAlign w:val="bottom"/>
            <w:shd w:val="clear" w:color="auto" w:fill="EBEBEC"/>
          </w:tcPr>
          <w:p>
            <w:pPr>
              <w:spacing w:after="0"/>
              <w:rPr>
                <w:sz w:val="11"/>
                <w:szCs w:val="11"/>
                <w:color w:val="auto"/>
              </w:rPr>
            </w:pPr>
          </w:p>
        </w:tc>
      </w:tr>
      <w:tr>
        <w:trPr>
          <w:trHeight w:val="135"/>
        </w:trPr>
        <w:tc>
          <w:tcPr>
            <w:tcW w:w="2590" w:type="dxa"/>
            <w:vAlign w:val="bottom"/>
            <w:shd w:val="clear" w:color="auto" w:fill="EBEBEC"/>
          </w:tcPr>
          <w:p>
            <w:pPr>
              <w:ind w:left="100"/>
              <w:spacing w:after="0"/>
              <w:rPr>
                <w:sz w:val="20"/>
                <w:szCs w:val="20"/>
                <w:color w:val="auto"/>
              </w:rPr>
            </w:pPr>
            <w:r>
              <w:rPr>
                <w:rFonts w:ascii="Arial" w:cs="Arial" w:eastAsia="Arial" w:hAnsi="Arial"/>
                <w:sz w:val="11"/>
                <w:szCs w:val="11"/>
                <w:color w:val="auto"/>
              </w:rPr>
              <w:t>Annual Bonus(1)</w:t>
            </w:r>
          </w:p>
        </w:tc>
        <w:tc>
          <w:tcPr>
            <w:tcW w:w="17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831,578</w:t>
            </w:r>
          </w:p>
        </w:tc>
        <w:tc>
          <w:tcPr>
            <w:tcW w:w="5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831,578</w:t>
            </w:r>
          </w:p>
        </w:tc>
        <w:tc>
          <w:tcPr>
            <w:tcW w:w="5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831,578</w:t>
            </w:r>
          </w:p>
        </w:tc>
        <w:tc>
          <w:tcPr>
            <w:tcW w:w="5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831,578</w:t>
            </w:r>
          </w:p>
        </w:tc>
        <w:tc>
          <w:tcPr>
            <w:tcW w:w="780" w:type="dxa"/>
            <w:vAlign w:val="bottom"/>
            <w:shd w:val="clear" w:color="auto" w:fill="EBEBEC"/>
          </w:tcPr>
          <w:p>
            <w:pPr>
              <w:jc w:val="right"/>
              <w:ind w:right="86"/>
              <w:spacing w:after="0"/>
              <w:rPr>
                <w:sz w:val="20"/>
                <w:szCs w:val="20"/>
                <w:color w:val="auto"/>
              </w:rPr>
            </w:pPr>
            <w:r>
              <w:rPr>
                <w:rFonts w:ascii="Arial" w:cs="Arial" w:eastAsia="Arial" w:hAnsi="Arial"/>
                <w:sz w:val="11"/>
                <w:szCs w:val="11"/>
                <w:color w:val="auto"/>
              </w:rPr>
              <w:t>$</w:t>
            </w:r>
          </w:p>
        </w:tc>
        <w:tc>
          <w:tcPr>
            <w:tcW w:w="1440" w:type="dxa"/>
            <w:vAlign w:val="bottom"/>
            <w:shd w:val="clear" w:color="auto" w:fill="EBEBEC"/>
          </w:tcPr>
          <w:p>
            <w:pPr>
              <w:jc w:val="right"/>
              <w:ind w:right="246"/>
              <w:spacing w:after="0"/>
              <w:rPr>
                <w:sz w:val="20"/>
                <w:szCs w:val="20"/>
                <w:color w:val="auto"/>
              </w:rPr>
            </w:pPr>
            <w:r>
              <w:rPr>
                <w:rFonts w:ascii="Arial" w:cs="Arial" w:eastAsia="Arial" w:hAnsi="Arial"/>
                <w:sz w:val="11"/>
                <w:szCs w:val="11"/>
                <w:color w:val="auto"/>
              </w:rPr>
              <w:t>831,578</w:t>
            </w:r>
          </w:p>
        </w:tc>
      </w:tr>
      <w:tr>
        <w:trPr>
          <w:trHeight w:val="135"/>
        </w:trPr>
        <w:tc>
          <w:tcPr>
            <w:tcW w:w="2590" w:type="dxa"/>
            <w:vAlign w:val="bottom"/>
            <w:shd w:val="clear" w:color="auto" w:fill="EBEBEC"/>
          </w:tcPr>
          <w:p>
            <w:pPr>
              <w:ind w:left="100"/>
              <w:spacing w:after="0"/>
              <w:rPr>
                <w:sz w:val="20"/>
                <w:szCs w:val="20"/>
                <w:color w:val="auto"/>
              </w:rPr>
            </w:pPr>
            <w:r>
              <w:rPr>
                <w:rFonts w:ascii="Arial" w:cs="Arial" w:eastAsia="Arial" w:hAnsi="Arial"/>
                <w:sz w:val="11"/>
                <w:szCs w:val="11"/>
                <w:color w:val="auto"/>
              </w:rPr>
              <w:t>Severance(2)</w:t>
            </w:r>
          </w:p>
        </w:tc>
        <w:tc>
          <w:tcPr>
            <w:tcW w:w="17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1,845,000</w:t>
            </w:r>
          </w:p>
        </w:tc>
        <w:tc>
          <w:tcPr>
            <w:tcW w:w="5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5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5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780" w:type="dxa"/>
            <w:vAlign w:val="bottom"/>
            <w:shd w:val="clear" w:color="auto" w:fill="EBEBEC"/>
          </w:tcPr>
          <w:p>
            <w:pPr>
              <w:jc w:val="right"/>
              <w:ind w:right="86"/>
              <w:spacing w:after="0"/>
              <w:rPr>
                <w:sz w:val="20"/>
                <w:szCs w:val="20"/>
                <w:color w:val="auto"/>
              </w:rPr>
            </w:pPr>
            <w:r>
              <w:rPr>
                <w:rFonts w:ascii="Arial" w:cs="Arial" w:eastAsia="Arial" w:hAnsi="Arial"/>
                <w:sz w:val="11"/>
                <w:szCs w:val="11"/>
                <w:color w:val="auto"/>
              </w:rPr>
              <w:t>$</w:t>
            </w:r>
          </w:p>
        </w:tc>
        <w:tc>
          <w:tcPr>
            <w:tcW w:w="1440" w:type="dxa"/>
            <w:vAlign w:val="bottom"/>
            <w:shd w:val="clear" w:color="auto" w:fill="EBEBEC"/>
          </w:tcPr>
          <w:p>
            <w:pPr>
              <w:jc w:val="right"/>
              <w:ind w:right="246"/>
              <w:spacing w:after="0"/>
              <w:rPr>
                <w:sz w:val="20"/>
                <w:szCs w:val="20"/>
                <w:color w:val="auto"/>
              </w:rPr>
            </w:pPr>
            <w:r>
              <w:rPr>
                <w:rFonts w:ascii="Arial" w:cs="Arial" w:eastAsia="Arial" w:hAnsi="Arial"/>
                <w:sz w:val="11"/>
                <w:szCs w:val="11"/>
                <w:color w:val="auto"/>
              </w:rPr>
              <w:t>2,460,000</w:t>
            </w:r>
          </w:p>
        </w:tc>
      </w:tr>
      <w:tr>
        <w:trPr>
          <w:trHeight w:val="135"/>
        </w:trPr>
        <w:tc>
          <w:tcPr>
            <w:tcW w:w="2590" w:type="dxa"/>
            <w:vAlign w:val="bottom"/>
            <w:shd w:val="clear" w:color="auto" w:fill="EBEBEC"/>
          </w:tcPr>
          <w:p>
            <w:pPr>
              <w:ind w:left="100"/>
              <w:spacing w:after="0"/>
              <w:rPr>
                <w:sz w:val="20"/>
                <w:szCs w:val="20"/>
                <w:color w:val="auto"/>
              </w:rPr>
            </w:pPr>
            <w:r>
              <w:rPr>
                <w:rFonts w:ascii="Arial" w:cs="Arial" w:eastAsia="Arial" w:hAnsi="Arial"/>
                <w:sz w:val="11"/>
                <w:szCs w:val="11"/>
                <w:color w:val="auto"/>
              </w:rPr>
              <w:t>Equity Awards(3)</w:t>
            </w:r>
          </w:p>
        </w:tc>
        <w:tc>
          <w:tcPr>
            <w:tcW w:w="17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4,223,271</w:t>
            </w:r>
          </w:p>
        </w:tc>
        <w:tc>
          <w:tcPr>
            <w:tcW w:w="5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5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5,338,750</w:t>
            </w:r>
          </w:p>
        </w:tc>
        <w:tc>
          <w:tcPr>
            <w:tcW w:w="5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4,223,271</w:t>
            </w:r>
          </w:p>
        </w:tc>
        <w:tc>
          <w:tcPr>
            <w:tcW w:w="780" w:type="dxa"/>
            <w:vAlign w:val="bottom"/>
            <w:shd w:val="clear" w:color="auto" w:fill="EBEBEC"/>
          </w:tcPr>
          <w:p>
            <w:pPr>
              <w:jc w:val="right"/>
              <w:ind w:right="86"/>
              <w:spacing w:after="0"/>
              <w:rPr>
                <w:sz w:val="20"/>
                <w:szCs w:val="20"/>
                <w:color w:val="auto"/>
              </w:rPr>
            </w:pPr>
            <w:r>
              <w:rPr>
                <w:rFonts w:ascii="Arial" w:cs="Arial" w:eastAsia="Arial" w:hAnsi="Arial"/>
                <w:sz w:val="11"/>
                <w:szCs w:val="11"/>
                <w:color w:val="auto"/>
              </w:rPr>
              <w:t>$</w:t>
            </w:r>
          </w:p>
        </w:tc>
        <w:tc>
          <w:tcPr>
            <w:tcW w:w="1440" w:type="dxa"/>
            <w:vAlign w:val="bottom"/>
            <w:shd w:val="clear" w:color="auto" w:fill="EBEBEC"/>
          </w:tcPr>
          <w:p>
            <w:pPr>
              <w:jc w:val="right"/>
              <w:ind w:right="246"/>
              <w:spacing w:after="0"/>
              <w:rPr>
                <w:sz w:val="20"/>
                <w:szCs w:val="20"/>
                <w:color w:val="auto"/>
              </w:rPr>
            </w:pPr>
            <w:r>
              <w:rPr>
                <w:rFonts w:ascii="Arial" w:cs="Arial" w:eastAsia="Arial" w:hAnsi="Arial"/>
                <w:sz w:val="11"/>
                <w:szCs w:val="11"/>
                <w:color w:val="auto"/>
              </w:rPr>
              <w:t>5,338,750</w:t>
            </w:r>
          </w:p>
        </w:tc>
      </w:tr>
      <w:tr>
        <w:trPr>
          <w:trHeight w:val="135"/>
        </w:trPr>
        <w:tc>
          <w:tcPr>
            <w:tcW w:w="2590" w:type="dxa"/>
            <w:vAlign w:val="bottom"/>
            <w:shd w:val="clear" w:color="auto" w:fill="EBEBEC"/>
          </w:tcPr>
          <w:p>
            <w:pPr>
              <w:ind w:left="100"/>
              <w:spacing w:after="0"/>
              <w:rPr>
                <w:sz w:val="20"/>
                <w:szCs w:val="20"/>
                <w:color w:val="auto"/>
              </w:rPr>
            </w:pPr>
            <w:r>
              <w:rPr>
                <w:rFonts w:ascii="Arial" w:cs="Arial" w:eastAsia="Arial" w:hAnsi="Arial"/>
                <w:sz w:val="11"/>
                <w:szCs w:val="11"/>
                <w:color w:val="auto"/>
              </w:rPr>
              <w:t>Medical Benefits(4)</w:t>
            </w:r>
          </w:p>
        </w:tc>
        <w:tc>
          <w:tcPr>
            <w:tcW w:w="17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39,923</w:t>
            </w:r>
          </w:p>
        </w:tc>
        <w:tc>
          <w:tcPr>
            <w:tcW w:w="5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5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5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780" w:type="dxa"/>
            <w:vAlign w:val="bottom"/>
            <w:shd w:val="clear" w:color="auto" w:fill="EBEBEC"/>
          </w:tcPr>
          <w:p>
            <w:pPr>
              <w:jc w:val="right"/>
              <w:ind w:right="86"/>
              <w:spacing w:after="0"/>
              <w:rPr>
                <w:sz w:val="20"/>
                <w:szCs w:val="20"/>
                <w:color w:val="auto"/>
              </w:rPr>
            </w:pPr>
            <w:r>
              <w:rPr>
                <w:rFonts w:ascii="Arial" w:cs="Arial" w:eastAsia="Arial" w:hAnsi="Arial"/>
                <w:sz w:val="11"/>
                <w:szCs w:val="11"/>
                <w:color w:val="auto"/>
              </w:rPr>
              <w:t>$</w:t>
            </w:r>
          </w:p>
        </w:tc>
        <w:tc>
          <w:tcPr>
            <w:tcW w:w="1440" w:type="dxa"/>
            <w:vAlign w:val="bottom"/>
            <w:shd w:val="clear" w:color="auto" w:fill="EBEBEC"/>
          </w:tcPr>
          <w:p>
            <w:pPr>
              <w:jc w:val="right"/>
              <w:ind w:right="246"/>
              <w:spacing w:after="0"/>
              <w:rPr>
                <w:sz w:val="20"/>
                <w:szCs w:val="20"/>
                <w:color w:val="auto"/>
              </w:rPr>
            </w:pPr>
            <w:r>
              <w:rPr>
                <w:rFonts w:ascii="Arial" w:cs="Arial" w:eastAsia="Arial" w:hAnsi="Arial"/>
                <w:sz w:val="11"/>
                <w:szCs w:val="11"/>
                <w:color w:val="auto"/>
              </w:rPr>
              <w:t>53,231</w:t>
            </w:r>
          </w:p>
        </w:tc>
      </w:tr>
      <w:tr>
        <w:trPr>
          <w:trHeight w:val="135"/>
        </w:trPr>
        <w:tc>
          <w:tcPr>
            <w:tcW w:w="2590" w:type="dxa"/>
            <w:vAlign w:val="bottom"/>
            <w:shd w:val="clear" w:color="auto" w:fill="EBEBEC"/>
          </w:tcPr>
          <w:p>
            <w:pPr>
              <w:ind w:left="100"/>
              <w:spacing w:after="0"/>
              <w:rPr>
                <w:sz w:val="20"/>
                <w:szCs w:val="20"/>
                <w:color w:val="auto"/>
              </w:rPr>
            </w:pPr>
            <w:r>
              <w:rPr>
                <w:rFonts w:ascii="Arial" w:cs="Arial" w:eastAsia="Arial" w:hAnsi="Arial"/>
                <w:sz w:val="11"/>
                <w:szCs w:val="11"/>
                <w:b w:val="1"/>
                <w:bCs w:val="1"/>
                <w:color w:val="auto"/>
              </w:rPr>
              <w:t>Michael L. Preston</w:t>
            </w:r>
          </w:p>
        </w:tc>
        <w:tc>
          <w:tcPr>
            <w:tcW w:w="170" w:type="dxa"/>
            <w:vAlign w:val="bottom"/>
            <w:shd w:val="clear" w:color="auto" w:fill="EBEBEC"/>
          </w:tcPr>
          <w:p>
            <w:pPr>
              <w:spacing w:after="0"/>
              <w:rPr>
                <w:sz w:val="11"/>
                <w:szCs w:val="11"/>
                <w:color w:val="auto"/>
              </w:rPr>
            </w:pPr>
          </w:p>
        </w:tc>
        <w:tc>
          <w:tcPr>
            <w:tcW w:w="1300" w:type="dxa"/>
            <w:vAlign w:val="bottom"/>
            <w:shd w:val="clear" w:color="auto" w:fill="EBEBEC"/>
          </w:tcPr>
          <w:p>
            <w:pPr>
              <w:spacing w:after="0"/>
              <w:rPr>
                <w:sz w:val="11"/>
                <w:szCs w:val="11"/>
                <w:color w:val="auto"/>
              </w:rPr>
            </w:pPr>
          </w:p>
        </w:tc>
        <w:tc>
          <w:tcPr>
            <w:tcW w:w="520" w:type="dxa"/>
            <w:vAlign w:val="bottom"/>
            <w:shd w:val="clear" w:color="auto" w:fill="EBEBEC"/>
          </w:tcPr>
          <w:p>
            <w:pPr>
              <w:spacing w:after="0"/>
              <w:rPr>
                <w:sz w:val="11"/>
                <w:szCs w:val="11"/>
                <w:color w:val="auto"/>
              </w:rPr>
            </w:pPr>
          </w:p>
        </w:tc>
        <w:tc>
          <w:tcPr>
            <w:tcW w:w="1160" w:type="dxa"/>
            <w:vAlign w:val="bottom"/>
            <w:shd w:val="clear" w:color="auto" w:fill="EBEBEC"/>
          </w:tcPr>
          <w:p>
            <w:pPr>
              <w:spacing w:after="0"/>
              <w:rPr>
                <w:sz w:val="11"/>
                <w:szCs w:val="11"/>
                <w:color w:val="auto"/>
              </w:rPr>
            </w:pPr>
          </w:p>
        </w:tc>
        <w:tc>
          <w:tcPr>
            <w:tcW w:w="540" w:type="dxa"/>
            <w:vAlign w:val="bottom"/>
            <w:shd w:val="clear" w:color="auto" w:fill="EBEBEC"/>
          </w:tcPr>
          <w:p>
            <w:pPr>
              <w:spacing w:after="0"/>
              <w:rPr>
                <w:sz w:val="11"/>
                <w:szCs w:val="11"/>
                <w:color w:val="auto"/>
              </w:rPr>
            </w:pPr>
          </w:p>
        </w:tc>
        <w:tc>
          <w:tcPr>
            <w:tcW w:w="1100" w:type="dxa"/>
            <w:vAlign w:val="bottom"/>
            <w:shd w:val="clear" w:color="auto" w:fill="EBEBEC"/>
          </w:tcPr>
          <w:p>
            <w:pPr>
              <w:spacing w:after="0"/>
              <w:rPr>
                <w:sz w:val="11"/>
                <w:szCs w:val="11"/>
                <w:color w:val="auto"/>
              </w:rPr>
            </w:pPr>
          </w:p>
        </w:tc>
        <w:tc>
          <w:tcPr>
            <w:tcW w:w="520" w:type="dxa"/>
            <w:vAlign w:val="bottom"/>
            <w:shd w:val="clear" w:color="auto" w:fill="EBEBEC"/>
          </w:tcPr>
          <w:p>
            <w:pPr>
              <w:spacing w:after="0"/>
              <w:rPr>
                <w:sz w:val="11"/>
                <w:szCs w:val="11"/>
                <w:color w:val="auto"/>
              </w:rPr>
            </w:pPr>
          </w:p>
        </w:tc>
        <w:tc>
          <w:tcPr>
            <w:tcW w:w="1120" w:type="dxa"/>
            <w:vAlign w:val="bottom"/>
            <w:shd w:val="clear" w:color="auto" w:fill="EBEBEC"/>
          </w:tcPr>
          <w:p>
            <w:pPr>
              <w:spacing w:after="0"/>
              <w:rPr>
                <w:sz w:val="11"/>
                <w:szCs w:val="11"/>
                <w:color w:val="auto"/>
              </w:rPr>
            </w:pPr>
          </w:p>
        </w:tc>
        <w:tc>
          <w:tcPr>
            <w:tcW w:w="780" w:type="dxa"/>
            <w:vAlign w:val="bottom"/>
            <w:shd w:val="clear" w:color="auto" w:fill="EBEBEC"/>
          </w:tcPr>
          <w:p>
            <w:pPr>
              <w:spacing w:after="0"/>
              <w:rPr>
                <w:sz w:val="11"/>
                <w:szCs w:val="11"/>
                <w:color w:val="auto"/>
              </w:rPr>
            </w:pPr>
          </w:p>
        </w:tc>
        <w:tc>
          <w:tcPr>
            <w:tcW w:w="1440" w:type="dxa"/>
            <w:vAlign w:val="bottom"/>
            <w:shd w:val="clear" w:color="auto" w:fill="EBEBEC"/>
          </w:tcPr>
          <w:p>
            <w:pPr>
              <w:spacing w:after="0"/>
              <w:rPr>
                <w:sz w:val="11"/>
                <w:szCs w:val="11"/>
                <w:color w:val="auto"/>
              </w:rPr>
            </w:pPr>
          </w:p>
        </w:tc>
      </w:tr>
      <w:tr>
        <w:trPr>
          <w:trHeight w:val="135"/>
        </w:trPr>
        <w:tc>
          <w:tcPr>
            <w:tcW w:w="2590" w:type="dxa"/>
            <w:vAlign w:val="bottom"/>
            <w:shd w:val="clear" w:color="auto" w:fill="EBEBEC"/>
          </w:tcPr>
          <w:p>
            <w:pPr>
              <w:ind w:left="100"/>
              <w:spacing w:after="0"/>
              <w:rPr>
                <w:sz w:val="20"/>
                <w:szCs w:val="20"/>
                <w:color w:val="auto"/>
              </w:rPr>
            </w:pPr>
            <w:r>
              <w:rPr>
                <w:rFonts w:ascii="Arial" w:cs="Arial" w:eastAsia="Arial" w:hAnsi="Arial"/>
                <w:sz w:val="11"/>
                <w:szCs w:val="11"/>
                <w:color w:val="auto"/>
              </w:rPr>
              <w:t>Annual Bonus(1)</w:t>
            </w:r>
          </w:p>
        </w:tc>
        <w:tc>
          <w:tcPr>
            <w:tcW w:w="17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625,000</w:t>
            </w:r>
          </w:p>
        </w:tc>
        <w:tc>
          <w:tcPr>
            <w:tcW w:w="5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857,600</w:t>
            </w:r>
          </w:p>
        </w:tc>
        <w:tc>
          <w:tcPr>
            <w:tcW w:w="5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857,600</w:t>
            </w:r>
          </w:p>
        </w:tc>
        <w:tc>
          <w:tcPr>
            <w:tcW w:w="5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857,600</w:t>
            </w:r>
          </w:p>
        </w:tc>
        <w:tc>
          <w:tcPr>
            <w:tcW w:w="780" w:type="dxa"/>
            <w:vAlign w:val="bottom"/>
            <w:shd w:val="clear" w:color="auto" w:fill="EBEBEC"/>
          </w:tcPr>
          <w:p>
            <w:pPr>
              <w:jc w:val="right"/>
              <w:ind w:right="86"/>
              <w:spacing w:after="0"/>
              <w:rPr>
                <w:sz w:val="20"/>
                <w:szCs w:val="20"/>
                <w:color w:val="auto"/>
              </w:rPr>
            </w:pPr>
            <w:r>
              <w:rPr>
                <w:rFonts w:ascii="Arial" w:cs="Arial" w:eastAsia="Arial" w:hAnsi="Arial"/>
                <w:sz w:val="11"/>
                <w:szCs w:val="11"/>
                <w:color w:val="auto"/>
              </w:rPr>
              <w:t>$</w:t>
            </w:r>
          </w:p>
        </w:tc>
        <w:tc>
          <w:tcPr>
            <w:tcW w:w="1440" w:type="dxa"/>
            <w:vAlign w:val="bottom"/>
            <w:shd w:val="clear" w:color="auto" w:fill="EBEBEC"/>
          </w:tcPr>
          <w:p>
            <w:pPr>
              <w:jc w:val="right"/>
              <w:ind w:right="246"/>
              <w:spacing w:after="0"/>
              <w:rPr>
                <w:sz w:val="20"/>
                <w:szCs w:val="20"/>
                <w:color w:val="auto"/>
              </w:rPr>
            </w:pPr>
            <w:r>
              <w:rPr>
                <w:rFonts w:ascii="Arial" w:cs="Arial" w:eastAsia="Arial" w:hAnsi="Arial"/>
                <w:sz w:val="11"/>
                <w:szCs w:val="11"/>
                <w:color w:val="auto"/>
              </w:rPr>
              <w:t>625,000</w:t>
            </w:r>
          </w:p>
        </w:tc>
      </w:tr>
      <w:tr>
        <w:trPr>
          <w:trHeight w:val="135"/>
        </w:trPr>
        <w:tc>
          <w:tcPr>
            <w:tcW w:w="2590" w:type="dxa"/>
            <w:vAlign w:val="bottom"/>
            <w:shd w:val="clear" w:color="auto" w:fill="EBEBEC"/>
          </w:tcPr>
          <w:p>
            <w:pPr>
              <w:ind w:left="100"/>
              <w:spacing w:after="0"/>
              <w:rPr>
                <w:sz w:val="20"/>
                <w:szCs w:val="20"/>
                <w:color w:val="auto"/>
              </w:rPr>
            </w:pPr>
            <w:r>
              <w:rPr>
                <w:rFonts w:ascii="Arial" w:cs="Arial" w:eastAsia="Arial" w:hAnsi="Arial"/>
                <w:sz w:val="11"/>
                <w:szCs w:val="11"/>
                <w:color w:val="auto"/>
              </w:rPr>
              <w:t>Severance(2)</w:t>
            </w:r>
          </w:p>
        </w:tc>
        <w:tc>
          <w:tcPr>
            <w:tcW w:w="17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937,500</w:t>
            </w:r>
          </w:p>
        </w:tc>
        <w:tc>
          <w:tcPr>
            <w:tcW w:w="5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5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5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780" w:type="dxa"/>
            <w:vAlign w:val="bottom"/>
            <w:shd w:val="clear" w:color="auto" w:fill="EBEBEC"/>
          </w:tcPr>
          <w:p>
            <w:pPr>
              <w:jc w:val="right"/>
              <w:ind w:right="86"/>
              <w:spacing w:after="0"/>
              <w:rPr>
                <w:sz w:val="20"/>
                <w:szCs w:val="20"/>
                <w:color w:val="auto"/>
              </w:rPr>
            </w:pPr>
            <w:r>
              <w:rPr>
                <w:rFonts w:ascii="Arial" w:cs="Arial" w:eastAsia="Arial" w:hAnsi="Arial"/>
                <w:sz w:val="11"/>
                <w:szCs w:val="11"/>
                <w:color w:val="auto"/>
              </w:rPr>
              <w:t>$</w:t>
            </w:r>
          </w:p>
        </w:tc>
        <w:tc>
          <w:tcPr>
            <w:tcW w:w="1440" w:type="dxa"/>
            <w:vAlign w:val="bottom"/>
            <w:shd w:val="clear" w:color="auto" w:fill="EBEBEC"/>
          </w:tcPr>
          <w:p>
            <w:pPr>
              <w:jc w:val="right"/>
              <w:ind w:right="246"/>
              <w:spacing w:after="0"/>
              <w:rPr>
                <w:sz w:val="20"/>
                <w:szCs w:val="20"/>
                <w:color w:val="auto"/>
              </w:rPr>
            </w:pPr>
            <w:r>
              <w:rPr>
                <w:rFonts w:ascii="Arial" w:cs="Arial" w:eastAsia="Arial" w:hAnsi="Arial"/>
                <w:sz w:val="11"/>
                <w:szCs w:val="11"/>
                <w:color w:val="auto"/>
              </w:rPr>
              <w:t>1,250,000</w:t>
            </w:r>
          </w:p>
        </w:tc>
      </w:tr>
      <w:tr>
        <w:trPr>
          <w:trHeight w:val="135"/>
        </w:trPr>
        <w:tc>
          <w:tcPr>
            <w:tcW w:w="2590" w:type="dxa"/>
            <w:vAlign w:val="bottom"/>
            <w:shd w:val="clear" w:color="auto" w:fill="EBEBEC"/>
          </w:tcPr>
          <w:p>
            <w:pPr>
              <w:ind w:left="100"/>
              <w:spacing w:after="0"/>
              <w:rPr>
                <w:sz w:val="20"/>
                <w:szCs w:val="20"/>
                <w:color w:val="auto"/>
              </w:rPr>
            </w:pPr>
            <w:r>
              <w:rPr>
                <w:rFonts w:ascii="Arial" w:cs="Arial" w:eastAsia="Arial" w:hAnsi="Arial"/>
                <w:sz w:val="11"/>
                <w:szCs w:val="11"/>
                <w:color w:val="auto"/>
              </w:rPr>
              <w:t>Equity Awards(3)</w:t>
            </w:r>
          </w:p>
        </w:tc>
        <w:tc>
          <w:tcPr>
            <w:tcW w:w="17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4,344,741</w:t>
            </w:r>
          </w:p>
        </w:tc>
        <w:tc>
          <w:tcPr>
            <w:tcW w:w="5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5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5,484,754</w:t>
            </w:r>
          </w:p>
        </w:tc>
        <w:tc>
          <w:tcPr>
            <w:tcW w:w="5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4,344,741</w:t>
            </w:r>
          </w:p>
        </w:tc>
        <w:tc>
          <w:tcPr>
            <w:tcW w:w="780" w:type="dxa"/>
            <w:vAlign w:val="bottom"/>
            <w:shd w:val="clear" w:color="auto" w:fill="EBEBEC"/>
          </w:tcPr>
          <w:p>
            <w:pPr>
              <w:jc w:val="right"/>
              <w:ind w:right="86"/>
              <w:spacing w:after="0"/>
              <w:rPr>
                <w:sz w:val="20"/>
                <w:szCs w:val="20"/>
                <w:color w:val="auto"/>
              </w:rPr>
            </w:pPr>
            <w:r>
              <w:rPr>
                <w:rFonts w:ascii="Arial" w:cs="Arial" w:eastAsia="Arial" w:hAnsi="Arial"/>
                <w:sz w:val="11"/>
                <w:szCs w:val="11"/>
                <w:color w:val="auto"/>
              </w:rPr>
              <w:t>$</w:t>
            </w:r>
          </w:p>
        </w:tc>
        <w:tc>
          <w:tcPr>
            <w:tcW w:w="1440" w:type="dxa"/>
            <w:vAlign w:val="bottom"/>
            <w:shd w:val="clear" w:color="auto" w:fill="EBEBEC"/>
          </w:tcPr>
          <w:p>
            <w:pPr>
              <w:jc w:val="right"/>
              <w:ind w:right="246"/>
              <w:spacing w:after="0"/>
              <w:rPr>
                <w:sz w:val="20"/>
                <w:szCs w:val="20"/>
                <w:color w:val="auto"/>
              </w:rPr>
            </w:pPr>
            <w:r>
              <w:rPr>
                <w:rFonts w:ascii="Arial" w:cs="Arial" w:eastAsia="Arial" w:hAnsi="Arial"/>
                <w:sz w:val="11"/>
                <w:szCs w:val="11"/>
                <w:color w:val="auto"/>
              </w:rPr>
              <w:t>5,484,754</w:t>
            </w:r>
          </w:p>
        </w:tc>
      </w:tr>
      <w:tr>
        <w:trPr>
          <w:trHeight w:val="148"/>
        </w:trPr>
        <w:tc>
          <w:tcPr>
            <w:tcW w:w="2590" w:type="dxa"/>
            <w:vAlign w:val="bottom"/>
            <w:shd w:val="clear" w:color="auto" w:fill="EBEBEC"/>
          </w:tcPr>
          <w:p>
            <w:pPr>
              <w:ind w:left="100"/>
              <w:spacing w:after="0"/>
              <w:rPr>
                <w:sz w:val="20"/>
                <w:szCs w:val="20"/>
                <w:color w:val="auto"/>
              </w:rPr>
            </w:pPr>
            <w:r>
              <w:rPr>
                <w:rFonts w:ascii="Arial" w:cs="Arial" w:eastAsia="Arial" w:hAnsi="Arial"/>
                <w:sz w:val="11"/>
                <w:szCs w:val="11"/>
                <w:color w:val="auto"/>
              </w:rPr>
              <w:t>Medical Benefits(4)</w:t>
            </w:r>
          </w:p>
        </w:tc>
        <w:tc>
          <w:tcPr>
            <w:tcW w:w="17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39,923</w:t>
            </w:r>
          </w:p>
        </w:tc>
        <w:tc>
          <w:tcPr>
            <w:tcW w:w="5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5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5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780" w:type="dxa"/>
            <w:vAlign w:val="bottom"/>
            <w:shd w:val="clear" w:color="auto" w:fill="EBEBEC"/>
          </w:tcPr>
          <w:p>
            <w:pPr>
              <w:jc w:val="right"/>
              <w:ind w:right="86"/>
              <w:spacing w:after="0"/>
              <w:rPr>
                <w:sz w:val="20"/>
                <w:szCs w:val="20"/>
                <w:color w:val="auto"/>
              </w:rPr>
            </w:pPr>
            <w:r>
              <w:rPr>
                <w:rFonts w:ascii="Arial" w:cs="Arial" w:eastAsia="Arial" w:hAnsi="Arial"/>
                <w:sz w:val="11"/>
                <w:szCs w:val="11"/>
                <w:color w:val="auto"/>
              </w:rPr>
              <w:t>$</w:t>
            </w:r>
          </w:p>
        </w:tc>
        <w:tc>
          <w:tcPr>
            <w:tcW w:w="1440" w:type="dxa"/>
            <w:vAlign w:val="bottom"/>
            <w:shd w:val="clear" w:color="auto" w:fill="EBEBEC"/>
          </w:tcPr>
          <w:p>
            <w:pPr>
              <w:jc w:val="right"/>
              <w:ind w:right="246"/>
              <w:spacing w:after="0"/>
              <w:rPr>
                <w:sz w:val="20"/>
                <w:szCs w:val="20"/>
                <w:color w:val="auto"/>
              </w:rPr>
            </w:pPr>
            <w:r>
              <w:rPr>
                <w:rFonts w:ascii="Arial" w:cs="Arial" w:eastAsia="Arial" w:hAnsi="Arial"/>
                <w:sz w:val="11"/>
                <w:szCs w:val="11"/>
                <w:color w:val="auto"/>
              </w:rPr>
              <w:t>53,231</w:t>
            </w:r>
          </w:p>
        </w:tc>
      </w:tr>
    </w:tbl>
    <w:p>
      <w:pPr>
        <w:spacing w:after="0" w:line="112" w:lineRule="exact"/>
        <w:rPr>
          <w:sz w:val="20"/>
          <w:szCs w:val="20"/>
          <w:color w:val="auto"/>
        </w:rPr>
      </w:pPr>
    </w:p>
    <w:p>
      <w:pPr>
        <w:ind w:left="320" w:right="20" w:hanging="312"/>
        <w:spacing w:after="0" w:line="250" w:lineRule="auto"/>
        <w:tabs>
          <w:tab w:leader="none" w:pos="320" w:val="left"/>
        </w:tabs>
        <w:numPr>
          <w:ilvl w:val="0"/>
          <w:numId w:val="40"/>
        </w:numPr>
        <w:rPr>
          <w:rFonts w:ascii="Arial" w:cs="Arial" w:eastAsia="Arial" w:hAnsi="Arial"/>
          <w:sz w:val="13"/>
          <w:szCs w:val="13"/>
          <w:color w:val="auto"/>
        </w:rPr>
      </w:pPr>
      <w:r>
        <w:rPr>
          <w:rFonts w:ascii="Arial" w:cs="Arial" w:eastAsia="Arial" w:hAnsi="Arial"/>
          <w:sz w:val="14"/>
          <w:szCs w:val="14"/>
          <w:color w:val="auto"/>
        </w:rPr>
        <w:t>Under the terms of their employment agreements, Messrs. Bys and Preston will receive one times their annual target bonus in the events of termination without cause or termination by the executive with good reason. In the event of a qualifying change in control with such a termination within one year as a result, Messrs. Bys and Preston will receive 1.5 times their annual target bonus. In the event of termination due to death or disability, Messrs. Bys and Preston would receive a prorated bonus for the current year, based on actual performance results achieved. Amounts shown for death or disability are the AIP award that would have been payable, based on the amounts that were approved by the Compensation Committee as disclosed in the Summary Compensation Table. Mr. Leon’s and Mr. Gould's 2023 Agreements provide a prorated payout of their current year bonus for the year of termination based on actual performance achieved.</w:t>
      </w:r>
    </w:p>
    <w:p>
      <w:pPr>
        <w:spacing w:after="0" w:line="73" w:lineRule="exact"/>
        <w:rPr>
          <w:rFonts w:ascii="Arial" w:cs="Arial" w:eastAsia="Arial" w:hAnsi="Arial"/>
          <w:sz w:val="13"/>
          <w:szCs w:val="13"/>
          <w:color w:val="auto"/>
        </w:rPr>
      </w:pPr>
    </w:p>
    <w:p>
      <w:pPr>
        <w:ind w:left="320" w:right="100" w:hanging="312"/>
        <w:spacing w:after="0" w:line="250" w:lineRule="auto"/>
        <w:tabs>
          <w:tab w:leader="none" w:pos="320" w:val="left"/>
        </w:tabs>
        <w:numPr>
          <w:ilvl w:val="0"/>
          <w:numId w:val="40"/>
        </w:numPr>
        <w:rPr>
          <w:rFonts w:ascii="Arial" w:cs="Arial" w:eastAsia="Arial" w:hAnsi="Arial"/>
          <w:sz w:val="13"/>
          <w:szCs w:val="13"/>
          <w:color w:val="auto"/>
        </w:rPr>
      </w:pPr>
      <w:r>
        <w:rPr>
          <w:rFonts w:ascii="Arial" w:cs="Arial" w:eastAsia="Arial" w:hAnsi="Arial"/>
          <w:sz w:val="14"/>
          <w:szCs w:val="14"/>
          <w:color w:val="auto"/>
        </w:rPr>
        <w:t>Mr. Leon’s 2023 Agreement provides for 24 months of severance payments equal to his annual base salary plus target annual bonus in the event of a termination without cause or a by the executive with good reason (increased to 30 months in the event of such a termination that occurs in connection with a qualifying change in control).Under the terms of their employment agreements, Messrs. Bys and Preston will receive 18 months of severance in the events of termination without cause or termination by the executive with good reason, including such termination after a change in control. Mr. Gould's 2023 Agreement provides for 18 months of severance equal to his annual base salary plus target annual bonus in the event of a termination without cause or a by the executive with good reason (increased to 24 months in the event of such a termination that occurs in connection with a qualifying change in control).</w:t>
      </w:r>
    </w:p>
    <w:p>
      <w:pPr>
        <w:spacing w:after="0" w:line="73" w:lineRule="exact"/>
        <w:rPr>
          <w:rFonts w:ascii="Arial" w:cs="Arial" w:eastAsia="Arial" w:hAnsi="Arial"/>
          <w:sz w:val="13"/>
          <w:szCs w:val="13"/>
          <w:color w:val="auto"/>
        </w:rPr>
      </w:pPr>
    </w:p>
    <w:p>
      <w:pPr>
        <w:ind w:left="320" w:right="40" w:hanging="312"/>
        <w:spacing w:after="0" w:line="252" w:lineRule="auto"/>
        <w:tabs>
          <w:tab w:leader="none" w:pos="320" w:val="left"/>
        </w:tabs>
        <w:numPr>
          <w:ilvl w:val="0"/>
          <w:numId w:val="40"/>
        </w:numPr>
        <w:rPr>
          <w:rFonts w:ascii="Arial" w:cs="Arial" w:eastAsia="Arial" w:hAnsi="Arial"/>
          <w:sz w:val="13"/>
          <w:szCs w:val="13"/>
          <w:color w:val="auto"/>
        </w:rPr>
      </w:pPr>
      <w:r>
        <w:rPr>
          <w:rFonts w:ascii="Arial" w:cs="Arial" w:eastAsia="Arial" w:hAnsi="Arial"/>
          <w:sz w:val="14"/>
          <w:szCs w:val="14"/>
          <w:color w:val="auto"/>
        </w:rPr>
        <w:t>Under the terms of the 2023 and 2024 RSU and PSU awards, in the events of termination without cause or termination by the executive with good reason, including such a termination after a change in control for the PSUs, the unvested RSUs and PSUs would vest on a prorata basis and the PSUs would remain outstanding and subject to the performance criteria for the remainder of the performance period specified in the award. In the event of the employees death or termination within 12 months of a change in control, all of the unvested would immediately vest. The amounts in this row are based on the closing price on December 31, 2024 of our common stock as reported in the NYSE Composite Transactions, which was $51.89.</w:t>
      </w:r>
    </w:p>
    <w:p>
      <w:pPr>
        <w:spacing w:after="0" w:line="72" w:lineRule="exact"/>
        <w:rPr>
          <w:rFonts w:ascii="Arial" w:cs="Arial" w:eastAsia="Arial" w:hAnsi="Arial"/>
          <w:sz w:val="13"/>
          <w:szCs w:val="13"/>
          <w:color w:val="auto"/>
        </w:rPr>
      </w:pPr>
    </w:p>
    <w:p>
      <w:pPr>
        <w:ind w:left="320" w:right="60" w:hanging="312"/>
        <w:spacing w:after="0" w:line="252" w:lineRule="auto"/>
        <w:tabs>
          <w:tab w:leader="none" w:pos="320" w:val="left"/>
        </w:tabs>
        <w:numPr>
          <w:ilvl w:val="0"/>
          <w:numId w:val="40"/>
        </w:numPr>
        <w:rPr>
          <w:rFonts w:ascii="Arial" w:cs="Arial" w:eastAsia="Arial" w:hAnsi="Arial"/>
          <w:sz w:val="13"/>
          <w:szCs w:val="13"/>
          <w:color w:val="auto"/>
        </w:rPr>
      </w:pPr>
      <w:r>
        <w:rPr>
          <w:rFonts w:ascii="Arial" w:cs="Arial" w:eastAsia="Arial" w:hAnsi="Arial"/>
          <w:sz w:val="14"/>
          <w:szCs w:val="14"/>
          <w:color w:val="auto"/>
        </w:rPr>
        <w:t>Under the terms of their employment agreements, the NEOs will be eligible to continue coverage under the Company’s group health plans for up to 18 months (24 months for Mr. Leon or in the case of a change in control for the other NEOs) in the events of termination without cause or termination by the executive with good reason, including such a termination after or a change in control with termination as a result. The NEO’s contribution for coverage would be the same as active employees. The amount shown above is the current cost, net of required employee contributions, for full coverage under the Company’s highest cost health plans based upon the cost of such coverage as in effect as of December 31, 2024.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CEO Pay Ratio</w:t>
      </w:r>
    </w:p>
    <w:p>
      <w:pPr>
        <w:spacing w:after="0" w:line="210"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relationship of the median of the annual total compensation of our employees and the annual total compensation of our CEO.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For 2024, our last completed fiscal year:</w:t>
      </w:r>
    </w:p>
    <w:p>
      <w:pPr>
        <w:spacing w:after="0" w:line="104" w:lineRule="exact"/>
        <w:rPr>
          <w:sz w:val="20"/>
          <w:szCs w:val="20"/>
          <w:color w:val="auto"/>
        </w:rPr>
      </w:pPr>
    </w:p>
    <w:p>
      <w:pPr>
        <w:ind w:left="540" w:hanging="322"/>
        <w:spacing w:after="0"/>
        <w:tabs>
          <w:tab w:leader="none" w:pos="54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median of the annual total compensation of all employees of our company (other than our CEO) was $167,952.</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annual total compensation of our CEO, as reported in the Summary Compensation Table above, was $7,985,931.</w:t>
      </w:r>
    </w:p>
    <w:p>
      <w:pPr>
        <w:spacing w:after="0" w:line="278" w:lineRule="exact"/>
        <w:rPr>
          <w:sz w:val="20"/>
          <w:szCs w:val="20"/>
          <w:color w:val="auto"/>
        </w:rPr>
      </w:pPr>
    </w:p>
    <w:p>
      <w:pPr>
        <w:ind w:left="718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1" w:name="page62"/>
    <w:bookmarkEnd w:id="61"/>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74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248" w:lineRule="exact"/>
        <w:rPr>
          <w:sz w:val="20"/>
          <w:szCs w:val="20"/>
          <w:color w:val="auto"/>
        </w:rPr>
      </w:pPr>
    </w:p>
    <w:p>
      <w:pPr>
        <w:ind w:left="540" w:right="1000" w:hanging="322"/>
        <w:spacing w:after="0" w:line="270" w:lineRule="auto"/>
        <w:tabs>
          <w:tab w:leader="none" w:pos="54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Based on this information, for 2024 the ratio of the annual total compensation of our CEO to the median of the annual total compensation of all employees was reasonably estimated to be 48 to 1.</w:t>
      </w:r>
    </w:p>
    <w:p>
      <w:pPr>
        <w:spacing w:after="0" w:line="154"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To identify the median of the annual total compensation of all our employees, as well as to determine the annual total compensation of our median employee and our CEO, we took the following steps:</w:t>
      </w:r>
    </w:p>
    <w:p>
      <w:pPr>
        <w:spacing w:after="0" w:line="46" w:lineRule="exact"/>
        <w:rPr>
          <w:sz w:val="20"/>
          <w:szCs w:val="20"/>
          <w:color w:val="auto"/>
        </w:rPr>
      </w:pPr>
    </w:p>
    <w:p>
      <w:pPr>
        <w:ind w:left="540" w:right="20" w:hanging="322"/>
        <w:spacing w:after="0" w:line="242" w:lineRule="auto"/>
        <w:tabs>
          <w:tab w:leader="none" w:pos="54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We determined that, as of December 31, 2024 (which is the date we chose to identify our median employee), our employee population consisted of approximately 1,550 individuals with all of these individuals located in the United States (as reported in Part I, Items 1 &amp; 2 Business and Properties, in our Annual Report on Form 10-K filed with the Securities and Exchange Commission on March 3, 2025 (our “</w:t>
      </w:r>
      <w:r>
        <w:rPr>
          <w:rFonts w:ascii="Arial" w:cs="Arial" w:eastAsia="Arial" w:hAnsi="Arial"/>
          <w:sz w:val="18"/>
          <w:szCs w:val="18"/>
          <w:b w:val="1"/>
          <w:bCs w:val="1"/>
          <w:color w:val="auto"/>
        </w:rPr>
        <w:t>Annual Report</w:t>
      </w:r>
      <w:r>
        <w:rPr>
          <w:rFonts w:ascii="Arial" w:cs="Arial" w:eastAsia="Arial" w:hAnsi="Arial"/>
          <w:sz w:val="18"/>
          <w:szCs w:val="18"/>
          <w:color w:val="auto"/>
        </w:rPr>
        <w:t>”)). This population consisted of our full-time, part-time, and temporary employees, as we do not have seasonal workers. For determination of our median employee, we excluded approximately 580 employees that were acquired with the Aera merger transaction during 2024.</w:t>
      </w:r>
    </w:p>
    <w:p>
      <w:pPr>
        <w:spacing w:after="0" w:line="69" w:lineRule="exact"/>
        <w:rPr>
          <w:rFonts w:ascii="Times New Roman" w:cs="Times New Roman" w:eastAsia="Times New Roman" w:hAnsi="Times New Roman"/>
          <w:sz w:val="18"/>
          <w:szCs w:val="18"/>
          <w:color w:val="auto"/>
        </w:rPr>
      </w:pPr>
    </w:p>
    <w:p>
      <w:pPr>
        <w:ind w:left="540" w:right="80" w:hanging="322"/>
        <w:spacing w:after="0" w:line="243" w:lineRule="auto"/>
        <w:tabs>
          <w:tab w:leader="none" w:pos="54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We used the total compensation reflected in our payroll records as reported to the Internal Revenue Service on Form W-2 for 2024 as a consistently applied compensation measure to identify our median employee. We did not make any assumptions, adjustments, or estimates with respect to the W-2 wages, and we did not annualize the compensation for any employees that were not employed by us for all of 2024. We believe the use of W-2 wages, as applicable, is the most appropriate compensation measure since it includes the total taxable compensation received by our employees in 2024.</w:t>
      </w:r>
    </w:p>
    <w:p>
      <w:pPr>
        <w:spacing w:after="0" w:line="71" w:lineRule="exact"/>
        <w:rPr>
          <w:rFonts w:ascii="Times New Roman" w:cs="Times New Roman" w:eastAsia="Times New Roman" w:hAnsi="Times New Roman"/>
          <w:sz w:val="18"/>
          <w:szCs w:val="18"/>
          <w:color w:val="auto"/>
        </w:rPr>
      </w:pPr>
    </w:p>
    <w:p>
      <w:pPr>
        <w:ind w:left="540" w:right="600" w:hanging="322"/>
        <w:spacing w:after="0" w:line="252" w:lineRule="auto"/>
        <w:tabs>
          <w:tab w:leader="none" w:pos="54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We identified our median employee by consistently applying this compensation measure to all of our employees included in our analysis. Since all of our employees, including our CEO, are located in the United States, we did not make any cost of living adjustments in identifying the median employee.</w:t>
      </w:r>
    </w:p>
    <w:p>
      <w:pPr>
        <w:spacing w:after="0" w:line="62" w:lineRule="exact"/>
        <w:rPr>
          <w:rFonts w:ascii="Times New Roman" w:cs="Times New Roman" w:eastAsia="Times New Roman" w:hAnsi="Times New Roman"/>
          <w:sz w:val="18"/>
          <w:szCs w:val="18"/>
          <w:color w:val="auto"/>
        </w:rPr>
      </w:pPr>
    </w:p>
    <w:p>
      <w:pPr>
        <w:ind w:left="540" w:right="460" w:hanging="322"/>
        <w:spacing w:after="0" w:line="270" w:lineRule="auto"/>
        <w:tabs>
          <w:tab w:leader="none" w:pos="54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After we identified our median employee, we combined all of the elements of such employee’s compensation for the 2024 year in accordance with the requirements of Item 402(c)(2)(x) of Regulation S-K, resulting in annual total compensation of $167,952.</w:t>
      </w:r>
    </w:p>
    <w:p>
      <w:pPr>
        <w:spacing w:after="0" w:line="46" w:lineRule="exact"/>
        <w:rPr>
          <w:rFonts w:ascii="Times New Roman" w:cs="Times New Roman" w:eastAsia="Times New Roman" w:hAnsi="Times New Roman"/>
          <w:sz w:val="18"/>
          <w:szCs w:val="18"/>
          <w:color w:val="auto"/>
        </w:rPr>
      </w:pPr>
    </w:p>
    <w:p>
      <w:pPr>
        <w:jc w:val="both"/>
        <w:ind w:left="540" w:right="60" w:hanging="322"/>
        <w:spacing w:after="0" w:line="252" w:lineRule="auto"/>
        <w:tabs>
          <w:tab w:leader="none" w:pos="54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With respect to the annual total compensation of our CEO, we used the aggregate amounts reported in the “Total” column of our 2024 Summary Compensation Table for Mr. Leon, who served as our CEO throughout 2024, included above and incorporated by reference under Item 11 of Part III of our Annual Report.</w:t>
      </w:r>
    </w:p>
    <w:p>
      <w:pPr>
        <w:spacing w:after="0" w:line="17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This pay ratio is calculated in a manner consistent with SEC rules.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 including companies in our peer group – may not be comparable to the pay ratio reported above. Other companies may have different employment and compensation practices, different geographic breadth, perform different types of work, and may utilize different methodologies, exclusions, estimates and assumptions in calculating their own pay ratios.</w:t>
      </w:r>
    </w:p>
    <w:p>
      <w:pPr>
        <w:spacing w:after="0" w:line="179"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This information is being provided for compliance purposes. Neither the Compensation Committee nor management of the Company used the pay ratio measure in making compensation decisions.</w:t>
      </w:r>
    </w:p>
    <w:p>
      <w:pPr>
        <w:spacing w:after="0" w:line="20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2" w:name="page63"/>
    <w:bookmarkEnd w:id="62"/>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74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Pay Versus Performance Disclosures</w:t>
      </w:r>
    </w:p>
    <w:p>
      <w:pPr>
        <w:spacing w:after="0" w:line="21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required by Item 402(v) of Regulation S-K, we are providing the following information regarding the relationship between executive compensation and the Company’s financial performance for applicable years. The following table summarizes compensation values reported in the Summary Compensation Table for individuals serving as our principal executive officer (“PEO”) and the average for our other NEOs, as compared to “compensation actually paid” and the Company's financial performance for the years ended December 31, 2024, 2023, 2022, 2021 and 2020. In determining the “compensation actually paid” to our NEOs, we are required to make various adjustments to amounts that have been previously reported in the Summary Compensation Table, as the SEC’s valuation methods for this section differ from those required in the Summary Compensation Table. “Compensation actually paid” includes payments made to executives during the applicable year such as salary, performance bonus, and various benefits. However, the SEC’s valuation methods for this section emphasize the changes in fair value of equity awards under applicable financial accounting standards, and as such, references to “compensation actually paid” below reflects the change in equity award values on the applicable calculation dates and does not necessarily reflect what our NEOs received year-to-year.</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420" w:type="dxa"/>
            <w:vAlign w:val="bottom"/>
          </w:tcPr>
          <w:p>
            <w:pPr>
              <w:spacing w:after="0"/>
              <w:rPr>
                <w:sz w:val="13"/>
                <w:szCs w:val="13"/>
                <w:color w:val="auto"/>
              </w:rPr>
            </w:pPr>
          </w:p>
        </w:tc>
        <w:tc>
          <w:tcPr>
            <w:tcW w:w="1700" w:type="dxa"/>
            <w:vAlign w:val="bottom"/>
          </w:tcPr>
          <w:p>
            <w:pPr>
              <w:jc w:val="center"/>
              <w:ind w:left="37"/>
              <w:spacing w:after="0"/>
              <w:rPr>
                <w:sz w:val="20"/>
                <w:szCs w:val="20"/>
                <w:color w:val="auto"/>
              </w:rPr>
            </w:pPr>
            <w:r>
              <w:rPr>
                <w:rFonts w:ascii="Arial" w:cs="Arial" w:eastAsia="Arial" w:hAnsi="Arial"/>
                <w:sz w:val="13"/>
                <w:szCs w:val="13"/>
                <w:b w:val="1"/>
                <w:bCs w:val="1"/>
                <w:color w:val="0070C0"/>
                <w:w w:val="96"/>
              </w:rPr>
              <w:t>Summary Compensation</w:t>
            </w:r>
          </w:p>
        </w:tc>
        <w:tc>
          <w:tcPr>
            <w:tcW w:w="1600" w:type="dxa"/>
            <w:vAlign w:val="bottom"/>
            <w:vMerge w:val="restart"/>
          </w:tcPr>
          <w:p>
            <w:pPr>
              <w:jc w:val="center"/>
              <w:spacing w:after="0"/>
              <w:rPr>
                <w:sz w:val="20"/>
                <w:szCs w:val="20"/>
                <w:color w:val="auto"/>
              </w:rPr>
            </w:pPr>
            <w:r>
              <w:rPr>
                <w:rFonts w:ascii="Arial" w:cs="Arial" w:eastAsia="Arial" w:hAnsi="Arial"/>
                <w:sz w:val="13"/>
                <w:szCs w:val="13"/>
                <w:b w:val="1"/>
                <w:bCs w:val="1"/>
                <w:color w:val="0070C0"/>
                <w:w w:val="96"/>
              </w:rPr>
              <w:t>Compensation Actually</w:t>
            </w:r>
          </w:p>
        </w:tc>
        <w:tc>
          <w:tcPr>
            <w:tcW w:w="1480" w:type="dxa"/>
            <w:vAlign w:val="bottom"/>
          </w:tcPr>
          <w:p>
            <w:pPr>
              <w:jc w:val="center"/>
              <w:spacing w:after="0"/>
              <w:rPr>
                <w:sz w:val="20"/>
                <w:szCs w:val="20"/>
                <w:color w:val="auto"/>
              </w:rPr>
            </w:pPr>
            <w:r>
              <w:rPr>
                <w:rFonts w:ascii="Arial" w:cs="Arial" w:eastAsia="Arial" w:hAnsi="Arial"/>
                <w:sz w:val="13"/>
                <w:szCs w:val="13"/>
                <w:b w:val="1"/>
                <w:bCs w:val="1"/>
                <w:color w:val="0070C0"/>
                <w:w w:val="96"/>
              </w:rPr>
              <w:t>Average Summary</w:t>
            </w:r>
          </w:p>
        </w:tc>
        <w:tc>
          <w:tcPr>
            <w:tcW w:w="1620" w:type="dxa"/>
            <w:vAlign w:val="bottom"/>
          </w:tcPr>
          <w:p>
            <w:pPr>
              <w:jc w:val="center"/>
              <w:ind w:left="17"/>
              <w:spacing w:after="0"/>
              <w:rPr>
                <w:sz w:val="20"/>
                <w:szCs w:val="20"/>
                <w:color w:val="auto"/>
              </w:rPr>
            </w:pPr>
            <w:r>
              <w:rPr>
                <w:rFonts w:ascii="Arial" w:cs="Arial" w:eastAsia="Arial" w:hAnsi="Arial"/>
                <w:sz w:val="13"/>
                <w:szCs w:val="13"/>
                <w:b w:val="1"/>
                <w:bCs w:val="1"/>
                <w:color w:val="0070C0"/>
                <w:w w:val="97"/>
              </w:rPr>
              <w:t>Average Compensation</w:t>
            </w: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1700" w:type="dxa"/>
            <w:vAlign w:val="bottom"/>
          </w:tcPr>
          <w:p>
            <w:pPr>
              <w:jc w:val="center"/>
              <w:ind w:left="77"/>
              <w:spacing w:after="0" w:line="135" w:lineRule="exact"/>
              <w:rPr>
                <w:sz w:val="20"/>
                <w:szCs w:val="20"/>
                <w:color w:val="auto"/>
              </w:rPr>
            </w:pPr>
            <w:r>
              <w:rPr>
                <w:rFonts w:ascii="Arial" w:cs="Arial" w:eastAsia="Arial" w:hAnsi="Arial"/>
                <w:sz w:val="13"/>
                <w:szCs w:val="13"/>
                <w:b w:val="1"/>
                <w:bCs w:val="1"/>
                <w:color w:val="0070C0"/>
                <w:w w:val="96"/>
              </w:rPr>
              <w:t>Table Total for PEO(1)</w:t>
            </w:r>
          </w:p>
        </w:tc>
        <w:tc>
          <w:tcPr>
            <w:tcW w:w="1600" w:type="dxa"/>
            <w:vAlign w:val="bottom"/>
            <w:vMerge w:val="continue"/>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Arial" w:cs="Arial" w:eastAsia="Arial" w:hAnsi="Arial"/>
                <w:sz w:val="13"/>
                <w:szCs w:val="13"/>
                <w:b w:val="1"/>
                <w:bCs w:val="1"/>
                <w:color w:val="0070C0"/>
                <w:w w:val="96"/>
              </w:rPr>
              <w:t>Compensation Table</w:t>
            </w:r>
          </w:p>
        </w:tc>
        <w:tc>
          <w:tcPr>
            <w:tcW w:w="1620" w:type="dxa"/>
            <w:vAlign w:val="bottom"/>
          </w:tcPr>
          <w:p>
            <w:pPr>
              <w:jc w:val="center"/>
              <w:ind w:left="37"/>
              <w:spacing w:after="0" w:line="135" w:lineRule="exact"/>
              <w:rPr>
                <w:sz w:val="20"/>
                <w:szCs w:val="20"/>
                <w:color w:val="auto"/>
              </w:rPr>
            </w:pPr>
            <w:r>
              <w:rPr>
                <w:rFonts w:ascii="Arial" w:cs="Arial" w:eastAsia="Arial" w:hAnsi="Arial"/>
                <w:sz w:val="13"/>
                <w:szCs w:val="13"/>
                <w:b w:val="1"/>
                <w:bCs w:val="1"/>
                <w:color w:val="0070C0"/>
                <w:w w:val="96"/>
              </w:rPr>
              <w:t>Actually Paid to Non-PEO</w:t>
            </w:r>
          </w:p>
        </w:tc>
        <w:tc>
          <w:tcPr>
            <w:tcW w:w="0" w:type="dxa"/>
            <w:vAlign w:val="bottom"/>
          </w:tcPr>
          <w:p>
            <w:pPr>
              <w:spacing w:after="0"/>
              <w:rPr>
                <w:sz w:val="1"/>
                <w:szCs w:val="1"/>
                <w:color w:val="auto"/>
              </w:rPr>
            </w:pPr>
          </w:p>
        </w:tc>
      </w:tr>
      <w:tr>
        <w:trPr>
          <w:trHeight w:val="135"/>
        </w:trPr>
        <w:tc>
          <w:tcPr>
            <w:tcW w:w="420" w:type="dxa"/>
            <w:vAlign w:val="bottom"/>
            <w:vMerge w:val="restart"/>
          </w:tcPr>
          <w:p>
            <w:pPr>
              <w:jc w:val="center"/>
              <w:ind w:right="97"/>
              <w:spacing w:after="0"/>
              <w:rPr>
                <w:sz w:val="20"/>
                <w:szCs w:val="20"/>
                <w:color w:val="auto"/>
              </w:rPr>
            </w:pPr>
            <w:r>
              <w:rPr>
                <w:rFonts w:ascii="Arial" w:cs="Arial" w:eastAsia="Arial" w:hAnsi="Arial"/>
                <w:sz w:val="13"/>
                <w:szCs w:val="13"/>
                <w:b w:val="1"/>
                <w:bCs w:val="1"/>
                <w:color w:val="0070C0"/>
                <w:w w:val="92"/>
              </w:rPr>
              <w:t>Year</w:t>
            </w:r>
          </w:p>
        </w:tc>
        <w:tc>
          <w:tcPr>
            <w:tcW w:w="170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3"/>
                <w:szCs w:val="13"/>
                <w:b w:val="1"/>
                <w:bCs w:val="1"/>
                <w:color w:val="0070C0"/>
                <w:w w:val="97"/>
              </w:rPr>
              <w:t>Paid to PEO(2)</w:t>
            </w:r>
          </w:p>
        </w:tc>
        <w:tc>
          <w:tcPr>
            <w:tcW w:w="1480" w:type="dxa"/>
            <w:vAlign w:val="bottom"/>
          </w:tcPr>
          <w:p>
            <w:pPr>
              <w:jc w:val="center"/>
              <w:spacing w:after="0" w:line="135" w:lineRule="exact"/>
              <w:rPr>
                <w:sz w:val="20"/>
                <w:szCs w:val="20"/>
                <w:color w:val="auto"/>
              </w:rPr>
            </w:pPr>
            <w:r>
              <w:rPr>
                <w:rFonts w:ascii="Arial" w:cs="Arial" w:eastAsia="Arial" w:hAnsi="Arial"/>
                <w:sz w:val="13"/>
                <w:szCs w:val="13"/>
                <w:b w:val="1"/>
                <w:bCs w:val="1"/>
                <w:color w:val="0070C0"/>
                <w:w w:val="95"/>
              </w:rPr>
              <w:t>Total for Non-PEO</w:t>
            </w:r>
          </w:p>
        </w:tc>
        <w:tc>
          <w:tcPr>
            <w:tcW w:w="1620" w:type="dxa"/>
            <w:vAlign w:val="bottom"/>
          </w:tcPr>
          <w:p>
            <w:pPr>
              <w:jc w:val="center"/>
              <w:ind w:left="57"/>
              <w:spacing w:after="0" w:line="135" w:lineRule="exact"/>
              <w:rPr>
                <w:sz w:val="20"/>
                <w:szCs w:val="20"/>
                <w:color w:val="auto"/>
              </w:rPr>
            </w:pPr>
            <w:r>
              <w:rPr>
                <w:rFonts w:ascii="Arial" w:cs="Arial" w:eastAsia="Arial" w:hAnsi="Arial"/>
                <w:sz w:val="13"/>
                <w:szCs w:val="13"/>
                <w:b w:val="1"/>
                <w:bCs w:val="1"/>
                <w:color w:val="0070C0"/>
                <w:w w:val="97"/>
              </w:rPr>
              <w:t>NEOs(2)</w:t>
            </w:r>
          </w:p>
        </w:tc>
        <w:tc>
          <w:tcPr>
            <w:tcW w:w="0" w:type="dxa"/>
            <w:vAlign w:val="bottom"/>
          </w:tcPr>
          <w:p>
            <w:pPr>
              <w:spacing w:after="0"/>
              <w:rPr>
                <w:sz w:val="1"/>
                <w:szCs w:val="1"/>
                <w:color w:val="auto"/>
              </w:rPr>
            </w:pPr>
          </w:p>
        </w:tc>
      </w:tr>
      <w:tr>
        <w:trPr>
          <w:trHeight w:val="172"/>
        </w:trPr>
        <w:tc>
          <w:tcPr>
            <w:tcW w:w="420" w:type="dxa"/>
            <w:vAlign w:val="bottom"/>
            <w:vMerge w:val="continue"/>
          </w:tcPr>
          <w:p>
            <w:pPr>
              <w:spacing w:after="0"/>
              <w:rPr>
                <w:sz w:val="14"/>
                <w:szCs w:val="14"/>
                <w:color w:val="auto"/>
              </w:rPr>
            </w:pP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0070C0"/>
                <w:w w:val="97"/>
              </w:rPr>
              <w:t>NEOs(1)</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20" w:type="dxa"/>
            <w:vAlign w:val="bottom"/>
          </w:tcPr>
          <w:p>
            <w:pPr>
              <w:jc w:val="center"/>
              <w:ind w:right="117"/>
              <w:spacing w:after="0"/>
              <w:rPr>
                <w:sz w:val="20"/>
                <w:szCs w:val="20"/>
                <w:color w:val="auto"/>
              </w:rPr>
            </w:pPr>
            <w:r>
              <w:rPr>
                <w:rFonts w:ascii="Arial" w:cs="Arial" w:eastAsia="Arial" w:hAnsi="Arial"/>
                <w:sz w:val="13"/>
                <w:szCs w:val="13"/>
                <w:b w:val="1"/>
                <w:bCs w:val="1"/>
                <w:color w:val="0070C0"/>
              </w:rPr>
              <w:t>(a)</w:t>
            </w:r>
          </w:p>
        </w:tc>
        <w:tc>
          <w:tcPr>
            <w:tcW w:w="1700" w:type="dxa"/>
            <w:vAlign w:val="bottom"/>
          </w:tcPr>
          <w:p>
            <w:pPr>
              <w:jc w:val="center"/>
              <w:ind w:left="77"/>
              <w:spacing w:after="0"/>
              <w:rPr>
                <w:sz w:val="20"/>
                <w:szCs w:val="20"/>
                <w:color w:val="auto"/>
              </w:rPr>
            </w:pPr>
            <w:r>
              <w:rPr>
                <w:rFonts w:ascii="Arial" w:cs="Arial" w:eastAsia="Arial" w:hAnsi="Arial"/>
                <w:sz w:val="13"/>
                <w:szCs w:val="13"/>
                <w:b w:val="1"/>
                <w:bCs w:val="1"/>
                <w:color w:val="0070C0"/>
                <w:w w:val="96"/>
              </w:rPr>
              <w:t>(b)</w:t>
            </w:r>
          </w:p>
        </w:tc>
        <w:tc>
          <w:tcPr>
            <w:tcW w:w="1600" w:type="dxa"/>
            <w:vAlign w:val="bottom"/>
          </w:tcPr>
          <w:p>
            <w:pPr>
              <w:jc w:val="center"/>
              <w:spacing w:after="0"/>
              <w:rPr>
                <w:sz w:val="20"/>
                <w:szCs w:val="20"/>
                <w:color w:val="auto"/>
              </w:rPr>
            </w:pPr>
            <w:r>
              <w:rPr>
                <w:rFonts w:ascii="Arial" w:cs="Arial" w:eastAsia="Arial" w:hAnsi="Arial"/>
                <w:sz w:val="13"/>
                <w:szCs w:val="13"/>
                <w:b w:val="1"/>
                <w:bCs w:val="1"/>
                <w:color w:val="0070C0"/>
              </w:rPr>
              <w:t>(c)</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0070C0"/>
                <w:w w:val="96"/>
              </w:rPr>
              <w:t>(d)</w:t>
            </w:r>
          </w:p>
        </w:tc>
        <w:tc>
          <w:tcPr>
            <w:tcW w:w="1620" w:type="dxa"/>
            <w:vAlign w:val="bottom"/>
          </w:tcPr>
          <w:p>
            <w:pPr>
              <w:jc w:val="center"/>
              <w:ind w:left="37"/>
              <w:spacing w:after="0"/>
              <w:rPr>
                <w:sz w:val="20"/>
                <w:szCs w:val="20"/>
                <w:color w:val="auto"/>
              </w:rPr>
            </w:pPr>
            <w:r>
              <w:rPr>
                <w:rFonts w:ascii="Arial" w:cs="Arial" w:eastAsia="Arial" w:hAnsi="Arial"/>
                <w:sz w:val="13"/>
                <w:szCs w:val="13"/>
                <w:b w:val="1"/>
                <w:bCs w:val="1"/>
                <w:color w:val="0070C0"/>
              </w:rPr>
              <w: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40" w:type="dxa"/>
            <w:vAlign w:val="bottom"/>
            <w:gridSpan w:val="2"/>
          </w:tcPr>
          <w:p>
            <w:pPr>
              <w:jc w:val="center"/>
              <w:spacing w:after="0"/>
              <w:rPr>
                <w:sz w:val="20"/>
                <w:szCs w:val="20"/>
                <w:color w:val="auto"/>
              </w:rPr>
            </w:pPr>
            <w:r>
              <w:rPr>
                <w:rFonts w:ascii="Arial" w:cs="Arial" w:eastAsia="Arial" w:hAnsi="Arial"/>
                <w:sz w:val="13"/>
                <w:szCs w:val="13"/>
                <w:b w:val="1"/>
                <w:bCs w:val="1"/>
                <w:color w:val="0070C0"/>
                <w:w w:val="97"/>
              </w:rPr>
              <w:t>Value of Initial Fixed $100</w:t>
            </w: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40" w:type="dxa"/>
            <w:vAlign w:val="bottom"/>
            <w:gridSpan w:val="2"/>
          </w:tcPr>
          <w:p>
            <w:pPr>
              <w:jc w:val="center"/>
              <w:spacing w:after="0"/>
              <w:rPr>
                <w:sz w:val="20"/>
                <w:szCs w:val="20"/>
                <w:color w:val="auto"/>
              </w:rPr>
            </w:pPr>
            <w:r>
              <w:rPr>
                <w:rFonts w:ascii="Arial" w:cs="Arial" w:eastAsia="Arial" w:hAnsi="Arial"/>
                <w:sz w:val="13"/>
                <w:szCs w:val="13"/>
                <w:b w:val="1"/>
                <w:bCs w:val="1"/>
                <w:color w:val="0070C0"/>
                <w:w w:val="97"/>
              </w:rPr>
              <w:t>Investment Based On:</w:t>
            </w:r>
          </w:p>
        </w:tc>
        <w:tc>
          <w:tcPr>
            <w:tcW w:w="980" w:type="dxa"/>
            <w:vAlign w:val="bottom"/>
            <w:vMerge w:val="restart"/>
          </w:tcPr>
          <w:p>
            <w:pPr>
              <w:jc w:val="center"/>
              <w:spacing w:after="0"/>
              <w:rPr>
                <w:sz w:val="20"/>
                <w:szCs w:val="20"/>
                <w:color w:val="auto"/>
              </w:rPr>
            </w:pPr>
            <w:r>
              <w:rPr>
                <w:rFonts w:ascii="Arial" w:cs="Arial" w:eastAsia="Arial" w:hAnsi="Arial"/>
                <w:sz w:val="13"/>
                <w:szCs w:val="13"/>
                <w:b w:val="1"/>
                <w:bCs w:val="1"/>
                <w:color w:val="0070C0"/>
                <w:w w:val="96"/>
              </w:rPr>
              <w:t>Net Income</w:t>
            </w:r>
          </w:p>
        </w:tc>
        <w:tc>
          <w:tcPr>
            <w:tcW w:w="1040" w:type="dxa"/>
            <w:vAlign w:val="bottom"/>
            <w:vMerge w:val="restart"/>
          </w:tcPr>
          <w:p>
            <w:pPr>
              <w:jc w:val="center"/>
              <w:ind w:left="57"/>
              <w:spacing w:after="0"/>
              <w:rPr>
                <w:sz w:val="20"/>
                <w:szCs w:val="20"/>
                <w:color w:val="auto"/>
              </w:rPr>
            </w:pPr>
            <w:r>
              <w:rPr>
                <w:rFonts w:ascii="Arial" w:cs="Arial" w:eastAsia="Arial" w:hAnsi="Arial"/>
                <w:sz w:val="13"/>
                <w:szCs w:val="13"/>
                <w:b w:val="1"/>
                <w:bCs w:val="1"/>
                <w:color w:val="0070C0"/>
                <w:w w:val="95"/>
              </w:rPr>
              <w:t>Free Cash Flow</w:t>
            </w:r>
          </w:p>
        </w:tc>
        <w:tc>
          <w:tcPr>
            <w:tcW w:w="0" w:type="dxa"/>
            <w:vAlign w:val="bottom"/>
          </w:tcPr>
          <w:p>
            <w:pPr>
              <w:spacing w:after="0"/>
              <w:rPr>
                <w:sz w:val="1"/>
                <w:szCs w:val="1"/>
                <w:color w:val="auto"/>
              </w:rPr>
            </w:pPr>
          </w:p>
        </w:tc>
      </w:tr>
      <w:tr>
        <w:trPr>
          <w:trHeight w:val="35"/>
        </w:trPr>
        <w:tc>
          <w:tcPr>
            <w:tcW w:w="920" w:type="dxa"/>
            <w:vAlign w:val="bottom"/>
            <w:tcBorders>
              <w:bottom w:val="single" w:sz="8" w:color="0070C0"/>
            </w:tcBorders>
          </w:tcPr>
          <w:p>
            <w:pPr>
              <w:spacing w:after="0"/>
              <w:rPr>
                <w:sz w:val="3"/>
                <w:szCs w:val="3"/>
                <w:color w:val="auto"/>
              </w:rPr>
            </w:pPr>
          </w:p>
        </w:tc>
        <w:tc>
          <w:tcPr>
            <w:tcW w:w="1120" w:type="dxa"/>
            <w:vAlign w:val="bottom"/>
            <w:tcBorders>
              <w:bottom w:val="single" w:sz="8" w:color="0070C0"/>
            </w:tcBorders>
          </w:tcPr>
          <w:p>
            <w:pPr>
              <w:spacing w:after="0"/>
              <w:rPr>
                <w:sz w:val="3"/>
                <w:szCs w:val="3"/>
                <w:color w:val="auto"/>
              </w:rPr>
            </w:pPr>
          </w:p>
        </w:tc>
        <w:tc>
          <w:tcPr>
            <w:tcW w:w="98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920" w:type="dxa"/>
            <w:vAlign w:val="bottom"/>
            <w:vMerge w:val="restart"/>
          </w:tcPr>
          <w:p>
            <w:pPr>
              <w:jc w:val="center"/>
              <w:ind w:left="77"/>
              <w:spacing w:after="0"/>
              <w:rPr>
                <w:sz w:val="20"/>
                <w:szCs w:val="20"/>
                <w:color w:val="auto"/>
              </w:rPr>
            </w:pPr>
            <w:r>
              <w:rPr>
                <w:rFonts w:ascii="Arial" w:cs="Arial" w:eastAsia="Arial" w:hAnsi="Arial"/>
                <w:sz w:val="13"/>
                <w:szCs w:val="13"/>
                <w:b w:val="1"/>
                <w:bCs w:val="1"/>
                <w:color w:val="0070C0"/>
                <w:w w:val="99"/>
              </w:rPr>
              <w:t>TSR</w:t>
            </w:r>
          </w:p>
        </w:tc>
        <w:tc>
          <w:tcPr>
            <w:tcW w:w="1120" w:type="dxa"/>
            <w:vAlign w:val="bottom"/>
          </w:tcPr>
          <w:p>
            <w:pPr>
              <w:jc w:val="center"/>
              <w:ind w:left="37"/>
              <w:spacing w:after="0" w:line="115" w:lineRule="exact"/>
              <w:rPr>
                <w:sz w:val="20"/>
                <w:szCs w:val="20"/>
                <w:color w:val="auto"/>
              </w:rPr>
            </w:pPr>
            <w:r>
              <w:rPr>
                <w:rFonts w:ascii="Arial" w:cs="Arial" w:eastAsia="Arial" w:hAnsi="Arial"/>
                <w:sz w:val="13"/>
                <w:szCs w:val="13"/>
                <w:b w:val="1"/>
                <w:bCs w:val="1"/>
                <w:color w:val="0070C0"/>
                <w:w w:val="98"/>
              </w:rPr>
              <w:t>Peer Group</w:t>
            </w:r>
          </w:p>
        </w:tc>
        <w:tc>
          <w:tcPr>
            <w:tcW w:w="980" w:type="dxa"/>
            <w:vAlign w:val="bottom"/>
          </w:tcPr>
          <w:p>
            <w:pPr>
              <w:jc w:val="center"/>
              <w:spacing w:after="0" w:line="115" w:lineRule="exact"/>
              <w:rPr>
                <w:sz w:val="20"/>
                <w:szCs w:val="20"/>
                <w:color w:val="auto"/>
              </w:rPr>
            </w:pPr>
            <w:r>
              <w:rPr>
                <w:rFonts w:ascii="Arial" w:cs="Arial" w:eastAsia="Arial" w:hAnsi="Arial"/>
                <w:sz w:val="13"/>
                <w:szCs w:val="13"/>
                <w:b w:val="1"/>
                <w:bCs w:val="1"/>
                <w:color w:val="0070C0"/>
                <w:w w:val="92"/>
              </w:rPr>
              <w:t>(Loss)</w:t>
            </w: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920" w:type="dxa"/>
            <w:vAlign w:val="bottom"/>
            <w:vMerge w:val="continue"/>
          </w:tcPr>
          <w:p>
            <w:pPr>
              <w:spacing w:after="0"/>
              <w:rPr>
                <w:sz w:val="15"/>
                <w:szCs w:val="15"/>
                <w:color w:val="auto"/>
              </w:rPr>
            </w:pPr>
          </w:p>
        </w:tc>
        <w:tc>
          <w:tcPr>
            <w:tcW w:w="1120" w:type="dxa"/>
            <w:vAlign w:val="bottom"/>
          </w:tcPr>
          <w:p>
            <w:pPr>
              <w:jc w:val="center"/>
              <w:ind w:left="77"/>
              <w:spacing w:after="0"/>
              <w:rPr>
                <w:sz w:val="20"/>
                <w:szCs w:val="20"/>
                <w:color w:val="auto"/>
              </w:rPr>
            </w:pPr>
            <w:r>
              <w:rPr>
                <w:rFonts w:ascii="Arial" w:cs="Arial" w:eastAsia="Arial" w:hAnsi="Arial"/>
                <w:sz w:val="13"/>
                <w:szCs w:val="13"/>
                <w:b w:val="1"/>
                <w:bCs w:val="1"/>
                <w:color w:val="0070C0"/>
              </w:rPr>
              <w:t>TSR(3)</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0070C0"/>
                <w:w w:val="96"/>
              </w:rPr>
              <w:t>(millions)</w:t>
            </w:r>
          </w:p>
        </w:tc>
        <w:tc>
          <w:tcPr>
            <w:tcW w:w="1040" w:type="dxa"/>
            <w:vAlign w:val="bottom"/>
          </w:tcPr>
          <w:p>
            <w:pPr>
              <w:jc w:val="center"/>
              <w:ind w:left="17"/>
              <w:spacing w:after="0"/>
              <w:rPr>
                <w:sz w:val="20"/>
                <w:szCs w:val="20"/>
                <w:color w:val="auto"/>
              </w:rPr>
            </w:pPr>
            <w:r>
              <w:rPr>
                <w:rFonts w:ascii="Arial" w:cs="Arial" w:eastAsia="Arial" w:hAnsi="Arial"/>
                <w:sz w:val="13"/>
                <w:szCs w:val="13"/>
                <w:b w:val="1"/>
                <w:bCs w:val="1"/>
                <w:color w:val="0070C0"/>
                <w:w w:val="96"/>
              </w:rPr>
              <w:t>(millions)</w:t>
            </w:r>
          </w:p>
        </w:tc>
        <w:tc>
          <w:tcPr>
            <w:tcW w:w="0" w:type="dxa"/>
            <w:vAlign w:val="bottom"/>
          </w:tcPr>
          <w:p>
            <w:pPr>
              <w:spacing w:after="0"/>
              <w:rPr>
                <w:sz w:val="1"/>
                <w:szCs w:val="1"/>
                <w:color w:val="auto"/>
              </w:rPr>
            </w:pPr>
          </w:p>
        </w:tc>
      </w:tr>
      <w:tr>
        <w:trPr>
          <w:trHeight w:val="283"/>
        </w:trPr>
        <w:tc>
          <w:tcPr>
            <w:tcW w:w="920" w:type="dxa"/>
            <w:vAlign w:val="bottom"/>
          </w:tcPr>
          <w:p>
            <w:pPr>
              <w:jc w:val="center"/>
              <w:ind w:left="77"/>
              <w:spacing w:after="0"/>
              <w:rPr>
                <w:sz w:val="20"/>
                <w:szCs w:val="20"/>
                <w:color w:val="auto"/>
              </w:rPr>
            </w:pPr>
            <w:r>
              <w:rPr>
                <w:rFonts w:ascii="Arial" w:cs="Arial" w:eastAsia="Arial" w:hAnsi="Arial"/>
                <w:sz w:val="13"/>
                <w:szCs w:val="13"/>
                <w:b w:val="1"/>
                <w:bCs w:val="1"/>
                <w:color w:val="0070C0"/>
              </w:rPr>
              <w:t>(f)</w:t>
            </w:r>
          </w:p>
        </w:tc>
        <w:tc>
          <w:tcPr>
            <w:tcW w:w="1120" w:type="dxa"/>
            <w:vAlign w:val="bottom"/>
          </w:tcPr>
          <w:p>
            <w:pPr>
              <w:jc w:val="center"/>
              <w:ind w:left="57"/>
              <w:spacing w:after="0"/>
              <w:rPr>
                <w:sz w:val="20"/>
                <w:szCs w:val="20"/>
                <w:color w:val="auto"/>
              </w:rPr>
            </w:pPr>
            <w:r>
              <w:rPr>
                <w:rFonts w:ascii="Arial" w:cs="Arial" w:eastAsia="Arial" w:hAnsi="Arial"/>
                <w:sz w:val="13"/>
                <w:szCs w:val="13"/>
                <w:b w:val="1"/>
                <w:bCs w:val="1"/>
                <w:color w:val="0070C0"/>
                <w:w w:val="96"/>
              </w:rPr>
              <w:t>(g)</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0070C0"/>
                <w:w w:val="96"/>
              </w:rPr>
              <w:t>(h)</w:t>
            </w:r>
          </w:p>
        </w:tc>
        <w:tc>
          <w:tcPr>
            <w:tcW w:w="1040" w:type="dxa"/>
            <w:vAlign w:val="bottom"/>
          </w:tcPr>
          <w:p>
            <w:pPr>
              <w:jc w:val="center"/>
              <w:ind w:left="17"/>
              <w:spacing w:after="0"/>
              <w:rPr>
                <w:sz w:val="20"/>
                <w:szCs w:val="20"/>
                <w:color w:val="auto"/>
              </w:rPr>
            </w:pPr>
            <w:r>
              <w:rPr>
                <w:rFonts w:ascii="Arial" w:cs="Arial" w:eastAsia="Arial" w:hAnsi="Arial"/>
                <w:sz w:val="13"/>
                <w:szCs w:val="13"/>
                <w:b w:val="1"/>
                <w:bCs w:val="1"/>
                <w:color w:val="0070C0"/>
                <w:w w:val="97"/>
              </w:rPr>
              <w:t>(i)</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120" w:space="20"/>
            <w:col w:w="4100"/>
          </w:cols>
          <w:pgMar w:left="320" w:top="890" w:right="33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840" w:type="dxa"/>
            <w:vAlign w:val="bottom"/>
            <w:tcBorders>
              <w:top w:val="single" w:sz="8" w:color="0075C9"/>
              <w:bottom w:val="single" w:sz="8" w:color="0075C9"/>
            </w:tcBorders>
            <w:shd w:val="clear" w:color="auto" w:fill="EBEBEC"/>
          </w:tcPr>
          <w:p>
            <w:pPr>
              <w:ind w:left="140"/>
              <w:spacing w:after="0"/>
              <w:rPr>
                <w:sz w:val="20"/>
                <w:szCs w:val="20"/>
                <w:color w:val="auto"/>
              </w:rPr>
            </w:pPr>
            <w:r>
              <w:rPr>
                <w:rFonts w:ascii="Arial" w:cs="Arial" w:eastAsia="Arial" w:hAnsi="Arial"/>
                <w:sz w:val="14"/>
                <w:szCs w:val="14"/>
                <w:color w:val="auto"/>
              </w:rPr>
              <w:t>2024</w:t>
            </w:r>
          </w:p>
        </w:tc>
        <w:tc>
          <w:tcPr>
            <w:tcW w:w="1580" w:type="dxa"/>
            <w:vAlign w:val="bottom"/>
            <w:tcBorders>
              <w:top w:val="single" w:sz="8" w:color="0075C9"/>
              <w:bottom w:val="single" w:sz="8" w:color="0075C9"/>
            </w:tcBorders>
            <w:shd w:val="clear" w:color="auto" w:fill="EBEBEC"/>
          </w:tcPr>
          <w:p>
            <w:pPr>
              <w:jc w:val="center"/>
              <w:spacing w:after="0"/>
              <w:rPr>
                <w:sz w:val="20"/>
                <w:szCs w:val="20"/>
                <w:color w:val="auto"/>
              </w:rPr>
            </w:pPr>
            <w:r>
              <w:rPr>
                <w:rFonts w:ascii="Arial" w:cs="Arial" w:eastAsia="Arial" w:hAnsi="Arial"/>
                <w:sz w:val="14"/>
                <w:szCs w:val="14"/>
                <w:color w:val="auto"/>
              </w:rPr>
              <w:t>$7,985,931</w:t>
            </w:r>
          </w:p>
        </w:tc>
        <w:tc>
          <w:tcPr>
            <w:tcW w:w="1580" w:type="dxa"/>
            <w:vAlign w:val="bottom"/>
            <w:tcBorders>
              <w:top w:val="single" w:sz="8" w:color="0075C9"/>
              <w:bottom w:val="single" w:sz="8" w:color="0075C9"/>
            </w:tcBorders>
            <w:shd w:val="clear" w:color="auto" w:fill="EBEBEC"/>
          </w:tcPr>
          <w:p>
            <w:pPr>
              <w:jc w:val="center"/>
              <w:spacing w:after="0"/>
              <w:rPr>
                <w:sz w:val="20"/>
                <w:szCs w:val="20"/>
                <w:color w:val="auto"/>
              </w:rPr>
            </w:pPr>
            <w:r>
              <w:rPr>
                <w:rFonts w:ascii="Arial" w:cs="Arial" w:eastAsia="Arial" w:hAnsi="Arial"/>
                <w:sz w:val="14"/>
                <w:szCs w:val="14"/>
                <w:color w:val="auto"/>
              </w:rPr>
              <w:t>$6,639,906</w:t>
            </w:r>
          </w:p>
        </w:tc>
        <w:tc>
          <w:tcPr>
            <w:tcW w:w="1580" w:type="dxa"/>
            <w:vAlign w:val="bottom"/>
            <w:tcBorders>
              <w:top w:val="single" w:sz="8" w:color="0075C9"/>
              <w:bottom w:val="single" w:sz="8" w:color="0075C9"/>
            </w:tcBorders>
            <w:shd w:val="clear" w:color="auto" w:fill="EBEBEC"/>
          </w:tcPr>
          <w:p>
            <w:pPr>
              <w:jc w:val="right"/>
              <w:ind w:right="348"/>
              <w:spacing w:after="0"/>
              <w:rPr>
                <w:sz w:val="20"/>
                <w:szCs w:val="20"/>
                <w:color w:val="auto"/>
              </w:rPr>
            </w:pPr>
            <w:r>
              <w:rPr>
                <w:rFonts w:ascii="Arial" w:cs="Arial" w:eastAsia="Arial" w:hAnsi="Arial"/>
                <w:sz w:val="14"/>
                <w:szCs w:val="14"/>
                <w:color w:val="auto"/>
              </w:rPr>
              <w:t>$4,891,617</w:t>
            </w:r>
          </w:p>
        </w:tc>
        <w:tc>
          <w:tcPr>
            <w:tcW w:w="1560" w:type="dxa"/>
            <w:vAlign w:val="bottom"/>
            <w:tcBorders>
              <w:top w:val="single" w:sz="8" w:color="0075C9"/>
              <w:bottom w:val="single" w:sz="8" w:color="0075C9"/>
            </w:tcBorders>
            <w:shd w:val="clear" w:color="auto" w:fill="EBEBEC"/>
          </w:tcPr>
          <w:p>
            <w:pPr>
              <w:jc w:val="right"/>
              <w:ind w:right="348"/>
              <w:spacing w:after="0"/>
              <w:rPr>
                <w:sz w:val="20"/>
                <w:szCs w:val="20"/>
                <w:color w:val="auto"/>
              </w:rPr>
            </w:pPr>
            <w:r>
              <w:rPr>
                <w:rFonts w:ascii="Arial" w:cs="Arial" w:eastAsia="Arial" w:hAnsi="Arial"/>
                <w:sz w:val="14"/>
                <w:szCs w:val="14"/>
                <w:color w:val="auto"/>
              </w:rPr>
              <w:t>$3,534,993</w:t>
            </w:r>
          </w:p>
        </w:tc>
        <w:tc>
          <w:tcPr>
            <w:tcW w:w="1040" w:type="dxa"/>
            <w:vAlign w:val="bottom"/>
            <w:tcBorders>
              <w:top w:val="single" w:sz="8" w:color="0075C9"/>
              <w:bottom w:val="single" w:sz="8" w:color="0075C9"/>
            </w:tcBorders>
            <w:shd w:val="clear" w:color="auto" w:fill="EBEBEC"/>
          </w:tcPr>
          <w:p>
            <w:pPr>
              <w:jc w:val="right"/>
              <w:ind w:right="188"/>
              <w:spacing w:after="0"/>
              <w:rPr>
                <w:sz w:val="20"/>
                <w:szCs w:val="20"/>
                <w:color w:val="auto"/>
              </w:rPr>
            </w:pPr>
            <w:r>
              <w:rPr>
                <w:rFonts w:ascii="Arial" w:cs="Arial" w:eastAsia="Arial" w:hAnsi="Arial"/>
                <w:sz w:val="14"/>
                <w:szCs w:val="14"/>
                <w:color w:val="auto"/>
              </w:rPr>
              <w:t>$372.19</w:t>
            </w:r>
          </w:p>
        </w:tc>
        <w:tc>
          <w:tcPr>
            <w:tcW w:w="1040" w:type="dxa"/>
            <w:vAlign w:val="bottom"/>
            <w:tcBorders>
              <w:top w:val="single" w:sz="8" w:color="0075C9"/>
              <w:bottom w:val="single" w:sz="8" w:color="0075C9"/>
            </w:tcBorders>
            <w:shd w:val="clear" w:color="auto" w:fill="EBEBEC"/>
          </w:tcPr>
          <w:p>
            <w:pPr>
              <w:jc w:val="right"/>
              <w:ind w:right="208"/>
              <w:spacing w:after="0"/>
              <w:rPr>
                <w:sz w:val="20"/>
                <w:szCs w:val="20"/>
                <w:color w:val="auto"/>
              </w:rPr>
            </w:pPr>
            <w:r>
              <w:rPr>
                <w:rFonts w:ascii="Arial" w:cs="Arial" w:eastAsia="Arial" w:hAnsi="Arial"/>
                <w:sz w:val="14"/>
                <w:szCs w:val="14"/>
                <w:color w:val="auto"/>
              </w:rPr>
              <w:t>$569.81</w:t>
            </w:r>
          </w:p>
        </w:tc>
        <w:tc>
          <w:tcPr>
            <w:tcW w:w="1020" w:type="dxa"/>
            <w:vAlign w:val="bottom"/>
            <w:tcBorders>
              <w:top w:val="single" w:sz="8" w:color="0075C9"/>
              <w:bottom w:val="single" w:sz="8" w:color="0075C9"/>
            </w:tcBorders>
            <w:shd w:val="clear" w:color="auto" w:fill="EBEBEC"/>
          </w:tcPr>
          <w:p>
            <w:pPr>
              <w:jc w:val="right"/>
              <w:ind w:right="308"/>
              <w:spacing w:after="0"/>
              <w:rPr>
                <w:sz w:val="20"/>
                <w:szCs w:val="20"/>
                <w:color w:val="auto"/>
              </w:rPr>
            </w:pPr>
            <w:r>
              <w:rPr>
                <w:rFonts w:ascii="Arial" w:cs="Arial" w:eastAsia="Arial" w:hAnsi="Arial"/>
                <w:sz w:val="14"/>
                <w:szCs w:val="14"/>
                <w:color w:val="auto"/>
              </w:rPr>
              <w:t>$376</w:t>
            </w:r>
          </w:p>
        </w:tc>
        <w:tc>
          <w:tcPr>
            <w:tcW w:w="1000" w:type="dxa"/>
            <w:vAlign w:val="bottom"/>
            <w:tcBorders>
              <w:top w:val="single" w:sz="8" w:color="0075C9"/>
              <w:bottom w:val="single" w:sz="8" w:color="0075C9"/>
            </w:tcBorders>
            <w:shd w:val="clear" w:color="auto" w:fill="EBEBEC"/>
          </w:tcPr>
          <w:p>
            <w:pPr>
              <w:jc w:val="center"/>
              <w:spacing w:after="0"/>
              <w:rPr>
                <w:sz w:val="20"/>
                <w:szCs w:val="20"/>
                <w:color w:val="auto"/>
              </w:rPr>
            </w:pPr>
            <w:r>
              <w:rPr>
                <w:rFonts w:ascii="Arial" w:cs="Arial" w:eastAsia="Arial" w:hAnsi="Arial"/>
                <w:sz w:val="14"/>
                <w:szCs w:val="14"/>
                <w:color w:val="auto"/>
              </w:rPr>
              <w:t>$595</w:t>
            </w:r>
          </w:p>
        </w:tc>
      </w:tr>
      <w:tr>
        <w:trPr>
          <w:trHeight w:val="186"/>
        </w:trPr>
        <w:tc>
          <w:tcPr>
            <w:tcW w:w="840" w:type="dxa"/>
            <w:vAlign w:val="bottom"/>
            <w:shd w:val="clear" w:color="auto" w:fill="EBEBEC"/>
          </w:tcPr>
          <w:p>
            <w:pPr>
              <w:ind w:left="140"/>
              <w:spacing w:after="0" w:line="186" w:lineRule="exact"/>
              <w:rPr>
                <w:sz w:val="20"/>
                <w:szCs w:val="20"/>
                <w:color w:val="auto"/>
              </w:rPr>
            </w:pPr>
            <w:r>
              <w:rPr>
                <w:rFonts w:ascii="Arial" w:cs="Arial" w:eastAsia="Arial" w:hAnsi="Arial"/>
                <w:sz w:val="14"/>
                <w:szCs w:val="14"/>
                <w:color w:val="auto"/>
              </w:rPr>
              <w:t>2023</w:t>
            </w:r>
            <w:r>
              <w:rPr>
                <w:rFonts w:ascii="Arial" w:cs="Arial" w:eastAsia="Arial" w:hAnsi="Arial"/>
                <w:sz w:val="19"/>
                <w:szCs w:val="19"/>
                <w:color w:val="auto"/>
                <w:vertAlign w:val="superscript"/>
              </w:rPr>
              <w:t>(4)</w:t>
            </w:r>
          </w:p>
        </w:tc>
        <w:tc>
          <w:tcPr>
            <w:tcW w:w="15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$914,697</w:t>
            </w:r>
          </w:p>
        </w:tc>
        <w:tc>
          <w:tcPr>
            <w:tcW w:w="15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$(2,675,996)</w:t>
            </w:r>
          </w:p>
        </w:tc>
        <w:tc>
          <w:tcPr>
            <w:tcW w:w="1580" w:type="dxa"/>
            <w:vAlign w:val="bottom"/>
            <w:shd w:val="clear" w:color="auto" w:fill="EBEBEC"/>
          </w:tcPr>
          <w:p>
            <w:pPr>
              <w:spacing w:after="0"/>
              <w:rPr>
                <w:sz w:val="16"/>
                <w:szCs w:val="16"/>
                <w:color w:val="auto"/>
              </w:rPr>
            </w:pPr>
          </w:p>
        </w:tc>
        <w:tc>
          <w:tcPr>
            <w:tcW w:w="1560" w:type="dxa"/>
            <w:vAlign w:val="bottom"/>
            <w:shd w:val="clear" w:color="auto" w:fill="EBEBEC"/>
          </w:tcPr>
          <w:p>
            <w:pPr>
              <w:spacing w:after="0"/>
              <w:rPr>
                <w:sz w:val="16"/>
                <w:szCs w:val="16"/>
                <w:color w:val="auto"/>
              </w:rPr>
            </w:pPr>
          </w:p>
        </w:tc>
        <w:tc>
          <w:tcPr>
            <w:tcW w:w="1040" w:type="dxa"/>
            <w:vAlign w:val="bottom"/>
            <w:shd w:val="clear" w:color="auto" w:fill="EBEBEC"/>
          </w:tcPr>
          <w:p>
            <w:pPr>
              <w:spacing w:after="0"/>
              <w:rPr>
                <w:sz w:val="16"/>
                <w:szCs w:val="16"/>
                <w:color w:val="auto"/>
              </w:rPr>
            </w:pPr>
          </w:p>
        </w:tc>
        <w:tc>
          <w:tcPr>
            <w:tcW w:w="1040" w:type="dxa"/>
            <w:vAlign w:val="bottom"/>
            <w:shd w:val="clear" w:color="auto" w:fill="EBEBEC"/>
          </w:tcPr>
          <w:p>
            <w:pPr>
              <w:spacing w:after="0"/>
              <w:rPr>
                <w:sz w:val="16"/>
                <w:szCs w:val="16"/>
                <w:color w:val="auto"/>
              </w:rPr>
            </w:pPr>
          </w:p>
        </w:tc>
        <w:tc>
          <w:tcPr>
            <w:tcW w:w="1020" w:type="dxa"/>
            <w:vAlign w:val="bottom"/>
            <w:shd w:val="clear" w:color="auto" w:fill="EBEBEC"/>
          </w:tcPr>
          <w:p>
            <w:pPr>
              <w:spacing w:after="0"/>
              <w:rPr>
                <w:sz w:val="16"/>
                <w:szCs w:val="16"/>
                <w:color w:val="auto"/>
              </w:rPr>
            </w:pPr>
          </w:p>
        </w:tc>
        <w:tc>
          <w:tcPr>
            <w:tcW w:w="1000" w:type="dxa"/>
            <w:vAlign w:val="bottom"/>
            <w:shd w:val="clear" w:color="auto" w:fill="EBEBEC"/>
          </w:tcPr>
          <w:p>
            <w:pPr>
              <w:spacing w:after="0"/>
              <w:rPr>
                <w:sz w:val="16"/>
                <w:szCs w:val="16"/>
                <w:color w:val="auto"/>
              </w:rPr>
            </w:pPr>
          </w:p>
        </w:tc>
      </w:tr>
      <w:tr>
        <w:trPr>
          <w:trHeight w:val="217"/>
        </w:trPr>
        <w:tc>
          <w:tcPr>
            <w:tcW w:w="840" w:type="dxa"/>
            <w:vAlign w:val="bottom"/>
            <w:shd w:val="clear" w:color="auto" w:fill="EBEBEC"/>
          </w:tcPr>
          <w:p>
            <w:pPr>
              <w:ind w:left="140"/>
              <w:spacing w:after="0" w:line="217" w:lineRule="exact"/>
              <w:rPr>
                <w:sz w:val="20"/>
                <w:szCs w:val="20"/>
                <w:color w:val="auto"/>
              </w:rPr>
            </w:pPr>
            <w:r>
              <w:rPr>
                <w:rFonts w:ascii="Arial" w:cs="Arial" w:eastAsia="Arial" w:hAnsi="Arial"/>
                <w:sz w:val="14"/>
                <w:szCs w:val="14"/>
                <w:color w:val="auto"/>
              </w:rPr>
              <w:t>2023</w:t>
            </w:r>
            <w:r>
              <w:rPr>
                <w:rFonts w:ascii="Arial" w:cs="Arial" w:eastAsia="Arial" w:hAnsi="Arial"/>
                <w:sz w:val="19"/>
                <w:szCs w:val="19"/>
                <w:color w:val="auto"/>
                <w:vertAlign w:val="superscript"/>
              </w:rPr>
              <w:t>(5)</w:t>
            </w:r>
          </w:p>
        </w:tc>
        <w:tc>
          <w:tcPr>
            <w:tcW w:w="15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$10,185,668</w:t>
            </w:r>
          </w:p>
        </w:tc>
        <w:tc>
          <w:tcPr>
            <w:tcW w:w="15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$13,968,755</w:t>
            </w:r>
          </w:p>
        </w:tc>
        <w:tc>
          <w:tcPr>
            <w:tcW w:w="1580" w:type="dxa"/>
            <w:vAlign w:val="bottom"/>
            <w:shd w:val="clear" w:color="auto" w:fill="EBEBEC"/>
          </w:tcPr>
          <w:p>
            <w:pPr>
              <w:jc w:val="right"/>
              <w:ind w:right="348"/>
              <w:spacing w:after="0"/>
              <w:rPr>
                <w:sz w:val="20"/>
                <w:szCs w:val="20"/>
                <w:color w:val="auto"/>
              </w:rPr>
            </w:pPr>
            <w:r>
              <w:rPr>
                <w:rFonts w:ascii="Arial" w:cs="Arial" w:eastAsia="Arial" w:hAnsi="Arial"/>
                <w:sz w:val="14"/>
                <w:szCs w:val="14"/>
                <w:color w:val="auto"/>
              </w:rPr>
              <w:t>$5,255,617</w:t>
            </w:r>
          </w:p>
        </w:tc>
        <w:tc>
          <w:tcPr>
            <w:tcW w:w="1560" w:type="dxa"/>
            <w:vAlign w:val="bottom"/>
            <w:shd w:val="clear" w:color="auto" w:fill="EBEBEC"/>
          </w:tcPr>
          <w:p>
            <w:pPr>
              <w:jc w:val="right"/>
              <w:ind w:right="348"/>
              <w:spacing w:after="0"/>
              <w:rPr>
                <w:sz w:val="20"/>
                <w:szCs w:val="20"/>
                <w:color w:val="auto"/>
              </w:rPr>
            </w:pPr>
            <w:r>
              <w:rPr>
                <w:rFonts w:ascii="Arial" w:cs="Arial" w:eastAsia="Arial" w:hAnsi="Arial"/>
                <w:sz w:val="14"/>
                <w:szCs w:val="14"/>
                <w:color w:val="auto"/>
              </w:rPr>
              <w:t>$5,995,797</w:t>
            </w:r>
          </w:p>
        </w:tc>
        <w:tc>
          <w:tcPr>
            <w:tcW w:w="1040" w:type="dxa"/>
            <w:vAlign w:val="bottom"/>
            <w:shd w:val="clear" w:color="auto" w:fill="EBEBEC"/>
          </w:tcPr>
          <w:p>
            <w:pPr>
              <w:jc w:val="right"/>
              <w:ind w:right="188"/>
              <w:spacing w:after="0"/>
              <w:rPr>
                <w:sz w:val="20"/>
                <w:szCs w:val="20"/>
                <w:color w:val="auto"/>
              </w:rPr>
            </w:pPr>
            <w:r>
              <w:rPr>
                <w:rFonts w:ascii="Arial" w:cs="Arial" w:eastAsia="Arial" w:hAnsi="Arial"/>
                <w:sz w:val="14"/>
                <w:szCs w:val="14"/>
                <w:color w:val="auto"/>
              </w:rPr>
              <w:t>$381.98</w:t>
            </w:r>
          </w:p>
        </w:tc>
        <w:tc>
          <w:tcPr>
            <w:tcW w:w="1040" w:type="dxa"/>
            <w:vAlign w:val="bottom"/>
            <w:shd w:val="clear" w:color="auto" w:fill="EBEBEC"/>
          </w:tcPr>
          <w:p>
            <w:pPr>
              <w:jc w:val="right"/>
              <w:ind w:right="208"/>
              <w:spacing w:after="0"/>
              <w:rPr>
                <w:sz w:val="20"/>
                <w:szCs w:val="20"/>
                <w:color w:val="auto"/>
              </w:rPr>
            </w:pPr>
            <w:r>
              <w:rPr>
                <w:rFonts w:ascii="Arial" w:cs="Arial" w:eastAsia="Arial" w:hAnsi="Arial"/>
                <w:sz w:val="14"/>
                <w:szCs w:val="14"/>
                <w:color w:val="auto"/>
              </w:rPr>
              <w:t>$518.83</w:t>
            </w:r>
          </w:p>
        </w:tc>
        <w:tc>
          <w:tcPr>
            <w:tcW w:w="1020" w:type="dxa"/>
            <w:vAlign w:val="bottom"/>
            <w:shd w:val="clear" w:color="auto" w:fill="EBEBEC"/>
          </w:tcPr>
          <w:p>
            <w:pPr>
              <w:jc w:val="right"/>
              <w:ind w:right="308"/>
              <w:spacing w:after="0"/>
              <w:rPr>
                <w:sz w:val="20"/>
                <w:szCs w:val="20"/>
                <w:color w:val="auto"/>
              </w:rPr>
            </w:pPr>
            <w:r>
              <w:rPr>
                <w:rFonts w:ascii="Arial" w:cs="Arial" w:eastAsia="Arial" w:hAnsi="Arial"/>
                <w:sz w:val="14"/>
                <w:szCs w:val="14"/>
                <w:color w:val="auto"/>
              </w:rPr>
              <w:t>$564</w:t>
            </w:r>
          </w:p>
        </w:tc>
        <w:tc>
          <w:tcPr>
            <w:tcW w:w="10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$595</w:t>
            </w:r>
          </w:p>
        </w:tc>
      </w:tr>
      <w:tr>
        <w:trPr>
          <w:trHeight w:val="194"/>
        </w:trPr>
        <w:tc>
          <w:tcPr>
            <w:tcW w:w="840" w:type="dxa"/>
            <w:vAlign w:val="bottom"/>
            <w:shd w:val="clear" w:color="auto" w:fill="EBEBEC"/>
          </w:tcPr>
          <w:p>
            <w:pPr>
              <w:ind w:left="140"/>
              <w:spacing w:after="0"/>
              <w:rPr>
                <w:sz w:val="20"/>
                <w:szCs w:val="20"/>
                <w:color w:val="auto"/>
              </w:rPr>
            </w:pPr>
            <w:r>
              <w:rPr>
                <w:rFonts w:ascii="Arial" w:cs="Arial" w:eastAsia="Arial" w:hAnsi="Arial"/>
                <w:sz w:val="14"/>
                <w:szCs w:val="14"/>
                <w:color w:val="auto"/>
              </w:rPr>
              <w:t>2022</w:t>
            </w:r>
          </w:p>
        </w:tc>
        <w:tc>
          <w:tcPr>
            <w:tcW w:w="15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$2,807,749</w:t>
            </w:r>
          </w:p>
        </w:tc>
        <w:tc>
          <w:tcPr>
            <w:tcW w:w="15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$3,368,621</w:t>
            </w:r>
          </w:p>
        </w:tc>
        <w:tc>
          <w:tcPr>
            <w:tcW w:w="1580" w:type="dxa"/>
            <w:vAlign w:val="bottom"/>
            <w:shd w:val="clear" w:color="auto" w:fill="EBEBEC"/>
          </w:tcPr>
          <w:p>
            <w:pPr>
              <w:jc w:val="right"/>
              <w:ind w:right="348"/>
              <w:spacing w:after="0"/>
              <w:rPr>
                <w:sz w:val="20"/>
                <w:szCs w:val="20"/>
                <w:color w:val="auto"/>
              </w:rPr>
            </w:pPr>
            <w:r>
              <w:rPr>
                <w:rFonts w:ascii="Arial" w:cs="Arial" w:eastAsia="Arial" w:hAnsi="Arial"/>
                <w:sz w:val="14"/>
                <w:szCs w:val="14"/>
                <w:color w:val="auto"/>
              </w:rPr>
              <w:t>$1,382,810</w:t>
            </w:r>
          </w:p>
        </w:tc>
        <w:tc>
          <w:tcPr>
            <w:tcW w:w="1560" w:type="dxa"/>
            <w:vAlign w:val="bottom"/>
            <w:shd w:val="clear" w:color="auto" w:fill="EBEBEC"/>
          </w:tcPr>
          <w:p>
            <w:pPr>
              <w:jc w:val="right"/>
              <w:ind w:right="388"/>
              <w:spacing w:after="0"/>
              <w:rPr>
                <w:sz w:val="20"/>
                <w:szCs w:val="20"/>
                <w:color w:val="auto"/>
              </w:rPr>
            </w:pPr>
            <w:r>
              <w:rPr>
                <w:rFonts w:ascii="Arial" w:cs="Arial" w:eastAsia="Arial" w:hAnsi="Arial"/>
                <w:sz w:val="14"/>
                <w:szCs w:val="14"/>
                <w:color w:val="auto"/>
              </w:rPr>
              <w:t>$1,448,173</w:t>
            </w:r>
          </w:p>
        </w:tc>
        <w:tc>
          <w:tcPr>
            <w:tcW w:w="1040" w:type="dxa"/>
            <w:vAlign w:val="bottom"/>
            <w:shd w:val="clear" w:color="auto" w:fill="EBEBEC"/>
          </w:tcPr>
          <w:p>
            <w:pPr>
              <w:jc w:val="right"/>
              <w:ind w:right="188"/>
              <w:spacing w:after="0"/>
              <w:rPr>
                <w:sz w:val="20"/>
                <w:szCs w:val="20"/>
                <w:color w:val="auto"/>
              </w:rPr>
            </w:pPr>
            <w:r>
              <w:rPr>
                <w:rFonts w:ascii="Arial" w:cs="Arial" w:eastAsia="Arial" w:hAnsi="Arial"/>
                <w:sz w:val="14"/>
                <w:szCs w:val="14"/>
                <w:color w:val="auto"/>
              </w:rPr>
              <w:t>$296.45</w:t>
            </w:r>
          </w:p>
        </w:tc>
        <w:tc>
          <w:tcPr>
            <w:tcW w:w="1040" w:type="dxa"/>
            <w:vAlign w:val="bottom"/>
            <w:shd w:val="clear" w:color="auto" w:fill="EBEBEC"/>
          </w:tcPr>
          <w:p>
            <w:pPr>
              <w:jc w:val="right"/>
              <w:ind w:right="208"/>
              <w:spacing w:after="0"/>
              <w:rPr>
                <w:sz w:val="20"/>
                <w:szCs w:val="20"/>
                <w:color w:val="auto"/>
              </w:rPr>
            </w:pPr>
            <w:r>
              <w:rPr>
                <w:rFonts w:ascii="Arial" w:cs="Arial" w:eastAsia="Arial" w:hAnsi="Arial"/>
                <w:sz w:val="14"/>
                <w:szCs w:val="14"/>
                <w:color w:val="auto"/>
              </w:rPr>
              <w:t>$498.98</w:t>
            </w:r>
          </w:p>
        </w:tc>
        <w:tc>
          <w:tcPr>
            <w:tcW w:w="1020" w:type="dxa"/>
            <w:vAlign w:val="bottom"/>
            <w:shd w:val="clear" w:color="auto" w:fill="EBEBEC"/>
          </w:tcPr>
          <w:p>
            <w:pPr>
              <w:jc w:val="right"/>
              <w:ind w:right="308"/>
              <w:spacing w:after="0"/>
              <w:rPr>
                <w:sz w:val="20"/>
                <w:szCs w:val="20"/>
                <w:color w:val="auto"/>
              </w:rPr>
            </w:pPr>
            <w:r>
              <w:rPr>
                <w:rFonts w:ascii="Arial" w:cs="Arial" w:eastAsia="Arial" w:hAnsi="Arial"/>
                <w:sz w:val="14"/>
                <w:szCs w:val="14"/>
                <w:color w:val="auto"/>
              </w:rPr>
              <w:t>$524</w:t>
            </w:r>
          </w:p>
        </w:tc>
        <w:tc>
          <w:tcPr>
            <w:tcW w:w="10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$360</w:t>
            </w:r>
          </w:p>
        </w:tc>
      </w:tr>
      <w:tr>
        <w:trPr>
          <w:trHeight w:val="196"/>
        </w:trPr>
        <w:tc>
          <w:tcPr>
            <w:tcW w:w="840" w:type="dxa"/>
            <w:vAlign w:val="bottom"/>
            <w:shd w:val="clear" w:color="auto" w:fill="EBEBEC"/>
          </w:tcPr>
          <w:p>
            <w:pPr>
              <w:ind w:left="140"/>
              <w:spacing w:after="0"/>
              <w:rPr>
                <w:sz w:val="20"/>
                <w:szCs w:val="20"/>
                <w:color w:val="auto"/>
              </w:rPr>
            </w:pPr>
            <w:r>
              <w:rPr>
                <w:rFonts w:ascii="Arial" w:cs="Arial" w:eastAsia="Arial" w:hAnsi="Arial"/>
                <w:sz w:val="14"/>
                <w:szCs w:val="14"/>
                <w:color w:val="auto"/>
              </w:rPr>
              <w:t>2021</w:t>
            </w:r>
          </w:p>
        </w:tc>
        <w:tc>
          <w:tcPr>
            <w:tcW w:w="15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$17,583,281</w:t>
            </w:r>
          </w:p>
        </w:tc>
        <w:tc>
          <w:tcPr>
            <w:tcW w:w="15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$30,872,890</w:t>
            </w:r>
          </w:p>
        </w:tc>
        <w:tc>
          <w:tcPr>
            <w:tcW w:w="1580" w:type="dxa"/>
            <w:vAlign w:val="bottom"/>
            <w:shd w:val="clear" w:color="auto" w:fill="EBEBEC"/>
          </w:tcPr>
          <w:p>
            <w:pPr>
              <w:jc w:val="right"/>
              <w:ind w:right="348"/>
              <w:spacing w:after="0"/>
              <w:rPr>
                <w:sz w:val="20"/>
                <w:szCs w:val="20"/>
                <w:color w:val="auto"/>
              </w:rPr>
            </w:pPr>
            <w:r>
              <w:rPr>
                <w:rFonts w:ascii="Arial" w:cs="Arial" w:eastAsia="Arial" w:hAnsi="Arial"/>
                <w:sz w:val="14"/>
                <w:szCs w:val="14"/>
                <w:color w:val="auto"/>
              </w:rPr>
              <w:t>$4,834,140</w:t>
            </w:r>
          </w:p>
        </w:tc>
        <w:tc>
          <w:tcPr>
            <w:tcW w:w="1560" w:type="dxa"/>
            <w:vAlign w:val="bottom"/>
            <w:shd w:val="clear" w:color="auto" w:fill="EBEBEC"/>
          </w:tcPr>
          <w:p>
            <w:pPr>
              <w:jc w:val="right"/>
              <w:ind w:right="368"/>
              <w:spacing w:after="0"/>
              <w:rPr>
                <w:sz w:val="20"/>
                <w:szCs w:val="20"/>
                <w:color w:val="auto"/>
              </w:rPr>
            </w:pPr>
            <w:r>
              <w:rPr>
                <w:rFonts w:ascii="Arial" w:cs="Arial" w:eastAsia="Arial" w:hAnsi="Arial"/>
                <w:sz w:val="14"/>
                <w:szCs w:val="14"/>
                <w:color w:val="auto"/>
              </w:rPr>
              <w:t>$8,066,445</w:t>
            </w:r>
          </w:p>
        </w:tc>
        <w:tc>
          <w:tcPr>
            <w:tcW w:w="1040" w:type="dxa"/>
            <w:vAlign w:val="bottom"/>
            <w:shd w:val="clear" w:color="auto" w:fill="EBEBEC"/>
          </w:tcPr>
          <w:p>
            <w:pPr>
              <w:jc w:val="right"/>
              <w:ind w:right="188"/>
              <w:spacing w:after="0"/>
              <w:rPr>
                <w:sz w:val="20"/>
                <w:szCs w:val="20"/>
                <w:color w:val="auto"/>
              </w:rPr>
            </w:pPr>
            <w:r>
              <w:rPr>
                <w:rFonts w:ascii="Arial" w:cs="Arial" w:eastAsia="Arial" w:hAnsi="Arial"/>
                <w:sz w:val="14"/>
                <w:szCs w:val="14"/>
                <w:color w:val="auto"/>
              </w:rPr>
              <w:t>$285.97</w:t>
            </w:r>
          </w:p>
        </w:tc>
        <w:tc>
          <w:tcPr>
            <w:tcW w:w="1040" w:type="dxa"/>
            <w:vAlign w:val="bottom"/>
            <w:shd w:val="clear" w:color="auto" w:fill="EBEBEC"/>
          </w:tcPr>
          <w:p>
            <w:pPr>
              <w:jc w:val="right"/>
              <w:ind w:right="208"/>
              <w:spacing w:after="0"/>
              <w:rPr>
                <w:sz w:val="20"/>
                <w:szCs w:val="20"/>
                <w:color w:val="auto"/>
              </w:rPr>
            </w:pPr>
            <w:r>
              <w:rPr>
                <w:rFonts w:ascii="Arial" w:cs="Arial" w:eastAsia="Arial" w:hAnsi="Arial"/>
                <w:sz w:val="14"/>
                <w:szCs w:val="14"/>
                <w:color w:val="auto"/>
              </w:rPr>
              <w:t>$346.08</w:t>
            </w:r>
          </w:p>
        </w:tc>
        <w:tc>
          <w:tcPr>
            <w:tcW w:w="1020" w:type="dxa"/>
            <w:vAlign w:val="bottom"/>
            <w:shd w:val="clear" w:color="auto" w:fill="EBEBEC"/>
          </w:tcPr>
          <w:p>
            <w:pPr>
              <w:jc w:val="right"/>
              <w:ind w:right="308"/>
              <w:spacing w:after="0"/>
              <w:rPr>
                <w:sz w:val="20"/>
                <w:szCs w:val="20"/>
                <w:color w:val="auto"/>
              </w:rPr>
            </w:pPr>
            <w:r>
              <w:rPr>
                <w:rFonts w:ascii="Arial" w:cs="Arial" w:eastAsia="Arial" w:hAnsi="Arial"/>
                <w:sz w:val="14"/>
                <w:szCs w:val="14"/>
                <w:color w:val="auto"/>
              </w:rPr>
              <w:t>$625</w:t>
            </w:r>
          </w:p>
        </w:tc>
        <w:tc>
          <w:tcPr>
            <w:tcW w:w="10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$458</w:t>
            </w:r>
          </w:p>
        </w:tc>
      </w:tr>
      <w:tr>
        <w:trPr>
          <w:trHeight w:val="203"/>
        </w:trPr>
        <w:tc>
          <w:tcPr>
            <w:tcW w:w="840" w:type="dxa"/>
            <w:vAlign w:val="bottom"/>
            <w:shd w:val="clear" w:color="auto" w:fill="EBEBEC"/>
          </w:tcPr>
          <w:p>
            <w:pPr>
              <w:ind w:left="140"/>
              <w:spacing w:after="0" w:line="203" w:lineRule="exact"/>
              <w:rPr>
                <w:sz w:val="20"/>
                <w:szCs w:val="20"/>
                <w:color w:val="auto"/>
              </w:rPr>
            </w:pPr>
            <w:r>
              <w:rPr>
                <w:rFonts w:ascii="Arial" w:cs="Arial" w:eastAsia="Arial" w:hAnsi="Arial"/>
                <w:sz w:val="14"/>
                <w:szCs w:val="14"/>
                <w:color w:val="auto"/>
              </w:rPr>
              <w:t>2020</w:t>
            </w:r>
            <w:r>
              <w:rPr>
                <w:rFonts w:ascii="Arial" w:cs="Arial" w:eastAsia="Arial" w:hAnsi="Arial"/>
                <w:sz w:val="19"/>
                <w:szCs w:val="19"/>
                <w:color w:val="auto"/>
                <w:vertAlign w:val="superscript"/>
              </w:rPr>
              <w:t>(6)</w:t>
            </w:r>
          </w:p>
        </w:tc>
        <w:tc>
          <w:tcPr>
            <w:tcW w:w="15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$47,529</w:t>
            </w:r>
          </w:p>
        </w:tc>
        <w:tc>
          <w:tcPr>
            <w:tcW w:w="15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$47,529</w:t>
            </w:r>
          </w:p>
        </w:tc>
        <w:tc>
          <w:tcPr>
            <w:tcW w:w="1580" w:type="dxa"/>
            <w:vAlign w:val="bottom"/>
            <w:shd w:val="clear" w:color="auto" w:fill="EBEBEC"/>
          </w:tcPr>
          <w:p>
            <w:pPr>
              <w:jc w:val="right"/>
              <w:ind w:right="348"/>
              <w:spacing w:after="0"/>
              <w:rPr>
                <w:sz w:val="20"/>
                <w:szCs w:val="20"/>
                <w:color w:val="auto"/>
              </w:rPr>
            </w:pPr>
            <w:r>
              <w:rPr>
                <w:rFonts w:ascii="Arial" w:cs="Arial" w:eastAsia="Arial" w:hAnsi="Arial"/>
                <w:sz w:val="14"/>
                <w:szCs w:val="14"/>
                <w:color w:val="auto"/>
              </w:rPr>
              <w:t>$4,549,943</w:t>
            </w:r>
          </w:p>
        </w:tc>
        <w:tc>
          <w:tcPr>
            <w:tcW w:w="1560" w:type="dxa"/>
            <w:vAlign w:val="bottom"/>
            <w:shd w:val="clear" w:color="auto" w:fill="EBEBEC"/>
          </w:tcPr>
          <w:p>
            <w:pPr>
              <w:jc w:val="right"/>
              <w:ind w:right="348"/>
              <w:spacing w:after="0"/>
              <w:rPr>
                <w:sz w:val="20"/>
                <w:szCs w:val="20"/>
                <w:color w:val="auto"/>
              </w:rPr>
            </w:pPr>
            <w:r>
              <w:rPr>
                <w:rFonts w:ascii="Arial" w:cs="Arial" w:eastAsia="Arial" w:hAnsi="Arial"/>
                <w:sz w:val="14"/>
                <w:szCs w:val="14"/>
                <w:color w:val="auto"/>
              </w:rPr>
              <w:t>$3,264,927</w:t>
            </w:r>
          </w:p>
        </w:tc>
        <w:tc>
          <w:tcPr>
            <w:tcW w:w="1040" w:type="dxa"/>
            <w:vAlign w:val="bottom"/>
            <w:shd w:val="clear" w:color="auto" w:fill="EBEBEC"/>
          </w:tcPr>
          <w:p>
            <w:pPr>
              <w:jc w:val="right"/>
              <w:ind w:right="188"/>
              <w:spacing w:after="0"/>
              <w:rPr>
                <w:sz w:val="20"/>
                <w:szCs w:val="20"/>
                <w:color w:val="auto"/>
              </w:rPr>
            </w:pPr>
            <w:r>
              <w:rPr>
                <w:rFonts w:ascii="Arial" w:cs="Arial" w:eastAsia="Arial" w:hAnsi="Arial"/>
                <w:sz w:val="14"/>
                <w:szCs w:val="14"/>
                <w:color w:val="auto"/>
              </w:rPr>
              <w:t>$157.27</w:t>
            </w:r>
          </w:p>
        </w:tc>
        <w:tc>
          <w:tcPr>
            <w:tcW w:w="1040" w:type="dxa"/>
            <w:vAlign w:val="bottom"/>
            <w:shd w:val="clear" w:color="auto" w:fill="EBEBEC"/>
          </w:tcPr>
          <w:p>
            <w:pPr>
              <w:jc w:val="right"/>
              <w:ind w:right="208"/>
              <w:spacing w:after="0"/>
              <w:rPr>
                <w:sz w:val="20"/>
                <w:szCs w:val="20"/>
                <w:color w:val="auto"/>
              </w:rPr>
            </w:pPr>
            <w:r>
              <w:rPr>
                <w:rFonts w:ascii="Arial" w:cs="Arial" w:eastAsia="Arial" w:hAnsi="Arial"/>
                <w:sz w:val="14"/>
                <w:szCs w:val="14"/>
                <w:color w:val="auto"/>
              </w:rPr>
              <w:t>$136.65</w:t>
            </w:r>
          </w:p>
        </w:tc>
        <w:tc>
          <w:tcPr>
            <w:tcW w:w="1020" w:type="dxa"/>
            <w:vAlign w:val="bottom"/>
            <w:shd w:val="clear" w:color="auto" w:fill="EBEBEC"/>
          </w:tcPr>
          <w:p>
            <w:pPr>
              <w:jc w:val="right"/>
              <w:ind w:right="268"/>
              <w:spacing w:after="0"/>
              <w:rPr>
                <w:sz w:val="20"/>
                <w:szCs w:val="20"/>
                <w:color w:val="auto"/>
              </w:rPr>
            </w:pPr>
            <w:r>
              <w:rPr>
                <w:rFonts w:ascii="Arial" w:cs="Arial" w:eastAsia="Arial" w:hAnsi="Arial"/>
                <w:sz w:val="14"/>
                <w:szCs w:val="14"/>
                <w:color w:val="auto"/>
              </w:rPr>
              <w:t>$(125)</w:t>
            </w:r>
          </w:p>
        </w:tc>
        <w:tc>
          <w:tcPr>
            <w:tcW w:w="10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n/a</w:t>
            </w:r>
          </w:p>
        </w:tc>
      </w:tr>
      <w:tr>
        <w:trPr>
          <w:trHeight w:val="217"/>
        </w:trPr>
        <w:tc>
          <w:tcPr>
            <w:tcW w:w="840" w:type="dxa"/>
            <w:vAlign w:val="bottom"/>
            <w:shd w:val="clear" w:color="auto" w:fill="EBEBEC"/>
          </w:tcPr>
          <w:p>
            <w:pPr>
              <w:ind w:left="140"/>
              <w:spacing w:after="0" w:line="217" w:lineRule="exact"/>
              <w:rPr>
                <w:sz w:val="20"/>
                <w:szCs w:val="20"/>
                <w:color w:val="auto"/>
              </w:rPr>
            </w:pPr>
            <w:r>
              <w:rPr>
                <w:rFonts w:ascii="Arial" w:cs="Arial" w:eastAsia="Arial" w:hAnsi="Arial"/>
                <w:sz w:val="14"/>
                <w:szCs w:val="14"/>
                <w:color w:val="auto"/>
              </w:rPr>
              <w:t>2020</w:t>
            </w:r>
            <w:r>
              <w:rPr>
                <w:rFonts w:ascii="Arial" w:cs="Arial" w:eastAsia="Arial" w:hAnsi="Arial"/>
                <w:sz w:val="19"/>
                <w:szCs w:val="19"/>
                <w:color w:val="auto"/>
                <w:vertAlign w:val="superscript"/>
              </w:rPr>
              <w:t>(7)</w:t>
            </w:r>
          </w:p>
        </w:tc>
        <w:tc>
          <w:tcPr>
            <w:tcW w:w="15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$21,520,647</w:t>
            </w:r>
          </w:p>
        </w:tc>
        <w:tc>
          <w:tcPr>
            <w:tcW w:w="15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$16,120,640</w:t>
            </w:r>
          </w:p>
        </w:tc>
        <w:tc>
          <w:tcPr>
            <w:tcW w:w="1580" w:type="dxa"/>
            <w:vAlign w:val="bottom"/>
            <w:shd w:val="clear" w:color="auto" w:fill="EBEBEC"/>
          </w:tcPr>
          <w:p>
            <w:pPr>
              <w:spacing w:after="0"/>
              <w:rPr>
                <w:sz w:val="18"/>
                <w:szCs w:val="18"/>
                <w:color w:val="auto"/>
              </w:rPr>
            </w:pPr>
          </w:p>
        </w:tc>
        <w:tc>
          <w:tcPr>
            <w:tcW w:w="1560" w:type="dxa"/>
            <w:vAlign w:val="bottom"/>
            <w:shd w:val="clear" w:color="auto" w:fill="EBEBEC"/>
          </w:tcPr>
          <w:p>
            <w:pPr>
              <w:spacing w:after="0"/>
              <w:rPr>
                <w:sz w:val="18"/>
                <w:szCs w:val="18"/>
                <w:color w:val="auto"/>
              </w:rPr>
            </w:pPr>
          </w:p>
        </w:tc>
        <w:tc>
          <w:tcPr>
            <w:tcW w:w="1040" w:type="dxa"/>
            <w:vAlign w:val="bottom"/>
            <w:shd w:val="clear" w:color="auto" w:fill="EBEBEC"/>
          </w:tcPr>
          <w:p>
            <w:pPr>
              <w:spacing w:after="0"/>
              <w:rPr>
                <w:sz w:val="18"/>
                <w:szCs w:val="18"/>
                <w:color w:val="auto"/>
              </w:rPr>
            </w:pPr>
          </w:p>
        </w:tc>
        <w:tc>
          <w:tcPr>
            <w:tcW w:w="1040" w:type="dxa"/>
            <w:vAlign w:val="bottom"/>
            <w:shd w:val="clear" w:color="auto" w:fill="EBEBEC"/>
          </w:tcPr>
          <w:p>
            <w:pPr>
              <w:spacing w:after="0"/>
              <w:rPr>
                <w:sz w:val="18"/>
                <w:szCs w:val="18"/>
                <w:color w:val="auto"/>
              </w:rPr>
            </w:pPr>
          </w:p>
        </w:tc>
        <w:tc>
          <w:tcPr>
            <w:tcW w:w="1020" w:type="dxa"/>
            <w:vAlign w:val="bottom"/>
            <w:shd w:val="clear" w:color="auto" w:fill="EBEBEC"/>
          </w:tcPr>
          <w:p>
            <w:pPr>
              <w:spacing w:after="0"/>
              <w:rPr>
                <w:sz w:val="18"/>
                <w:szCs w:val="18"/>
                <w:color w:val="auto"/>
              </w:rPr>
            </w:pPr>
          </w:p>
        </w:tc>
        <w:tc>
          <w:tcPr>
            <w:tcW w:w="1000" w:type="dxa"/>
            <w:vAlign w:val="bottom"/>
            <w:shd w:val="clear" w:color="auto" w:fill="EBEBEC"/>
          </w:tcPr>
          <w:p>
            <w:pPr>
              <w:spacing w:after="0"/>
              <w:rPr>
                <w:sz w:val="18"/>
                <w:szCs w:val="18"/>
                <w:color w:val="auto"/>
              </w:rPr>
            </w:pPr>
          </w:p>
        </w:tc>
      </w:tr>
    </w:tbl>
    <w:p>
      <w:pPr>
        <w:spacing w:after="0" w:line="153"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3"/>
          <w:szCs w:val="13"/>
          <w:color w:val="auto"/>
        </w:rPr>
      </w:pPr>
      <w:r>
        <w:rPr>
          <w:rFonts w:ascii="Arial" w:cs="Arial" w:eastAsia="Arial" w:hAnsi="Arial"/>
          <w:sz w:val="14"/>
          <w:szCs w:val="14"/>
          <w:color w:val="auto"/>
        </w:rPr>
        <w:t>The PEO and the non-PEO NEOs for each year are as follows:</w:t>
      </w:r>
    </w:p>
    <w:p>
      <w:pPr>
        <w:spacing w:after="0" w:line="15" w:lineRule="exact"/>
        <w:rPr>
          <w:rFonts w:ascii="Arial" w:cs="Arial" w:eastAsia="Arial" w:hAnsi="Arial"/>
          <w:sz w:val="13"/>
          <w:szCs w:val="13"/>
          <w:color w:val="auto"/>
        </w:rPr>
      </w:pPr>
    </w:p>
    <w:p>
      <w:pPr>
        <w:ind w:left="760" w:hanging="378"/>
        <w:spacing w:after="0"/>
        <w:tabs>
          <w:tab w:leader="none" w:pos="760" w:val="left"/>
        </w:tabs>
        <w:numPr>
          <w:ilvl w:val="1"/>
          <w:numId w:val="44"/>
        </w:numPr>
        <w:rPr>
          <w:rFonts w:ascii="Times New Roman" w:cs="Times New Roman" w:eastAsia="Times New Roman" w:hAnsi="Times New Roman"/>
          <w:sz w:val="14"/>
          <w:szCs w:val="14"/>
          <w:color w:val="auto"/>
        </w:rPr>
      </w:pPr>
      <w:r>
        <w:rPr>
          <w:rFonts w:ascii="Arial" w:cs="Arial" w:eastAsia="Arial" w:hAnsi="Arial"/>
          <w:sz w:val="14"/>
          <w:szCs w:val="14"/>
          <w:color w:val="auto"/>
        </w:rPr>
        <w:t>2024: PEO – Francisco J. Leon; Non-PEOs – Manuela (“Nelly”) Molina, Jay A. Bys, Chris D. Gould, Michael L. Preston</w:t>
      </w:r>
    </w:p>
    <w:p>
      <w:pPr>
        <w:ind w:left="760" w:hanging="378"/>
        <w:spacing w:after="0"/>
        <w:tabs>
          <w:tab w:leader="none" w:pos="760" w:val="left"/>
        </w:tabs>
        <w:numPr>
          <w:ilvl w:val="1"/>
          <w:numId w:val="44"/>
        </w:numPr>
        <w:rPr>
          <w:rFonts w:ascii="Times New Roman" w:cs="Times New Roman" w:eastAsia="Times New Roman" w:hAnsi="Times New Roman"/>
          <w:sz w:val="14"/>
          <w:szCs w:val="14"/>
          <w:color w:val="auto"/>
        </w:rPr>
      </w:pPr>
      <w:r>
        <w:rPr>
          <w:rFonts w:ascii="Arial" w:cs="Arial" w:eastAsia="Arial" w:hAnsi="Arial"/>
          <w:sz w:val="14"/>
          <w:szCs w:val="14"/>
          <w:color w:val="auto"/>
        </w:rPr>
        <w:t>2023: PEOs – Mark A. McFarland and Francisco J. Leon; Non-PEOs – Manuela (“Nelly”) Molina, Jay A. Bys, Chris D. Gould, Michael L. Preston, Shawn M. Kerns</w:t>
      </w:r>
    </w:p>
    <w:p>
      <w:pPr>
        <w:ind w:left="760" w:hanging="378"/>
        <w:spacing w:after="0"/>
        <w:tabs>
          <w:tab w:leader="none" w:pos="760" w:val="left"/>
        </w:tabs>
        <w:numPr>
          <w:ilvl w:val="1"/>
          <w:numId w:val="44"/>
        </w:numPr>
        <w:rPr>
          <w:rFonts w:ascii="Times New Roman" w:cs="Times New Roman" w:eastAsia="Times New Roman" w:hAnsi="Times New Roman"/>
          <w:sz w:val="14"/>
          <w:szCs w:val="14"/>
          <w:color w:val="auto"/>
        </w:rPr>
      </w:pPr>
      <w:r>
        <w:rPr>
          <w:rFonts w:ascii="Arial" w:cs="Arial" w:eastAsia="Arial" w:hAnsi="Arial"/>
          <w:sz w:val="14"/>
          <w:szCs w:val="14"/>
          <w:color w:val="auto"/>
        </w:rPr>
        <w:t>2022 and 2021: PEO – Mark A. McFarland; Non-PEOs – Francisco J. Leon, Jay A. Bys, Shawn M. Kerns, Michael L. Preston</w:t>
      </w:r>
    </w:p>
    <w:p>
      <w:pPr>
        <w:ind w:left="760" w:hanging="378"/>
        <w:spacing w:after="0"/>
        <w:tabs>
          <w:tab w:leader="none" w:pos="760" w:val="left"/>
        </w:tabs>
        <w:numPr>
          <w:ilvl w:val="1"/>
          <w:numId w:val="44"/>
        </w:numPr>
        <w:rPr>
          <w:rFonts w:ascii="Times New Roman" w:cs="Times New Roman" w:eastAsia="Times New Roman" w:hAnsi="Times New Roman"/>
          <w:sz w:val="14"/>
          <w:szCs w:val="14"/>
          <w:color w:val="auto"/>
        </w:rPr>
      </w:pPr>
      <w:r>
        <w:rPr>
          <w:rFonts w:ascii="Arial" w:cs="Arial" w:eastAsia="Arial" w:hAnsi="Arial"/>
          <w:sz w:val="14"/>
          <w:szCs w:val="14"/>
          <w:color w:val="auto"/>
        </w:rPr>
        <w:t>2020: PEOs – Mark A. McFarland and Todd A. Stevens; Non-PEOs – Francisco J. Leon, Marshall D. Smith, Charles F. Weiss, Shawn M. Kerns, Darren Williams</w:t>
      </w:r>
    </w:p>
    <w:p>
      <w:pPr>
        <w:spacing w:after="0" w:line="200" w:lineRule="exact"/>
        <w:rPr>
          <w:sz w:val="20"/>
          <w:szCs w:val="20"/>
          <w:color w:val="auto"/>
        </w:rPr>
      </w:pPr>
    </w:p>
    <w:p>
      <w:pPr>
        <w:spacing w:after="0" w:line="263" w:lineRule="exact"/>
        <w:rPr>
          <w:sz w:val="20"/>
          <w:szCs w:val="20"/>
          <w:color w:val="auto"/>
        </w:rPr>
      </w:pPr>
    </w:p>
    <w:p>
      <w:pPr>
        <w:ind w:left="718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63" w:name="page64"/>
    <w:bookmarkEnd w:id="63"/>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74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150"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3"/>
          <w:szCs w:val="13"/>
          <w:color w:val="auto"/>
        </w:rPr>
      </w:pPr>
      <w:r>
        <w:rPr>
          <w:rFonts w:ascii="Arial" w:cs="Arial" w:eastAsia="Arial" w:hAnsi="Arial"/>
          <w:sz w:val="14"/>
          <w:szCs w:val="14"/>
          <w:color w:val="auto"/>
        </w:rPr>
        <w:t>The following tables reconcile the Summary Compensation Table totals to the Compensation Actually Paid totals:</w:t>
      </w: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8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0075C9"/>
            </w:tcBorders>
          </w:tcPr>
          <w:p>
            <w:pPr>
              <w:spacing w:after="0"/>
              <w:rPr>
                <w:sz w:val="14"/>
                <w:szCs w:val="14"/>
                <w:color w:val="auto"/>
              </w:rPr>
            </w:pPr>
          </w:p>
        </w:tc>
        <w:tc>
          <w:tcPr>
            <w:tcW w:w="100" w:type="dxa"/>
            <w:vAlign w:val="bottom"/>
            <w:tcBorders>
              <w:bottom w:val="single" w:sz="8" w:color="0075C9"/>
            </w:tcBorders>
          </w:tcPr>
          <w:p>
            <w:pPr>
              <w:spacing w:after="0"/>
              <w:rPr>
                <w:sz w:val="14"/>
                <w:szCs w:val="14"/>
                <w:color w:val="auto"/>
              </w:rPr>
            </w:pPr>
          </w:p>
        </w:tc>
        <w:tc>
          <w:tcPr>
            <w:tcW w:w="1560" w:type="dxa"/>
            <w:vAlign w:val="bottom"/>
            <w:tcBorders>
              <w:bottom w:val="single" w:sz="8" w:color="0075C9"/>
            </w:tcBorders>
          </w:tcPr>
          <w:p>
            <w:pPr>
              <w:jc w:val="right"/>
              <w:ind w:right="548"/>
              <w:spacing w:after="0"/>
              <w:rPr>
                <w:sz w:val="20"/>
                <w:szCs w:val="20"/>
                <w:color w:val="auto"/>
              </w:rPr>
            </w:pPr>
            <w:r>
              <w:rPr>
                <w:rFonts w:ascii="Arial" w:cs="Arial" w:eastAsia="Arial" w:hAnsi="Arial"/>
                <w:sz w:val="14"/>
                <w:szCs w:val="14"/>
                <w:b w:val="1"/>
                <w:bCs w:val="1"/>
                <w:color w:val="0075C9"/>
              </w:rPr>
              <w:t>2024</w:t>
            </w:r>
          </w:p>
        </w:tc>
        <w:tc>
          <w:tcPr>
            <w:tcW w:w="100" w:type="dxa"/>
            <w:vAlign w:val="bottom"/>
            <w:tcBorders>
              <w:bottom w:val="single" w:sz="8" w:color="0075C9"/>
            </w:tcBorders>
          </w:tcPr>
          <w:p>
            <w:pPr>
              <w:spacing w:after="0"/>
              <w:rPr>
                <w:sz w:val="14"/>
                <w:szCs w:val="14"/>
                <w:color w:val="auto"/>
              </w:rPr>
            </w:pPr>
          </w:p>
        </w:tc>
        <w:tc>
          <w:tcPr>
            <w:tcW w:w="100" w:type="dxa"/>
            <w:vAlign w:val="bottom"/>
            <w:tcBorders>
              <w:bottom w:val="single" w:sz="8" w:color="0075C9"/>
            </w:tcBorders>
          </w:tcPr>
          <w:p>
            <w:pPr>
              <w:spacing w:after="0"/>
              <w:rPr>
                <w:sz w:val="14"/>
                <w:szCs w:val="14"/>
                <w:color w:val="auto"/>
              </w:rPr>
            </w:pPr>
          </w:p>
        </w:tc>
        <w:tc>
          <w:tcPr>
            <w:tcW w:w="100" w:type="dxa"/>
            <w:vAlign w:val="bottom"/>
            <w:tcBorders>
              <w:bottom w:val="single" w:sz="8" w:color="0075C9"/>
            </w:tcBorders>
          </w:tcPr>
          <w:p>
            <w:pPr>
              <w:spacing w:after="0"/>
              <w:rPr>
                <w:sz w:val="14"/>
                <w:szCs w:val="14"/>
                <w:color w:val="auto"/>
              </w:rPr>
            </w:pPr>
          </w:p>
        </w:tc>
      </w:tr>
      <w:tr>
        <w:trPr>
          <w:trHeight w:val="155"/>
        </w:trPr>
        <w:tc>
          <w:tcPr>
            <w:tcW w:w="8740" w:type="dxa"/>
            <w:vAlign w:val="bottom"/>
            <w:shd w:val="clear" w:color="auto" w:fill="EBEBEC"/>
          </w:tcPr>
          <w:p>
            <w:pPr>
              <w:spacing w:after="0" w:line="155" w:lineRule="exact"/>
              <w:rPr>
                <w:sz w:val="20"/>
                <w:szCs w:val="20"/>
                <w:color w:val="auto"/>
              </w:rPr>
            </w:pPr>
            <w:r>
              <w:rPr>
                <w:rFonts w:ascii="Arial" w:cs="Arial" w:eastAsia="Arial" w:hAnsi="Arial"/>
                <w:sz w:val="14"/>
                <w:szCs w:val="14"/>
                <w:color w:val="auto"/>
              </w:rPr>
              <w:t>PEO Summary Compensation Table Totals</w:t>
            </w:r>
          </w:p>
        </w:tc>
        <w:tc>
          <w:tcPr>
            <w:tcW w:w="400" w:type="dxa"/>
            <w:vAlign w:val="bottom"/>
            <w:gridSpan w:val="2"/>
            <w:shd w:val="clear" w:color="auto" w:fill="EBEBE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EBEBEC"/>
          </w:tcPr>
          <w:p>
            <w:pPr>
              <w:spacing w:after="0"/>
              <w:rPr>
                <w:sz w:val="13"/>
                <w:szCs w:val="13"/>
                <w:color w:val="auto"/>
              </w:rPr>
            </w:pPr>
          </w:p>
        </w:tc>
        <w:tc>
          <w:tcPr>
            <w:tcW w:w="1560" w:type="dxa"/>
            <w:vAlign w:val="bottom"/>
            <w:shd w:val="clear" w:color="auto" w:fill="EBEBEC"/>
          </w:tcPr>
          <w:p>
            <w:pPr>
              <w:jc w:val="right"/>
              <w:spacing w:after="0" w:line="155" w:lineRule="exact"/>
              <w:rPr>
                <w:sz w:val="20"/>
                <w:szCs w:val="20"/>
                <w:color w:val="auto"/>
              </w:rPr>
            </w:pPr>
            <w:r>
              <w:rPr>
                <w:rFonts w:ascii="Arial" w:cs="Arial" w:eastAsia="Arial" w:hAnsi="Arial"/>
                <w:sz w:val="14"/>
                <w:szCs w:val="14"/>
                <w:color w:val="auto"/>
              </w:rPr>
              <w:t>7,985,931</w:t>
            </w:r>
          </w:p>
        </w:tc>
        <w:tc>
          <w:tcPr>
            <w:tcW w:w="10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r>
      <w:tr>
        <w:trPr>
          <w:trHeight w:val="162"/>
        </w:trPr>
        <w:tc>
          <w:tcPr>
            <w:tcW w:w="8740" w:type="dxa"/>
            <w:vAlign w:val="bottom"/>
            <w:shd w:val="clear" w:color="auto" w:fill="EBEBEC"/>
          </w:tcPr>
          <w:p>
            <w:pPr>
              <w:spacing w:after="0"/>
              <w:rPr>
                <w:sz w:val="20"/>
                <w:szCs w:val="20"/>
                <w:color w:val="auto"/>
              </w:rPr>
            </w:pPr>
            <w:r>
              <w:rPr>
                <w:rFonts w:ascii="Arial" w:cs="Arial" w:eastAsia="Arial" w:hAnsi="Arial"/>
                <w:sz w:val="14"/>
                <w:szCs w:val="14"/>
                <w:color w:val="auto"/>
              </w:rPr>
              <w:t>Add (Subtract):</w:t>
            </w:r>
          </w:p>
        </w:tc>
        <w:tc>
          <w:tcPr>
            <w:tcW w:w="22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156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r>
      <w:tr>
        <w:trPr>
          <w:trHeight w:val="162"/>
        </w:trPr>
        <w:tc>
          <w:tcPr>
            <w:tcW w:w="8740" w:type="dxa"/>
            <w:vAlign w:val="bottom"/>
            <w:shd w:val="clear" w:color="auto" w:fill="EBEBEC"/>
          </w:tcPr>
          <w:p>
            <w:pPr>
              <w:ind w:left="180"/>
              <w:spacing w:after="0"/>
              <w:rPr>
                <w:sz w:val="20"/>
                <w:szCs w:val="20"/>
                <w:color w:val="auto"/>
              </w:rPr>
            </w:pPr>
            <w:r>
              <w:rPr>
                <w:rFonts w:ascii="Arial" w:cs="Arial" w:eastAsia="Arial" w:hAnsi="Arial"/>
                <w:sz w:val="14"/>
                <w:szCs w:val="14"/>
                <w:color w:val="auto"/>
              </w:rPr>
              <w:t>Fair value of equity awards granted during the year from the Summary Compensation Table</w:t>
            </w:r>
          </w:p>
        </w:tc>
        <w:tc>
          <w:tcPr>
            <w:tcW w:w="22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1660" w:type="dxa"/>
            <w:vAlign w:val="bottom"/>
            <w:gridSpan w:val="2"/>
            <w:shd w:val="clear" w:color="auto" w:fill="EBEBEC"/>
          </w:tcPr>
          <w:p>
            <w:pPr>
              <w:jc w:val="right"/>
              <w:spacing w:after="0"/>
              <w:rPr>
                <w:sz w:val="20"/>
                <w:szCs w:val="20"/>
                <w:color w:val="auto"/>
              </w:rPr>
            </w:pPr>
            <w:r>
              <w:rPr>
                <w:rFonts w:ascii="Arial" w:cs="Arial" w:eastAsia="Arial" w:hAnsi="Arial"/>
                <w:sz w:val="14"/>
                <w:szCs w:val="14"/>
                <w:color w:val="auto"/>
              </w:rPr>
              <w:t>(5,564,246 )</w:t>
            </w:r>
          </w:p>
        </w:tc>
        <w:tc>
          <w:tcPr>
            <w:tcW w:w="10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r>
      <w:tr>
        <w:trPr>
          <w:trHeight w:val="162"/>
        </w:trPr>
        <w:tc>
          <w:tcPr>
            <w:tcW w:w="8740" w:type="dxa"/>
            <w:vAlign w:val="bottom"/>
            <w:shd w:val="clear" w:color="auto" w:fill="EBEBEC"/>
          </w:tcPr>
          <w:p>
            <w:pPr>
              <w:ind w:left="180"/>
              <w:spacing w:after="0"/>
              <w:rPr>
                <w:sz w:val="20"/>
                <w:szCs w:val="20"/>
                <w:color w:val="auto"/>
              </w:rPr>
            </w:pPr>
            <w:r>
              <w:rPr>
                <w:rFonts w:ascii="Arial" w:cs="Arial" w:eastAsia="Arial" w:hAnsi="Arial"/>
                <w:sz w:val="14"/>
                <w:szCs w:val="14"/>
                <w:color w:val="auto"/>
              </w:rPr>
              <w:t>Fair value at year end of equity awards granted during the year</w:t>
            </w:r>
          </w:p>
        </w:tc>
        <w:tc>
          <w:tcPr>
            <w:tcW w:w="22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15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5,020,669</w:t>
            </w:r>
          </w:p>
        </w:tc>
        <w:tc>
          <w:tcPr>
            <w:tcW w:w="10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r>
      <w:tr>
        <w:trPr>
          <w:trHeight w:val="153"/>
        </w:trPr>
        <w:tc>
          <w:tcPr>
            <w:tcW w:w="8740" w:type="dxa"/>
            <w:vAlign w:val="bottom"/>
            <w:shd w:val="clear" w:color="auto" w:fill="EBEBEC"/>
          </w:tcPr>
          <w:p>
            <w:pPr>
              <w:ind w:left="180"/>
              <w:spacing w:after="0" w:line="153" w:lineRule="exact"/>
              <w:rPr>
                <w:sz w:val="20"/>
                <w:szCs w:val="20"/>
                <w:color w:val="auto"/>
              </w:rPr>
            </w:pPr>
            <w:r>
              <w:rPr>
                <w:rFonts w:ascii="Arial" w:cs="Arial" w:eastAsia="Arial" w:hAnsi="Arial"/>
                <w:sz w:val="14"/>
                <w:szCs w:val="14"/>
                <w:color w:val="auto"/>
              </w:rPr>
              <w:t>Change in fair value of equity awards granted in prior years that were unvested as of</w:t>
            </w:r>
          </w:p>
        </w:tc>
        <w:tc>
          <w:tcPr>
            <w:tcW w:w="220" w:type="dxa"/>
            <w:vAlign w:val="bottom"/>
            <w:shd w:val="clear" w:color="auto" w:fill="EBEBEC"/>
          </w:tcPr>
          <w:p>
            <w:pPr>
              <w:spacing w:after="0"/>
              <w:rPr>
                <w:sz w:val="13"/>
                <w:szCs w:val="13"/>
                <w:color w:val="auto"/>
              </w:rPr>
            </w:pPr>
          </w:p>
        </w:tc>
        <w:tc>
          <w:tcPr>
            <w:tcW w:w="18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156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r>
      <w:tr>
        <w:trPr>
          <w:trHeight w:val="171"/>
        </w:trPr>
        <w:tc>
          <w:tcPr>
            <w:tcW w:w="8740" w:type="dxa"/>
            <w:vAlign w:val="bottom"/>
            <w:shd w:val="clear" w:color="auto" w:fill="EBEBEC"/>
          </w:tcPr>
          <w:p>
            <w:pPr>
              <w:ind w:left="300"/>
              <w:spacing w:after="0"/>
              <w:rPr>
                <w:sz w:val="20"/>
                <w:szCs w:val="20"/>
                <w:color w:val="auto"/>
              </w:rPr>
            </w:pPr>
            <w:r>
              <w:rPr>
                <w:rFonts w:ascii="Arial" w:cs="Arial" w:eastAsia="Arial" w:hAnsi="Arial"/>
                <w:sz w:val="14"/>
                <w:szCs w:val="14"/>
                <w:color w:val="auto"/>
              </w:rPr>
              <w:t>the end of the year</w:t>
            </w:r>
          </w:p>
        </w:tc>
        <w:tc>
          <w:tcPr>
            <w:tcW w:w="22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15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(433,781</w:t>
            </w:r>
          </w:p>
        </w:tc>
        <w:tc>
          <w:tcPr>
            <w:tcW w:w="100" w:type="dxa"/>
            <w:vAlign w:val="bottom"/>
            <w:shd w:val="clear" w:color="auto" w:fill="EBEBEC"/>
          </w:tcPr>
          <w:p>
            <w:pPr>
              <w:jc w:val="right"/>
              <w:spacing w:after="0"/>
              <w:rPr>
                <w:sz w:val="20"/>
                <w:szCs w:val="20"/>
                <w:color w:val="auto"/>
              </w:rPr>
            </w:pPr>
            <w:r>
              <w:rPr>
                <w:rFonts w:ascii="Arial" w:cs="Arial" w:eastAsia="Arial" w:hAnsi="Arial"/>
                <w:sz w:val="14"/>
                <w:szCs w:val="14"/>
                <w:color w:val="auto"/>
                <w:w w:val="84"/>
              </w:rPr>
              <w:t>)</w:t>
            </w:r>
          </w:p>
        </w:tc>
        <w:tc>
          <w:tcPr>
            <w:tcW w:w="10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r>
      <w:tr>
        <w:trPr>
          <w:trHeight w:val="153"/>
        </w:trPr>
        <w:tc>
          <w:tcPr>
            <w:tcW w:w="8740" w:type="dxa"/>
            <w:vAlign w:val="bottom"/>
            <w:shd w:val="clear" w:color="auto" w:fill="EBEBEC"/>
          </w:tcPr>
          <w:p>
            <w:pPr>
              <w:ind w:left="180"/>
              <w:spacing w:after="0" w:line="153" w:lineRule="exact"/>
              <w:rPr>
                <w:sz w:val="20"/>
                <w:szCs w:val="20"/>
                <w:color w:val="auto"/>
              </w:rPr>
            </w:pPr>
            <w:r>
              <w:rPr>
                <w:rFonts w:ascii="Arial" w:cs="Arial" w:eastAsia="Arial" w:hAnsi="Arial"/>
                <w:sz w:val="14"/>
                <w:szCs w:val="14"/>
                <w:color w:val="auto"/>
              </w:rPr>
              <w:t>Change in fair value of equity awards granted in prior years that vested during the year</w:t>
            </w:r>
          </w:p>
        </w:tc>
        <w:tc>
          <w:tcPr>
            <w:tcW w:w="220" w:type="dxa"/>
            <w:vAlign w:val="bottom"/>
            <w:shd w:val="clear" w:color="auto" w:fill="EBEBEC"/>
          </w:tcPr>
          <w:p>
            <w:pPr>
              <w:spacing w:after="0"/>
              <w:rPr>
                <w:sz w:val="13"/>
                <w:szCs w:val="13"/>
                <w:color w:val="auto"/>
              </w:rPr>
            </w:pPr>
          </w:p>
        </w:tc>
        <w:tc>
          <w:tcPr>
            <w:tcW w:w="18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1560" w:type="dxa"/>
            <w:vAlign w:val="bottom"/>
            <w:shd w:val="clear" w:color="auto" w:fill="EBEBEC"/>
          </w:tcPr>
          <w:p>
            <w:pPr>
              <w:jc w:val="right"/>
              <w:spacing w:after="0" w:line="153" w:lineRule="exact"/>
              <w:rPr>
                <w:sz w:val="20"/>
                <w:szCs w:val="20"/>
                <w:color w:val="auto"/>
              </w:rPr>
            </w:pPr>
            <w:r>
              <w:rPr>
                <w:rFonts w:ascii="Arial" w:cs="Arial" w:eastAsia="Arial" w:hAnsi="Arial"/>
                <w:sz w:val="14"/>
                <w:szCs w:val="14"/>
                <w:color w:val="auto"/>
              </w:rPr>
              <w:t>(368,667</w:t>
            </w:r>
          </w:p>
        </w:tc>
        <w:tc>
          <w:tcPr>
            <w:tcW w:w="100" w:type="dxa"/>
            <w:vAlign w:val="bottom"/>
            <w:shd w:val="clear" w:color="auto" w:fill="EBEBEC"/>
          </w:tcPr>
          <w:p>
            <w:pPr>
              <w:jc w:val="right"/>
              <w:spacing w:after="0" w:line="153" w:lineRule="exact"/>
              <w:rPr>
                <w:sz w:val="20"/>
                <w:szCs w:val="20"/>
                <w:color w:val="auto"/>
              </w:rPr>
            </w:pPr>
            <w:r>
              <w:rPr>
                <w:rFonts w:ascii="Arial" w:cs="Arial" w:eastAsia="Arial" w:hAnsi="Arial"/>
                <w:sz w:val="14"/>
                <w:szCs w:val="14"/>
                <w:color w:val="auto"/>
                <w:w w:val="84"/>
              </w:rPr>
              <w:t>)</w:t>
            </w:r>
          </w:p>
        </w:tc>
        <w:tc>
          <w:tcPr>
            <w:tcW w:w="10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r>
      <w:tr>
        <w:trPr>
          <w:trHeight w:val="171"/>
        </w:trPr>
        <w:tc>
          <w:tcPr>
            <w:tcW w:w="8740" w:type="dxa"/>
            <w:vAlign w:val="bottom"/>
            <w:tcBorders>
              <w:bottom w:val="single" w:sz="8" w:color="EBEBEC"/>
            </w:tcBorders>
            <w:shd w:val="clear" w:color="auto" w:fill="EBEBEC"/>
          </w:tcPr>
          <w:p>
            <w:pPr>
              <w:ind w:left="180"/>
              <w:spacing w:after="0"/>
              <w:rPr>
                <w:sz w:val="20"/>
                <w:szCs w:val="20"/>
                <w:color w:val="auto"/>
              </w:rPr>
            </w:pPr>
            <w:r>
              <w:rPr>
                <w:rFonts w:ascii="Arial" w:cs="Arial" w:eastAsia="Arial" w:hAnsi="Arial"/>
                <w:sz w:val="14"/>
                <w:szCs w:val="14"/>
                <w:color w:val="auto"/>
              </w:rPr>
              <w:t>Equity awards granted in prior years that were forfeited during the year</w:t>
            </w:r>
          </w:p>
        </w:tc>
        <w:tc>
          <w:tcPr>
            <w:tcW w:w="220" w:type="dxa"/>
            <w:vAlign w:val="bottom"/>
            <w:tcBorders>
              <w:bottom w:val="single" w:sz="8" w:color="EBEBEC"/>
            </w:tcBorders>
            <w:shd w:val="clear" w:color="auto" w:fill="EBEBEC"/>
          </w:tcPr>
          <w:p>
            <w:pPr>
              <w:spacing w:after="0"/>
              <w:rPr>
                <w:sz w:val="14"/>
                <w:szCs w:val="14"/>
                <w:color w:val="auto"/>
              </w:rPr>
            </w:pPr>
          </w:p>
        </w:tc>
        <w:tc>
          <w:tcPr>
            <w:tcW w:w="180" w:type="dxa"/>
            <w:vAlign w:val="bottom"/>
            <w:tcBorders>
              <w:bottom w:val="single" w:sz="8" w:color="auto"/>
            </w:tcBorders>
            <w:shd w:val="clear" w:color="auto" w:fill="EBEBEC"/>
          </w:tcPr>
          <w:p>
            <w:pPr>
              <w:spacing w:after="0"/>
              <w:rPr>
                <w:sz w:val="14"/>
                <w:szCs w:val="14"/>
                <w:color w:val="auto"/>
              </w:rPr>
            </w:pPr>
          </w:p>
        </w:tc>
        <w:tc>
          <w:tcPr>
            <w:tcW w:w="100" w:type="dxa"/>
            <w:vAlign w:val="bottom"/>
            <w:tcBorders>
              <w:bottom w:val="single" w:sz="8" w:color="auto"/>
            </w:tcBorders>
            <w:shd w:val="clear" w:color="auto" w:fill="EBEBEC"/>
          </w:tcPr>
          <w:p>
            <w:pPr>
              <w:spacing w:after="0"/>
              <w:rPr>
                <w:sz w:val="14"/>
                <w:szCs w:val="14"/>
                <w:color w:val="auto"/>
              </w:rPr>
            </w:pPr>
          </w:p>
        </w:tc>
        <w:tc>
          <w:tcPr>
            <w:tcW w:w="1560" w:type="dxa"/>
            <w:vAlign w:val="bottom"/>
            <w:tcBorders>
              <w:bottom w:val="single" w:sz="8" w:color="auto"/>
            </w:tcBorders>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EBEBEC"/>
          </w:tcPr>
          <w:p>
            <w:pPr>
              <w:spacing w:after="0"/>
              <w:rPr>
                <w:sz w:val="14"/>
                <w:szCs w:val="14"/>
                <w:color w:val="auto"/>
              </w:rPr>
            </w:pPr>
          </w:p>
        </w:tc>
        <w:tc>
          <w:tcPr>
            <w:tcW w:w="100" w:type="dxa"/>
            <w:vAlign w:val="bottom"/>
            <w:tcBorders>
              <w:bottom w:val="single" w:sz="8" w:color="EBEBEC"/>
            </w:tcBorders>
            <w:shd w:val="clear" w:color="auto" w:fill="EBEBEC"/>
          </w:tcPr>
          <w:p>
            <w:pPr>
              <w:spacing w:after="0"/>
              <w:rPr>
                <w:sz w:val="14"/>
                <w:szCs w:val="14"/>
                <w:color w:val="auto"/>
              </w:rPr>
            </w:pPr>
          </w:p>
        </w:tc>
        <w:tc>
          <w:tcPr>
            <w:tcW w:w="100" w:type="dxa"/>
            <w:vAlign w:val="bottom"/>
            <w:tcBorders>
              <w:bottom w:val="single" w:sz="8" w:color="EBEBEC"/>
            </w:tcBorders>
            <w:shd w:val="clear" w:color="auto" w:fill="EBEBEC"/>
          </w:tcPr>
          <w:p>
            <w:pPr>
              <w:spacing w:after="0"/>
              <w:rPr>
                <w:sz w:val="14"/>
                <w:szCs w:val="14"/>
                <w:color w:val="auto"/>
              </w:rPr>
            </w:pPr>
          </w:p>
        </w:tc>
      </w:tr>
      <w:tr>
        <w:trPr>
          <w:trHeight w:val="146"/>
        </w:trPr>
        <w:tc>
          <w:tcPr>
            <w:tcW w:w="8740" w:type="dxa"/>
            <w:vAlign w:val="bottom"/>
            <w:shd w:val="clear" w:color="auto" w:fill="EBEBEC"/>
          </w:tcPr>
          <w:p>
            <w:pPr>
              <w:ind w:left="360"/>
              <w:spacing w:after="0" w:line="147" w:lineRule="exact"/>
              <w:rPr>
                <w:sz w:val="20"/>
                <w:szCs w:val="20"/>
                <w:color w:val="auto"/>
              </w:rPr>
            </w:pPr>
            <w:r>
              <w:rPr>
                <w:rFonts w:ascii="Arial" w:cs="Arial" w:eastAsia="Arial" w:hAnsi="Arial"/>
                <w:sz w:val="14"/>
                <w:szCs w:val="14"/>
                <w:b w:val="1"/>
                <w:bCs w:val="1"/>
                <w:color w:val="auto"/>
              </w:rPr>
              <w:t>Total Equity Award Related Adjustments</w:t>
            </w:r>
          </w:p>
        </w:tc>
        <w:tc>
          <w:tcPr>
            <w:tcW w:w="22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560" w:type="dxa"/>
            <w:vAlign w:val="bottom"/>
            <w:shd w:val="clear" w:color="auto" w:fill="EBEBEC"/>
          </w:tcPr>
          <w:p>
            <w:pPr>
              <w:jc w:val="right"/>
              <w:spacing w:after="0" w:line="147" w:lineRule="exact"/>
              <w:rPr>
                <w:sz w:val="20"/>
                <w:szCs w:val="20"/>
                <w:color w:val="auto"/>
              </w:rPr>
            </w:pPr>
            <w:r>
              <w:rPr>
                <w:rFonts w:ascii="Arial" w:cs="Arial" w:eastAsia="Arial" w:hAnsi="Arial"/>
                <w:sz w:val="14"/>
                <w:szCs w:val="14"/>
                <w:b w:val="1"/>
                <w:bCs w:val="1"/>
                <w:color w:val="auto"/>
              </w:rPr>
              <w:t>(1,346,025</w:t>
            </w:r>
          </w:p>
        </w:tc>
        <w:tc>
          <w:tcPr>
            <w:tcW w:w="100" w:type="dxa"/>
            <w:vAlign w:val="bottom"/>
            <w:shd w:val="clear" w:color="auto" w:fill="EBEBEC"/>
          </w:tcPr>
          <w:p>
            <w:pPr>
              <w:jc w:val="right"/>
              <w:spacing w:after="0" w:line="147" w:lineRule="exact"/>
              <w:rPr>
                <w:sz w:val="20"/>
                <w:szCs w:val="20"/>
                <w:color w:val="auto"/>
              </w:rPr>
            </w:pPr>
            <w:r>
              <w:rPr>
                <w:rFonts w:ascii="Arial" w:cs="Arial" w:eastAsia="Arial" w:hAnsi="Arial"/>
                <w:sz w:val="14"/>
                <w:szCs w:val="14"/>
                <w:b w:val="1"/>
                <w:bCs w:val="1"/>
                <w:color w:val="auto"/>
                <w:w w:val="84"/>
              </w:rPr>
              <w:t>)</w:t>
            </w:r>
          </w:p>
        </w:tc>
        <w:tc>
          <w:tcPr>
            <w:tcW w:w="1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r>
      <w:tr>
        <w:trPr>
          <w:trHeight w:val="171"/>
        </w:trPr>
        <w:tc>
          <w:tcPr>
            <w:tcW w:w="8740" w:type="dxa"/>
            <w:vAlign w:val="bottom"/>
            <w:shd w:val="clear" w:color="auto" w:fill="EBEBEC"/>
          </w:tcPr>
          <w:p>
            <w:pPr>
              <w:spacing w:after="0"/>
              <w:rPr>
                <w:sz w:val="20"/>
                <w:szCs w:val="20"/>
                <w:color w:val="auto"/>
              </w:rPr>
            </w:pPr>
            <w:r>
              <w:rPr>
                <w:rFonts w:ascii="Arial" w:cs="Arial" w:eastAsia="Arial" w:hAnsi="Arial"/>
                <w:sz w:val="14"/>
                <w:szCs w:val="14"/>
                <w:color w:val="auto"/>
              </w:rPr>
              <w:t>Compensation Actually Paid Totals</w:t>
            </w:r>
          </w:p>
        </w:tc>
        <w:tc>
          <w:tcPr>
            <w:tcW w:w="220" w:type="dxa"/>
            <w:vAlign w:val="bottom"/>
            <w:shd w:val="clear" w:color="auto" w:fill="EBEBEC"/>
          </w:tcPr>
          <w:p>
            <w:pPr>
              <w:spacing w:after="0"/>
              <w:rPr>
                <w:sz w:val="14"/>
                <w:szCs w:val="14"/>
                <w:color w:val="auto"/>
              </w:rPr>
            </w:pPr>
          </w:p>
        </w:tc>
        <w:tc>
          <w:tcPr>
            <w:tcW w:w="180" w:type="dxa"/>
            <w:vAlign w:val="bottom"/>
            <w:shd w:val="clear" w:color="auto" w:fill="EBEBEC"/>
          </w:tcPr>
          <w:p>
            <w:pPr>
              <w:jc w:val="right"/>
              <w:ind w:right="28"/>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EBEBEC"/>
          </w:tcPr>
          <w:p>
            <w:pPr>
              <w:spacing w:after="0"/>
              <w:rPr>
                <w:sz w:val="14"/>
                <w:szCs w:val="14"/>
                <w:color w:val="auto"/>
              </w:rPr>
            </w:pPr>
          </w:p>
        </w:tc>
        <w:tc>
          <w:tcPr>
            <w:tcW w:w="15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6,639,906</w:t>
            </w:r>
          </w:p>
        </w:tc>
        <w:tc>
          <w:tcPr>
            <w:tcW w:w="10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r>
      <w:tr>
        <w:trPr>
          <w:trHeight w:val="378"/>
        </w:trPr>
        <w:tc>
          <w:tcPr>
            <w:tcW w:w="8740" w:type="dxa"/>
            <w:vAlign w:val="bottom"/>
            <w:tcBorders>
              <w:bottom w:val="single" w:sz="8" w:color="4472C4"/>
            </w:tcBorders>
          </w:tcPr>
          <w:p>
            <w:pPr>
              <w:spacing w:after="0"/>
              <w:rPr>
                <w:sz w:val="24"/>
                <w:szCs w:val="24"/>
                <w:color w:val="auto"/>
              </w:rPr>
            </w:pPr>
          </w:p>
        </w:tc>
        <w:tc>
          <w:tcPr>
            <w:tcW w:w="220" w:type="dxa"/>
            <w:vAlign w:val="bottom"/>
            <w:tcBorders>
              <w:bottom w:val="single" w:sz="8" w:color="4472C4"/>
            </w:tcBorders>
          </w:tcPr>
          <w:p>
            <w:pPr>
              <w:spacing w:after="0"/>
              <w:rPr>
                <w:sz w:val="24"/>
                <w:szCs w:val="24"/>
                <w:color w:val="auto"/>
              </w:rPr>
            </w:pPr>
          </w:p>
        </w:tc>
        <w:tc>
          <w:tcPr>
            <w:tcW w:w="180" w:type="dxa"/>
            <w:vAlign w:val="bottom"/>
            <w:tcBorders>
              <w:bottom w:val="single" w:sz="8" w:color="4472C4"/>
            </w:tcBorders>
          </w:tcPr>
          <w:p>
            <w:pPr>
              <w:spacing w:after="0"/>
              <w:rPr>
                <w:sz w:val="24"/>
                <w:szCs w:val="24"/>
                <w:color w:val="auto"/>
              </w:rPr>
            </w:pPr>
          </w:p>
        </w:tc>
        <w:tc>
          <w:tcPr>
            <w:tcW w:w="100" w:type="dxa"/>
            <w:vAlign w:val="bottom"/>
            <w:tcBorders>
              <w:bottom w:val="single" w:sz="8" w:color="4472C4"/>
            </w:tcBorders>
          </w:tcPr>
          <w:p>
            <w:pPr>
              <w:spacing w:after="0"/>
              <w:rPr>
                <w:sz w:val="24"/>
                <w:szCs w:val="24"/>
                <w:color w:val="auto"/>
              </w:rPr>
            </w:pPr>
          </w:p>
        </w:tc>
        <w:tc>
          <w:tcPr>
            <w:tcW w:w="1560" w:type="dxa"/>
            <w:vAlign w:val="bottom"/>
            <w:tcBorders>
              <w:bottom w:val="single" w:sz="8" w:color="4472C4"/>
            </w:tcBorders>
          </w:tcPr>
          <w:p>
            <w:pPr>
              <w:jc w:val="right"/>
              <w:ind w:right="508"/>
              <w:spacing w:after="0"/>
              <w:rPr>
                <w:sz w:val="20"/>
                <w:szCs w:val="20"/>
                <w:color w:val="auto"/>
              </w:rPr>
            </w:pPr>
            <w:r>
              <w:rPr>
                <w:rFonts w:ascii="Arial" w:cs="Arial" w:eastAsia="Arial" w:hAnsi="Arial"/>
                <w:sz w:val="14"/>
                <w:szCs w:val="14"/>
                <w:b w:val="1"/>
                <w:bCs w:val="1"/>
                <w:color w:val="0075C9"/>
              </w:rPr>
              <w:t>2024</w:t>
            </w:r>
          </w:p>
        </w:tc>
        <w:tc>
          <w:tcPr>
            <w:tcW w:w="100" w:type="dxa"/>
            <w:vAlign w:val="bottom"/>
            <w:tcBorders>
              <w:bottom w:val="single" w:sz="8" w:color="4472C4"/>
            </w:tcBorders>
          </w:tcPr>
          <w:p>
            <w:pPr>
              <w:spacing w:after="0"/>
              <w:rPr>
                <w:sz w:val="24"/>
                <w:szCs w:val="24"/>
                <w:color w:val="auto"/>
              </w:rPr>
            </w:pPr>
          </w:p>
        </w:tc>
        <w:tc>
          <w:tcPr>
            <w:tcW w:w="100" w:type="dxa"/>
            <w:vAlign w:val="bottom"/>
            <w:tcBorders>
              <w:bottom w:val="single" w:sz="8" w:color="4472C4"/>
            </w:tcBorders>
          </w:tcPr>
          <w:p>
            <w:pPr>
              <w:spacing w:after="0"/>
              <w:rPr>
                <w:sz w:val="24"/>
                <w:szCs w:val="24"/>
                <w:color w:val="auto"/>
              </w:rPr>
            </w:pPr>
          </w:p>
        </w:tc>
        <w:tc>
          <w:tcPr>
            <w:tcW w:w="100" w:type="dxa"/>
            <w:vAlign w:val="bottom"/>
            <w:tcBorders>
              <w:bottom w:val="single" w:sz="8" w:color="4472C4"/>
            </w:tcBorders>
          </w:tcPr>
          <w:p>
            <w:pPr>
              <w:spacing w:after="0"/>
              <w:rPr>
                <w:sz w:val="24"/>
                <w:szCs w:val="24"/>
                <w:color w:val="auto"/>
              </w:rPr>
            </w:pPr>
          </w:p>
        </w:tc>
      </w:tr>
      <w:tr>
        <w:trPr>
          <w:trHeight w:val="155"/>
        </w:trPr>
        <w:tc>
          <w:tcPr>
            <w:tcW w:w="8740" w:type="dxa"/>
            <w:vAlign w:val="bottom"/>
            <w:shd w:val="clear" w:color="auto" w:fill="EBEBEC"/>
          </w:tcPr>
          <w:p>
            <w:pPr>
              <w:spacing w:after="0" w:line="155" w:lineRule="exact"/>
              <w:rPr>
                <w:sz w:val="20"/>
                <w:szCs w:val="20"/>
                <w:color w:val="auto"/>
              </w:rPr>
            </w:pPr>
            <w:r>
              <w:rPr>
                <w:rFonts w:ascii="Arial" w:cs="Arial" w:eastAsia="Arial" w:hAnsi="Arial"/>
                <w:sz w:val="14"/>
                <w:szCs w:val="14"/>
                <w:color w:val="auto"/>
              </w:rPr>
              <w:t>Non-PEO NEOs Summary Compensation Table Totals</w:t>
            </w:r>
          </w:p>
        </w:tc>
        <w:tc>
          <w:tcPr>
            <w:tcW w:w="500" w:type="dxa"/>
            <w:vAlign w:val="bottom"/>
            <w:gridSpan w:val="3"/>
            <w:shd w:val="clear" w:color="auto" w:fill="EBEBEC"/>
          </w:tcPr>
          <w:p>
            <w:pPr>
              <w:jc w:val="right"/>
              <w:spacing w:after="0" w:line="155" w:lineRule="exact"/>
              <w:rPr>
                <w:sz w:val="20"/>
                <w:szCs w:val="20"/>
                <w:color w:val="auto"/>
              </w:rPr>
            </w:pPr>
            <w:r>
              <w:rPr>
                <w:rFonts w:ascii="Arial" w:cs="Arial" w:eastAsia="Arial" w:hAnsi="Arial"/>
                <w:sz w:val="14"/>
                <w:szCs w:val="14"/>
                <w:color w:val="auto"/>
              </w:rPr>
              <w:t>$</w:t>
            </w:r>
          </w:p>
        </w:tc>
        <w:tc>
          <w:tcPr>
            <w:tcW w:w="1760" w:type="dxa"/>
            <w:vAlign w:val="bottom"/>
            <w:gridSpan w:val="3"/>
            <w:shd w:val="clear" w:color="auto" w:fill="EBEBEC"/>
          </w:tcPr>
          <w:p>
            <w:pPr>
              <w:jc w:val="right"/>
              <w:ind w:right="20"/>
              <w:spacing w:after="0" w:line="155" w:lineRule="exact"/>
              <w:rPr>
                <w:sz w:val="20"/>
                <w:szCs w:val="20"/>
                <w:color w:val="auto"/>
              </w:rPr>
            </w:pPr>
            <w:r>
              <w:rPr>
                <w:rFonts w:ascii="Arial" w:cs="Arial" w:eastAsia="Arial" w:hAnsi="Arial"/>
                <w:sz w:val="14"/>
                <w:szCs w:val="14"/>
                <w:color w:val="auto"/>
              </w:rPr>
              <w:t>4,891,617</w:t>
            </w:r>
          </w:p>
        </w:tc>
        <w:tc>
          <w:tcPr>
            <w:tcW w:w="100" w:type="dxa"/>
            <w:vAlign w:val="bottom"/>
            <w:shd w:val="clear" w:color="auto" w:fill="EBEBEC"/>
          </w:tcPr>
          <w:p>
            <w:pPr>
              <w:spacing w:after="0"/>
              <w:rPr>
                <w:sz w:val="13"/>
                <w:szCs w:val="13"/>
                <w:color w:val="auto"/>
              </w:rPr>
            </w:pPr>
          </w:p>
        </w:tc>
      </w:tr>
      <w:tr>
        <w:trPr>
          <w:trHeight w:val="162"/>
        </w:trPr>
        <w:tc>
          <w:tcPr>
            <w:tcW w:w="8740" w:type="dxa"/>
            <w:vAlign w:val="bottom"/>
            <w:shd w:val="clear" w:color="auto" w:fill="EBEBEC"/>
          </w:tcPr>
          <w:p>
            <w:pPr>
              <w:spacing w:after="0"/>
              <w:rPr>
                <w:sz w:val="20"/>
                <w:szCs w:val="20"/>
                <w:color w:val="auto"/>
              </w:rPr>
            </w:pPr>
            <w:r>
              <w:rPr>
                <w:rFonts w:ascii="Arial" w:cs="Arial" w:eastAsia="Arial" w:hAnsi="Arial"/>
                <w:sz w:val="14"/>
                <w:szCs w:val="14"/>
                <w:color w:val="auto"/>
              </w:rPr>
              <w:t>Add (Subtract):</w:t>
            </w:r>
          </w:p>
        </w:tc>
        <w:tc>
          <w:tcPr>
            <w:tcW w:w="22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156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r>
      <w:tr>
        <w:trPr>
          <w:trHeight w:val="162"/>
        </w:trPr>
        <w:tc>
          <w:tcPr>
            <w:tcW w:w="8740" w:type="dxa"/>
            <w:vAlign w:val="bottom"/>
            <w:shd w:val="clear" w:color="auto" w:fill="EBEBEC"/>
          </w:tcPr>
          <w:p>
            <w:pPr>
              <w:ind w:left="180"/>
              <w:spacing w:after="0"/>
              <w:rPr>
                <w:sz w:val="20"/>
                <w:szCs w:val="20"/>
                <w:color w:val="auto"/>
              </w:rPr>
            </w:pPr>
            <w:r>
              <w:rPr>
                <w:rFonts w:ascii="Arial" w:cs="Arial" w:eastAsia="Arial" w:hAnsi="Arial"/>
                <w:sz w:val="14"/>
                <w:szCs w:val="14"/>
                <w:color w:val="auto"/>
              </w:rPr>
              <w:t>Fair value of equity awards granted during the year from the Summary Compensation Table</w:t>
            </w:r>
          </w:p>
        </w:tc>
        <w:tc>
          <w:tcPr>
            <w:tcW w:w="22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1860" w:type="dxa"/>
            <w:vAlign w:val="bottom"/>
            <w:gridSpan w:val="4"/>
            <w:shd w:val="clear" w:color="auto" w:fill="EBEBEC"/>
          </w:tcPr>
          <w:p>
            <w:pPr>
              <w:jc w:val="right"/>
              <w:spacing w:after="0"/>
              <w:rPr>
                <w:sz w:val="20"/>
                <w:szCs w:val="20"/>
                <w:color w:val="auto"/>
              </w:rPr>
            </w:pPr>
            <w:r>
              <w:rPr>
                <w:rFonts w:ascii="Arial" w:cs="Arial" w:eastAsia="Arial" w:hAnsi="Arial"/>
                <w:sz w:val="14"/>
                <w:szCs w:val="14"/>
                <w:color w:val="auto"/>
              </w:rPr>
              <w:t>(2,590,088 )</w:t>
            </w:r>
          </w:p>
        </w:tc>
      </w:tr>
      <w:tr>
        <w:trPr>
          <w:trHeight w:val="162"/>
        </w:trPr>
        <w:tc>
          <w:tcPr>
            <w:tcW w:w="8740" w:type="dxa"/>
            <w:vAlign w:val="bottom"/>
            <w:shd w:val="clear" w:color="auto" w:fill="EBEBEC"/>
          </w:tcPr>
          <w:p>
            <w:pPr>
              <w:ind w:left="180"/>
              <w:spacing w:after="0"/>
              <w:rPr>
                <w:sz w:val="20"/>
                <w:szCs w:val="20"/>
                <w:color w:val="auto"/>
              </w:rPr>
            </w:pPr>
            <w:r>
              <w:rPr>
                <w:rFonts w:ascii="Arial" w:cs="Arial" w:eastAsia="Arial" w:hAnsi="Arial"/>
                <w:sz w:val="14"/>
                <w:szCs w:val="14"/>
                <w:color w:val="auto"/>
              </w:rPr>
              <w:t>Fair value at year end of equity awards granted during the year</w:t>
            </w:r>
          </w:p>
        </w:tc>
        <w:tc>
          <w:tcPr>
            <w:tcW w:w="22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1760" w:type="dxa"/>
            <w:vAlign w:val="bottom"/>
            <w:gridSpan w:val="3"/>
            <w:shd w:val="clear" w:color="auto" w:fill="EBEBEC"/>
          </w:tcPr>
          <w:p>
            <w:pPr>
              <w:jc w:val="right"/>
              <w:ind w:right="20"/>
              <w:spacing w:after="0"/>
              <w:rPr>
                <w:sz w:val="20"/>
                <w:szCs w:val="20"/>
                <w:color w:val="auto"/>
              </w:rPr>
            </w:pPr>
            <w:r>
              <w:rPr>
                <w:rFonts w:ascii="Arial" w:cs="Arial" w:eastAsia="Arial" w:hAnsi="Arial"/>
                <w:sz w:val="14"/>
                <w:szCs w:val="14"/>
                <w:color w:val="auto"/>
              </w:rPr>
              <w:t>1,935,173</w:t>
            </w:r>
          </w:p>
        </w:tc>
        <w:tc>
          <w:tcPr>
            <w:tcW w:w="100" w:type="dxa"/>
            <w:vAlign w:val="bottom"/>
            <w:shd w:val="clear" w:color="auto" w:fill="EBEBEC"/>
          </w:tcPr>
          <w:p>
            <w:pPr>
              <w:spacing w:after="0"/>
              <w:rPr>
                <w:sz w:val="14"/>
                <w:szCs w:val="14"/>
                <w:color w:val="auto"/>
              </w:rPr>
            </w:pPr>
          </w:p>
        </w:tc>
      </w:tr>
      <w:tr>
        <w:trPr>
          <w:trHeight w:val="153"/>
        </w:trPr>
        <w:tc>
          <w:tcPr>
            <w:tcW w:w="8740" w:type="dxa"/>
            <w:vAlign w:val="bottom"/>
            <w:shd w:val="clear" w:color="auto" w:fill="EBEBEC"/>
          </w:tcPr>
          <w:p>
            <w:pPr>
              <w:ind w:left="180"/>
              <w:spacing w:after="0" w:line="153" w:lineRule="exact"/>
              <w:rPr>
                <w:sz w:val="20"/>
                <w:szCs w:val="20"/>
                <w:color w:val="auto"/>
              </w:rPr>
            </w:pPr>
            <w:r>
              <w:rPr>
                <w:rFonts w:ascii="Arial" w:cs="Arial" w:eastAsia="Arial" w:hAnsi="Arial"/>
                <w:sz w:val="14"/>
                <w:szCs w:val="14"/>
                <w:color w:val="auto"/>
              </w:rPr>
              <w:t>Change in fair value of equity awards granted in prior years that were unvested as of</w:t>
            </w:r>
          </w:p>
        </w:tc>
        <w:tc>
          <w:tcPr>
            <w:tcW w:w="220" w:type="dxa"/>
            <w:vAlign w:val="bottom"/>
            <w:shd w:val="clear" w:color="auto" w:fill="EBEBEC"/>
          </w:tcPr>
          <w:p>
            <w:pPr>
              <w:spacing w:after="0"/>
              <w:rPr>
                <w:sz w:val="13"/>
                <w:szCs w:val="13"/>
                <w:color w:val="auto"/>
              </w:rPr>
            </w:pPr>
          </w:p>
        </w:tc>
        <w:tc>
          <w:tcPr>
            <w:tcW w:w="18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156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r>
      <w:tr>
        <w:trPr>
          <w:trHeight w:val="162"/>
        </w:trPr>
        <w:tc>
          <w:tcPr>
            <w:tcW w:w="8740" w:type="dxa"/>
            <w:vAlign w:val="bottom"/>
            <w:shd w:val="clear" w:color="auto" w:fill="EBEBEC"/>
          </w:tcPr>
          <w:p>
            <w:pPr>
              <w:ind w:left="300"/>
              <w:spacing w:after="0"/>
              <w:rPr>
                <w:sz w:val="20"/>
                <w:szCs w:val="20"/>
                <w:color w:val="auto"/>
              </w:rPr>
            </w:pPr>
            <w:r>
              <w:rPr>
                <w:rFonts w:ascii="Arial" w:cs="Arial" w:eastAsia="Arial" w:hAnsi="Arial"/>
                <w:sz w:val="14"/>
                <w:szCs w:val="14"/>
                <w:color w:val="auto"/>
              </w:rPr>
              <w:t>the end of the year</w:t>
            </w:r>
          </w:p>
        </w:tc>
        <w:tc>
          <w:tcPr>
            <w:tcW w:w="22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1760" w:type="dxa"/>
            <w:vAlign w:val="bottom"/>
            <w:gridSpan w:val="3"/>
            <w:shd w:val="clear" w:color="auto" w:fill="EBEBEC"/>
          </w:tcPr>
          <w:p>
            <w:pPr>
              <w:jc w:val="right"/>
              <w:ind w:right="20"/>
              <w:spacing w:after="0"/>
              <w:rPr>
                <w:sz w:val="20"/>
                <w:szCs w:val="20"/>
                <w:color w:val="auto"/>
              </w:rPr>
            </w:pPr>
            <w:r>
              <w:rPr>
                <w:rFonts w:ascii="Arial" w:cs="Arial" w:eastAsia="Arial" w:hAnsi="Arial"/>
                <w:sz w:val="14"/>
                <w:szCs w:val="14"/>
                <w:color w:val="auto"/>
              </w:rPr>
              <w:t>(188,571</w:t>
            </w:r>
          </w:p>
        </w:tc>
        <w:tc>
          <w:tcPr>
            <w:tcW w:w="100" w:type="dxa"/>
            <w:vAlign w:val="bottom"/>
            <w:shd w:val="clear" w:color="auto" w:fill="EBEBEC"/>
          </w:tcPr>
          <w:p>
            <w:pPr>
              <w:jc w:val="right"/>
              <w:spacing w:after="0"/>
              <w:rPr>
                <w:sz w:val="20"/>
                <w:szCs w:val="20"/>
                <w:color w:val="auto"/>
              </w:rPr>
            </w:pPr>
            <w:r>
              <w:rPr>
                <w:rFonts w:ascii="Arial" w:cs="Arial" w:eastAsia="Arial" w:hAnsi="Arial"/>
                <w:sz w:val="14"/>
                <w:szCs w:val="14"/>
                <w:color w:val="auto"/>
                <w:w w:val="84"/>
              </w:rPr>
              <w:t>)</w:t>
            </w:r>
          </w:p>
        </w:tc>
      </w:tr>
      <w:tr>
        <w:trPr>
          <w:trHeight w:val="162"/>
        </w:trPr>
        <w:tc>
          <w:tcPr>
            <w:tcW w:w="8740" w:type="dxa"/>
            <w:vAlign w:val="bottom"/>
            <w:shd w:val="clear" w:color="auto" w:fill="EBEBEC"/>
          </w:tcPr>
          <w:p>
            <w:pPr>
              <w:ind w:left="180"/>
              <w:spacing w:after="0"/>
              <w:rPr>
                <w:sz w:val="20"/>
                <w:szCs w:val="20"/>
                <w:color w:val="auto"/>
              </w:rPr>
            </w:pPr>
            <w:r>
              <w:rPr>
                <w:rFonts w:ascii="Arial" w:cs="Arial" w:eastAsia="Arial" w:hAnsi="Arial"/>
                <w:sz w:val="14"/>
                <w:szCs w:val="14"/>
                <w:color w:val="auto"/>
              </w:rPr>
              <w:t>Change in fair value of equity awards granted in prior years that vested during the year</w:t>
            </w:r>
          </w:p>
        </w:tc>
        <w:tc>
          <w:tcPr>
            <w:tcW w:w="22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1760" w:type="dxa"/>
            <w:vAlign w:val="bottom"/>
            <w:gridSpan w:val="3"/>
            <w:shd w:val="clear" w:color="auto" w:fill="EBEBEC"/>
          </w:tcPr>
          <w:p>
            <w:pPr>
              <w:jc w:val="right"/>
              <w:ind w:right="20"/>
              <w:spacing w:after="0"/>
              <w:rPr>
                <w:sz w:val="20"/>
                <w:szCs w:val="20"/>
                <w:color w:val="auto"/>
              </w:rPr>
            </w:pPr>
            <w:r>
              <w:rPr>
                <w:rFonts w:ascii="Arial" w:cs="Arial" w:eastAsia="Arial" w:hAnsi="Arial"/>
                <w:sz w:val="14"/>
                <w:szCs w:val="14"/>
                <w:color w:val="auto"/>
              </w:rPr>
              <w:t>(172,113</w:t>
            </w:r>
          </w:p>
        </w:tc>
        <w:tc>
          <w:tcPr>
            <w:tcW w:w="100" w:type="dxa"/>
            <w:vAlign w:val="bottom"/>
            <w:shd w:val="clear" w:color="auto" w:fill="EBEBEC"/>
          </w:tcPr>
          <w:p>
            <w:pPr>
              <w:jc w:val="right"/>
              <w:spacing w:after="0"/>
              <w:rPr>
                <w:sz w:val="20"/>
                <w:szCs w:val="20"/>
                <w:color w:val="auto"/>
              </w:rPr>
            </w:pPr>
            <w:r>
              <w:rPr>
                <w:rFonts w:ascii="Arial" w:cs="Arial" w:eastAsia="Arial" w:hAnsi="Arial"/>
                <w:sz w:val="14"/>
                <w:szCs w:val="14"/>
                <w:color w:val="auto"/>
                <w:w w:val="84"/>
              </w:rPr>
              <w:t>)</w:t>
            </w:r>
          </w:p>
        </w:tc>
      </w:tr>
      <w:tr>
        <w:trPr>
          <w:trHeight w:val="171"/>
        </w:trPr>
        <w:tc>
          <w:tcPr>
            <w:tcW w:w="8740" w:type="dxa"/>
            <w:vAlign w:val="bottom"/>
            <w:tcBorders>
              <w:bottom w:val="single" w:sz="8" w:color="EBEBEC"/>
            </w:tcBorders>
            <w:shd w:val="clear" w:color="auto" w:fill="EBEBEC"/>
          </w:tcPr>
          <w:p>
            <w:pPr>
              <w:ind w:left="180"/>
              <w:spacing w:after="0"/>
              <w:rPr>
                <w:sz w:val="20"/>
                <w:szCs w:val="20"/>
                <w:color w:val="auto"/>
              </w:rPr>
            </w:pPr>
            <w:r>
              <w:rPr>
                <w:rFonts w:ascii="Arial" w:cs="Arial" w:eastAsia="Arial" w:hAnsi="Arial"/>
                <w:sz w:val="14"/>
                <w:szCs w:val="14"/>
                <w:color w:val="auto"/>
              </w:rPr>
              <w:t>Equity awards granted in prior years that were forfeited during the year</w:t>
            </w:r>
          </w:p>
        </w:tc>
        <w:tc>
          <w:tcPr>
            <w:tcW w:w="220" w:type="dxa"/>
            <w:vAlign w:val="bottom"/>
            <w:tcBorders>
              <w:bottom w:val="single" w:sz="8" w:color="EBEBEC"/>
            </w:tcBorders>
            <w:shd w:val="clear" w:color="auto" w:fill="EBEBEC"/>
          </w:tcPr>
          <w:p>
            <w:pPr>
              <w:spacing w:after="0"/>
              <w:rPr>
                <w:sz w:val="14"/>
                <w:szCs w:val="14"/>
                <w:color w:val="auto"/>
              </w:rPr>
            </w:pPr>
          </w:p>
        </w:tc>
        <w:tc>
          <w:tcPr>
            <w:tcW w:w="180" w:type="dxa"/>
            <w:vAlign w:val="bottom"/>
            <w:tcBorders>
              <w:bottom w:val="single" w:sz="8" w:color="EBEBEC"/>
            </w:tcBorders>
            <w:shd w:val="clear" w:color="auto" w:fill="EBEBEC"/>
          </w:tcPr>
          <w:p>
            <w:pPr>
              <w:spacing w:after="0"/>
              <w:rPr>
                <w:sz w:val="14"/>
                <w:szCs w:val="14"/>
                <w:color w:val="auto"/>
              </w:rPr>
            </w:pPr>
          </w:p>
        </w:tc>
        <w:tc>
          <w:tcPr>
            <w:tcW w:w="100" w:type="dxa"/>
            <w:vAlign w:val="bottom"/>
            <w:tcBorders>
              <w:bottom w:val="single" w:sz="8" w:color="auto"/>
            </w:tcBorders>
            <w:shd w:val="clear" w:color="auto" w:fill="EBEBEC"/>
          </w:tcPr>
          <w:p>
            <w:pPr>
              <w:spacing w:after="0"/>
              <w:rPr>
                <w:sz w:val="14"/>
                <w:szCs w:val="14"/>
                <w:color w:val="auto"/>
              </w:rPr>
            </w:pPr>
          </w:p>
        </w:tc>
        <w:tc>
          <w:tcPr>
            <w:tcW w:w="1760" w:type="dxa"/>
            <w:vAlign w:val="bottom"/>
            <w:tcBorders>
              <w:bottom w:val="single" w:sz="8" w:color="auto"/>
            </w:tcBorders>
            <w:gridSpan w:val="3"/>
            <w:shd w:val="clear" w:color="auto" w:fill="EBEBEC"/>
          </w:tcPr>
          <w:p>
            <w:pPr>
              <w:jc w:val="right"/>
              <w:ind w:right="20"/>
              <w:spacing w:after="0"/>
              <w:rPr>
                <w:sz w:val="20"/>
                <w:szCs w:val="20"/>
                <w:color w:val="auto"/>
              </w:rPr>
            </w:pPr>
            <w:r>
              <w:rPr>
                <w:rFonts w:ascii="Arial" w:cs="Arial" w:eastAsia="Arial" w:hAnsi="Arial"/>
                <w:sz w:val="14"/>
                <w:szCs w:val="14"/>
                <w:color w:val="auto"/>
              </w:rPr>
              <w:t>(341,025</w:t>
            </w:r>
          </w:p>
        </w:tc>
        <w:tc>
          <w:tcPr>
            <w:tcW w:w="100" w:type="dxa"/>
            <w:vAlign w:val="bottom"/>
            <w:tcBorders>
              <w:bottom w:val="single" w:sz="8" w:color="auto"/>
            </w:tcBorders>
            <w:shd w:val="clear" w:color="auto" w:fill="EBEBEC"/>
          </w:tcPr>
          <w:p>
            <w:pPr>
              <w:jc w:val="right"/>
              <w:spacing w:after="0"/>
              <w:rPr>
                <w:sz w:val="20"/>
                <w:szCs w:val="20"/>
                <w:color w:val="auto"/>
              </w:rPr>
            </w:pPr>
            <w:r>
              <w:rPr>
                <w:rFonts w:ascii="Arial" w:cs="Arial" w:eastAsia="Arial" w:hAnsi="Arial"/>
                <w:sz w:val="14"/>
                <w:szCs w:val="14"/>
                <w:color w:val="auto"/>
                <w:w w:val="84"/>
              </w:rPr>
              <w:t>)</w:t>
            </w:r>
          </w:p>
        </w:tc>
      </w:tr>
      <w:tr>
        <w:trPr>
          <w:trHeight w:val="146"/>
        </w:trPr>
        <w:tc>
          <w:tcPr>
            <w:tcW w:w="8740" w:type="dxa"/>
            <w:vAlign w:val="bottom"/>
            <w:shd w:val="clear" w:color="auto" w:fill="EBEBEC"/>
          </w:tcPr>
          <w:p>
            <w:pPr>
              <w:ind w:left="360"/>
              <w:spacing w:after="0" w:line="147" w:lineRule="exact"/>
              <w:rPr>
                <w:sz w:val="20"/>
                <w:szCs w:val="20"/>
                <w:color w:val="auto"/>
              </w:rPr>
            </w:pPr>
            <w:r>
              <w:rPr>
                <w:rFonts w:ascii="Arial" w:cs="Arial" w:eastAsia="Arial" w:hAnsi="Arial"/>
                <w:sz w:val="14"/>
                <w:szCs w:val="14"/>
                <w:b w:val="1"/>
                <w:bCs w:val="1"/>
                <w:color w:val="auto"/>
              </w:rPr>
              <w:t>Total Equity Award Related Adjustments</w:t>
            </w:r>
          </w:p>
        </w:tc>
        <w:tc>
          <w:tcPr>
            <w:tcW w:w="22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760" w:type="dxa"/>
            <w:vAlign w:val="bottom"/>
            <w:gridSpan w:val="3"/>
            <w:shd w:val="clear" w:color="auto" w:fill="EBEBEC"/>
          </w:tcPr>
          <w:p>
            <w:pPr>
              <w:jc w:val="right"/>
              <w:ind w:right="20"/>
              <w:spacing w:after="0" w:line="147" w:lineRule="exact"/>
              <w:rPr>
                <w:sz w:val="20"/>
                <w:szCs w:val="20"/>
                <w:color w:val="auto"/>
              </w:rPr>
            </w:pPr>
            <w:r>
              <w:rPr>
                <w:rFonts w:ascii="Arial" w:cs="Arial" w:eastAsia="Arial" w:hAnsi="Arial"/>
                <w:sz w:val="14"/>
                <w:szCs w:val="14"/>
                <w:b w:val="1"/>
                <w:bCs w:val="1"/>
                <w:color w:val="auto"/>
              </w:rPr>
              <w:t>(1,356,624</w:t>
            </w:r>
          </w:p>
        </w:tc>
        <w:tc>
          <w:tcPr>
            <w:tcW w:w="100" w:type="dxa"/>
            <w:vAlign w:val="bottom"/>
            <w:shd w:val="clear" w:color="auto" w:fill="EBEBEC"/>
          </w:tcPr>
          <w:p>
            <w:pPr>
              <w:jc w:val="right"/>
              <w:spacing w:after="0" w:line="147" w:lineRule="exact"/>
              <w:rPr>
                <w:sz w:val="20"/>
                <w:szCs w:val="20"/>
                <w:color w:val="auto"/>
              </w:rPr>
            </w:pPr>
            <w:r>
              <w:rPr>
                <w:rFonts w:ascii="Arial" w:cs="Arial" w:eastAsia="Arial" w:hAnsi="Arial"/>
                <w:sz w:val="14"/>
                <w:szCs w:val="14"/>
                <w:b w:val="1"/>
                <w:bCs w:val="1"/>
                <w:color w:val="auto"/>
                <w:w w:val="84"/>
              </w:rPr>
              <w:t>)</w:t>
            </w:r>
          </w:p>
        </w:tc>
      </w:tr>
      <w:tr>
        <w:trPr>
          <w:trHeight w:val="171"/>
        </w:trPr>
        <w:tc>
          <w:tcPr>
            <w:tcW w:w="8740" w:type="dxa"/>
            <w:vAlign w:val="bottom"/>
            <w:shd w:val="clear" w:color="auto" w:fill="EBEBEC"/>
          </w:tcPr>
          <w:p>
            <w:pPr>
              <w:spacing w:after="0"/>
              <w:rPr>
                <w:sz w:val="20"/>
                <w:szCs w:val="20"/>
                <w:color w:val="auto"/>
              </w:rPr>
            </w:pPr>
            <w:r>
              <w:rPr>
                <w:rFonts w:ascii="Arial" w:cs="Arial" w:eastAsia="Arial" w:hAnsi="Arial"/>
                <w:sz w:val="14"/>
                <w:szCs w:val="14"/>
                <w:color w:val="auto"/>
              </w:rPr>
              <w:t>Compensation Actually Paid Totals</w:t>
            </w:r>
          </w:p>
        </w:tc>
        <w:tc>
          <w:tcPr>
            <w:tcW w:w="400" w:type="dxa"/>
            <w:vAlign w:val="bottom"/>
            <w:gridSpan w:val="2"/>
            <w:shd w:val="clear" w:color="auto" w:fill="EBEBEC"/>
          </w:tcPr>
          <w:p>
            <w:pPr>
              <w:spacing w:after="0"/>
              <w:rPr>
                <w:sz w:val="14"/>
                <w:szCs w:val="14"/>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4"/>
                <w:szCs w:val="14"/>
                <w:color w:val="auto"/>
                <w:w w:val="76"/>
              </w:rPr>
              <w:t>$</w:t>
            </w:r>
          </w:p>
        </w:tc>
        <w:tc>
          <w:tcPr>
            <w:tcW w:w="1760" w:type="dxa"/>
            <w:vAlign w:val="bottom"/>
            <w:gridSpan w:val="3"/>
            <w:shd w:val="clear" w:color="auto" w:fill="EBEBEC"/>
          </w:tcPr>
          <w:p>
            <w:pPr>
              <w:jc w:val="right"/>
              <w:ind w:right="20"/>
              <w:spacing w:after="0"/>
              <w:rPr>
                <w:sz w:val="20"/>
                <w:szCs w:val="20"/>
                <w:color w:val="auto"/>
              </w:rPr>
            </w:pPr>
            <w:r>
              <w:rPr>
                <w:rFonts w:ascii="Arial" w:cs="Arial" w:eastAsia="Arial" w:hAnsi="Arial"/>
                <w:sz w:val="14"/>
                <w:szCs w:val="14"/>
                <w:color w:val="auto"/>
              </w:rPr>
              <w:t>3,534,993</w:t>
            </w:r>
          </w:p>
        </w:tc>
        <w:tc>
          <w:tcPr>
            <w:tcW w:w="100" w:type="dxa"/>
            <w:vAlign w:val="bottom"/>
            <w:shd w:val="clear" w:color="auto" w:fill="EBEBE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6974205</wp:posOffset>
            </wp:positionH>
            <wp:positionV relativeFrom="paragraph">
              <wp:posOffset>-1499870</wp:posOffset>
            </wp:positionV>
            <wp:extent cx="12890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33" w:lineRule="exact"/>
        <w:rPr>
          <w:sz w:val="20"/>
          <w:szCs w:val="20"/>
          <w:color w:val="auto"/>
        </w:rPr>
      </w:pPr>
    </w:p>
    <w:p>
      <w:pPr>
        <w:ind w:left="320" w:right="140" w:hanging="312"/>
        <w:spacing w:after="0" w:line="245" w:lineRule="auto"/>
        <w:tabs>
          <w:tab w:leader="none" w:pos="320" w:val="left"/>
        </w:tabs>
        <w:numPr>
          <w:ilvl w:val="0"/>
          <w:numId w:val="46"/>
        </w:numPr>
        <w:rPr>
          <w:rFonts w:ascii="Arial" w:cs="Arial" w:eastAsia="Arial" w:hAnsi="Arial"/>
          <w:sz w:val="13"/>
          <w:szCs w:val="13"/>
          <w:color w:val="auto"/>
        </w:rPr>
      </w:pPr>
      <w:r>
        <w:rPr>
          <w:rFonts w:ascii="Arial" w:cs="Arial" w:eastAsia="Arial" w:hAnsi="Arial"/>
          <w:sz w:val="14"/>
          <w:szCs w:val="14"/>
          <w:color w:val="auto"/>
        </w:rPr>
        <w:t>Peer Group TSR for the peer group of prior years (other than 2020, which as noted herein was the year that we emerged from bankruptcy and only partial year financials can be used) is the same peer group used for Item 201(e) of Reg S-K as shown in our Annual Reports. For the 2024 year, that peer group consisted of Antero Resources Corporation; APA Corporation; Berry Corporation; BKV Corporation; Chord Energy Corporation; Civitas Resources, Inc., Comstock Resources Inc.; Crescent Energy Company; Kosmos Energy Ltd.; Magnolia Oil &amp; Gas Corp; Matador Resources Company; Murphy Oil Corporation; Permian Resources Corporation; Range Resources Corporation; Sable Offshore Corporation; SM Energy Company; Talos Energy Inc.; and Vermilion Energy Inc. Before-Tax Free Cash Flow is a non-GAAP measure described above in the AIP Scorecard Metrics section of the Compensation Discussion and Analysis section above. See also Annex A for a reconciliation to the nearest GAAP measure.</w:t>
      </w:r>
    </w:p>
    <w:p>
      <w:pPr>
        <w:spacing w:after="0" w:line="161" w:lineRule="exact"/>
        <w:rPr>
          <w:rFonts w:ascii="Arial" w:cs="Arial" w:eastAsia="Arial" w:hAnsi="Arial"/>
          <w:sz w:val="13"/>
          <w:szCs w:val="13"/>
          <w:color w:val="auto"/>
        </w:rPr>
      </w:pPr>
    </w:p>
    <w:p>
      <w:pPr>
        <w:ind w:left="320" w:right="80" w:hanging="312"/>
        <w:spacing w:after="0" w:line="241" w:lineRule="auto"/>
        <w:tabs>
          <w:tab w:leader="none" w:pos="320" w:val="left"/>
        </w:tabs>
        <w:numPr>
          <w:ilvl w:val="0"/>
          <w:numId w:val="46"/>
        </w:numPr>
        <w:rPr>
          <w:rFonts w:ascii="Arial" w:cs="Arial" w:eastAsia="Arial" w:hAnsi="Arial"/>
          <w:sz w:val="13"/>
          <w:szCs w:val="13"/>
          <w:color w:val="auto"/>
        </w:rPr>
      </w:pPr>
      <w:r>
        <w:rPr>
          <w:rFonts w:ascii="Arial" w:cs="Arial" w:eastAsia="Arial" w:hAnsi="Arial"/>
          <w:sz w:val="14"/>
          <w:szCs w:val="14"/>
          <w:color w:val="auto"/>
        </w:rPr>
        <w:t>Information shown for PEO McFarland, who was PEO through April 28, 2023. The negative amount shown for Compensation Actually Paid is due primarily to the forfeiture of RSUs upon Mr. McFarland’s termination.</w:t>
      </w:r>
    </w:p>
    <w:p>
      <w:pPr>
        <w:ind w:left="320" w:hanging="312"/>
        <w:spacing w:after="0"/>
        <w:tabs>
          <w:tab w:leader="none" w:pos="320" w:val="left"/>
        </w:tabs>
        <w:numPr>
          <w:ilvl w:val="0"/>
          <w:numId w:val="46"/>
        </w:numPr>
        <w:rPr>
          <w:rFonts w:ascii="Arial" w:cs="Arial" w:eastAsia="Arial" w:hAnsi="Arial"/>
          <w:sz w:val="13"/>
          <w:szCs w:val="13"/>
          <w:color w:val="auto"/>
        </w:rPr>
      </w:pPr>
      <w:r>
        <w:rPr>
          <w:rFonts w:ascii="Arial" w:cs="Arial" w:eastAsia="Arial" w:hAnsi="Arial"/>
          <w:sz w:val="14"/>
          <w:szCs w:val="14"/>
          <w:color w:val="auto"/>
        </w:rPr>
        <w:t>Information shown for PEO Leon, who was PEO beginning April 28, 2023.</w:t>
      </w:r>
    </w:p>
    <w:p>
      <w:pPr>
        <w:spacing w:after="0" w:line="1" w:lineRule="exact"/>
        <w:rPr>
          <w:rFonts w:ascii="Arial" w:cs="Arial" w:eastAsia="Arial" w:hAnsi="Arial"/>
          <w:sz w:val="13"/>
          <w:szCs w:val="13"/>
          <w:color w:val="auto"/>
        </w:rPr>
      </w:pPr>
    </w:p>
    <w:p>
      <w:pPr>
        <w:ind w:left="320" w:hanging="312"/>
        <w:spacing w:after="0"/>
        <w:tabs>
          <w:tab w:leader="none" w:pos="320" w:val="left"/>
        </w:tabs>
        <w:numPr>
          <w:ilvl w:val="0"/>
          <w:numId w:val="46"/>
        </w:numPr>
        <w:rPr>
          <w:rFonts w:ascii="Arial" w:cs="Arial" w:eastAsia="Arial" w:hAnsi="Arial"/>
          <w:sz w:val="13"/>
          <w:szCs w:val="13"/>
          <w:color w:val="auto"/>
        </w:rPr>
      </w:pPr>
      <w:r>
        <w:rPr>
          <w:rFonts w:ascii="Arial" w:cs="Arial" w:eastAsia="Arial" w:hAnsi="Arial"/>
          <w:sz w:val="14"/>
          <w:szCs w:val="14"/>
          <w:color w:val="auto"/>
        </w:rPr>
        <w:t>Information shown for PEO McFarland, who became PEO on December 31, 2020.</w:t>
      </w:r>
    </w:p>
    <w:p>
      <w:pPr>
        <w:spacing w:after="0" w:line="1" w:lineRule="exact"/>
        <w:rPr>
          <w:rFonts w:ascii="Arial" w:cs="Arial" w:eastAsia="Arial" w:hAnsi="Arial"/>
          <w:sz w:val="13"/>
          <w:szCs w:val="13"/>
          <w:color w:val="auto"/>
        </w:rPr>
      </w:pPr>
    </w:p>
    <w:p>
      <w:pPr>
        <w:ind w:left="320" w:hanging="312"/>
        <w:spacing w:after="0"/>
        <w:tabs>
          <w:tab w:leader="none" w:pos="320" w:val="left"/>
        </w:tabs>
        <w:numPr>
          <w:ilvl w:val="0"/>
          <w:numId w:val="46"/>
        </w:numPr>
        <w:rPr>
          <w:rFonts w:ascii="Arial" w:cs="Arial" w:eastAsia="Arial" w:hAnsi="Arial"/>
          <w:sz w:val="13"/>
          <w:szCs w:val="13"/>
          <w:color w:val="auto"/>
        </w:rPr>
      </w:pPr>
      <w:r>
        <w:rPr>
          <w:rFonts w:ascii="Arial" w:cs="Arial" w:eastAsia="Arial" w:hAnsi="Arial"/>
          <w:sz w:val="14"/>
          <w:szCs w:val="14"/>
          <w:color w:val="auto"/>
        </w:rPr>
        <w:t>Information shown for PEO Stevens, who was PEO until December 31, 2020.</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Relationship Between Compensation Actually Paid and Performance Measures</w:t>
      </w:r>
    </w:p>
    <w:p>
      <w:pPr>
        <w:spacing w:after="0" w:line="19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relationship between compensation actually paid and the Company’s financial performance over the period shown in the table above is described as follows.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PEO</w:t>
      </w:r>
    </w:p>
    <w:p>
      <w:pPr>
        <w:spacing w:after="0" w:line="196"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From 2023 to 2024, compensation actually paid to the PEO decreased by $4,652,853 or 41%. Over this same period, the Company's TSR decreased by 2.6%, net income decreased by 33.3% and free cash-flow was unchanged. The key factors that drove the decrease in compensation actually paid to our PEO were the amount of equity award grants and the decrease in TSR during the year. The PEO received less in equity award grants in 2024 compared to 2023.</w:t>
      </w:r>
    </w:p>
    <w:p>
      <w:pPr>
        <w:spacing w:after="0" w:line="160"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From 2022 to 2023, compensation actually paid to the PEO increased by $7,924,138 or 235%. Over this same period, the Company's TSR increased by 28.9%, net income increased by 7.6% and free cash-flow increased by 65%. The key factors that drove the increase in compensation actually paid to our PEO were the timing of equity award grants and the increase in TSR from the equity award grant date early in 2023. The PEO received equity award grants in 2023, but did receive any equity award grants in 2022.</w:t>
      </w:r>
    </w:p>
    <w:p>
      <w:pPr>
        <w:spacing w:after="0" w:line="16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From 2021 to 2022, compensation actually paid to the PEO decreased by $27,504,269 or (89%). Over this same period, the Company’s TSR increased by 3.7%, net income decreased by 16.2%, and before-tax free cash flow decreased by 21.4%. The key factor that drove the decrease in compensation actually paid to our</w:t>
      </w:r>
    </w:p>
    <w:p>
      <w:pPr>
        <w:spacing w:after="0" w:line="22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4" w:name="page65"/>
    <w:bookmarkEnd w:id="64"/>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68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2025 PROXY STATEMENT</w:t>
      </w:r>
    </w:p>
    <w:p>
      <w:pPr>
        <w:spacing w:after="0" w:line="59" w:lineRule="exact"/>
        <w:rPr>
          <w:sz w:val="20"/>
          <w:szCs w:val="20"/>
          <w:color w:val="auto"/>
        </w:rPr>
      </w:pPr>
    </w:p>
    <w:p>
      <w:pPr>
        <w:ind w:left="9180"/>
        <w:spacing w:after="0"/>
        <w:rPr>
          <w:sz w:val="20"/>
          <w:szCs w:val="20"/>
          <w:color w:val="auto"/>
        </w:rPr>
      </w:pPr>
      <w:r>
        <w:rPr>
          <w:rFonts w:ascii="Arial" w:cs="Arial" w:eastAsia="Arial" w:hAnsi="Arial"/>
          <w:sz w:val="14"/>
          <w:szCs w:val="14"/>
          <w:color w:val="auto"/>
        </w:rPr>
        <w:t>Executive Compensation Tables</w:t>
      </w:r>
    </w:p>
    <w:p>
      <w:pPr>
        <w:spacing w:after="0" w:line="140"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PEO was due to the timing of equity award grants. The PEO received an equity award in 2021 following the Company’s emergence from bankruptcy whereas a similar grant was not made in 2022.</w:t>
      </w:r>
    </w:p>
    <w:p>
      <w:pPr>
        <w:spacing w:after="0" w:line="140"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From 2020 to 2021, compensation actually paid to the PEO increased by $30,825,361 or 648.6%. Over this same period, the Company’s TSR increased by 81.8% and net income increased by over 600%. The key factors that drove the changes in compensation actually paid were the transition to a new PEO on December 31, 2020, the timing of the equity award grants in 2021 following the Company’s emergence from bankruptcy and the positive stock price performance for the Company in 2021 which impacted the PEO equity award values as shown in the table.</w:t>
      </w:r>
    </w:p>
    <w:p>
      <w:pPr>
        <w:spacing w:after="0" w:line="163"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Since a substantial majority of the compensation paid to the PEO during 2021 - 2024 was equity-based, the compensation actually paid is directly linked to increases or decreases in the Company’s stock price.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Non-PEOs</w:t>
      </w:r>
    </w:p>
    <w:p>
      <w:pPr>
        <w:spacing w:after="0" w:line="196"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From 2023 to 2024, compensation actually paid to the Non-PEOs decreased by $2,460,804 or 41%. Over this same period, the Company's TSR decreased by 2.6%, net income decreased by 33.3%% and freed cash-flow was unchanged. The key factors that drove the decrease in compensation actually paid to our Non-PEOs were the amount of equity award grants and the decrease in TSR during the year. The Non-PEOs received less in equity award grants in 2024 compared to 2023.</w:t>
      </w:r>
    </w:p>
    <w:p>
      <w:pPr>
        <w:spacing w:after="0" w:line="160"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From 2022 to 2023, compensation actually paid to the Non-PEOs increased by $4,547,624 or 314%. Over this same period, the Company's TSR increased by 28.9%, net income increased by 7.6% and freed cash-flow increased by 65%. The key factors that drove the increase in compensation actually paid to our Non-PEOs were the timing of equity award grants and the increase in TSR from the equity award grant date early in 2023. The Non-PEOs received equity award grants in 2023, but did receive any equity award grants in 2022.</w:t>
      </w:r>
    </w:p>
    <w:p>
      <w:pPr>
        <w:spacing w:after="0" w:line="160"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From 2021 to 2022, compensation actually paid to the Non-PEOs decreased by $6,618,272 or 82%. Over this same period, the Company’s TSR increased by 3.7%, net income decreased by 16.2%, and before-tax free cash flow decreased by 21.4%. The key factor that drove the decline in compensation actually paid in 2022 from the prior period was the timing of equity award grants. The non-PEOs did not receive equity awards in 2022; however, equity awards were granted in 2021 following the Company’s emergence from bankruptcy on October 27, 2020.</w:t>
      </w:r>
    </w:p>
    <w:p>
      <w:pPr>
        <w:spacing w:after="0" w:line="163"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From 2020 to 2021, compensation actually paid to the Non-PEOs increased by $4,801,518 or 147%. Over this same period, the Company’s TSR increased by 81.8%, net income increased by over 600%. The key factors that drove the changes in compensation paid were the equity grants in 2021 following the Company’s emergence from bankruptcy and the positive stock price performance for the Company in 2021, which impacted the Non-PEO equity award values as shown in the table.</w:t>
      </w:r>
    </w:p>
    <w:p>
      <w:pPr>
        <w:spacing w:after="0" w:line="160"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Since a majority of the compensation paid to the non-PEOs during 2021 - 2024 was equity-based, the compensation actually paid is directly linked to increases or decreases in the Company’s stock price.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TSR versus Peer Group TSR</w:t>
      </w:r>
    </w:p>
    <w:p>
      <w:pPr>
        <w:spacing w:after="0" w:line="196"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Our peer group changed from 2023 to 2024. We added BKV Corporation which is a new public company with similar operations and presence in the carbon sequestration sector in the United States. We also added APA Corporation and Sable Offshore Corporation to our peer group due to their similar market capitalization and area of operations. We removed Callon Petroleum Company and Southwestern Energy Company from our peer group after they were acquired in 2024.</w:t>
      </w:r>
    </w:p>
    <w:p>
      <w:pPr>
        <w:spacing w:after="0" w:line="200" w:lineRule="exact"/>
        <w:rPr>
          <w:sz w:val="20"/>
          <w:szCs w:val="20"/>
          <w:color w:val="auto"/>
        </w:rPr>
      </w:pPr>
    </w:p>
    <w:p>
      <w:pPr>
        <w:spacing w:after="0" w:line="24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5" w:name="page66"/>
    <w:bookmarkEnd w:id="65"/>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68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2025 PROXY STATEMENT</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relationship of our TSR to the two peer groups as of December 31 for each year presented in the table below:</w:t>
      </w: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1700" w:type="dxa"/>
            <w:vAlign w:val="bottom"/>
            <w:shd w:val="clear" w:color="auto" w:fill="0075C0"/>
          </w:tcPr>
          <w:p>
            <w:pPr>
              <w:ind w:left="640"/>
              <w:spacing w:after="0"/>
              <w:rPr>
                <w:sz w:val="20"/>
                <w:szCs w:val="20"/>
                <w:color w:val="auto"/>
              </w:rPr>
            </w:pPr>
            <w:r>
              <w:rPr>
                <w:rFonts w:ascii="Arial" w:cs="Arial" w:eastAsia="Arial" w:hAnsi="Arial"/>
                <w:sz w:val="18"/>
                <w:szCs w:val="18"/>
                <w:b w:val="1"/>
                <w:bCs w:val="1"/>
                <w:color w:val="FFFFFF"/>
              </w:rPr>
              <w:t>Year</w:t>
            </w:r>
          </w:p>
        </w:tc>
        <w:tc>
          <w:tcPr>
            <w:tcW w:w="2180" w:type="dxa"/>
            <w:vAlign w:val="bottom"/>
            <w:shd w:val="clear" w:color="auto" w:fill="0075C0"/>
          </w:tcPr>
          <w:p>
            <w:pPr>
              <w:jc w:val="center"/>
              <w:ind w:right="38"/>
              <w:spacing w:after="0"/>
              <w:rPr>
                <w:sz w:val="20"/>
                <w:szCs w:val="20"/>
                <w:color w:val="auto"/>
              </w:rPr>
            </w:pPr>
            <w:r>
              <w:rPr>
                <w:rFonts w:ascii="Arial" w:cs="Arial" w:eastAsia="Arial" w:hAnsi="Arial"/>
                <w:sz w:val="18"/>
                <w:szCs w:val="18"/>
                <w:b w:val="1"/>
                <w:bCs w:val="1"/>
                <w:color w:val="FFFFFF"/>
              </w:rPr>
              <w:t>Our TSR</w:t>
            </w:r>
          </w:p>
        </w:tc>
        <w:tc>
          <w:tcPr>
            <w:tcW w:w="3360" w:type="dxa"/>
            <w:vAlign w:val="bottom"/>
            <w:shd w:val="clear" w:color="auto" w:fill="0075C0"/>
          </w:tcPr>
          <w:p>
            <w:pPr>
              <w:jc w:val="center"/>
              <w:spacing w:after="0"/>
              <w:rPr>
                <w:sz w:val="20"/>
                <w:szCs w:val="20"/>
                <w:color w:val="auto"/>
              </w:rPr>
            </w:pPr>
            <w:r>
              <w:rPr>
                <w:rFonts w:ascii="Arial" w:cs="Arial" w:eastAsia="Arial" w:hAnsi="Arial"/>
                <w:sz w:val="18"/>
                <w:szCs w:val="18"/>
                <w:b w:val="1"/>
                <w:bCs w:val="1"/>
                <w:color w:val="FFFFFF"/>
                <w:w w:val="99"/>
              </w:rPr>
              <w:t>2024 Peer Group TSR</w:t>
            </w:r>
          </w:p>
        </w:tc>
        <w:tc>
          <w:tcPr>
            <w:tcW w:w="3180" w:type="dxa"/>
            <w:vAlign w:val="bottom"/>
            <w:shd w:val="clear" w:color="auto" w:fill="0075C0"/>
          </w:tcPr>
          <w:p>
            <w:pPr>
              <w:jc w:val="center"/>
              <w:ind w:left="18"/>
              <w:spacing w:after="0"/>
              <w:rPr>
                <w:sz w:val="20"/>
                <w:szCs w:val="20"/>
                <w:color w:val="auto"/>
              </w:rPr>
            </w:pPr>
            <w:r>
              <w:rPr>
                <w:rFonts w:ascii="Arial" w:cs="Arial" w:eastAsia="Arial" w:hAnsi="Arial"/>
                <w:sz w:val="18"/>
                <w:szCs w:val="18"/>
                <w:b w:val="1"/>
                <w:bCs w:val="1"/>
                <w:color w:val="FFFFFF"/>
                <w:w w:val="99"/>
              </w:rPr>
              <w:t>2023 Peer Group TSR</w:t>
            </w:r>
          </w:p>
        </w:tc>
      </w:tr>
      <w:tr>
        <w:trPr>
          <w:trHeight w:val="175"/>
        </w:trPr>
        <w:tc>
          <w:tcPr>
            <w:tcW w:w="1700" w:type="dxa"/>
            <w:vAlign w:val="bottom"/>
          </w:tcPr>
          <w:p>
            <w:pPr>
              <w:ind w:left="640"/>
              <w:spacing w:after="0" w:line="175" w:lineRule="exact"/>
              <w:rPr>
                <w:sz w:val="20"/>
                <w:szCs w:val="20"/>
                <w:color w:val="auto"/>
              </w:rPr>
            </w:pPr>
            <w:r>
              <w:rPr>
                <w:rFonts w:ascii="Arial" w:cs="Arial" w:eastAsia="Arial" w:hAnsi="Arial"/>
                <w:sz w:val="16"/>
                <w:szCs w:val="16"/>
                <w:b w:val="1"/>
                <w:bCs w:val="1"/>
                <w:color w:val="auto"/>
              </w:rPr>
              <w:t>2024</w:t>
            </w:r>
          </w:p>
        </w:tc>
        <w:tc>
          <w:tcPr>
            <w:tcW w:w="2180" w:type="dxa"/>
            <w:vAlign w:val="bottom"/>
          </w:tcPr>
          <w:p>
            <w:pPr>
              <w:jc w:val="center"/>
              <w:ind w:right="38"/>
              <w:spacing w:after="0" w:line="175" w:lineRule="exact"/>
              <w:rPr>
                <w:sz w:val="20"/>
                <w:szCs w:val="20"/>
                <w:color w:val="auto"/>
              </w:rPr>
            </w:pPr>
            <w:r>
              <w:rPr>
                <w:rFonts w:ascii="Arial" w:cs="Arial" w:eastAsia="Arial" w:hAnsi="Arial"/>
                <w:sz w:val="16"/>
                <w:szCs w:val="16"/>
                <w:color w:val="auto"/>
              </w:rPr>
              <w:t>$372.19</w:t>
            </w:r>
          </w:p>
        </w:tc>
        <w:tc>
          <w:tcPr>
            <w:tcW w:w="3360" w:type="dxa"/>
            <w:vAlign w:val="bottom"/>
          </w:tcPr>
          <w:p>
            <w:pPr>
              <w:jc w:val="center"/>
              <w:spacing w:after="0" w:line="175" w:lineRule="exact"/>
              <w:rPr>
                <w:sz w:val="20"/>
                <w:szCs w:val="20"/>
                <w:color w:val="auto"/>
              </w:rPr>
            </w:pPr>
            <w:r>
              <w:rPr>
                <w:rFonts w:ascii="Arial" w:cs="Arial" w:eastAsia="Arial" w:hAnsi="Arial"/>
                <w:sz w:val="16"/>
                <w:szCs w:val="16"/>
                <w:color w:val="auto"/>
              </w:rPr>
              <w:t>$569.81</w:t>
            </w:r>
          </w:p>
        </w:tc>
        <w:tc>
          <w:tcPr>
            <w:tcW w:w="3180" w:type="dxa"/>
            <w:vAlign w:val="bottom"/>
          </w:tcPr>
          <w:p>
            <w:pPr>
              <w:jc w:val="center"/>
              <w:ind w:left="38"/>
              <w:spacing w:after="0" w:line="175" w:lineRule="exact"/>
              <w:rPr>
                <w:sz w:val="20"/>
                <w:szCs w:val="20"/>
                <w:color w:val="auto"/>
              </w:rPr>
            </w:pPr>
            <w:r>
              <w:rPr>
                <w:rFonts w:ascii="Arial" w:cs="Arial" w:eastAsia="Arial" w:hAnsi="Arial"/>
                <w:sz w:val="16"/>
                <w:szCs w:val="16"/>
                <w:color w:val="auto"/>
              </w:rPr>
              <w:t>$606.14</w:t>
            </w:r>
          </w:p>
        </w:tc>
      </w:tr>
      <w:tr>
        <w:trPr>
          <w:trHeight w:val="189"/>
        </w:trPr>
        <w:tc>
          <w:tcPr>
            <w:tcW w:w="1700" w:type="dxa"/>
            <w:vAlign w:val="bottom"/>
          </w:tcPr>
          <w:p>
            <w:pPr>
              <w:ind w:left="640"/>
              <w:spacing w:after="0"/>
              <w:rPr>
                <w:sz w:val="20"/>
                <w:szCs w:val="20"/>
                <w:color w:val="auto"/>
              </w:rPr>
            </w:pPr>
            <w:r>
              <w:rPr>
                <w:rFonts w:ascii="Arial" w:cs="Arial" w:eastAsia="Arial" w:hAnsi="Arial"/>
                <w:sz w:val="16"/>
                <w:szCs w:val="16"/>
                <w:b w:val="1"/>
                <w:bCs w:val="1"/>
                <w:color w:val="auto"/>
              </w:rPr>
              <w:t>2023</w:t>
            </w:r>
          </w:p>
        </w:tc>
        <w:tc>
          <w:tcPr>
            <w:tcW w:w="2180" w:type="dxa"/>
            <w:vAlign w:val="bottom"/>
          </w:tcPr>
          <w:p>
            <w:pPr>
              <w:jc w:val="center"/>
              <w:ind w:right="38"/>
              <w:spacing w:after="0"/>
              <w:rPr>
                <w:sz w:val="20"/>
                <w:szCs w:val="20"/>
                <w:color w:val="auto"/>
              </w:rPr>
            </w:pPr>
            <w:r>
              <w:rPr>
                <w:rFonts w:ascii="Arial" w:cs="Arial" w:eastAsia="Arial" w:hAnsi="Arial"/>
                <w:sz w:val="16"/>
                <w:szCs w:val="16"/>
                <w:color w:val="auto"/>
              </w:rPr>
              <w:t>$381.98</w:t>
            </w:r>
          </w:p>
        </w:tc>
        <w:tc>
          <w:tcPr>
            <w:tcW w:w="3360" w:type="dxa"/>
            <w:vAlign w:val="bottom"/>
          </w:tcPr>
          <w:p>
            <w:pPr>
              <w:jc w:val="right"/>
              <w:ind w:right="1398"/>
              <w:spacing w:after="0"/>
              <w:rPr>
                <w:sz w:val="20"/>
                <w:szCs w:val="20"/>
                <w:color w:val="auto"/>
              </w:rPr>
            </w:pPr>
            <w:r>
              <w:rPr>
                <w:rFonts w:ascii="Arial" w:cs="Arial" w:eastAsia="Arial" w:hAnsi="Arial"/>
                <w:sz w:val="16"/>
                <w:szCs w:val="16"/>
                <w:color w:val="auto"/>
              </w:rPr>
              <w:t>$577.26</w:t>
            </w:r>
          </w:p>
        </w:tc>
        <w:tc>
          <w:tcPr>
            <w:tcW w:w="3180" w:type="dxa"/>
            <w:vAlign w:val="bottom"/>
          </w:tcPr>
          <w:p>
            <w:pPr>
              <w:jc w:val="center"/>
              <w:ind w:left="38"/>
              <w:spacing w:after="0"/>
              <w:rPr>
                <w:sz w:val="20"/>
                <w:szCs w:val="20"/>
                <w:color w:val="auto"/>
              </w:rPr>
            </w:pPr>
            <w:r>
              <w:rPr>
                <w:rFonts w:ascii="Arial" w:cs="Arial" w:eastAsia="Arial" w:hAnsi="Arial"/>
                <w:sz w:val="16"/>
                <w:szCs w:val="16"/>
                <w:color w:val="auto"/>
              </w:rPr>
              <w:t>$518.83</w:t>
            </w:r>
          </w:p>
        </w:tc>
      </w:tr>
      <w:tr>
        <w:trPr>
          <w:trHeight w:val="189"/>
        </w:trPr>
        <w:tc>
          <w:tcPr>
            <w:tcW w:w="1700" w:type="dxa"/>
            <w:vAlign w:val="bottom"/>
          </w:tcPr>
          <w:p>
            <w:pPr>
              <w:ind w:left="640"/>
              <w:spacing w:after="0"/>
              <w:rPr>
                <w:sz w:val="20"/>
                <w:szCs w:val="20"/>
                <w:color w:val="auto"/>
              </w:rPr>
            </w:pPr>
            <w:r>
              <w:rPr>
                <w:rFonts w:ascii="Arial" w:cs="Arial" w:eastAsia="Arial" w:hAnsi="Arial"/>
                <w:sz w:val="16"/>
                <w:szCs w:val="16"/>
                <w:b w:val="1"/>
                <w:bCs w:val="1"/>
                <w:color w:val="auto"/>
              </w:rPr>
              <w:t>2022</w:t>
            </w:r>
          </w:p>
        </w:tc>
        <w:tc>
          <w:tcPr>
            <w:tcW w:w="2180" w:type="dxa"/>
            <w:vAlign w:val="bottom"/>
          </w:tcPr>
          <w:p>
            <w:pPr>
              <w:jc w:val="center"/>
              <w:ind w:right="38"/>
              <w:spacing w:after="0"/>
              <w:rPr>
                <w:sz w:val="20"/>
                <w:szCs w:val="20"/>
                <w:color w:val="auto"/>
              </w:rPr>
            </w:pPr>
            <w:r>
              <w:rPr>
                <w:rFonts w:ascii="Arial" w:cs="Arial" w:eastAsia="Arial" w:hAnsi="Arial"/>
                <w:sz w:val="16"/>
                <w:szCs w:val="16"/>
                <w:color w:val="auto"/>
              </w:rPr>
              <w:t>$296.45</w:t>
            </w:r>
          </w:p>
        </w:tc>
        <w:tc>
          <w:tcPr>
            <w:tcW w:w="3360" w:type="dxa"/>
            <w:vAlign w:val="bottom"/>
          </w:tcPr>
          <w:p>
            <w:pPr>
              <w:jc w:val="center"/>
              <w:spacing w:after="0"/>
              <w:rPr>
                <w:sz w:val="20"/>
                <w:szCs w:val="20"/>
                <w:color w:val="auto"/>
              </w:rPr>
            </w:pPr>
            <w:r>
              <w:rPr>
                <w:rFonts w:ascii="Arial" w:cs="Arial" w:eastAsia="Arial" w:hAnsi="Arial"/>
                <w:sz w:val="16"/>
                <w:szCs w:val="16"/>
                <w:color w:val="auto"/>
              </w:rPr>
              <w:t>$580.42</w:t>
            </w:r>
          </w:p>
        </w:tc>
        <w:tc>
          <w:tcPr>
            <w:tcW w:w="3180" w:type="dxa"/>
            <w:vAlign w:val="bottom"/>
          </w:tcPr>
          <w:p>
            <w:pPr>
              <w:jc w:val="center"/>
              <w:ind w:left="38"/>
              <w:spacing w:after="0"/>
              <w:rPr>
                <w:sz w:val="20"/>
                <w:szCs w:val="20"/>
                <w:color w:val="auto"/>
              </w:rPr>
            </w:pPr>
            <w:r>
              <w:rPr>
                <w:rFonts w:ascii="Arial" w:cs="Arial" w:eastAsia="Arial" w:hAnsi="Arial"/>
                <w:sz w:val="16"/>
                <w:szCs w:val="16"/>
                <w:color w:val="auto"/>
              </w:rPr>
              <w:t>$498.98</w:t>
            </w:r>
          </w:p>
        </w:tc>
      </w:tr>
      <w:tr>
        <w:trPr>
          <w:trHeight w:val="189"/>
        </w:trPr>
        <w:tc>
          <w:tcPr>
            <w:tcW w:w="1700" w:type="dxa"/>
            <w:vAlign w:val="bottom"/>
          </w:tcPr>
          <w:p>
            <w:pPr>
              <w:ind w:left="640"/>
              <w:spacing w:after="0"/>
              <w:rPr>
                <w:sz w:val="20"/>
                <w:szCs w:val="20"/>
                <w:color w:val="auto"/>
              </w:rPr>
            </w:pPr>
            <w:r>
              <w:rPr>
                <w:rFonts w:ascii="Arial" w:cs="Arial" w:eastAsia="Arial" w:hAnsi="Arial"/>
                <w:sz w:val="16"/>
                <w:szCs w:val="16"/>
                <w:b w:val="1"/>
                <w:bCs w:val="1"/>
                <w:color w:val="auto"/>
              </w:rPr>
              <w:t>2021</w:t>
            </w:r>
          </w:p>
        </w:tc>
        <w:tc>
          <w:tcPr>
            <w:tcW w:w="2180" w:type="dxa"/>
            <w:vAlign w:val="bottom"/>
          </w:tcPr>
          <w:p>
            <w:pPr>
              <w:jc w:val="center"/>
              <w:ind w:right="38"/>
              <w:spacing w:after="0"/>
              <w:rPr>
                <w:sz w:val="20"/>
                <w:szCs w:val="20"/>
                <w:color w:val="auto"/>
              </w:rPr>
            </w:pPr>
            <w:r>
              <w:rPr>
                <w:rFonts w:ascii="Arial" w:cs="Arial" w:eastAsia="Arial" w:hAnsi="Arial"/>
                <w:sz w:val="16"/>
                <w:szCs w:val="16"/>
                <w:color w:val="auto"/>
              </w:rPr>
              <w:t>$285.97</w:t>
            </w:r>
          </w:p>
        </w:tc>
        <w:tc>
          <w:tcPr>
            <w:tcW w:w="3360" w:type="dxa"/>
            <w:vAlign w:val="bottom"/>
          </w:tcPr>
          <w:p>
            <w:pPr>
              <w:jc w:val="center"/>
              <w:spacing w:after="0"/>
              <w:rPr>
                <w:sz w:val="20"/>
                <w:szCs w:val="20"/>
                <w:color w:val="auto"/>
              </w:rPr>
            </w:pPr>
            <w:r>
              <w:rPr>
                <w:rFonts w:ascii="Arial" w:cs="Arial" w:eastAsia="Arial" w:hAnsi="Arial"/>
                <w:sz w:val="16"/>
                <w:szCs w:val="16"/>
                <w:color w:val="auto"/>
              </w:rPr>
              <w:t>$374.38</w:t>
            </w:r>
          </w:p>
        </w:tc>
        <w:tc>
          <w:tcPr>
            <w:tcW w:w="3180" w:type="dxa"/>
            <w:vAlign w:val="bottom"/>
          </w:tcPr>
          <w:p>
            <w:pPr>
              <w:jc w:val="center"/>
              <w:ind w:left="38"/>
              <w:spacing w:after="0"/>
              <w:rPr>
                <w:sz w:val="20"/>
                <w:szCs w:val="20"/>
                <w:color w:val="auto"/>
              </w:rPr>
            </w:pPr>
            <w:r>
              <w:rPr>
                <w:rFonts w:ascii="Arial" w:cs="Arial" w:eastAsia="Arial" w:hAnsi="Arial"/>
                <w:sz w:val="16"/>
                <w:szCs w:val="16"/>
                <w:color w:val="auto"/>
              </w:rPr>
              <w:t>$346.08</w:t>
            </w:r>
          </w:p>
        </w:tc>
      </w:tr>
      <w:tr>
        <w:trPr>
          <w:trHeight w:val="223"/>
        </w:trPr>
        <w:tc>
          <w:tcPr>
            <w:tcW w:w="1700" w:type="dxa"/>
            <w:vAlign w:val="bottom"/>
          </w:tcPr>
          <w:p>
            <w:pPr>
              <w:ind w:left="640"/>
              <w:spacing w:after="0"/>
              <w:rPr>
                <w:sz w:val="20"/>
                <w:szCs w:val="20"/>
                <w:color w:val="auto"/>
              </w:rPr>
            </w:pPr>
            <w:r>
              <w:rPr>
                <w:rFonts w:ascii="Arial" w:cs="Arial" w:eastAsia="Arial" w:hAnsi="Arial"/>
                <w:sz w:val="16"/>
                <w:szCs w:val="16"/>
                <w:b w:val="1"/>
                <w:bCs w:val="1"/>
                <w:color w:val="auto"/>
              </w:rPr>
              <w:t>2020</w:t>
            </w:r>
          </w:p>
        </w:tc>
        <w:tc>
          <w:tcPr>
            <w:tcW w:w="2180" w:type="dxa"/>
            <w:vAlign w:val="bottom"/>
          </w:tcPr>
          <w:p>
            <w:pPr>
              <w:jc w:val="center"/>
              <w:ind w:right="38"/>
              <w:spacing w:after="0"/>
              <w:rPr>
                <w:sz w:val="20"/>
                <w:szCs w:val="20"/>
                <w:color w:val="auto"/>
              </w:rPr>
            </w:pPr>
            <w:r>
              <w:rPr>
                <w:rFonts w:ascii="Arial" w:cs="Arial" w:eastAsia="Arial" w:hAnsi="Arial"/>
                <w:sz w:val="16"/>
                <w:szCs w:val="16"/>
                <w:color w:val="auto"/>
              </w:rPr>
              <w:t>$157.27</w:t>
            </w:r>
          </w:p>
        </w:tc>
        <w:tc>
          <w:tcPr>
            <w:tcW w:w="3360" w:type="dxa"/>
            <w:vAlign w:val="bottom"/>
          </w:tcPr>
          <w:p>
            <w:pPr>
              <w:jc w:val="center"/>
              <w:spacing w:after="0"/>
              <w:rPr>
                <w:sz w:val="20"/>
                <w:szCs w:val="20"/>
                <w:color w:val="auto"/>
              </w:rPr>
            </w:pPr>
            <w:r>
              <w:rPr>
                <w:rFonts w:ascii="Arial" w:cs="Arial" w:eastAsia="Arial" w:hAnsi="Arial"/>
                <w:sz w:val="16"/>
                <w:szCs w:val="16"/>
                <w:color w:val="auto"/>
              </w:rPr>
              <w:t>$151.36</w:t>
            </w:r>
          </w:p>
        </w:tc>
        <w:tc>
          <w:tcPr>
            <w:tcW w:w="3180" w:type="dxa"/>
            <w:vAlign w:val="bottom"/>
          </w:tcPr>
          <w:p>
            <w:pPr>
              <w:jc w:val="center"/>
              <w:ind w:left="38"/>
              <w:spacing w:after="0"/>
              <w:rPr>
                <w:sz w:val="20"/>
                <w:szCs w:val="20"/>
                <w:color w:val="auto"/>
              </w:rPr>
            </w:pPr>
            <w:r>
              <w:rPr>
                <w:rFonts w:ascii="Arial" w:cs="Arial" w:eastAsia="Arial" w:hAnsi="Arial"/>
                <w:sz w:val="16"/>
                <w:szCs w:val="16"/>
                <w:color w:val="auto"/>
              </w:rPr>
              <w:t>$136.65</w:t>
            </w:r>
          </w:p>
        </w:tc>
      </w:tr>
    </w:tbl>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Most Important Performance Measures for Fiscal Year 2024</w:t>
      </w:r>
    </w:p>
    <w:p>
      <w:pPr>
        <w:spacing w:after="0" w:line="198"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The following unranked performance measures for fiscal year 2024 were the most important performance measures the Company used to link executive compensation actually paid to our PEO and Non-PEOs during the last fiscal year to company performance.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70C0"/>
        </w:rPr>
        <w:t>Most Important Performance Measures</w:t>
      </w:r>
    </w:p>
    <w:p>
      <w:pPr>
        <w:spacing w:after="0" w:line="59"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Free Cash Flow (as described in the Compensation Discussion and Analysis section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643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643255"/>
                    </a:xfrm>
                    <a:prstGeom prst="rect">
                      <a:avLst/>
                    </a:prstGeom>
                    <a:noFill/>
                  </pic:spPr>
                </pic:pic>
              </a:graphicData>
            </a:graphic>
          </wp:anchor>
        </w:drawing>
      </w:r>
    </w:p>
    <w:p>
      <w:pPr>
        <w:spacing w:after="0" w:line="11"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Adjusted EBITDAX (as described in the Compensation Discussion and Analysis section above)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E&amp;P Capital Efficiency (as described in the Compensation Discussion and Analysis section above)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Carbon Management Projects (as described in the Compensation Discussion and Analysis section above)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Combined Company Synergies (as described in the Compensation Discussion and Analysis section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6" w:name="page67"/>
    <w:bookmarkEnd w:id="66"/>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68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2025 PROXY STATEMENT</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Director Compensation</w:t>
      </w:r>
    </w:p>
    <w:p>
      <w:pPr>
        <w:spacing w:after="0" w:line="131" w:lineRule="exact"/>
        <w:rPr>
          <w:sz w:val="20"/>
          <w:szCs w:val="20"/>
          <w:color w:val="auto"/>
        </w:rPr>
      </w:pPr>
    </w:p>
    <w:p>
      <w:pPr>
        <w:spacing w:after="0"/>
        <w:rPr>
          <w:sz w:val="20"/>
          <w:szCs w:val="20"/>
          <w:color w:val="auto"/>
        </w:rPr>
      </w:pPr>
      <w:r>
        <w:rPr>
          <w:rFonts w:ascii="Arial" w:cs="Arial" w:eastAsia="Arial" w:hAnsi="Arial"/>
          <w:sz w:val="32"/>
          <w:szCs w:val="32"/>
          <w:color w:val="0075C9"/>
        </w:rPr>
        <w:t>Director Compensation</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color w:val="0075C9"/>
        </w:rPr>
        <w:t>Program Objectives</w:t>
      </w:r>
    </w:p>
    <w:p>
      <w:pPr>
        <w:spacing w:after="0" w:line="106"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Our director compensation program is designed to be consistent with the market practices of our peer companies in order to be able to recruit and retain directors.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0075C9"/>
        </w:rPr>
        <w:t>Program Elements</w:t>
      </w:r>
    </w:p>
    <w:p>
      <w:pPr>
        <w:spacing w:after="0" w:line="173"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In December 2020, the Board adopted a new outside director compensation program, based on a review of the director compensation programs of our peer companies provided by LB&amp;Co and recommendation of the Compensation Committee. In 2024, the Compensation Committee did not recommend any changes to the director compensation program and the Board did not adopt any changes. The elements of the program are as follows:</w:t>
      </w:r>
    </w:p>
    <w:p>
      <w:pPr>
        <w:spacing w:after="0" w:line="66" w:lineRule="exact"/>
        <w:rPr>
          <w:sz w:val="20"/>
          <w:szCs w:val="20"/>
          <w:color w:val="auto"/>
        </w:rPr>
      </w:pPr>
    </w:p>
    <w:p>
      <w:pPr>
        <w:ind w:left="500" w:hanging="282"/>
        <w:spacing w:after="0"/>
        <w:tabs>
          <w:tab w:leader="none" w:pos="5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An annual cash retainer of $125,000 ($200,000 for the Independent Chairperson) paid on a quarterly basis in advance.</w:t>
      </w:r>
    </w:p>
    <w:p>
      <w:pPr>
        <w:spacing w:after="0" w:line="116" w:lineRule="exact"/>
        <w:rPr>
          <w:rFonts w:ascii="Times New Roman" w:cs="Times New Roman" w:eastAsia="Times New Roman" w:hAnsi="Times New Roman"/>
          <w:sz w:val="18"/>
          <w:szCs w:val="18"/>
          <w:color w:val="auto"/>
        </w:rPr>
      </w:pPr>
    </w:p>
    <w:p>
      <w:pPr>
        <w:jc w:val="both"/>
        <w:ind w:left="500" w:right="1060" w:hanging="282"/>
        <w:spacing w:after="0" w:line="252" w:lineRule="auto"/>
        <w:tabs>
          <w:tab w:leader="none" w:pos="5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An annual equity grant of restricted stock units (“RSUs”), granted at the Annual Meeting of Shareholders each year with a grant value of $200,000 ($325,000 for the Independent Chairperson), which vest on the first anniversary of the grant date. Vested shares are not delivered to the director until six months after the end of Board service.</w:t>
      </w:r>
    </w:p>
    <w:p>
      <w:pPr>
        <w:spacing w:after="0" w:line="62" w:lineRule="exact"/>
        <w:rPr>
          <w:rFonts w:ascii="Times New Roman" w:cs="Times New Roman" w:eastAsia="Times New Roman" w:hAnsi="Times New Roman"/>
          <w:sz w:val="18"/>
          <w:szCs w:val="18"/>
          <w:color w:val="auto"/>
        </w:rPr>
      </w:pPr>
    </w:p>
    <w:p>
      <w:pPr>
        <w:ind w:left="500" w:hanging="282"/>
        <w:spacing w:after="0"/>
        <w:tabs>
          <w:tab w:leader="none" w:pos="5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Board Leadership annual fees as follows, paid on a quarterly basis in advance:</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Committee chairperson (Audit, Sustainability, Finance, Special Committees) – $31,000</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Committee chairperson (Compensation, Nominating and Governance) – $22,000</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Committee member (Audit, Sustainability, Finance, Special Committees) – $16,000</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Committee member (Compensation, Nominating and Governance) – $11,000</w:t>
      </w:r>
    </w:p>
    <w:p>
      <w:pPr>
        <w:spacing w:after="0" w:line="27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7" w:name="page68"/>
    <w:bookmarkEnd w:id="67"/>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68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2025 PROXY STATEMENT</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Director Compensation</w:t>
      </w: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color w:val="0075C9"/>
        </w:rPr>
        <w:t>2024 Compensation of Directors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total compensation for 2024 for each of the non-employee directors who served in 2024, other than Mr.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Leon, who is included in the Summary Compensation Table due to his concurrent roles as director and President and CEO at during 2024:</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0075C9"/>
              </w:rPr>
              <w:t>Fees Earned</w:t>
            </w:r>
          </w:p>
        </w:tc>
        <w:tc>
          <w:tcPr>
            <w:tcW w:w="10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40" w:type="dxa"/>
            <w:vAlign w:val="bottom"/>
          </w:tcPr>
          <w:p>
            <w:pPr>
              <w:jc w:val="right"/>
              <w:ind w:right="668"/>
              <w:spacing w:after="0"/>
              <w:rPr>
                <w:sz w:val="20"/>
                <w:szCs w:val="20"/>
                <w:color w:val="auto"/>
              </w:rPr>
            </w:pPr>
            <w:r>
              <w:rPr>
                <w:rFonts w:ascii="Arial" w:cs="Arial" w:eastAsia="Arial" w:hAnsi="Arial"/>
                <w:sz w:val="14"/>
                <w:szCs w:val="14"/>
                <w:b w:val="1"/>
                <w:bCs w:val="1"/>
                <w:color w:val="0075C9"/>
              </w:rPr>
              <w:t>Other</w:t>
            </w:r>
          </w:p>
        </w:tc>
        <w:tc>
          <w:tcPr>
            <w:tcW w:w="6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62"/>
        </w:trPr>
        <w:tc>
          <w:tcPr>
            <w:tcW w:w="3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0075C9"/>
              </w:rPr>
              <w:t>or Paid in</w:t>
            </w:r>
          </w:p>
        </w:tc>
        <w:tc>
          <w:tcPr>
            <w:tcW w:w="1000" w:type="dxa"/>
            <w:vAlign w:val="bottom"/>
          </w:tcPr>
          <w:p>
            <w:pPr>
              <w:spacing w:after="0"/>
              <w:rPr>
                <w:sz w:val="14"/>
                <w:szCs w:val="14"/>
                <w:color w:val="auto"/>
              </w:rPr>
            </w:pPr>
          </w:p>
        </w:tc>
        <w:tc>
          <w:tcPr>
            <w:tcW w:w="1460" w:type="dxa"/>
            <w:vAlign w:val="bottom"/>
          </w:tcPr>
          <w:p>
            <w:pPr>
              <w:jc w:val="right"/>
              <w:ind w:right="368"/>
              <w:spacing w:after="0"/>
              <w:rPr>
                <w:sz w:val="20"/>
                <w:szCs w:val="20"/>
                <w:color w:val="auto"/>
              </w:rPr>
            </w:pPr>
            <w:r>
              <w:rPr>
                <w:rFonts w:ascii="Arial" w:cs="Arial" w:eastAsia="Arial" w:hAnsi="Arial"/>
                <w:sz w:val="14"/>
                <w:szCs w:val="14"/>
                <w:b w:val="1"/>
                <w:bCs w:val="1"/>
                <w:color w:val="0075C9"/>
              </w:rPr>
              <w:t>Stock Awards</w:t>
            </w:r>
          </w:p>
        </w:tc>
        <w:tc>
          <w:tcPr>
            <w:tcW w:w="520" w:type="dxa"/>
            <w:vAlign w:val="bottom"/>
          </w:tcPr>
          <w:p>
            <w:pPr>
              <w:spacing w:after="0"/>
              <w:rPr>
                <w:sz w:val="14"/>
                <w:szCs w:val="14"/>
                <w:color w:val="auto"/>
              </w:rPr>
            </w:pPr>
          </w:p>
        </w:tc>
        <w:tc>
          <w:tcPr>
            <w:tcW w:w="1440" w:type="dxa"/>
            <w:vAlign w:val="bottom"/>
          </w:tcPr>
          <w:p>
            <w:pPr>
              <w:jc w:val="right"/>
              <w:ind w:right="308"/>
              <w:spacing w:after="0"/>
              <w:rPr>
                <w:sz w:val="20"/>
                <w:szCs w:val="20"/>
                <w:color w:val="auto"/>
              </w:rPr>
            </w:pPr>
            <w:r>
              <w:rPr>
                <w:rFonts w:ascii="Arial" w:cs="Arial" w:eastAsia="Arial" w:hAnsi="Arial"/>
                <w:sz w:val="14"/>
                <w:szCs w:val="14"/>
                <w:b w:val="1"/>
                <w:bCs w:val="1"/>
                <w:color w:val="0075C9"/>
              </w:rPr>
              <w:t>Compensation</w:t>
            </w: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400" w:type="dxa"/>
            <w:vAlign w:val="bottom"/>
            <w:tcBorders>
              <w:bottom w:val="single" w:sz="8" w:color="0075C9"/>
            </w:tcBorders>
          </w:tcPr>
          <w:p>
            <w:pPr>
              <w:ind w:left="120"/>
              <w:spacing w:after="0"/>
              <w:rPr>
                <w:sz w:val="20"/>
                <w:szCs w:val="20"/>
                <w:color w:val="auto"/>
              </w:rPr>
            </w:pPr>
            <w:r>
              <w:rPr>
                <w:rFonts w:ascii="Arial" w:cs="Arial" w:eastAsia="Arial" w:hAnsi="Arial"/>
                <w:sz w:val="14"/>
                <w:szCs w:val="14"/>
                <w:b w:val="1"/>
                <w:bCs w:val="1"/>
                <w:color w:val="0075C9"/>
              </w:rPr>
              <w:t>Name</w:t>
            </w:r>
          </w:p>
        </w:tc>
        <w:tc>
          <w:tcPr>
            <w:tcW w:w="540" w:type="dxa"/>
            <w:vAlign w:val="bottom"/>
            <w:tcBorders>
              <w:bottom w:val="single" w:sz="8" w:color="0075C9"/>
            </w:tcBorders>
          </w:tcPr>
          <w:p>
            <w:pPr>
              <w:spacing w:after="0"/>
              <w:rPr>
                <w:sz w:val="14"/>
                <w:szCs w:val="14"/>
                <w:color w:val="auto"/>
              </w:rPr>
            </w:pPr>
          </w:p>
        </w:tc>
        <w:tc>
          <w:tcPr>
            <w:tcW w:w="920" w:type="dxa"/>
            <w:vAlign w:val="bottom"/>
            <w:tcBorders>
              <w:bottom w:val="single" w:sz="8" w:color="0075C9"/>
            </w:tcBorders>
          </w:tcPr>
          <w:p>
            <w:pPr>
              <w:jc w:val="center"/>
              <w:spacing w:after="0"/>
              <w:rPr>
                <w:sz w:val="20"/>
                <w:szCs w:val="20"/>
                <w:color w:val="auto"/>
              </w:rPr>
            </w:pPr>
            <w:r>
              <w:rPr>
                <w:rFonts w:ascii="Arial" w:cs="Arial" w:eastAsia="Arial" w:hAnsi="Arial"/>
                <w:sz w:val="14"/>
                <w:szCs w:val="14"/>
                <w:b w:val="1"/>
                <w:bCs w:val="1"/>
                <w:color w:val="0075C9"/>
                <w:w w:val="99"/>
              </w:rPr>
              <w:t>Cash</w:t>
            </w:r>
          </w:p>
        </w:tc>
        <w:tc>
          <w:tcPr>
            <w:tcW w:w="1000" w:type="dxa"/>
            <w:vAlign w:val="bottom"/>
            <w:tcBorders>
              <w:bottom w:val="single" w:sz="8" w:color="0075C9"/>
            </w:tcBorders>
          </w:tcPr>
          <w:p>
            <w:pPr>
              <w:spacing w:after="0"/>
              <w:rPr>
                <w:sz w:val="14"/>
                <w:szCs w:val="14"/>
                <w:color w:val="auto"/>
              </w:rPr>
            </w:pPr>
          </w:p>
        </w:tc>
        <w:tc>
          <w:tcPr>
            <w:tcW w:w="1460" w:type="dxa"/>
            <w:vAlign w:val="bottom"/>
            <w:tcBorders>
              <w:bottom w:val="single" w:sz="8" w:color="0075C9"/>
            </w:tcBorders>
          </w:tcPr>
          <w:p>
            <w:pPr>
              <w:jc w:val="right"/>
              <w:ind w:right="748"/>
              <w:spacing w:after="0"/>
              <w:rPr>
                <w:sz w:val="20"/>
                <w:szCs w:val="20"/>
                <w:color w:val="auto"/>
              </w:rPr>
            </w:pPr>
            <w:r>
              <w:rPr>
                <w:rFonts w:ascii="Arial" w:cs="Arial" w:eastAsia="Arial" w:hAnsi="Arial"/>
                <w:sz w:val="14"/>
                <w:szCs w:val="14"/>
                <w:b w:val="1"/>
                <w:bCs w:val="1"/>
                <w:color w:val="0075C9"/>
              </w:rPr>
              <w:t>(1)</w:t>
            </w:r>
          </w:p>
        </w:tc>
        <w:tc>
          <w:tcPr>
            <w:tcW w:w="520" w:type="dxa"/>
            <w:vAlign w:val="bottom"/>
            <w:tcBorders>
              <w:bottom w:val="single" w:sz="8" w:color="0075C9"/>
            </w:tcBorders>
          </w:tcPr>
          <w:p>
            <w:pPr>
              <w:spacing w:after="0"/>
              <w:rPr>
                <w:sz w:val="14"/>
                <w:szCs w:val="14"/>
                <w:color w:val="auto"/>
              </w:rPr>
            </w:pPr>
          </w:p>
        </w:tc>
        <w:tc>
          <w:tcPr>
            <w:tcW w:w="1440" w:type="dxa"/>
            <w:vAlign w:val="bottom"/>
            <w:tcBorders>
              <w:bottom w:val="single" w:sz="8" w:color="0075C9"/>
            </w:tcBorders>
          </w:tcPr>
          <w:p>
            <w:pPr>
              <w:jc w:val="right"/>
              <w:ind w:right="768"/>
              <w:spacing w:after="0"/>
              <w:rPr>
                <w:sz w:val="20"/>
                <w:szCs w:val="20"/>
                <w:color w:val="auto"/>
              </w:rPr>
            </w:pPr>
            <w:r>
              <w:rPr>
                <w:rFonts w:ascii="Arial" w:cs="Arial" w:eastAsia="Arial" w:hAnsi="Arial"/>
                <w:sz w:val="14"/>
                <w:szCs w:val="14"/>
                <w:b w:val="1"/>
                <w:bCs w:val="1"/>
                <w:color w:val="0075C9"/>
              </w:rPr>
              <w:t>(2)</w:t>
            </w:r>
          </w:p>
        </w:tc>
        <w:tc>
          <w:tcPr>
            <w:tcW w:w="620" w:type="dxa"/>
            <w:vAlign w:val="bottom"/>
            <w:tcBorders>
              <w:bottom w:val="single" w:sz="8" w:color="0075C9"/>
            </w:tcBorders>
          </w:tcPr>
          <w:p>
            <w:pPr>
              <w:spacing w:after="0"/>
              <w:rPr>
                <w:sz w:val="14"/>
                <w:szCs w:val="14"/>
                <w:color w:val="auto"/>
              </w:rPr>
            </w:pPr>
          </w:p>
        </w:tc>
        <w:tc>
          <w:tcPr>
            <w:tcW w:w="1340" w:type="dxa"/>
            <w:vAlign w:val="bottom"/>
            <w:tcBorders>
              <w:bottom w:val="single" w:sz="8" w:color="0075C9"/>
            </w:tcBorders>
          </w:tcPr>
          <w:p>
            <w:pPr>
              <w:jc w:val="right"/>
              <w:ind w:right="688"/>
              <w:spacing w:after="0"/>
              <w:rPr>
                <w:sz w:val="20"/>
                <w:szCs w:val="20"/>
                <w:color w:val="auto"/>
              </w:rPr>
            </w:pPr>
            <w:r>
              <w:rPr>
                <w:rFonts w:ascii="Arial" w:cs="Arial" w:eastAsia="Arial" w:hAnsi="Arial"/>
                <w:sz w:val="14"/>
                <w:szCs w:val="14"/>
                <w:b w:val="1"/>
                <w:bCs w:val="1"/>
                <w:color w:val="0075C9"/>
              </w:rPr>
              <w:t>Total</w:t>
            </w:r>
          </w:p>
        </w:tc>
      </w:tr>
      <w:tr>
        <w:trPr>
          <w:trHeight w:val="156"/>
        </w:trPr>
        <w:tc>
          <w:tcPr>
            <w:tcW w:w="3400" w:type="dxa"/>
            <w:vAlign w:val="bottom"/>
            <w:shd w:val="clear" w:color="auto" w:fill="EBEBEC"/>
          </w:tcPr>
          <w:p>
            <w:pPr>
              <w:ind w:left="120"/>
              <w:spacing w:after="0" w:line="155" w:lineRule="exact"/>
              <w:rPr>
                <w:sz w:val="20"/>
                <w:szCs w:val="20"/>
                <w:color w:val="auto"/>
              </w:rPr>
            </w:pPr>
            <w:r>
              <w:rPr>
                <w:rFonts w:ascii="Arial" w:cs="Arial" w:eastAsia="Arial" w:hAnsi="Arial"/>
                <w:sz w:val="14"/>
                <w:szCs w:val="14"/>
                <w:b w:val="1"/>
                <w:bCs w:val="1"/>
                <w:color w:val="auto"/>
              </w:rPr>
              <w:t>Andrew B. Bremner</w:t>
            </w:r>
          </w:p>
        </w:tc>
        <w:tc>
          <w:tcPr>
            <w:tcW w:w="540" w:type="dxa"/>
            <w:vAlign w:val="bottom"/>
            <w:shd w:val="clear" w:color="auto" w:fill="EBEBEC"/>
          </w:tcPr>
          <w:p>
            <w:pPr>
              <w:jc w:val="right"/>
              <w:spacing w:after="0" w:line="155" w:lineRule="exact"/>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spacing w:after="0" w:line="155" w:lineRule="exact"/>
              <w:rPr>
                <w:sz w:val="20"/>
                <w:szCs w:val="20"/>
                <w:color w:val="auto"/>
              </w:rPr>
            </w:pPr>
            <w:r>
              <w:rPr>
                <w:rFonts w:ascii="Arial" w:cs="Arial" w:eastAsia="Arial" w:hAnsi="Arial"/>
                <w:sz w:val="14"/>
                <w:szCs w:val="14"/>
                <w:color w:val="auto"/>
              </w:rPr>
              <w:t>184,000</w:t>
            </w:r>
          </w:p>
        </w:tc>
        <w:tc>
          <w:tcPr>
            <w:tcW w:w="1000" w:type="dxa"/>
            <w:vAlign w:val="bottom"/>
            <w:shd w:val="clear" w:color="auto" w:fill="EBEBEC"/>
          </w:tcPr>
          <w:p>
            <w:pPr>
              <w:jc w:val="right"/>
              <w:spacing w:after="0" w:line="155" w:lineRule="exact"/>
              <w:rPr>
                <w:sz w:val="20"/>
                <w:szCs w:val="20"/>
                <w:color w:val="auto"/>
              </w:rPr>
            </w:pPr>
            <w:r>
              <w:rPr>
                <w:rFonts w:ascii="Arial" w:cs="Arial" w:eastAsia="Arial" w:hAnsi="Arial"/>
                <w:sz w:val="14"/>
                <w:szCs w:val="14"/>
                <w:color w:val="auto"/>
              </w:rPr>
              <w:t>$</w:t>
            </w:r>
          </w:p>
        </w:tc>
        <w:tc>
          <w:tcPr>
            <w:tcW w:w="1460" w:type="dxa"/>
            <w:vAlign w:val="bottom"/>
            <w:shd w:val="clear" w:color="auto" w:fill="EBEBEC"/>
          </w:tcPr>
          <w:p>
            <w:pPr>
              <w:jc w:val="right"/>
              <w:ind w:right="308"/>
              <w:spacing w:after="0" w:line="155" w:lineRule="exact"/>
              <w:rPr>
                <w:sz w:val="20"/>
                <w:szCs w:val="20"/>
                <w:color w:val="auto"/>
              </w:rPr>
            </w:pPr>
            <w:r>
              <w:rPr>
                <w:rFonts w:ascii="Arial" w:cs="Arial" w:eastAsia="Arial" w:hAnsi="Arial"/>
                <w:sz w:val="14"/>
                <w:szCs w:val="14"/>
                <w:color w:val="auto"/>
              </w:rPr>
              <w:t>191,474</w:t>
            </w:r>
          </w:p>
        </w:tc>
        <w:tc>
          <w:tcPr>
            <w:tcW w:w="520" w:type="dxa"/>
            <w:vAlign w:val="bottom"/>
            <w:shd w:val="clear" w:color="auto" w:fill="EBEBE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620" w:type="dxa"/>
            <w:vAlign w:val="bottom"/>
            <w:shd w:val="clear" w:color="auto" w:fill="EBEBEC"/>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1340" w:type="dxa"/>
            <w:vAlign w:val="bottom"/>
            <w:shd w:val="clear" w:color="auto" w:fill="EBEBEC"/>
          </w:tcPr>
          <w:p>
            <w:pPr>
              <w:jc w:val="right"/>
              <w:ind w:right="408"/>
              <w:spacing w:after="0" w:line="155" w:lineRule="exact"/>
              <w:rPr>
                <w:sz w:val="20"/>
                <w:szCs w:val="20"/>
                <w:color w:val="auto"/>
              </w:rPr>
            </w:pPr>
            <w:r>
              <w:rPr>
                <w:rFonts w:ascii="Arial" w:cs="Arial" w:eastAsia="Arial" w:hAnsi="Arial"/>
                <w:sz w:val="14"/>
                <w:szCs w:val="14"/>
                <w:color w:val="auto"/>
              </w:rPr>
              <w:t>375,474</w:t>
            </w:r>
          </w:p>
        </w:tc>
      </w:tr>
      <w:tr>
        <w:trPr>
          <w:trHeight w:val="162"/>
        </w:trPr>
        <w:tc>
          <w:tcPr>
            <w:tcW w:w="340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Tiffany (TJ) Thom Cepak</w:t>
            </w:r>
          </w:p>
        </w:tc>
        <w:tc>
          <w:tcPr>
            <w:tcW w:w="5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216,000</w:t>
            </w:r>
          </w:p>
        </w:tc>
        <w:tc>
          <w:tcPr>
            <w:tcW w:w="10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EBEBEC"/>
          </w:tcPr>
          <w:p>
            <w:pPr>
              <w:jc w:val="right"/>
              <w:ind w:right="308"/>
              <w:spacing w:after="0"/>
              <w:rPr>
                <w:sz w:val="20"/>
                <w:szCs w:val="20"/>
                <w:color w:val="auto"/>
              </w:rPr>
            </w:pPr>
            <w:r>
              <w:rPr>
                <w:rFonts w:ascii="Arial" w:cs="Arial" w:eastAsia="Arial" w:hAnsi="Arial"/>
                <w:sz w:val="14"/>
                <w:szCs w:val="14"/>
                <w:color w:val="auto"/>
              </w:rPr>
              <w:t>311,165</w:t>
            </w:r>
          </w:p>
        </w:tc>
        <w:tc>
          <w:tcPr>
            <w:tcW w:w="520" w:type="dxa"/>
            <w:vAlign w:val="bottom"/>
            <w:shd w:val="clear" w:color="auto" w:fill="EBEBEC"/>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188"/>
              <w:spacing w:after="0"/>
              <w:rPr>
                <w:sz w:val="20"/>
                <w:szCs w:val="20"/>
                <w:color w:val="auto"/>
              </w:rPr>
            </w:pPr>
            <w:r>
              <w:rPr>
                <w:rFonts w:ascii="Arial" w:cs="Arial" w:eastAsia="Arial" w:hAnsi="Arial"/>
                <w:sz w:val="14"/>
                <w:szCs w:val="14"/>
                <w:color w:val="auto"/>
              </w:rPr>
              <w:t>66,751</w:t>
            </w:r>
          </w:p>
        </w:tc>
        <w:tc>
          <w:tcPr>
            <w:tcW w:w="620" w:type="dxa"/>
            <w:vAlign w:val="bottom"/>
            <w:shd w:val="clear" w:color="auto" w:fill="EBEBEC"/>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shd w:val="clear" w:color="auto" w:fill="EBEBEC"/>
          </w:tcPr>
          <w:p>
            <w:pPr>
              <w:jc w:val="right"/>
              <w:ind w:right="408"/>
              <w:spacing w:after="0"/>
              <w:rPr>
                <w:sz w:val="20"/>
                <w:szCs w:val="20"/>
                <w:color w:val="auto"/>
              </w:rPr>
            </w:pPr>
            <w:r>
              <w:rPr>
                <w:rFonts w:ascii="Arial" w:cs="Arial" w:eastAsia="Arial" w:hAnsi="Arial"/>
                <w:sz w:val="14"/>
                <w:szCs w:val="14"/>
                <w:color w:val="auto"/>
              </w:rPr>
              <w:t>593,916</w:t>
            </w:r>
          </w:p>
        </w:tc>
      </w:tr>
      <w:tr>
        <w:trPr>
          <w:trHeight w:val="162"/>
        </w:trPr>
        <w:tc>
          <w:tcPr>
            <w:tcW w:w="340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James N. Chapman</w:t>
            </w:r>
          </w:p>
        </w:tc>
        <w:tc>
          <w:tcPr>
            <w:tcW w:w="5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194,000</w:t>
            </w:r>
          </w:p>
        </w:tc>
        <w:tc>
          <w:tcPr>
            <w:tcW w:w="10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EBEBEC"/>
          </w:tcPr>
          <w:p>
            <w:pPr>
              <w:jc w:val="right"/>
              <w:ind w:right="308"/>
              <w:spacing w:after="0"/>
              <w:rPr>
                <w:sz w:val="20"/>
                <w:szCs w:val="20"/>
                <w:color w:val="auto"/>
              </w:rPr>
            </w:pPr>
            <w:r>
              <w:rPr>
                <w:rFonts w:ascii="Arial" w:cs="Arial" w:eastAsia="Arial" w:hAnsi="Arial"/>
                <w:sz w:val="14"/>
                <w:szCs w:val="14"/>
                <w:color w:val="auto"/>
              </w:rPr>
              <w:t>191,474</w:t>
            </w:r>
          </w:p>
        </w:tc>
        <w:tc>
          <w:tcPr>
            <w:tcW w:w="520" w:type="dxa"/>
            <w:vAlign w:val="bottom"/>
            <w:shd w:val="clear" w:color="auto" w:fill="EBEBEC"/>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188"/>
              <w:spacing w:after="0"/>
              <w:rPr>
                <w:sz w:val="20"/>
                <w:szCs w:val="20"/>
                <w:color w:val="auto"/>
              </w:rPr>
            </w:pPr>
            <w:r>
              <w:rPr>
                <w:rFonts w:ascii="Arial" w:cs="Arial" w:eastAsia="Arial" w:hAnsi="Arial"/>
                <w:sz w:val="14"/>
                <w:szCs w:val="14"/>
                <w:color w:val="auto"/>
              </w:rPr>
              <w:t>45,632</w:t>
            </w:r>
          </w:p>
        </w:tc>
        <w:tc>
          <w:tcPr>
            <w:tcW w:w="620" w:type="dxa"/>
            <w:vAlign w:val="bottom"/>
            <w:shd w:val="clear" w:color="auto" w:fill="EBEBEC"/>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shd w:val="clear" w:color="auto" w:fill="EBEBEC"/>
          </w:tcPr>
          <w:p>
            <w:pPr>
              <w:jc w:val="right"/>
              <w:ind w:right="408"/>
              <w:spacing w:after="0"/>
              <w:rPr>
                <w:sz w:val="20"/>
                <w:szCs w:val="20"/>
                <w:color w:val="auto"/>
              </w:rPr>
            </w:pPr>
            <w:r>
              <w:rPr>
                <w:rFonts w:ascii="Arial" w:cs="Arial" w:eastAsia="Arial" w:hAnsi="Arial"/>
                <w:sz w:val="14"/>
                <w:szCs w:val="14"/>
                <w:color w:val="auto"/>
              </w:rPr>
              <w:t>431,106</w:t>
            </w:r>
          </w:p>
        </w:tc>
      </w:tr>
      <w:tr>
        <w:trPr>
          <w:trHeight w:val="162"/>
        </w:trPr>
        <w:tc>
          <w:tcPr>
            <w:tcW w:w="340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James R. Jackson (3)</w:t>
            </w:r>
          </w:p>
        </w:tc>
        <w:tc>
          <w:tcPr>
            <w:tcW w:w="5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69,167</w:t>
            </w:r>
          </w:p>
        </w:tc>
        <w:tc>
          <w:tcPr>
            <w:tcW w:w="10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EBEBEC"/>
          </w:tcPr>
          <w:p>
            <w:pPr>
              <w:jc w:val="right"/>
              <w:ind w:right="308"/>
              <w:spacing w:after="0"/>
              <w:rPr>
                <w:sz w:val="20"/>
                <w:szCs w:val="20"/>
                <w:color w:val="auto"/>
              </w:rPr>
            </w:pPr>
            <w:r>
              <w:rPr>
                <w:rFonts w:ascii="Arial" w:cs="Arial" w:eastAsia="Arial" w:hAnsi="Arial"/>
                <w:sz w:val="14"/>
                <w:szCs w:val="14"/>
                <w:color w:val="auto"/>
              </w:rPr>
              <w:t>176,797</w:t>
            </w:r>
          </w:p>
        </w:tc>
        <w:tc>
          <w:tcPr>
            <w:tcW w:w="520" w:type="dxa"/>
            <w:vAlign w:val="bottom"/>
            <w:shd w:val="clear" w:color="auto" w:fill="EBEBEC"/>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shd w:val="clear" w:color="auto" w:fill="EBEBEC"/>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shd w:val="clear" w:color="auto" w:fill="EBEBEC"/>
          </w:tcPr>
          <w:p>
            <w:pPr>
              <w:jc w:val="right"/>
              <w:ind w:right="408"/>
              <w:spacing w:after="0"/>
              <w:rPr>
                <w:sz w:val="20"/>
                <w:szCs w:val="20"/>
                <w:color w:val="auto"/>
              </w:rPr>
            </w:pPr>
            <w:r>
              <w:rPr>
                <w:rFonts w:ascii="Arial" w:cs="Arial" w:eastAsia="Arial" w:hAnsi="Arial"/>
                <w:sz w:val="14"/>
                <w:szCs w:val="14"/>
                <w:color w:val="auto"/>
              </w:rPr>
              <w:t>245,964</w:t>
            </w:r>
          </w:p>
        </w:tc>
      </w:tr>
      <w:tr>
        <w:trPr>
          <w:trHeight w:val="162"/>
        </w:trPr>
        <w:tc>
          <w:tcPr>
            <w:tcW w:w="340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Christian S. Kendall (4)</w:t>
            </w:r>
          </w:p>
        </w:tc>
        <w:tc>
          <w:tcPr>
            <w:tcW w:w="5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115,848</w:t>
            </w:r>
          </w:p>
        </w:tc>
        <w:tc>
          <w:tcPr>
            <w:tcW w:w="10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EBEBEC"/>
          </w:tcPr>
          <w:p>
            <w:pPr>
              <w:jc w:val="right"/>
              <w:ind w:right="308"/>
              <w:spacing w:after="0"/>
              <w:rPr>
                <w:sz w:val="20"/>
                <w:szCs w:val="20"/>
                <w:color w:val="auto"/>
              </w:rPr>
            </w:pPr>
            <w:r>
              <w:rPr>
                <w:rFonts w:ascii="Arial" w:cs="Arial" w:eastAsia="Arial" w:hAnsi="Arial"/>
                <w:sz w:val="14"/>
                <w:szCs w:val="14"/>
                <w:color w:val="auto"/>
              </w:rPr>
              <w:t>191,474</w:t>
            </w:r>
          </w:p>
        </w:tc>
        <w:tc>
          <w:tcPr>
            <w:tcW w:w="520" w:type="dxa"/>
            <w:vAlign w:val="bottom"/>
            <w:shd w:val="clear" w:color="auto" w:fill="EBEBEC"/>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shd w:val="clear" w:color="auto" w:fill="EBEBEC"/>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shd w:val="clear" w:color="auto" w:fill="EBEBEC"/>
          </w:tcPr>
          <w:p>
            <w:pPr>
              <w:jc w:val="right"/>
              <w:ind w:right="408"/>
              <w:spacing w:after="0"/>
              <w:rPr>
                <w:sz w:val="20"/>
                <w:szCs w:val="20"/>
                <w:color w:val="auto"/>
              </w:rPr>
            </w:pPr>
            <w:r>
              <w:rPr>
                <w:rFonts w:ascii="Arial" w:cs="Arial" w:eastAsia="Arial" w:hAnsi="Arial"/>
                <w:sz w:val="14"/>
                <w:szCs w:val="14"/>
                <w:color w:val="auto"/>
              </w:rPr>
              <w:t>307,322</w:t>
            </w:r>
          </w:p>
        </w:tc>
      </w:tr>
      <w:tr>
        <w:trPr>
          <w:trHeight w:val="162"/>
        </w:trPr>
        <w:tc>
          <w:tcPr>
            <w:tcW w:w="340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Mark A. (Mac) McFarland</w:t>
            </w:r>
          </w:p>
        </w:tc>
        <w:tc>
          <w:tcPr>
            <w:tcW w:w="5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156,000</w:t>
            </w:r>
          </w:p>
        </w:tc>
        <w:tc>
          <w:tcPr>
            <w:tcW w:w="10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EBEBEC"/>
          </w:tcPr>
          <w:p>
            <w:pPr>
              <w:jc w:val="right"/>
              <w:ind w:right="308"/>
              <w:spacing w:after="0"/>
              <w:rPr>
                <w:sz w:val="20"/>
                <w:szCs w:val="20"/>
                <w:color w:val="auto"/>
              </w:rPr>
            </w:pPr>
            <w:r>
              <w:rPr>
                <w:rFonts w:ascii="Arial" w:cs="Arial" w:eastAsia="Arial" w:hAnsi="Arial"/>
                <w:sz w:val="14"/>
                <w:szCs w:val="14"/>
                <w:color w:val="auto"/>
              </w:rPr>
              <w:t>191,474</w:t>
            </w:r>
          </w:p>
        </w:tc>
        <w:tc>
          <w:tcPr>
            <w:tcW w:w="520" w:type="dxa"/>
            <w:vAlign w:val="bottom"/>
            <w:shd w:val="clear" w:color="auto" w:fill="EBEBEC"/>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188"/>
              <w:spacing w:after="0"/>
              <w:rPr>
                <w:sz w:val="20"/>
                <w:szCs w:val="20"/>
                <w:color w:val="auto"/>
              </w:rPr>
            </w:pPr>
            <w:r>
              <w:rPr>
                <w:rFonts w:ascii="Arial" w:cs="Arial" w:eastAsia="Arial" w:hAnsi="Arial"/>
                <w:sz w:val="14"/>
                <w:szCs w:val="14"/>
                <w:color w:val="auto"/>
              </w:rPr>
              <w:t>85,560</w:t>
            </w:r>
          </w:p>
        </w:tc>
        <w:tc>
          <w:tcPr>
            <w:tcW w:w="620" w:type="dxa"/>
            <w:vAlign w:val="bottom"/>
            <w:shd w:val="clear" w:color="auto" w:fill="EBEBEC"/>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shd w:val="clear" w:color="auto" w:fill="EBEBEC"/>
          </w:tcPr>
          <w:p>
            <w:pPr>
              <w:jc w:val="right"/>
              <w:ind w:right="408"/>
              <w:spacing w:after="0"/>
              <w:rPr>
                <w:sz w:val="20"/>
                <w:szCs w:val="20"/>
                <w:color w:val="auto"/>
              </w:rPr>
            </w:pPr>
            <w:r>
              <w:rPr>
                <w:rFonts w:ascii="Arial" w:cs="Arial" w:eastAsia="Arial" w:hAnsi="Arial"/>
                <w:sz w:val="14"/>
                <w:szCs w:val="14"/>
                <w:color w:val="auto"/>
              </w:rPr>
              <w:t>433,034</w:t>
            </w:r>
          </w:p>
        </w:tc>
      </w:tr>
      <w:tr>
        <w:trPr>
          <w:trHeight w:val="162"/>
        </w:trPr>
        <w:tc>
          <w:tcPr>
            <w:tcW w:w="340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Nicole Neeman Brady (5)</w:t>
            </w:r>
          </w:p>
        </w:tc>
        <w:tc>
          <w:tcPr>
            <w:tcW w:w="5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76,000</w:t>
            </w:r>
          </w:p>
        </w:tc>
        <w:tc>
          <w:tcPr>
            <w:tcW w:w="10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EBEBEC"/>
          </w:tcPr>
          <w:p>
            <w:pPr>
              <w:jc w:val="right"/>
              <w:ind w:right="308"/>
              <w:spacing w:after="0"/>
              <w:rPr>
                <w:sz w:val="20"/>
                <w:szCs w:val="20"/>
                <w:color w:val="auto"/>
              </w:rPr>
            </w:pPr>
            <w:r>
              <w:rPr>
                <w:rFonts w:ascii="Arial" w:cs="Arial" w:eastAsia="Arial" w:hAnsi="Arial"/>
                <w:sz w:val="14"/>
                <w:szCs w:val="14"/>
                <w:color w:val="auto"/>
              </w:rPr>
              <w:t>191,474</w:t>
            </w:r>
          </w:p>
        </w:tc>
        <w:tc>
          <w:tcPr>
            <w:tcW w:w="520" w:type="dxa"/>
            <w:vAlign w:val="bottom"/>
            <w:shd w:val="clear" w:color="auto" w:fill="EBEBEC"/>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shd w:val="clear" w:color="auto" w:fill="EBEBEC"/>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shd w:val="clear" w:color="auto" w:fill="EBEBEC"/>
          </w:tcPr>
          <w:p>
            <w:pPr>
              <w:jc w:val="right"/>
              <w:ind w:right="408"/>
              <w:spacing w:after="0"/>
              <w:rPr>
                <w:sz w:val="20"/>
                <w:szCs w:val="20"/>
                <w:color w:val="auto"/>
              </w:rPr>
            </w:pPr>
            <w:r>
              <w:rPr>
                <w:rFonts w:ascii="Arial" w:cs="Arial" w:eastAsia="Arial" w:hAnsi="Arial"/>
                <w:sz w:val="14"/>
                <w:szCs w:val="14"/>
                <w:color w:val="auto"/>
              </w:rPr>
              <w:t>267,474</w:t>
            </w:r>
          </w:p>
        </w:tc>
      </w:tr>
      <w:tr>
        <w:trPr>
          <w:trHeight w:val="162"/>
        </w:trPr>
        <w:tc>
          <w:tcPr>
            <w:tcW w:w="340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Julio M. Quintana (6)</w:t>
            </w:r>
          </w:p>
        </w:tc>
        <w:tc>
          <w:tcPr>
            <w:tcW w:w="5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55,527</w:t>
            </w:r>
          </w:p>
        </w:tc>
        <w:tc>
          <w:tcPr>
            <w:tcW w:w="10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EBEBEC"/>
          </w:tcPr>
          <w:p>
            <w:pPr>
              <w:jc w:val="right"/>
              <w:ind w:right="308"/>
              <w:spacing w:after="0"/>
              <w:rPr>
                <w:sz w:val="20"/>
                <w:szCs w:val="20"/>
                <w:color w:val="auto"/>
              </w:rPr>
            </w:pPr>
            <w:r>
              <w:rPr>
                <w:rFonts w:ascii="Arial" w:cs="Arial" w:eastAsia="Arial" w:hAnsi="Arial"/>
                <w:sz w:val="14"/>
                <w:szCs w:val="14"/>
                <w:color w:val="auto"/>
              </w:rPr>
              <w:t>191,474</w:t>
            </w:r>
          </w:p>
        </w:tc>
        <w:tc>
          <w:tcPr>
            <w:tcW w:w="520" w:type="dxa"/>
            <w:vAlign w:val="bottom"/>
            <w:shd w:val="clear" w:color="auto" w:fill="EBEBEC"/>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188"/>
              <w:spacing w:after="0"/>
              <w:rPr>
                <w:sz w:val="20"/>
                <w:szCs w:val="20"/>
                <w:color w:val="auto"/>
              </w:rPr>
            </w:pPr>
            <w:r>
              <w:rPr>
                <w:rFonts w:ascii="Arial" w:cs="Arial" w:eastAsia="Arial" w:hAnsi="Arial"/>
                <w:sz w:val="14"/>
                <w:szCs w:val="14"/>
                <w:color w:val="auto"/>
              </w:rPr>
              <w:t>32,956</w:t>
            </w:r>
          </w:p>
        </w:tc>
        <w:tc>
          <w:tcPr>
            <w:tcW w:w="620" w:type="dxa"/>
            <w:vAlign w:val="bottom"/>
            <w:shd w:val="clear" w:color="auto" w:fill="EBEBEC"/>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shd w:val="clear" w:color="auto" w:fill="EBEBEC"/>
          </w:tcPr>
          <w:p>
            <w:pPr>
              <w:jc w:val="right"/>
              <w:ind w:right="408"/>
              <w:spacing w:after="0"/>
              <w:rPr>
                <w:sz w:val="20"/>
                <w:szCs w:val="20"/>
                <w:color w:val="auto"/>
              </w:rPr>
            </w:pPr>
            <w:r>
              <w:rPr>
                <w:rFonts w:ascii="Arial" w:cs="Arial" w:eastAsia="Arial" w:hAnsi="Arial"/>
                <w:sz w:val="14"/>
                <w:szCs w:val="14"/>
                <w:color w:val="auto"/>
              </w:rPr>
              <w:t>279,957</w:t>
            </w:r>
          </w:p>
        </w:tc>
      </w:tr>
      <w:tr>
        <w:trPr>
          <w:trHeight w:val="162"/>
        </w:trPr>
        <w:tc>
          <w:tcPr>
            <w:tcW w:w="340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William B. Roby</w:t>
            </w:r>
          </w:p>
        </w:tc>
        <w:tc>
          <w:tcPr>
            <w:tcW w:w="5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186,208</w:t>
            </w:r>
          </w:p>
        </w:tc>
        <w:tc>
          <w:tcPr>
            <w:tcW w:w="10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EBEBEC"/>
          </w:tcPr>
          <w:p>
            <w:pPr>
              <w:jc w:val="right"/>
              <w:ind w:right="308"/>
              <w:spacing w:after="0"/>
              <w:rPr>
                <w:sz w:val="20"/>
                <w:szCs w:val="20"/>
                <w:color w:val="auto"/>
              </w:rPr>
            </w:pPr>
            <w:r>
              <w:rPr>
                <w:rFonts w:ascii="Arial" w:cs="Arial" w:eastAsia="Arial" w:hAnsi="Arial"/>
                <w:sz w:val="14"/>
                <w:szCs w:val="14"/>
                <w:color w:val="auto"/>
              </w:rPr>
              <w:t>191,474</w:t>
            </w:r>
          </w:p>
        </w:tc>
        <w:tc>
          <w:tcPr>
            <w:tcW w:w="520" w:type="dxa"/>
            <w:vAlign w:val="bottom"/>
            <w:shd w:val="clear" w:color="auto" w:fill="EBEBEC"/>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188"/>
              <w:spacing w:after="0"/>
              <w:rPr>
                <w:sz w:val="20"/>
                <w:szCs w:val="20"/>
                <w:color w:val="auto"/>
              </w:rPr>
            </w:pPr>
            <w:r>
              <w:rPr>
                <w:rFonts w:ascii="Arial" w:cs="Arial" w:eastAsia="Arial" w:hAnsi="Arial"/>
                <w:sz w:val="14"/>
                <w:szCs w:val="14"/>
                <w:color w:val="auto"/>
              </w:rPr>
              <w:t>45,632</w:t>
            </w:r>
          </w:p>
        </w:tc>
        <w:tc>
          <w:tcPr>
            <w:tcW w:w="620" w:type="dxa"/>
            <w:vAlign w:val="bottom"/>
            <w:shd w:val="clear" w:color="auto" w:fill="EBEBEC"/>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shd w:val="clear" w:color="auto" w:fill="EBEBEC"/>
          </w:tcPr>
          <w:p>
            <w:pPr>
              <w:jc w:val="right"/>
              <w:ind w:right="408"/>
              <w:spacing w:after="0"/>
              <w:rPr>
                <w:sz w:val="20"/>
                <w:szCs w:val="20"/>
                <w:color w:val="auto"/>
              </w:rPr>
            </w:pPr>
            <w:r>
              <w:rPr>
                <w:rFonts w:ascii="Arial" w:cs="Arial" w:eastAsia="Arial" w:hAnsi="Arial"/>
                <w:sz w:val="14"/>
                <w:szCs w:val="14"/>
                <w:color w:val="auto"/>
              </w:rPr>
              <w:t>423,314</w:t>
            </w:r>
          </w:p>
        </w:tc>
      </w:tr>
      <w:tr>
        <w:trPr>
          <w:trHeight w:val="162"/>
        </w:trPr>
        <w:tc>
          <w:tcPr>
            <w:tcW w:w="340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Bobby Saadati (7)</w:t>
            </w:r>
          </w:p>
        </w:tc>
        <w:tc>
          <w:tcPr>
            <w:tcW w:w="5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69,167</w:t>
            </w:r>
          </w:p>
        </w:tc>
        <w:tc>
          <w:tcPr>
            <w:tcW w:w="10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EBEBEC"/>
          </w:tcPr>
          <w:p>
            <w:pPr>
              <w:jc w:val="right"/>
              <w:ind w:right="308"/>
              <w:spacing w:after="0"/>
              <w:rPr>
                <w:sz w:val="20"/>
                <w:szCs w:val="20"/>
                <w:color w:val="auto"/>
              </w:rPr>
            </w:pPr>
            <w:r>
              <w:rPr>
                <w:rFonts w:ascii="Arial" w:cs="Arial" w:eastAsia="Arial" w:hAnsi="Arial"/>
                <w:sz w:val="14"/>
                <w:szCs w:val="14"/>
                <w:color w:val="auto"/>
              </w:rPr>
              <w:t>176,797</w:t>
            </w:r>
          </w:p>
        </w:tc>
        <w:tc>
          <w:tcPr>
            <w:tcW w:w="520" w:type="dxa"/>
            <w:vAlign w:val="bottom"/>
            <w:shd w:val="clear" w:color="auto" w:fill="EBEBEC"/>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shd w:val="clear" w:color="auto" w:fill="EBEBEC"/>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shd w:val="clear" w:color="auto" w:fill="EBEBEC"/>
          </w:tcPr>
          <w:p>
            <w:pPr>
              <w:jc w:val="right"/>
              <w:ind w:right="408"/>
              <w:spacing w:after="0"/>
              <w:rPr>
                <w:sz w:val="20"/>
                <w:szCs w:val="20"/>
                <w:color w:val="auto"/>
              </w:rPr>
            </w:pPr>
            <w:r>
              <w:rPr>
                <w:rFonts w:ascii="Arial" w:cs="Arial" w:eastAsia="Arial" w:hAnsi="Arial"/>
                <w:sz w:val="14"/>
                <w:szCs w:val="14"/>
                <w:color w:val="auto"/>
              </w:rPr>
              <w:t>245,964</w:t>
            </w:r>
          </w:p>
        </w:tc>
      </w:tr>
      <w:tr>
        <w:trPr>
          <w:trHeight w:val="162"/>
        </w:trPr>
        <w:tc>
          <w:tcPr>
            <w:tcW w:w="340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Alejandra (Ale) Veltmann</w:t>
            </w:r>
          </w:p>
        </w:tc>
        <w:tc>
          <w:tcPr>
            <w:tcW w:w="5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167,000</w:t>
            </w:r>
          </w:p>
        </w:tc>
        <w:tc>
          <w:tcPr>
            <w:tcW w:w="10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EBEBEC"/>
          </w:tcPr>
          <w:p>
            <w:pPr>
              <w:jc w:val="right"/>
              <w:ind w:right="308"/>
              <w:spacing w:after="0"/>
              <w:rPr>
                <w:sz w:val="20"/>
                <w:szCs w:val="20"/>
                <w:color w:val="auto"/>
              </w:rPr>
            </w:pPr>
            <w:r>
              <w:rPr>
                <w:rFonts w:ascii="Arial" w:cs="Arial" w:eastAsia="Arial" w:hAnsi="Arial"/>
                <w:sz w:val="14"/>
                <w:szCs w:val="14"/>
                <w:color w:val="auto"/>
              </w:rPr>
              <w:t>191,474</w:t>
            </w:r>
          </w:p>
        </w:tc>
        <w:tc>
          <w:tcPr>
            <w:tcW w:w="520" w:type="dxa"/>
            <w:vAlign w:val="bottom"/>
            <w:shd w:val="clear" w:color="auto" w:fill="EBEBEC"/>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shd w:val="clear" w:color="auto" w:fill="EBEBEC"/>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shd w:val="clear" w:color="auto" w:fill="EBEBEC"/>
          </w:tcPr>
          <w:p>
            <w:pPr>
              <w:jc w:val="right"/>
              <w:ind w:right="408"/>
              <w:spacing w:after="0"/>
              <w:rPr>
                <w:sz w:val="20"/>
                <w:szCs w:val="20"/>
                <w:color w:val="auto"/>
              </w:rPr>
            </w:pPr>
            <w:r>
              <w:rPr>
                <w:rFonts w:ascii="Arial" w:cs="Arial" w:eastAsia="Arial" w:hAnsi="Arial"/>
                <w:sz w:val="14"/>
                <w:szCs w:val="14"/>
                <w:color w:val="auto"/>
              </w:rPr>
              <w:t>358,474</w:t>
            </w:r>
          </w:p>
        </w:tc>
      </w:tr>
    </w:tbl>
    <w:p>
      <w:pPr>
        <w:spacing w:after="0" w:line="220" w:lineRule="exact"/>
        <w:rPr>
          <w:sz w:val="20"/>
          <w:szCs w:val="20"/>
          <w:color w:val="auto"/>
        </w:rPr>
      </w:pPr>
    </w:p>
    <w:p>
      <w:pPr>
        <w:ind w:left="380" w:right="20" w:hanging="372"/>
        <w:spacing w:after="0" w:line="250" w:lineRule="auto"/>
        <w:tabs>
          <w:tab w:leader="none" w:pos="3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Stock Awards amounts represent the grant date fair value attributable to restricted stock unit awards granted in 2024, determined in accordance with GAAP and FASB ASC Topic 718, as more fully described in Note 10 in our Annual Report for the year ended December 31, 2024. The award values shown are based on the closing price of CRC common stock on the date of the grant multiplied by the number of restricted stock units granted. The number of restricted stock units granted was calculated based on the grant value of the award divided by the 10-day volume-weighted average price of CRC common stock from the day preceding the date of the grant. The vested shares will not be delivered to the director until six months after the end of Board service. The following table provides the grant date fair values of the RSU grants made during 2024:</w:t>
      </w:r>
    </w:p>
    <w:p>
      <w:pPr>
        <w:spacing w:after="0" w:line="309"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1780" w:type="dxa"/>
            <w:vAlign w:val="bottom"/>
          </w:tcPr>
          <w:p>
            <w:pPr>
              <w:jc w:val="right"/>
              <w:ind w:right="488"/>
              <w:spacing w:after="0"/>
              <w:rPr>
                <w:sz w:val="20"/>
                <w:szCs w:val="20"/>
                <w:color w:val="auto"/>
              </w:rPr>
            </w:pPr>
            <w:r>
              <w:rPr>
                <w:rFonts w:ascii="Arial" w:cs="Arial" w:eastAsia="Arial" w:hAnsi="Arial"/>
                <w:sz w:val="14"/>
                <w:szCs w:val="14"/>
                <w:b w:val="1"/>
                <w:bCs w:val="1"/>
                <w:color w:val="0075C9"/>
              </w:rPr>
              <w:t>Grant</w:t>
            </w:r>
          </w:p>
        </w:tc>
        <w:tc>
          <w:tcPr>
            <w:tcW w:w="1780" w:type="dxa"/>
            <w:vAlign w:val="bottom"/>
          </w:tcPr>
          <w:p>
            <w:pPr>
              <w:jc w:val="right"/>
              <w:ind w:right="368"/>
              <w:spacing w:after="0"/>
              <w:rPr>
                <w:sz w:val="20"/>
                <w:szCs w:val="20"/>
                <w:color w:val="auto"/>
              </w:rPr>
            </w:pPr>
            <w:r>
              <w:rPr>
                <w:rFonts w:ascii="Arial" w:cs="Arial" w:eastAsia="Arial" w:hAnsi="Arial"/>
                <w:sz w:val="14"/>
                <w:szCs w:val="14"/>
                <w:b w:val="1"/>
                <w:bCs w:val="1"/>
                <w:color w:val="0075C9"/>
              </w:rPr>
              <w:t>RSUs</w:t>
            </w:r>
          </w:p>
        </w:tc>
        <w:tc>
          <w:tcPr>
            <w:tcW w:w="580" w:type="dxa"/>
            <w:vAlign w:val="bottom"/>
          </w:tcPr>
          <w:p>
            <w:pPr>
              <w:spacing w:after="0"/>
              <w:rPr>
                <w:sz w:val="14"/>
                <w:szCs w:val="14"/>
                <w:color w:val="auto"/>
              </w:rPr>
            </w:pPr>
          </w:p>
        </w:tc>
        <w:tc>
          <w:tcPr>
            <w:tcW w:w="1580" w:type="dxa"/>
            <w:vAlign w:val="bottom"/>
          </w:tcPr>
          <w:p>
            <w:pPr>
              <w:jc w:val="right"/>
              <w:ind w:right="508"/>
              <w:spacing w:after="0"/>
              <w:rPr>
                <w:sz w:val="20"/>
                <w:szCs w:val="20"/>
                <w:color w:val="auto"/>
              </w:rPr>
            </w:pPr>
            <w:r>
              <w:rPr>
                <w:rFonts w:ascii="Arial" w:cs="Arial" w:eastAsia="Arial" w:hAnsi="Arial"/>
                <w:sz w:val="14"/>
                <w:szCs w:val="14"/>
                <w:b w:val="1"/>
                <w:bCs w:val="1"/>
                <w:color w:val="0075C9"/>
              </w:rPr>
              <w:t>Stock Price</w:t>
            </w:r>
          </w:p>
        </w:tc>
        <w:tc>
          <w:tcPr>
            <w:tcW w:w="400" w:type="dxa"/>
            <w:vAlign w:val="bottom"/>
          </w:tcPr>
          <w:p>
            <w:pPr>
              <w:spacing w:after="0"/>
              <w:rPr>
                <w:sz w:val="14"/>
                <w:szCs w:val="14"/>
                <w:color w:val="auto"/>
              </w:rPr>
            </w:pPr>
          </w:p>
        </w:tc>
        <w:tc>
          <w:tcPr>
            <w:tcW w:w="1340" w:type="dxa"/>
            <w:vAlign w:val="bottom"/>
          </w:tcPr>
          <w:p>
            <w:pPr>
              <w:jc w:val="right"/>
              <w:ind w:right="388"/>
              <w:spacing w:after="0"/>
              <w:rPr>
                <w:sz w:val="20"/>
                <w:szCs w:val="20"/>
                <w:color w:val="auto"/>
              </w:rPr>
            </w:pPr>
            <w:r>
              <w:rPr>
                <w:rFonts w:ascii="Arial" w:cs="Arial" w:eastAsia="Arial" w:hAnsi="Arial"/>
                <w:sz w:val="14"/>
                <w:szCs w:val="14"/>
                <w:b w:val="1"/>
                <w:bCs w:val="1"/>
                <w:color w:val="0075C9"/>
              </w:rPr>
              <w:t>Grant Date</w:t>
            </w:r>
          </w:p>
        </w:tc>
      </w:tr>
      <w:tr>
        <w:trPr>
          <w:trHeight w:val="171"/>
        </w:trPr>
        <w:tc>
          <w:tcPr>
            <w:tcW w:w="3320" w:type="dxa"/>
            <w:vAlign w:val="bottom"/>
            <w:tcBorders>
              <w:bottom w:val="single" w:sz="8" w:color="0075C9"/>
            </w:tcBorders>
          </w:tcPr>
          <w:p>
            <w:pPr>
              <w:ind w:left="120"/>
              <w:spacing w:after="0"/>
              <w:rPr>
                <w:sz w:val="20"/>
                <w:szCs w:val="20"/>
                <w:color w:val="auto"/>
              </w:rPr>
            </w:pPr>
            <w:r>
              <w:rPr>
                <w:rFonts w:ascii="Arial" w:cs="Arial" w:eastAsia="Arial" w:hAnsi="Arial"/>
                <w:sz w:val="14"/>
                <w:szCs w:val="14"/>
                <w:b w:val="1"/>
                <w:bCs w:val="1"/>
                <w:color w:val="0075C9"/>
              </w:rPr>
              <w:t>Name</w:t>
            </w:r>
          </w:p>
        </w:tc>
        <w:tc>
          <w:tcPr>
            <w:tcW w:w="1780" w:type="dxa"/>
            <w:vAlign w:val="bottom"/>
            <w:tcBorders>
              <w:bottom w:val="single" w:sz="8" w:color="0075C9"/>
            </w:tcBorders>
          </w:tcPr>
          <w:p>
            <w:pPr>
              <w:jc w:val="right"/>
              <w:ind w:right="528"/>
              <w:spacing w:after="0"/>
              <w:rPr>
                <w:sz w:val="20"/>
                <w:szCs w:val="20"/>
                <w:color w:val="auto"/>
              </w:rPr>
            </w:pPr>
            <w:r>
              <w:rPr>
                <w:rFonts w:ascii="Arial" w:cs="Arial" w:eastAsia="Arial" w:hAnsi="Arial"/>
                <w:sz w:val="14"/>
                <w:szCs w:val="14"/>
                <w:b w:val="1"/>
                <w:bCs w:val="1"/>
                <w:color w:val="0075C9"/>
              </w:rPr>
              <w:t>Date</w:t>
            </w:r>
          </w:p>
        </w:tc>
        <w:tc>
          <w:tcPr>
            <w:tcW w:w="1780" w:type="dxa"/>
            <w:vAlign w:val="bottom"/>
            <w:tcBorders>
              <w:bottom w:val="single" w:sz="8" w:color="0075C9"/>
            </w:tcBorders>
          </w:tcPr>
          <w:p>
            <w:pPr>
              <w:jc w:val="right"/>
              <w:ind w:right="268"/>
              <w:spacing w:after="0"/>
              <w:rPr>
                <w:sz w:val="20"/>
                <w:szCs w:val="20"/>
                <w:color w:val="auto"/>
              </w:rPr>
            </w:pPr>
            <w:r>
              <w:rPr>
                <w:rFonts w:ascii="Arial" w:cs="Arial" w:eastAsia="Arial" w:hAnsi="Arial"/>
                <w:sz w:val="14"/>
                <w:szCs w:val="14"/>
                <w:b w:val="1"/>
                <w:bCs w:val="1"/>
                <w:color w:val="0075C9"/>
              </w:rPr>
              <w:t>Granted</w:t>
            </w:r>
          </w:p>
        </w:tc>
        <w:tc>
          <w:tcPr>
            <w:tcW w:w="580" w:type="dxa"/>
            <w:vAlign w:val="bottom"/>
            <w:tcBorders>
              <w:bottom w:val="single" w:sz="8" w:color="0075C9"/>
            </w:tcBorders>
          </w:tcPr>
          <w:p>
            <w:pPr>
              <w:spacing w:after="0"/>
              <w:rPr>
                <w:sz w:val="14"/>
                <w:szCs w:val="14"/>
                <w:color w:val="auto"/>
              </w:rPr>
            </w:pPr>
          </w:p>
        </w:tc>
        <w:tc>
          <w:tcPr>
            <w:tcW w:w="1580" w:type="dxa"/>
            <w:vAlign w:val="bottom"/>
            <w:tcBorders>
              <w:bottom w:val="single" w:sz="8" w:color="0075C9"/>
            </w:tcBorders>
          </w:tcPr>
          <w:p>
            <w:pPr>
              <w:jc w:val="right"/>
              <w:ind w:right="428"/>
              <w:spacing w:after="0"/>
              <w:rPr>
                <w:sz w:val="20"/>
                <w:szCs w:val="20"/>
                <w:color w:val="auto"/>
              </w:rPr>
            </w:pPr>
            <w:r>
              <w:rPr>
                <w:rFonts w:ascii="Arial" w:cs="Arial" w:eastAsia="Arial" w:hAnsi="Arial"/>
                <w:sz w:val="14"/>
                <w:szCs w:val="14"/>
                <w:b w:val="1"/>
                <w:bCs w:val="1"/>
                <w:color w:val="0075C9"/>
              </w:rPr>
              <w:t>on Grant Date</w:t>
            </w:r>
          </w:p>
        </w:tc>
        <w:tc>
          <w:tcPr>
            <w:tcW w:w="400" w:type="dxa"/>
            <w:vAlign w:val="bottom"/>
            <w:tcBorders>
              <w:bottom w:val="single" w:sz="8" w:color="0075C9"/>
            </w:tcBorders>
          </w:tcPr>
          <w:p>
            <w:pPr>
              <w:spacing w:after="0"/>
              <w:rPr>
                <w:sz w:val="14"/>
                <w:szCs w:val="14"/>
                <w:color w:val="auto"/>
              </w:rPr>
            </w:pPr>
          </w:p>
        </w:tc>
        <w:tc>
          <w:tcPr>
            <w:tcW w:w="1340" w:type="dxa"/>
            <w:vAlign w:val="bottom"/>
            <w:tcBorders>
              <w:bottom w:val="single" w:sz="8" w:color="0075C9"/>
            </w:tcBorders>
          </w:tcPr>
          <w:p>
            <w:pPr>
              <w:jc w:val="right"/>
              <w:ind w:right="408"/>
              <w:spacing w:after="0"/>
              <w:rPr>
                <w:sz w:val="20"/>
                <w:szCs w:val="20"/>
                <w:color w:val="auto"/>
              </w:rPr>
            </w:pPr>
            <w:r>
              <w:rPr>
                <w:rFonts w:ascii="Arial" w:cs="Arial" w:eastAsia="Arial" w:hAnsi="Arial"/>
                <w:sz w:val="14"/>
                <w:szCs w:val="14"/>
                <w:b w:val="1"/>
                <w:bCs w:val="1"/>
                <w:color w:val="0075C9"/>
              </w:rPr>
              <w:t>Fair Value</w:t>
            </w:r>
          </w:p>
        </w:tc>
      </w:tr>
      <w:tr>
        <w:trPr>
          <w:trHeight w:val="156"/>
        </w:trPr>
        <w:tc>
          <w:tcPr>
            <w:tcW w:w="3320" w:type="dxa"/>
            <w:vAlign w:val="bottom"/>
            <w:shd w:val="clear" w:color="auto" w:fill="EBEBEC"/>
          </w:tcPr>
          <w:p>
            <w:pPr>
              <w:ind w:left="120"/>
              <w:spacing w:after="0" w:line="155" w:lineRule="exact"/>
              <w:rPr>
                <w:sz w:val="20"/>
                <w:szCs w:val="20"/>
                <w:color w:val="auto"/>
              </w:rPr>
            </w:pPr>
            <w:r>
              <w:rPr>
                <w:rFonts w:ascii="Arial" w:cs="Arial" w:eastAsia="Arial" w:hAnsi="Arial"/>
                <w:sz w:val="14"/>
                <w:szCs w:val="14"/>
                <w:b w:val="1"/>
                <w:bCs w:val="1"/>
                <w:color w:val="auto"/>
              </w:rPr>
              <w:t>Andrew B. Bremner</w:t>
            </w:r>
          </w:p>
        </w:tc>
        <w:tc>
          <w:tcPr>
            <w:tcW w:w="1780" w:type="dxa"/>
            <w:vAlign w:val="bottom"/>
            <w:shd w:val="clear" w:color="auto" w:fill="EBEBEC"/>
          </w:tcPr>
          <w:p>
            <w:pPr>
              <w:jc w:val="right"/>
              <w:ind w:right="348"/>
              <w:spacing w:after="0" w:line="155" w:lineRule="exact"/>
              <w:rPr>
                <w:sz w:val="20"/>
                <w:szCs w:val="20"/>
                <w:color w:val="auto"/>
              </w:rPr>
            </w:pPr>
            <w:r>
              <w:rPr>
                <w:rFonts w:ascii="Arial" w:cs="Arial" w:eastAsia="Arial" w:hAnsi="Arial"/>
                <w:sz w:val="14"/>
                <w:szCs w:val="14"/>
                <w:color w:val="auto"/>
              </w:rPr>
              <w:t>5/3/2024</w:t>
            </w:r>
          </w:p>
        </w:tc>
        <w:tc>
          <w:tcPr>
            <w:tcW w:w="1780" w:type="dxa"/>
            <w:vAlign w:val="bottom"/>
            <w:shd w:val="clear" w:color="auto" w:fill="EBEBEC"/>
          </w:tcPr>
          <w:p>
            <w:pPr>
              <w:jc w:val="right"/>
              <w:spacing w:after="0" w:line="155" w:lineRule="exact"/>
              <w:rPr>
                <w:sz w:val="20"/>
                <w:szCs w:val="20"/>
                <w:color w:val="auto"/>
              </w:rPr>
            </w:pPr>
            <w:r>
              <w:rPr>
                <w:rFonts w:ascii="Arial" w:cs="Arial" w:eastAsia="Arial" w:hAnsi="Arial"/>
                <w:sz w:val="14"/>
                <w:szCs w:val="14"/>
                <w:color w:val="auto"/>
              </w:rPr>
              <w:t>3,705</w:t>
            </w:r>
          </w:p>
        </w:tc>
        <w:tc>
          <w:tcPr>
            <w:tcW w:w="580" w:type="dxa"/>
            <w:vAlign w:val="bottom"/>
            <w:shd w:val="clear" w:color="auto" w:fill="EBEBE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580" w:type="dxa"/>
            <w:vAlign w:val="bottom"/>
            <w:shd w:val="clear" w:color="auto" w:fill="EBEBEC"/>
          </w:tcPr>
          <w:p>
            <w:pPr>
              <w:jc w:val="right"/>
              <w:ind w:right="108"/>
              <w:spacing w:after="0" w:line="155" w:lineRule="exact"/>
              <w:rPr>
                <w:sz w:val="20"/>
                <w:szCs w:val="20"/>
                <w:color w:val="auto"/>
              </w:rPr>
            </w:pPr>
            <w:r>
              <w:rPr>
                <w:rFonts w:ascii="Arial" w:cs="Arial" w:eastAsia="Arial" w:hAnsi="Arial"/>
                <w:sz w:val="14"/>
                <w:szCs w:val="14"/>
                <w:color w:val="auto"/>
              </w:rPr>
              <w:t>51.68</w:t>
            </w:r>
          </w:p>
        </w:tc>
        <w:tc>
          <w:tcPr>
            <w:tcW w:w="400" w:type="dxa"/>
            <w:vAlign w:val="bottom"/>
            <w:shd w:val="clear" w:color="auto" w:fill="EBEBE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340" w:type="dxa"/>
            <w:vAlign w:val="bottom"/>
            <w:shd w:val="clear" w:color="auto" w:fill="EBEBEC"/>
          </w:tcPr>
          <w:p>
            <w:pPr>
              <w:jc w:val="right"/>
              <w:ind w:right="28"/>
              <w:spacing w:after="0" w:line="155" w:lineRule="exact"/>
              <w:rPr>
                <w:sz w:val="20"/>
                <w:szCs w:val="20"/>
                <w:color w:val="auto"/>
              </w:rPr>
            </w:pPr>
            <w:r>
              <w:rPr>
                <w:rFonts w:ascii="Arial" w:cs="Arial" w:eastAsia="Arial" w:hAnsi="Arial"/>
                <w:sz w:val="14"/>
                <w:szCs w:val="14"/>
                <w:color w:val="auto"/>
              </w:rPr>
              <w:t>191,474</w:t>
            </w:r>
          </w:p>
        </w:tc>
      </w:tr>
      <w:tr>
        <w:trPr>
          <w:trHeight w:val="162"/>
        </w:trPr>
        <w:tc>
          <w:tcPr>
            <w:tcW w:w="33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Tiffany (TJ) Thom Cepak</w:t>
            </w:r>
          </w:p>
        </w:tc>
        <w:tc>
          <w:tcPr>
            <w:tcW w:w="1780" w:type="dxa"/>
            <w:vAlign w:val="bottom"/>
            <w:shd w:val="clear" w:color="auto" w:fill="EBEBEC"/>
          </w:tcPr>
          <w:p>
            <w:pPr>
              <w:jc w:val="right"/>
              <w:ind w:right="348"/>
              <w:spacing w:after="0"/>
              <w:rPr>
                <w:sz w:val="20"/>
                <w:szCs w:val="20"/>
                <w:color w:val="auto"/>
              </w:rPr>
            </w:pPr>
            <w:r>
              <w:rPr>
                <w:rFonts w:ascii="Arial" w:cs="Arial" w:eastAsia="Arial" w:hAnsi="Arial"/>
                <w:sz w:val="14"/>
                <w:szCs w:val="14"/>
                <w:color w:val="auto"/>
              </w:rPr>
              <w:t>5/3/2024</w:t>
            </w:r>
          </w:p>
        </w:tc>
        <w:tc>
          <w:tcPr>
            <w:tcW w:w="17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6,021</w:t>
            </w:r>
          </w:p>
        </w:tc>
        <w:tc>
          <w:tcPr>
            <w:tcW w:w="58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w:t>
            </w:r>
          </w:p>
        </w:tc>
        <w:tc>
          <w:tcPr>
            <w:tcW w:w="1580" w:type="dxa"/>
            <w:vAlign w:val="bottom"/>
            <w:shd w:val="clear" w:color="auto" w:fill="EBEBEC"/>
          </w:tcPr>
          <w:p>
            <w:pPr>
              <w:jc w:val="right"/>
              <w:ind w:right="108"/>
              <w:spacing w:after="0"/>
              <w:rPr>
                <w:sz w:val="20"/>
                <w:szCs w:val="20"/>
                <w:color w:val="auto"/>
              </w:rPr>
            </w:pPr>
            <w:r>
              <w:rPr>
                <w:rFonts w:ascii="Arial" w:cs="Arial" w:eastAsia="Arial" w:hAnsi="Arial"/>
                <w:sz w:val="14"/>
                <w:szCs w:val="14"/>
                <w:color w:val="auto"/>
              </w:rPr>
              <w:t>51.68</w:t>
            </w:r>
          </w:p>
        </w:tc>
        <w:tc>
          <w:tcPr>
            <w:tcW w:w="40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shd w:val="clear" w:color="auto" w:fill="EBEBEC"/>
          </w:tcPr>
          <w:p>
            <w:pPr>
              <w:jc w:val="right"/>
              <w:ind w:right="28"/>
              <w:spacing w:after="0"/>
              <w:rPr>
                <w:sz w:val="20"/>
                <w:szCs w:val="20"/>
                <w:color w:val="auto"/>
              </w:rPr>
            </w:pPr>
            <w:r>
              <w:rPr>
                <w:rFonts w:ascii="Arial" w:cs="Arial" w:eastAsia="Arial" w:hAnsi="Arial"/>
                <w:sz w:val="14"/>
                <w:szCs w:val="14"/>
                <w:color w:val="auto"/>
              </w:rPr>
              <w:t>311,165</w:t>
            </w:r>
          </w:p>
        </w:tc>
      </w:tr>
      <w:tr>
        <w:trPr>
          <w:trHeight w:val="162"/>
        </w:trPr>
        <w:tc>
          <w:tcPr>
            <w:tcW w:w="33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James N. Chapman</w:t>
            </w:r>
          </w:p>
        </w:tc>
        <w:tc>
          <w:tcPr>
            <w:tcW w:w="1780" w:type="dxa"/>
            <w:vAlign w:val="bottom"/>
            <w:shd w:val="clear" w:color="auto" w:fill="EBEBEC"/>
          </w:tcPr>
          <w:p>
            <w:pPr>
              <w:jc w:val="right"/>
              <w:ind w:right="348"/>
              <w:spacing w:after="0"/>
              <w:rPr>
                <w:sz w:val="20"/>
                <w:szCs w:val="20"/>
                <w:color w:val="auto"/>
              </w:rPr>
            </w:pPr>
            <w:r>
              <w:rPr>
                <w:rFonts w:ascii="Arial" w:cs="Arial" w:eastAsia="Arial" w:hAnsi="Arial"/>
                <w:sz w:val="14"/>
                <w:szCs w:val="14"/>
                <w:color w:val="auto"/>
              </w:rPr>
              <w:t>5/3/2024</w:t>
            </w:r>
          </w:p>
        </w:tc>
        <w:tc>
          <w:tcPr>
            <w:tcW w:w="17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3,705</w:t>
            </w:r>
          </w:p>
        </w:tc>
        <w:tc>
          <w:tcPr>
            <w:tcW w:w="58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w:t>
            </w:r>
          </w:p>
        </w:tc>
        <w:tc>
          <w:tcPr>
            <w:tcW w:w="1580" w:type="dxa"/>
            <w:vAlign w:val="bottom"/>
            <w:shd w:val="clear" w:color="auto" w:fill="EBEBEC"/>
          </w:tcPr>
          <w:p>
            <w:pPr>
              <w:jc w:val="right"/>
              <w:ind w:right="108"/>
              <w:spacing w:after="0"/>
              <w:rPr>
                <w:sz w:val="20"/>
                <w:szCs w:val="20"/>
                <w:color w:val="auto"/>
              </w:rPr>
            </w:pPr>
            <w:r>
              <w:rPr>
                <w:rFonts w:ascii="Arial" w:cs="Arial" w:eastAsia="Arial" w:hAnsi="Arial"/>
                <w:sz w:val="14"/>
                <w:szCs w:val="14"/>
                <w:color w:val="auto"/>
              </w:rPr>
              <w:t>51.68</w:t>
            </w:r>
          </w:p>
        </w:tc>
        <w:tc>
          <w:tcPr>
            <w:tcW w:w="40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shd w:val="clear" w:color="auto" w:fill="EBEBEC"/>
          </w:tcPr>
          <w:p>
            <w:pPr>
              <w:jc w:val="right"/>
              <w:ind w:right="28"/>
              <w:spacing w:after="0"/>
              <w:rPr>
                <w:sz w:val="20"/>
                <w:szCs w:val="20"/>
                <w:color w:val="auto"/>
              </w:rPr>
            </w:pPr>
            <w:r>
              <w:rPr>
                <w:rFonts w:ascii="Arial" w:cs="Arial" w:eastAsia="Arial" w:hAnsi="Arial"/>
                <w:sz w:val="14"/>
                <w:szCs w:val="14"/>
                <w:color w:val="auto"/>
              </w:rPr>
              <w:t>191,474</w:t>
            </w:r>
          </w:p>
        </w:tc>
      </w:tr>
      <w:tr>
        <w:trPr>
          <w:trHeight w:val="162"/>
        </w:trPr>
        <w:tc>
          <w:tcPr>
            <w:tcW w:w="33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James R. Jackson</w:t>
            </w:r>
          </w:p>
        </w:tc>
        <w:tc>
          <w:tcPr>
            <w:tcW w:w="1780" w:type="dxa"/>
            <w:vAlign w:val="bottom"/>
            <w:shd w:val="clear" w:color="auto" w:fill="EBEBEC"/>
          </w:tcPr>
          <w:p>
            <w:pPr>
              <w:jc w:val="right"/>
              <w:ind w:right="348"/>
              <w:spacing w:after="0"/>
              <w:rPr>
                <w:sz w:val="20"/>
                <w:szCs w:val="20"/>
                <w:color w:val="auto"/>
              </w:rPr>
            </w:pPr>
            <w:r>
              <w:rPr>
                <w:rFonts w:ascii="Arial" w:cs="Arial" w:eastAsia="Arial" w:hAnsi="Arial"/>
                <w:sz w:val="14"/>
                <w:szCs w:val="14"/>
                <w:color w:val="auto"/>
              </w:rPr>
              <w:t>7/1/2024</w:t>
            </w:r>
          </w:p>
        </w:tc>
        <w:tc>
          <w:tcPr>
            <w:tcW w:w="17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3,365</w:t>
            </w:r>
          </w:p>
        </w:tc>
        <w:tc>
          <w:tcPr>
            <w:tcW w:w="58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w:t>
            </w:r>
          </w:p>
        </w:tc>
        <w:tc>
          <w:tcPr>
            <w:tcW w:w="1580" w:type="dxa"/>
            <w:vAlign w:val="bottom"/>
            <w:shd w:val="clear" w:color="auto" w:fill="EBEBEC"/>
          </w:tcPr>
          <w:p>
            <w:pPr>
              <w:jc w:val="right"/>
              <w:ind w:right="108"/>
              <w:spacing w:after="0"/>
              <w:rPr>
                <w:sz w:val="20"/>
                <w:szCs w:val="20"/>
                <w:color w:val="auto"/>
              </w:rPr>
            </w:pPr>
            <w:r>
              <w:rPr>
                <w:rFonts w:ascii="Arial" w:cs="Arial" w:eastAsia="Arial" w:hAnsi="Arial"/>
                <w:sz w:val="14"/>
                <w:szCs w:val="14"/>
                <w:color w:val="auto"/>
              </w:rPr>
              <w:t>52.54</w:t>
            </w:r>
          </w:p>
        </w:tc>
        <w:tc>
          <w:tcPr>
            <w:tcW w:w="40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shd w:val="clear" w:color="auto" w:fill="EBEBEC"/>
          </w:tcPr>
          <w:p>
            <w:pPr>
              <w:jc w:val="right"/>
              <w:ind w:right="28"/>
              <w:spacing w:after="0"/>
              <w:rPr>
                <w:sz w:val="20"/>
                <w:szCs w:val="20"/>
                <w:color w:val="auto"/>
              </w:rPr>
            </w:pPr>
            <w:r>
              <w:rPr>
                <w:rFonts w:ascii="Arial" w:cs="Arial" w:eastAsia="Arial" w:hAnsi="Arial"/>
                <w:sz w:val="14"/>
                <w:szCs w:val="14"/>
                <w:color w:val="auto"/>
              </w:rPr>
              <w:t>176,797</w:t>
            </w:r>
          </w:p>
        </w:tc>
      </w:tr>
      <w:tr>
        <w:trPr>
          <w:trHeight w:val="162"/>
        </w:trPr>
        <w:tc>
          <w:tcPr>
            <w:tcW w:w="33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Christian Kendall</w:t>
            </w:r>
          </w:p>
        </w:tc>
        <w:tc>
          <w:tcPr>
            <w:tcW w:w="1780" w:type="dxa"/>
            <w:vAlign w:val="bottom"/>
            <w:shd w:val="clear" w:color="auto" w:fill="EBEBEC"/>
          </w:tcPr>
          <w:p>
            <w:pPr>
              <w:jc w:val="right"/>
              <w:ind w:right="348"/>
              <w:spacing w:after="0"/>
              <w:rPr>
                <w:sz w:val="20"/>
                <w:szCs w:val="20"/>
                <w:color w:val="auto"/>
              </w:rPr>
            </w:pPr>
            <w:r>
              <w:rPr>
                <w:rFonts w:ascii="Arial" w:cs="Arial" w:eastAsia="Arial" w:hAnsi="Arial"/>
                <w:sz w:val="14"/>
                <w:szCs w:val="14"/>
                <w:color w:val="auto"/>
              </w:rPr>
              <w:t>5/3/2024</w:t>
            </w:r>
          </w:p>
        </w:tc>
        <w:tc>
          <w:tcPr>
            <w:tcW w:w="17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3,705</w:t>
            </w:r>
          </w:p>
        </w:tc>
        <w:tc>
          <w:tcPr>
            <w:tcW w:w="58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w:t>
            </w:r>
          </w:p>
        </w:tc>
        <w:tc>
          <w:tcPr>
            <w:tcW w:w="1580" w:type="dxa"/>
            <w:vAlign w:val="bottom"/>
            <w:shd w:val="clear" w:color="auto" w:fill="EBEBEC"/>
          </w:tcPr>
          <w:p>
            <w:pPr>
              <w:jc w:val="right"/>
              <w:ind w:right="108"/>
              <w:spacing w:after="0"/>
              <w:rPr>
                <w:sz w:val="20"/>
                <w:szCs w:val="20"/>
                <w:color w:val="auto"/>
              </w:rPr>
            </w:pPr>
            <w:r>
              <w:rPr>
                <w:rFonts w:ascii="Arial" w:cs="Arial" w:eastAsia="Arial" w:hAnsi="Arial"/>
                <w:sz w:val="14"/>
                <w:szCs w:val="14"/>
                <w:color w:val="auto"/>
              </w:rPr>
              <w:t>51.68</w:t>
            </w:r>
          </w:p>
        </w:tc>
        <w:tc>
          <w:tcPr>
            <w:tcW w:w="40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shd w:val="clear" w:color="auto" w:fill="EBEBEC"/>
          </w:tcPr>
          <w:p>
            <w:pPr>
              <w:jc w:val="right"/>
              <w:ind w:right="28"/>
              <w:spacing w:after="0"/>
              <w:rPr>
                <w:sz w:val="20"/>
                <w:szCs w:val="20"/>
                <w:color w:val="auto"/>
              </w:rPr>
            </w:pPr>
            <w:r>
              <w:rPr>
                <w:rFonts w:ascii="Arial" w:cs="Arial" w:eastAsia="Arial" w:hAnsi="Arial"/>
                <w:sz w:val="14"/>
                <w:szCs w:val="14"/>
                <w:color w:val="auto"/>
              </w:rPr>
              <w:t>191,474</w:t>
            </w:r>
          </w:p>
        </w:tc>
      </w:tr>
      <w:tr>
        <w:trPr>
          <w:trHeight w:val="162"/>
        </w:trPr>
        <w:tc>
          <w:tcPr>
            <w:tcW w:w="33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Mark A. (Mac) McFarland</w:t>
            </w:r>
          </w:p>
        </w:tc>
        <w:tc>
          <w:tcPr>
            <w:tcW w:w="1780" w:type="dxa"/>
            <w:vAlign w:val="bottom"/>
            <w:shd w:val="clear" w:color="auto" w:fill="EBEBEC"/>
          </w:tcPr>
          <w:p>
            <w:pPr>
              <w:jc w:val="right"/>
              <w:ind w:right="348"/>
              <w:spacing w:after="0"/>
              <w:rPr>
                <w:sz w:val="20"/>
                <w:szCs w:val="20"/>
                <w:color w:val="auto"/>
              </w:rPr>
            </w:pPr>
            <w:r>
              <w:rPr>
                <w:rFonts w:ascii="Arial" w:cs="Arial" w:eastAsia="Arial" w:hAnsi="Arial"/>
                <w:sz w:val="14"/>
                <w:szCs w:val="14"/>
                <w:color w:val="auto"/>
              </w:rPr>
              <w:t>5/3/2024</w:t>
            </w:r>
          </w:p>
        </w:tc>
        <w:tc>
          <w:tcPr>
            <w:tcW w:w="17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3,705</w:t>
            </w:r>
          </w:p>
        </w:tc>
        <w:tc>
          <w:tcPr>
            <w:tcW w:w="58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w:t>
            </w:r>
          </w:p>
        </w:tc>
        <w:tc>
          <w:tcPr>
            <w:tcW w:w="1580" w:type="dxa"/>
            <w:vAlign w:val="bottom"/>
            <w:shd w:val="clear" w:color="auto" w:fill="EBEBEC"/>
          </w:tcPr>
          <w:p>
            <w:pPr>
              <w:jc w:val="right"/>
              <w:ind w:right="108"/>
              <w:spacing w:after="0"/>
              <w:rPr>
                <w:sz w:val="20"/>
                <w:szCs w:val="20"/>
                <w:color w:val="auto"/>
              </w:rPr>
            </w:pPr>
            <w:r>
              <w:rPr>
                <w:rFonts w:ascii="Arial" w:cs="Arial" w:eastAsia="Arial" w:hAnsi="Arial"/>
                <w:sz w:val="14"/>
                <w:szCs w:val="14"/>
                <w:color w:val="auto"/>
              </w:rPr>
              <w:t>51.68</w:t>
            </w:r>
          </w:p>
        </w:tc>
        <w:tc>
          <w:tcPr>
            <w:tcW w:w="40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shd w:val="clear" w:color="auto" w:fill="EBEBEC"/>
          </w:tcPr>
          <w:p>
            <w:pPr>
              <w:jc w:val="right"/>
              <w:ind w:right="28"/>
              <w:spacing w:after="0"/>
              <w:rPr>
                <w:sz w:val="20"/>
                <w:szCs w:val="20"/>
                <w:color w:val="auto"/>
              </w:rPr>
            </w:pPr>
            <w:r>
              <w:rPr>
                <w:rFonts w:ascii="Arial" w:cs="Arial" w:eastAsia="Arial" w:hAnsi="Arial"/>
                <w:sz w:val="14"/>
                <w:szCs w:val="14"/>
                <w:color w:val="auto"/>
              </w:rPr>
              <w:t>191,474</w:t>
            </w:r>
          </w:p>
        </w:tc>
      </w:tr>
      <w:tr>
        <w:trPr>
          <w:trHeight w:val="162"/>
        </w:trPr>
        <w:tc>
          <w:tcPr>
            <w:tcW w:w="33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Nicole Neeman Brady</w:t>
            </w:r>
          </w:p>
        </w:tc>
        <w:tc>
          <w:tcPr>
            <w:tcW w:w="1780" w:type="dxa"/>
            <w:vAlign w:val="bottom"/>
            <w:shd w:val="clear" w:color="auto" w:fill="EBEBEC"/>
          </w:tcPr>
          <w:p>
            <w:pPr>
              <w:jc w:val="right"/>
              <w:ind w:right="348"/>
              <w:spacing w:after="0"/>
              <w:rPr>
                <w:sz w:val="20"/>
                <w:szCs w:val="20"/>
                <w:color w:val="auto"/>
              </w:rPr>
            </w:pPr>
            <w:r>
              <w:rPr>
                <w:rFonts w:ascii="Arial" w:cs="Arial" w:eastAsia="Arial" w:hAnsi="Arial"/>
                <w:sz w:val="14"/>
                <w:szCs w:val="14"/>
                <w:color w:val="auto"/>
              </w:rPr>
              <w:t>5/3/2024</w:t>
            </w:r>
          </w:p>
        </w:tc>
        <w:tc>
          <w:tcPr>
            <w:tcW w:w="17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3,705</w:t>
            </w:r>
          </w:p>
        </w:tc>
        <w:tc>
          <w:tcPr>
            <w:tcW w:w="58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w:t>
            </w:r>
          </w:p>
        </w:tc>
        <w:tc>
          <w:tcPr>
            <w:tcW w:w="1580" w:type="dxa"/>
            <w:vAlign w:val="bottom"/>
            <w:shd w:val="clear" w:color="auto" w:fill="EBEBEC"/>
          </w:tcPr>
          <w:p>
            <w:pPr>
              <w:jc w:val="right"/>
              <w:ind w:right="108"/>
              <w:spacing w:after="0"/>
              <w:rPr>
                <w:sz w:val="20"/>
                <w:szCs w:val="20"/>
                <w:color w:val="auto"/>
              </w:rPr>
            </w:pPr>
            <w:r>
              <w:rPr>
                <w:rFonts w:ascii="Arial" w:cs="Arial" w:eastAsia="Arial" w:hAnsi="Arial"/>
                <w:sz w:val="14"/>
                <w:szCs w:val="14"/>
                <w:color w:val="auto"/>
              </w:rPr>
              <w:t>51.68</w:t>
            </w:r>
          </w:p>
        </w:tc>
        <w:tc>
          <w:tcPr>
            <w:tcW w:w="40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shd w:val="clear" w:color="auto" w:fill="EBEBEC"/>
          </w:tcPr>
          <w:p>
            <w:pPr>
              <w:jc w:val="right"/>
              <w:ind w:right="28"/>
              <w:spacing w:after="0"/>
              <w:rPr>
                <w:sz w:val="20"/>
                <w:szCs w:val="20"/>
                <w:color w:val="auto"/>
              </w:rPr>
            </w:pPr>
            <w:r>
              <w:rPr>
                <w:rFonts w:ascii="Arial" w:cs="Arial" w:eastAsia="Arial" w:hAnsi="Arial"/>
                <w:sz w:val="14"/>
                <w:szCs w:val="14"/>
                <w:color w:val="auto"/>
              </w:rPr>
              <w:t>191,474</w:t>
            </w:r>
          </w:p>
        </w:tc>
      </w:tr>
      <w:tr>
        <w:trPr>
          <w:trHeight w:val="162"/>
        </w:trPr>
        <w:tc>
          <w:tcPr>
            <w:tcW w:w="33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William B. Roby</w:t>
            </w:r>
          </w:p>
        </w:tc>
        <w:tc>
          <w:tcPr>
            <w:tcW w:w="1780" w:type="dxa"/>
            <w:vAlign w:val="bottom"/>
            <w:shd w:val="clear" w:color="auto" w:fill="EBEBEC"/>
          </w:tcPr>
          <w:p>
            <w:pPr>
              <w:jc w:val="right"/>
              <w:ind w:right="348"/>
              <w:spacing w:after="0"/>
              <w:rPr>
                <w:sz w:val="20"/>
                <w:szCs w:val="20"/>
                <w:color w:val="auto"/>
              </w:rPr>
            </w:pPr>
            <w:r>
              <w:rPr>
                <w:rFonts w:ascii="Arial" w:cs="Arial" w:eastAsia="Arial" w:hAnsi="Arial"/>
                <w:sz w:val="14"/>
                <w:szCs w:val="14"/>
                <w:color w:val="auto"/>
              </w:rPr>
              <w:t>5/3/2024</w:t>
            </w:r>
          </w:p>
        </w:tc>
        <w:tc>
          <w:tcPr>
            <w:tcW w:w="17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3,705</w:t>
            </w:r>
          </w:p>
        </w:tc>
        <w:tc>
          <w:tcPr>
            <w:tcW w:w="58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w:t>
            </w:r>
          </w:p>
        </w:tc>
        <w:tc>
          <w:tcPr>
            <w:tcW w:w="1580" w:type="dxa"/>
            <w:vAlign w:val="bottom"/>
            <w:shd w:val="clear" w:color="auto" w:fill="EBEBEC"/>
          </w:tcPr>
          <w:p>
            <w:pPr>
              <w:jc w:val="right"/>
              <w:ind w:right="108"/>
              <w:spacing w:after="0"/>
              <w:rPr>
                <w:sz w:val="20"/>
                <w:szCs w:val="20"/>
                <w:color w:val="auto"/>
              </w:rPr>
            </w:pPr>
            <w:r>
              <w:rPr>
                <w:rFonts w:ascii="Arial" w:cs="Arial" w:eastAsia="Arial" w:hAnsi="Arial"/>
                <w:sz w:val="14"/>
                <w:szCs w:val="14"/>
                <w:color w:val="auto"/>
              </w:rPr>
              <w:t>51.68</w:t>
            </w:r>
          </w:p>
        </w:tc>
        <w:tc>
          <w:tcPr>
            <w:tcW w:w="40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shd w:val="clear" w:color="auto" w:fill="EBEBEC"/>
          </w:tcPr>
          <w:p>
            <w:pPr>
              <w:jc w:val="right"/>
              <w:ind w:right="28"/>
              <w:spacing w:after="0"/>
              <w:rPr>
                <w:sz w:val="20"/>
                <w:szCs w:val="20"/>
                <w:color w:val="auto"/>
              </w:rPr>
            </w:pPr>
            <w:r>
              <w:rPr>
                <w:rFonts w:ascii="Arial" w:cs="Arial" w:eastAsia="Arial" w:hAnsi="Arial"/>
                <w:sz w:val="14"/>
                <w:szCs w:val="14"/>
                <w:color w:val="auto"/>
              </w:rPr>
              <w:t>191,474</w:t>
            </w:r>
          </w:p>
        </w:tc>
      </w:tr>
      <w:tr>
        <w:trPr>
          <w:trHeight w:val="162"/>
        </w:trPr>
        <w:tc>
          <w:tcPr>
            <w:tcW w:w="33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Bobby Saadati</w:t>
            </w:r>
          </w:p>
        </w:tc>
        <w:tc>
          <w:tcPr>
            <w:tcW w:w="1780" w:type="dxa"/>
            <w:vAlign w:val="bottom"/>
            <w:shd w:val="clear" w:color="auto" w:fill="EBEBEC"/>
          </w:tcPr>
          <w:p>
            <w:pPr>
              <w:jc w:val="right"/>
              <w:ind w:right="348"/>
              <w:spacing w:after="0"/>
              <w:rPr>
                <w:sz w:val="20"/>
                <w:szCs w:val="20"/>
                <w:color w:val="auto"/>
              </w:rPr>
            </w:pPr>
            <w:r>
              <w:rPr>
                <w:rFonts w:ascii="Arial" w:cs="Arial" w:eastAsia="Arial" w:hAnsi="Arial"/>
                <w:sz w:val="14"/>
                <w:szCs w:val="14"/>
                <w:color w:val="auto"/>
              </w:rPr>
              <w:t>7/1/2024</w:t>
            </w:r>
          </w:p>
        </w:tc>
        <w:tc>
          <w:tcPr>
            <w:tcW w:w="17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3,365</w:t>
            </w:r>
          </w:p>
        </w:tc>
        <w:tc>
          <w:tcPr>
            <w:tcW w:w="58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w:t>
            </w:r>
          </w:p>
        </w:tc>
        <w:tc>
          <w:tcPr>
            <w:tcW w:w="1580" w:type="dxa"/>
            <w:vAlign w:val="bottom"/>
            <w:shd w:val="clear" w:color="auto" w:fill="EBEBEC"/>
          </w:tcPr>
          <w:p>
            <w:pPr>
              <w:jc w:val="right"/>
              <w:ind w:right="108"/>
              <w:spacing w:after="0"/>
              <w:rPr>
                <w:sz w:val="20"/>
                <w:szCs w:val="20"/>
                <w:color w:val="auto"/>
              </w:rPr>
            </w:pPr>
            <w:r>
              <w:rPr>
                <w:rFonts w:ascii="Arial" w:cs="Arial" w:eastAsia="Arial" w:hAnsi="Arial"/>
                <w:sz w:val="14"/>
                <w:szCs w:val="14"/>
                <w:color w:val="auto"/>
              </w:rPr>
              <w:t>52.54</w:t>
            </w:r>
          </w:p>
        </w:tc>
        <w:tc>
          <w:tcPr>
            <w:tcW w:w="40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shd w:val="clear" w:color="auto" w:fill="EBEBEC"/>
          </w:tcPr>
          <w:p>
            <w:pPr>
              <w:jc w:val="right"/>
              <w:ind w:right="28"/>
              <w:spacing w:after="0"/>
              <w:rPr>
                <w:sz w:val="20"/>
                <w:szCs w:val="20"/>
                <w:color w:val="auto"/>
              </w:rPr>
            </w:pPr>
            <w:r>
              <w:rPr>
                <w:rFonts w:ascii="Arial" w:cs="Arial" w:eastAsia="Arial" w:hAnsi="Arial"/>
                <w:sz w:val="14"/>
                <w:szCs w:val="14"/>
                <w:color w:val="auto"/>
              </w:rPr>
              <w:t>176,797</w:t>
            </w:r>
          </w:p>
        </w:tc>
      </w:tr>
      <w:tr>
        <w:trPr>
          <w:trHeight w:val="162"/>
        </w:trPr>
        <w:tc>
          <w:tcPr>
            <w:tcW w:w="33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Alejandra (Ale) Veltmann</w:t>
            </w:r>
          </w:p>
        </w:tc>
        <w:tc>
          <w:tcPr>
            <w:tcW w:w="1780" w:type="dxa"/>
            <w:vAlign w:val="bottom"/>
            <w:shd w:val="clear" w:color="auto" w:fill="EBEBEC"/>
          </w:tcPr>
          <w:p>
            <w:pPr>
              <w:jc w:val="right"/>
              <w:ind w:right="348"/>
              <w:spacing w:after="0"/>
              <w:rPr>
                <w:sz w:val="20"/>
                <w:szCs w:val="20"/>
                <w:color w:val="auto"/>
              </w:rPr>
            </w:pPr>
            <w:r>
              <w:rPr>
                <w:rFonts w:ascii="Arial" w:cs="Arial" w:eastAsia="Arial" w:hAnsi="Arial"/>
                <w:sz w:val="14"/>
                <w:szCs w:val="14"/>
                <w:color w:val="auto"/>
              </w:rPr>
              <w:t>5/3/2024</w:t>
            </w:r>
          </w:p>
        </w:tc>
        <w:tc>
          <w:tcPr>
            <w:tcW w:w="17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3,705</w:t>
            </w:r>
          </w:p>
        </w:tc>
        <w:tc>
          <w:tcPr>
            <w:tcW w:w="58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w:t>
            </w:r>
          </w:p>
        </w:tc>
        <w:tc>
          <w:tcPr>
            <w:tcW w:w="1580" w:type="dxa"/>
            <w:vAlign w:val="bottom"/>
            <w:shd w:val="clear" w:color="auto" w:fill="EBEBEC"/>
          </w:tcPr>
          <w:p>
            <w:pPr>
              <w:jc w:val="right"/>
              <w:ind w:right="108"/>
              <w:spacing w:after="0"/>
              <w:rPr>
                <w:sz w:val="20"/>
                <w:szCs w:val="20"/>
                <w:color w:val="auto"/>
              </w:rPr>
            </w:pPr>
            <w:r>
              <w:rPr>
                <w:rFonts w:ascii="Arial" w:cs="Arial" w:eastAsia="Arial" w:hAnsi="Arial"/>
                <w:sz w:val="14"/>
                <w:szCs w:val="14"/>
                <w:color w:val="auto"/>
              </w:rPr>
              <w:t>51.68</w:t>
            </w:r>
          </w:p>
        </w:tc>
        <w:tc>
          <w:tcPr>
            <w:tcW w:w="40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shd w:val="clear" w:color="auto" w:fill="EBEBEC"/>
          </w:tcPr>
          <w:p>
            <w:pPr>
              <w:jc w:val="right"/>
              <w:ind w:right="28"/>
              <w:spacing w:after="0"/>
              <w:rPr>
                <w:sz w:val="20"/>
                <w:szCs w:val="20"/>
                <w:color w:val="auto"/>
              </w:rPr>
            </w:pPr>
            <w:r>
              <w:rPr>
                <w:rFonts w:ascii="Arial" w:cs="Arial" w:eastAsia="Arial" w:hAnsi="Arial"/>
                <w:sz w:val="14"/>
                <w:szCs w:val="14"/>
                <w:color w:val="auto"/>
              </w:rPr>
              <w:t>191,474</w:t>
            </w:r>
          </w:p>
        </w:tc>
      </w:tr>
    </w:tbl>
    <w:p>
      <w:pPr>
        <w:spacing w:after="0" w:line="15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number of outstanding unvested RSUs as of December 31, 2024, for each of the directors were: Messrs. Bremner, Chapman, Kendall, McFarland, and Roby, and Ms.</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Veltmann – 3,705 each; Messrs. Jackson and Saadati – 3,365 each; Ms. Cepak – 6,021.</w:t>
      </w:r>
    </w:p>
    <w:p>
      <w:pPr>
        <w:spacing w:after="0" w:line="95" w:lineRule="exact"/>
        <w:rPr>
          <w:sz w:val="20"/>
          <w:szCs w:val="20"/>
          <w:color w:val="auto"/>
        </w:rPr>
      </w:pPr>
    </w:p>
    <w:p>
      <w:pPr>
        <w:ind w:left="320" w:right="60" w:hanging="312"/>
        <w:spacing w:after="0" w:line="256" w:lineRule="auto"/>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amounts shown as Other Compensation represent dividend equivalents accrued on vested restricted stock units that were not factored into the grant date fair value reported in the “Stock Awards” column above since the Company was not paying dividends at the time of the grants prior to November 2021. Accrued dividend equivalents are paid to the directors in cash within 60 days of when the underlying RSUs vest. Dividend equivalents on vested RSUs are paid to the directors in cash within 60 days of the dividend payment date.</w:t>
      </w:r>
    </w:p>
    <w:p>
      <w:pPr>
        <w:spacing w:after="0" w:line="69" w:lineRule="exact"/>
        <w:rPr>
          <w:rFonts w:ascii="Arial" w:cs="Arial" w:eastAsia="Arial" w:hAnsi="Arial"/>
          <w:sz w:val="14"/>
          <w:szCs w:val="14"/>
          <w:color w:val="auto"/>
        </w:rPr>
      </w:pPr>
    </w:p>
    <w:p>
      <w:pPr>
        <w:ind w:left="320" w:hanging="312"/>
        <w:spacing w:after="0"/>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Mr. Jackson joined the Board on July 1, 2024.</w:t>
      </w:r>
    </w:p>
    <w:p>
      <w:pPr>
        <w:spacing w:after="0" w:line="109" w:lineRule="exact"/>
        <w:rPr>
          <w:rFonts w:ascii="Arial" w:cs="Arial" w:eastAsia="Arial" w:hAnsi="Arial"/>
          <w:sz w:val="14"/>
          <w:szCs w:val="14"/>
          <w:color w:val="auto"/>
        </w:rPr>
      </w:pPr>
    </w:p>
    <w:p>
      <w:pPr>
        <w:ind w:left="320" w:hanging="312"/>
        <w:spacing w:after="0"/>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Mr. Kendall joined the Board at the 2024 Annual Meeting of Stockholders.</w:t>
      </w:r>
    </w:p>
    <w:p>
      <w:pPr>
        <w:spacing w:after="0" w:line="109" w:lineRule="exact"/>
        <w:rPr>
          <w:rFonts w:ascii="Arial" w:cs="Arial" w:eastAsia="Arial" w:hAnsi="Arial"/>
          <w:sz w:val="14"/>
          <w:szCs w:val="14"/>
          <w:color w:val="auto"/>
        </w:rPr>
      </w:pPr>
    </w:p>
    <w:p>
      <w:pPr>
        <w:ind w:left="320" w:right="100" w:hanging="312"/>
        <w:spacing w:after="0" w:line="285" w:lineRule="auto"/>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Ms. Neeman Brady ended her Board service on July 1, 2024. In connection with the end of her service, the Board immediately vested the remaining 3,705 of her unvested RSUs, which were then paid to her three months after the end of her Board service</w:t>
      </w:r>
    </w:p>
    <w:p>
      <w:pPr>
        <w:spacing w:after="0" w:line="49" w:lineRule="exact"/>
        <w:rPr>
          <w:rFonts w:ascii="Arial" w:cs="Arial" w:eastAsia="Arial" w:hAnsi="Arial"/>
          <w:sz w:val="14"/>
          <w:szCs w:val="14"/>
          <w:color w:val="auto"/>
        </w:rPr>
      </w:pPr>
    </w:p>
    <w:p>
      <w:pPr>
        <w:ind w:left="320" w:hanging="312"/>
        <w:spacing w:after="0"/>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Mr. Quintana ended his Board service following the Company's 2024 Annual Meeting of Stockholders.</w:t>
      </w:r>
    </w:p>
    <w:p>
      <w:pPr>
        <w:spacing w:after="0" w:line="109" w:lineRule="exact"/>
        <w:rPr>
          <w:rFonts w:ascii="Arial" w:cs="Arial" w:eastAsia="Arial" w:hAnsi="Arial"/>
          <w:sz w:val="14"/>
          <w:szCs w:val="14"/>
          <w:color w:val="auto"/>
        </w:rPr>
      </w:pPr>
    </w:p>
    <w:p>
      <w:pPr>
        <w:ind w:left="320" w:hanging="312"/>
        <w:spacing w:after="0"/>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Mr. Jackson joined the Board on July 1, 2024.</w:t>
      </w:r>
    </w:p>
    <w:p>
      <w:pPr>
        <w:spacing w:after="0" w:line="200" w:lineRule="exact"/>
        <w:rPr>
          <w:sz w:val="20"/>
          <w:szCs w:val="20"/>
          <w:color w:val="auto"/>
        </w:rPr>
      </w:pPr>
    </w:p>
    <w:p>
      <w:pPr>
        <w:spacing w:after="0" w:line="38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8" w:name="page69"/>
    <w:bookmarkEnd w:id="68"/>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68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2025 PROXY STATEMENT</w:t>
      </w:r>
    </w:p>
    <w:p>
      <w:pPr>
        <w:spacing w:after="0" w:line="86" w:lineRule="exact"/>
        <w:rPr>
          <w:sz w:val="20"/>
          <w:szCs w:val="20"/>
          <w:color w:val="auto"/>
        </w:rPr>
      </w:pPr>
    </w:p>
    <w:p>
      <w:pPr>
        <w:ind w:left="9360"/>
        <w:spacing w:after="0"/>
        <w:rPr>
          <w:sz w:val="20"/>
          <w:szCs w:val="20"/>
          <w:color w:val="auto"/>
        </w:rPr>
      </w:pPr>
      <w:r>
        <w:rPr>
          <w:rFonts w:ascii="Arial" w:cs="Arial" w:eastAsia="Arial" w:hAnsi="Arial"/>
          <w:sz w:val="14"/>
          <w:szCs w:val="14"/>
          <w:color w:val="auto"/>
        </w:rPr>
        <w:t>Stock Ownership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32"/>
          <w:szCs w:val="32"/>
          <w:color w:val="0075C9"/>
        </w:rPr>
        <w:t>Stock Ownership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color w:val="0075C9"/>
        </w:rPr>
        <w:t>Security Ownership of Directors, Management and Certain Beneficial Holders</w:t>
      </w:r>
    </w:p>
    <w:p>
      <w:pPr>
        <w:spacing w:after="0" w:line="106"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The following table sets forth certain information regarding beneficial ownership of common stock as of March 10, 2025 (unless otherwise indicated) of (1) each person known by us to own beneficially more than 5% of our outstanding common stock (based on Schedule 13G or Schedule 13D filings with the SEC), (2) our NEOs (as defined herein), (3) each of our directors and director nominees, and (4) all of our executive officers and directors as a group. Unless otherwise indicated, each of the persons below has sole voting and investment power with respect to the shares beneficially owned by such person.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1780" w:type="dxa"/>
            <w:vAlign w:val="bottom"/>
          </w:tcPr>
          <w:p>
            <w:pPr>
              <w:jc w:val="right"/>
              <w:ind w:right="432"/>
              <w:spacing w:after="0"/>
              <w:rPr>
                <w:sz w:val="20"/>
                <w:szCs w:val="20"/>
                <w:color w:val="auto"/>
              </w:rPr>
            </w:pPr>
            <w:r>
              <w:rPr>
                <w:rFonts w:ascii="Arial" w:cs="Arial" w:eastAsia="Arial" w:hAnsi="Arial"/>
                <w:sz w:val="14"/>
                <w:szCs w:val="14"/>
                <w:b w:val="1"/>
                <w:bCs w:val="1"/>
                <w:color w:val="0075C9"/>
              </w:rPr>
              <w:t>Amount of</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0075C9"/>
              </w:rPr>
              <w:t>Percent of</w:t>
            </w:r>
          </w:p>
        </w:tc>
      </w:tr>
      <w:tr>
        <w:trPr>
          <w:trHeight w:val="171"/>
        </w:trPr>
        <w:tc>
          <w:tcPr>
            <w:tcW w:w="7440" w:type="dxa"/>
            <w:vAlign w:val="bottom"/>
            <w:tcBorders>
              <w:bottom w:val="single" w:sz="8" w:color="0075C9"/>
            </w:tcBorders>
          </w:tcPr>
          <w:p>
            <w:pPr>
              <w:ind w:left="120"/>
              <w:spacing w:after="0"/>
              <w:rPr>
                <w:sz w:val="20"/>
                <w:szCs w:val="20"/>
                <w:color w:val="auto"/>
              </w:rPr>
            </w:pPr>
            <w:r>
              <w:rPr>
                <w:rFonts w:ascii="Arial" w:cs="Arial" w:eastAsia="Arial" w:hAnsi="Arial"/>
                <w:sz w:val="14"/>
                <w:szCs w:val="14"/>
                <w:b w:val="1"/>
                <w:bCs w:val="1"/>
                <w:color w:val="0075C9"/>
              </w:rPr>
              <w:t>Name and Address of Beneficial Owner (1)</w:t>
            </w:r>
          </w:p>
        </w:tc>
        <w:tc>
          <w:tcPr>
            <w:tcW w:w="1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b w:val="1"/>
                <w:bCs w:val="1"/>
                <w:color w:val="0075C9"/>
              </w:rPr>
              <w:t>Beneficial Ownership</w:t>
            </w:r>
          </w:p>
        </w:tc>
        <w:tc>
          <w:tcPr>
            <w:tcW w:w="2020" w:type="dxa"/>
            <w:vAlign w:val="bottom"/>
            <w:tcBorders>
              <w:bottom w:val="single" w:sz="8" w:color="0075C9"/>
            </w:tcBorders>
          </w:tcPr>
          <w:p>
            <w:pPr>
              <w:jc w:val="center"/>
              <w:spacing w:after="0"/>
              <w:rPr>
                <w:sz w:val="20"/>
                <w:szCs w:val="20"/>
                <w:color w:val="auto"/>
              </w:rPr>
            </w:pPr>
            <w:r>
              <w:rPr>
                <w:rFonts w:ascii="Arial" w:cs="Arial" w:eastAsia="Arial" w:hAnsi="Arial"/>
                <w:sz w:val="14"/>
                <w:szCs w:val="14"/>
                <w:b w:val="1"/>
                <w:bCs w:val="1"/>
                <w:color w:val="0075C9"/>
              </w:rPr>
              <w:t>Class (2)</w:t>
            </w:r>
          </w:p>
        </w:tc>
      </w:tr>
      <w:tr>
        <w:trPr>
          <w:trHeight w:val="177"/>
        </w:trPr>
        <w:tc>
          <w:tcPr>
            <w:tcW w:w="7440" w:type="dxa"/>
            <w:vAlign w:val="bottom"/>
            <w:shd w:val="clear" w:color="auto" w:fill="EBEBEC"/>
          </w:tcPr>
          <w:p>
            <w:pPr>
              <w:ind w:left="140"/>
              <w:spacing w:after="0" w:line="177" w:lineRule="exact"/>
              <w:rPr>
                <w:sz w:val="20"/>
                <w:szCs w:val="20"/>
                <w:color w:val="auto"/>
              </w:rPr>
            </w:pPr>
            <w:r>
              <w:rPr>
                <w:rFonts w:ascii="Arial" w:cs="Arial" w:eastAsia="Arial" w:hAnsi="Arial"/>
                <w:sz w:val="18"/>
                <w:szCs w:val="18"/>
                <w:color w:val="auto"/>
              </w:rPr>
              <w:t xml:space="preserve">BlackRock, Inc. </w:t>
            </w:r>
            <w:r>
              <w:rPr>
                <w:rFonts w:ascii="Arial" w:cs="Arial" w:eastAsia="Arial" w:hAnsi="Arial"/>
                <w:sz w:val="14"/>
                <w:szCs w:val="14"/>
                <w:color w:val="auto"/>
              </w:rPr>
              <w:t>(3)</w:t>
            </w:r>
          </w:p>
        </w:tc>
        <w:tc>
          <w:tcPr>
            <w:tcW w:w="1780" w:type="dxa"/>
            <w:vAlign w:val="bottom"/>
            <w:shd w:val="clear" w:color="auto" w:fill="EBEBEC"/>
          </w:tcPr>
          <w:p>
            <w:pPr>
              <w:jc w:val="right"/>
              <w:ind w:right="32"/>
              <w:spacing w:after="0" w:line="177" w:lineRule="exact"/>
              <w:rPr>
                <w:sz w:val="20"/>
                <w:szCs w:val="20"/>
                <w:color w:val="auto"/>
              </w:rPr>
            </w:pPr>
            <w:r>
              <w:rPr>
                <w:rFonts w:ascii="Arial" w:cs="Arial" w:eastAsia="Arial" w:hAnsi="Arial"/>
                <w:sz w:val="18"/>
                <w:szCs w:val="18"/>
                <w:color w:val="auto"/>
              </w:rPr>
              <w:t>10,715,888</w:t>
            </w:r>
          </w:p>
        </w:tc>
        <w:tc>
          <w:tcPr>
            <w:tcW w:w="2020" w:type="dxa"/>
            <w:vAlign w:val="bottom"/>
            <w:shd w:val="clear" w:color="auto" w:fill="EBEBEC"/>
          </w:tcPr>
          <w:p>
            <w:pPr>
              <w:jc w:val="center"/>
              <w:spacing w:after="0" w:line="177" w:lineRule="exact"/>
              <w:rPr>
                <w:sz w:val="20"/>
                <w:szCs w:val="20"/>
                <w:color w:val="auto"/>
              </w:rPr>
            </w:pPr>
            <w:r>
              <w:rPr>
                <w:rFonts w:ascii="Arial" w:cs="Arial" w:eastAsia="Arial" w:hAnsi="Arial"/>
                <w:sz w:val="18"/>
                <w:szCs w:val="18"/>
                <w:color w:val="auto"/>
              </w:rPr>
              <w:t>11.82%</w:t>
            </w:r>
          </w:p>
        </w:tc>
      </w:tr>
      <w:tr>
        <w:trPr>
          <w:trHeight w:val="203"/>
        </w:trPr>
        <w:tc>
          <w:tcPr>
            <w:tcW w:w="7440" w:type="dxa"/>
            <w:vAlign w:val="bottom"/>
            <w:shd w:val="clear" w:color="auto" w:fill="EBEBEC"/>
          </w:tcPr>
          <w:p>
            <w:pPr>
              <w:ind w:left="140"/>
              <w:spacing w:after="0" w:line="202" w:lineRule="exact"/>
              <w:rPr>
                <w:sz w:val="20"/>
                <w:szCs w:val="20"/>
                <w:color w:val="auto"/>
              </w:rPr>
            </w:pPr>
            <w:r>
              <w:rPr>
                <w:rFonts w:ascii="Arial" w:cs="Arial" w:eastAsia="Arial" w:hAnsi="Arial"/>
                <w:sz w:val="18"/>
                <w:szCs w:val="18"/>
                <w:color w:val="auto"/>
              </w:rPr>
              <w:t xml:space="preserve">Canada Pension Plan Investment Board </w:t>
            </w:r>
            <w:r>
              <w:rPr>
                <w:rFonts w:ascii="Arial" w:cs="Arial" w:eastAsia="Arial" w:hAnsi="Arial"/>
                <w:sz w:val="14"/>
                <w:szCs w:val="14"/>
                <w:color w:val="auto"/>
              </w:rPr>
              <w:t>(4)</w:t>
            </w:r>
          </w:p>
        </w:tc>
        <w:tc>
          <w:tcPr>
            <w:tcW w:w="1780" w:type="dxa"/>
            <w:vAlign w:val="bottom"/>
            <w:shd w:val="clear" w:color="auto" w:fill="EBEBEC"/>
          </w:tcPr>
          <w:p>
            <w:pPr>
              <w:jc w:val="right"/>
              <w:ind w:right="32"/>
              <w:spacing w:after="0" w:line="202" w:lineRule="exact"/>
              <w:rPr>
                <w:sz w:val="20"/>
                <w:szCs w:val="20"/>
                <w:color w:val="auto"/>
              </w:rPr>
            </w:pPr>
            <w:r>
              <w:rPr>
                <w:rFonts w:ascii="Arial" w:cs="Arial" w:eastAsia="Arial" w:hAnsi="Arial"/>
                <w:sz w:val="18"/>
                <w:szCs w:val="18"/>
                <w:color w:val="auto"/>
              </w:rPr>
              <w:t>10,506,895</w:t>
            </w:r>
          </w:p>
        </w:tc>
        <w:tc>
          <w:tcPr>
            <w:tcW w:w="2020" w:type="dxa"/>
            <w:vAlign w:val="bottom"/>
            <w:shd w:val="clear" w:color="auto" w:fill="EBEBEC"/>
          </w:tcPr>
          <w:p>
            <w:pPr>
              <w:jc w:val="center"/>
              <w:spacing w:after="0" w:line="202" w:lineRule="exact"/>
              <w:rPr>
                <w:sz w:val="20"/>
                <w:szCs w:val="20"/>
                <w:color w:val="auto"/>
              </w:rPr>
            </w:pPr>
            <w:r>
              <w:rPr>
                <w:rFonts w:ascii="Arial" w:cs="Arial" w:eastAsia="Arial" w:hAnsi="Arial"/>
                <w:sz w:val="18"/>
                <w:szCs w:val="18"/>
                <w:color w:val="auto"/>
              </w:rPr>
              <w:t>11.59%</w:t>
            </w:r>
          </w:p>
        </w:tc>
      </w:tr>
      <w:tr>
        <w:trPr>
          <w:trHeight w:val="203"/>
        </w:trPr>
        <w:tc>
          <w:tcPr>
            <w:tcW w:w="7440" w:type="dxa"/>
            <w:vAlign w:val="bottom"/>
            <w:shd w:val="clear" w:color="auto" w:fill="EBEBEC"/>
          </w:tcPr>
          <w:p>
            <w:pPr>
              <w:ind w:left="140"/>
              <w:spacing w:after="0" w:line="202" w:lineRule="exact"/>
              <w:rPr>
                <w:sz w:val="20"/>
                <w:szCs w:val="20"/>
                <w:color w:val="auto"/>
              </w:rPr>
            </w:pPr>
            <w:r>
              <w:rPr>
                <w:rFonts w:ascii="Arial" w:cs="Arial" w:eastAsia="Arial" w:hAnsi="Arial"/>
                <w:sz w:val="18"/>
                <w:szCs w:val="18"/>
                <w:color w:val="auto"/>
              </w:rPr>
              <w:t xml:space="preserve">The Vanguard Group </w:t>
            </w:r>
            <w:r>
              <w:rPr>
                <w:rFonts w:ascii="Arial" w:cs="Arial" w:eastAsia="Arial" w:hAnsi="Arial"/>
                <w:sz w:val="14"/>
                <w:szCs w:val="14"/>
                <w:color w:val="auto"/>
              </w:rPr>
              <w:t>(5)</w:t>
            </w:r>
          </w:p>
        </w:tc>
        <w:tc>
          <w:tcPr>
            <w:tcW w:w="1780" w:type="dxa"/>
            <w:vAlign w:val="bottom"/>
            <w:shd w:val="clear" w:color="auto" w:fill="EBEBEC"/>
          </w:tcPr>
          <w:p>
            <w:pPr>
              <w:jc w:val="right"/>
              <w:ind w:right="32"/>
              <w:spacing w:after="0" w:line="202" w:lineRule="exact"/>
              <w:rPr>
                <w:sz w:val="20"/>
                <w:szCs w:val="20"/>
                <w:color w:val="auto"/>
              </w:rPr>
            </w:pPr>
            <w:r>
              <w:rPr>
                <w:rFonts w:ascii="Arial" w:cs="Arial" w:eastAsia="Arial" w:hAnsi="Arial"/>
                <w:sz w:val="18"/>
                <w:szCs w:val="18"/>
                <w:color w:val="auto"/>
              </w:rPr>
              <w:t>9,120,169</w:t>
            </w:r>
          </w:p>
        </w:tc>
        <w:tc>
          <w:tcPr>
            <w:tcW w:w="2020" w:type="dxa"/>
            <w:vAlign w:val="bottom"/>
            <w:shd w:val="clear" w:color="auto" w:fill="EBEBEC"/>
          </w:tcPr>
          <w:p>
            <w:pPr>
              <w:jc w:val="center"/>
              <w:spacing w:after="0" w:line="202" w:lineRule="exact"/>
              <w:rPr>
                <w:sz w:val="20"/>
                <w:szCs w:val="20"/>
                <w:color w:val="auto"/>
              </w:rPr>
            </w:pPr>
            <w:r>
              <w:rPr>
                <w:rFonts w:ascii="Arial" w:cs="Arial" w:eastAsia="Arial" w:hAnsi="Arial"/>
                <w:sz w:val="18"/>
                <w:szCs w:val="18"/>
                <w:color w:val="auto"/>
              </w:rPr>
              <w:t>10.06%</w:t>
            </w:r>
          </w:p>
        </w:tc>
      </w:tr>
      <w:tr>
        <w:trPr>
          <w:trHeight w:val="203"/>
        </w:trPr>
        <w:tc>
          <w:tcPr>
            <w:tcW w:w="7440" w:type="dxa"/>
            <w:vAlign w:val="bottom"/>
            <w:shd w:val="clear" w:color="auto" w:fill="EBEBEC"/>
          </w:tcPr>
          <w:p>
            <w:pPr>
              <w:ind w:left="140"/>
              <w:spacing w:after="0" w:line="202" w:lineRule="exact"/>
              <w:rPr>
                <w:sz w:val="20"/>
                <w:szCs w:val="20"/>
                <w:color w:val="auto"/>
              </w:rPr>
            </w:pPr>
            <w:r>
              <w:rPr>
                <w:rFonts w:ascii="Arial" w:cs="Arial" w:eastAsia="Arial" w:hAnsi="Arial"/>
                <w:sz w:val="18"/>
                <w:szCs w:val="18"/>
                <w:color w:val="auto"/>
              </w:rPr>
              <w:t xml:space="preserve">IKAV Energy Inc. </w:t>
            </w:r>
            <w:r>
              <w:rPr>
                <w:rFonts w:ascii="Arial" w:cs="Arial" w:eastAsia="Arial" w:hAnsi="Arial"/>
                <w:sz w:val="14"/>
                <w:szCs w:val="14"/>
                <w:color w:val="auto"/>
              </w:rPr>
              <w:t>(6)</w:t>
            </w:r>
          </w:p>
        </w:tc>
        <w:tc>
          <w:tcPr>
            <w:tcW w:w="1780" w:type="dxa"/>
            <w:vAlign w:val="bottom"/>
            <w:shd w:val="clear" w:color="auto" w:fill="EBEBEC"/>
          </w:tcPr>
          <w:p>
            <w:pPr>
              <w:jc w:val="right"/>
              <w:ind w:right="32"/>
              <w:spacing w:after="0" w:line="202" w:lineRule="exact"/>
              <w:rPr>
                <w:sz w:val="20"/>
                <w:szCs w:val="20"/>
                <w:color w:val="auto"/>
              </w:rPr>
            </w:pPr>
            <w:r>
              <w:rPr>
                <w:rFonts w:ascii="Arial" w:cs="Arial" w:eastAsia="Arial" w:hAnsi="Arial"/>
                <w:sz w:val="18"/>
                <w:szCs w:val="18"/>
                <w:color w:val="auto"/>
              </w:rPr>
              <w:t>8,762,059</w:t>
            </w:r>
          </w:p>
        </w:tc>
        <w:tc>
          <w:tcPr>
            <w:tcW w:w="2020" w:type="dxa"/>
            <w:vAlign w:val="bottom"/>
            <w:shd w:val="clear" w:color="auto" w:fill="EBEBEC"/>
          </w:tcPr>
          <w:p>
            <w:pPr>
              <w:jc w:val="center"/>
              <w:spacing w:after="0" w:line="202" w:lineRule="exact"/>
              <w:rPr>
                <w:sz w:val="20"/>
                <w:szCs w:val="20"/>
                <w:color w:val="auto"/>
              </w:rPr>
            </w:pPr>
            <w:r>
              <w:rPr>
                <w:rFonts w:ascii="Arial" w:cs="Arial" w:eastAsia="Arial" w:hAnsi="Arial"/>
                <w:sz w:val="18"/>
                <w:szCs w:val="18"/>
                <w:color w:val="auto"/>
                <w:w w:val="97"/>
              </w:rPr>
              <w:t>9.67%</w:t>
            </w:r>
          </w:p>
        </w:tc>
      </w:tr>
      <w:tr>
        <w:trPr>
          <w:trHeight w:val="203"/>
        </w:trPr>
        <w:tc>
          <w:tcPr>
            <w:tcW w:w="7440" w:type="dxa"/>
            <w:vAlign w:val="bottom"/>
            <w:shd w:val="clear" w:color="auto" w:fill="EBEBEC"/>
          </w:tcPr>
          <w:p>
            <w:pPr>
              <w:ind w:left="140"/>
              <w:spacing w:after="0" w:line="202" w:lineRule="exact"/>
              <w:rPr>
                <w:sz w:val="20"/>
                <w:szCs w:val="20"/>
                <w:color w:val="auto"/>
              </w:rPr>
            </w:pPr>
            <w:r>
              <w:rPr>
                <w:rFonts w:ascii="Arial" w:cs="Arial" w:eastAsia="Arial" w:hAnsi="Arial"/>
                <w:sz w:val="18"/>
                <w:szCs w:val="18"/>
                <w:color w:val="auto"/>
              </w:rPr>
              <w:t xml:space="preserve">Solar Projects LLC </w:t>
            </w:r>
            <w:r>
              <w:rPr>
                <w:rFonts w:ascii="Arial" w:cs="Arial" w:eastAsia="Arial" w:hAnsi="Arial"/>
                <w:sz w:val="14"/>
                <w:szCs w:val="14"/>
                <w:color w:val="auto"/>
              </w:rPr>
              <w:t>(7)</w:t>
            </w:r>
          </w:p>
        </w:tc>
        <w:tc>
          <w:tcPr>
            <w:tcW w:w="1780" w:type="dxa"/>
            <w:vAlign w:val="bottom"/>
            <w:shd w:val="clear" w:color="auto" w:fill="EBEBEC"/>
          </w:tcPr>
          <w:p>
            <w:pPr>
              <w:jc w:val="right"/>
              <w:ind w:right="32"/>
              <w:spacing w:after="0" w:line="202" w:lineRule="exact"/>
              <w:rPr>
                <w:sz w:val="20"/>
                <w:szCs w:val="20"/>
                <w:color w:val="auto"/>
              </w:rPr>
            </w:pPr>
            <w:r>
              <w:rPr>
                <w:rFonts w:ascii="Arial" w:cs="Arial" w:eastAsia="Arial" w:hAnsi="Arial"/>
                <w:sz w:val="18"/>
                <w:szCs w:val="18"/>
                <w:color w:val="auto"/>
              </w:rPr>
              <w:t>6,148,821</w:t>
            </w:r>
          </w:p>
        </w:tc>
        <w:tc>
          <w:tcPr>
            <w:tcW w:w="2020" w:type="dxa"/>
            <w:vAlign w:val="bottom"/>
            <w:shd w:val="clear" w:color="auto" w:fill="EBEBEC"/>
          </w:tcPr>
          <w:p>
            <w:pPr>
              <w:jc w:val="center"/>
              <w:spacing w:after="0" w:line="202" w:lineRule="exact"/>
              <w:rPr>
                <w:sz w:val="20"/>
                <w:szCs w:val="20"/>
                <w:color w:val="auto"/>
              </w:rPr>
            </w:pPr>
            <w:r>
              <w:rPr>
                <w:rFonts w:ascii="Arial" w:cs="Arial" w:eastAsia="Arial" w:hAnsi="Arial"/>
                <w:sz w:val="18"/>
                <w:szCs w:val="18"/>
                <w:color w:val="auto"/>
                <w:w w:val="97"/>
              </w:rPr>
              <w:t>6.78%</w:t>
            </w:r>
          </w:p>
        </w:tc>
      </w:tr>
      <w:tr>
        <w:trPr>
          <w:trHeight w:val="203"/>
        </w:trPr>
        <w:tc>
          <w:tcPr>
            <w:tcW w:w="7440" w:type="dxa"/>
            <w:vAlign w:val="bottom"/>
            <w:shd w:val="clear" w:color="auto" w:fill="EBEBEC"/>
          </w:tcPr>
          <w:p>
            <w:pPr>
              <w:ind w:left="140"/>
              <w:spacing w:after="0" w:line="202" w:lineRule="exact"/>
              <w:rPr>
                <w:sz w:val="20"/>
                <w:szCs w:val="20"/>
                <w:color w:val="auto"/>
              </w:rPr>
            </w:pPr>
            <w:r>
              <w:rPr>
                <w:rFonts w:ascii="Arial" w:cs="Arial" w:eastAsia="Arial" w:hAnsi="Arial"/>
                <w:sz w:val="18"/>
                <w:szCs w:val="18"/>
                <w:color w:val="auto"/>
              </w:rPr>
              <w:t xml:space="preserve">First Trust Advisors L.P. </w:t>
            </w:r>
            <w:r>
              <w:rPr>
                <w:rFonts w:ascii="Arial" w:cs="Arial" w:eastAsia="Arial" w:hAnsi="Arial"/>
                <w:sz w:val="14"/>
                <w:szCs w:val="14"/>
                <w:color w:val="auto"/>
              </w:rPr>
              <w:t>(8)</w:t>
            </w:r>
          </w:p>
        </w:tc>
        <w:tc>
          <w:tcPr>
            <w:tcW w:w="1780" w:type="dxa"/>
            <w:vAlign w:val="bottom"/>
            <w:shd w:val="clear" w:color="auto" w:fill="EBEBEC"/>
          </w:tcPr>
          <w:p>
            <w:pPr>
              <w:jc w:val="right"/>
              <w:ind w:right="32"/>
              <w:spacing w:after="0" w:line="202" w:lineRule="exact"/>
              <w:rPr>
                <w:sz w:val="20"/>
                <w:szCs w:val="20"/>
                <w:color w:val="auto"/>
              </w:rPr>
            </w:pPr>
            <w:r>
              <w:rPr>
                <w:rFonts w:ascii="Arial" w:cs="Arial" w:eastAsia="Arial" w:hAnsi="Arial"/>
                <w:sz w:val="18"/>
                <w:szCs w:val="18"/>
                <w:color w:val="auto"/>
              </w:rPr>
              <w:t>6,109,219</w:t>
            </w:r>
          </w:p>
        </w:tc>
        <w:tc>
          <w:tcPr>
            <w:tcW w:w="2020" w:type="dxa"/>
            <w:vAlign w:val="bottom"/>
            <w:shd w:val="clear" w:color="auto" w:fill="EBEBEC"/>
          </w:tcPr>
          <w:p>
            <w:pPr>
              <w:jc w:val="center"/>
              <w:spacing w:after="0" w:line="202" w:lineRule="exact"/>
              <w:rPr>
                <w:sz w:val="20"/>
                <w:szCs w:val="20"/>
                <w:color w:val="auto"/>
              </w:rPr>
            </w:pPr>
            <w:r>
              <w:rPr>
                <w:rFonts w:ascii="Arial" w:cs="Arial" w:eastAsia="Arial" w:hAnsi="Arial"/>
                <w:sz w:val="18"/>
                <w:szCs w:val="18"/>
                <w:color w:val="auto"/>
                <w:w w:val="97"/>
              </w:rPr>
              <w:t>6.74%</w:t>
            </w:r>
          </w:p>
        </w:tc>
      </w:tr>
      <w:tr>
        <w:trPr>
          <w:trHeight w:val="203"/>
        </w:trPr>
        <w:tc>
          <w:tcPr>
            <w:tcW w:w="7440" w:type="dxa"/>
            <w:vAlign w:val="bottom"/>
            <w:shd w:val="clear" w:color="auto" w:fill="EBEBEC"/>
          </w:tcPr>
          <w:p>
            <w:pPr>
              <w:ind w:left="140"/>
              <w:spacing w:after="0" w:line="202" w:lineRule="exact"/>
              <w:rPr>
                <w:sz w:val="20"/>
                <w:szCs w:val="20"/>
                <w:color w:val="auto"/>
              </w:rPr>
            </w:pPr>
            <w:r>
              <w:rPr>
                <w:rFonts w:ascii="Arial" w:cs="Arial" w:eastAsia="Arial" w:hAnsi="Arial"/>
                <w:sz w:val="18"/>
                <w:szCs w:val="18"/>
                <w:color w:val="auto"/>
              </w:rPr>
              <w:t>Andrew B. Bremner</w:t>
            </w:r>
          </w:p>
        </w:tc>
        <w:tc>
          <w:tcPr>
            <w:tcW w:w="1780" w:type="dxa"/>
            <w:vAlign w:val="bottom"/>
            <w:shd w:val="clear" w:color="auto" w:fill="EBEBEC"/>
          </w:tcPr>
          <w:p>
            <w:pPr>
              <w:jc w:val="right"/>
              <w:ind w:right="32"/>
              <w:spacing w:after="0" w:line="202" w:lineRule="exact"/>
              <w:rPr>
                <w:sz w:val="20"/>
                <w:szCs w:val="20"/>
                <w:color w:val="auto"/>
              </w:rPr>
            </w:pPr>
            <w:r>
              <w:rPr>
                <w:rFonts w:ascii="Arial" w:cs="Arial" w:eastAsia="Arial" w:hAnsi="Arial"/>
                <w:sz w:val="18"/>
                <w:szCs w:val="18"/>
                <w:color w:val="auto"/>
              </w:rPr>
              <w:t>745</w:t>
            </w:r>
          </w:p>
        </w:tc>
        <w:tc>
          <w:tcPr>
            <w:tcW w:w="2020" w:type="dxa"/>
            <w:vAlign w:val="bottom"/>
            <w:shd w:val="clear" w:color="auto" w:fill="EBEBEC"/>
          </w:tcPr>
          <w:p>
            <w:pPr>
              <w:jc w:val="center"/>
              <w:spacing w:after="0" w:line="202" w:lineRule="exact"/>
              <w:rPr>
                <w:sz w:val="20"/>
                <w:szCs w:val="20"/>
                <w:color w:val="auto"/>
              </w:rPr>
            </w:pPr>
            <w:r>
              <w:rPr>
                <w:rFonts w:ascii="Arial" w:cs="Arial" w:eastAsia="Arial" w:hAnsi="Arial"/>
                <w:sz w:val="18"/>
                <w:szCs w:val="18"/>
                <w:color w:val="auto"/>
                <w:w w:val="97"/>
              </w:rPr>
              <w:t>0.00%</w:t>
            </w:r>
          </w:p>
        </w:tc>
      </w:tr>
      <w:tr>
        <w:trPr>
          <w:trHeight w:val="203"/>
        </w:trPr>
        <w:tc>
          <w:tcPr>
            <w:tcW w:w="7440" w:type="dxa"/>
            <w:vAlign w:val="bottom"/>
            <w:shd w:val="clear" w:color="auto" w:fill="EBEBEC"/>
          </w:tcPr>
          <w:p>
            <w:pPr>
              <w:ind w:left="140"/>
              <w:spacing w:after="0" w:line="202" w:lineRule="exact"/>
              <w:rPr>
                <w:sz w:val="20"/>
                <w:szCs w:val="20"/>
                <w:color w:val="auto"/>
              </w:rPr>
            </w:pPr>
            <w:r>
              <w:rPr>
                <w:rFonts w:ascii="Arial" w:cs="Arial" w:eastAsia="Arial" w:hAnsi="Arial"/>
                <w:sz w:val="18"/>
                <w:szCs w:val="18"/>
                <w:color w:val="auto"/>
              </w:rPr>
              <w:t>Tiffany (TJ) Thom Cepak</w:t>
            </w:r>
          </w:p>
        </w:tc>
        <w:tc>
          <w:tcPr>
            <w:tcW w:w="1780" w:type="dxa"/>
            <w:vAlign w:val="bottom"/>
            <w:shd w:val="clear" w:color="auto" w:fill="EBEBEC"/>
          </w:tcPr>
          <w:p>
            <w:pPr>
              <w:jc w:val="right"/>
              <w:ind w:right="32"/>
              <w:spacing w:after="0" w:line="202" w:lineRule="exact"/>
              <w:rPr>
                <w:sz w:val="20"/>
                <w:szCs w:val="20"/>
                <w:color w:val="auto"/>
              </w:rPr>
            </w:pPr>
            <w:r>
              <w:rPr>
                <w:rFonts w:ascii="Arial" w:cs="Arial" w:eastAsia="Arial" w:hAnsi="Arial"/>
                <w:sz w:val="18"/>
                <w:szCs w:val="18"/>
                <w:color w:val="auto"/>
              </w:rPr>
              <w:t>10,000</w:t>
            </w:r>
          </w:p>
        </w:tc>
        <w:tc>
          <w:tcPr>
            <w:tcW w:w="2020" w:type="dxa"/>
            <w:vAlign w:val="bottom"/>
            <w:shd w:val="clear" w:color="auto" w:fill="EBEBEC"/>
          </w:tcPr>
          <w:p>
            <w:pPr>
              <w:jc w:val="center"/>
              <w:spacing w:after="0" w:line="202" w:lineRule="exact"/>
              <w:rPr>
                <w:sz w:val="20"/>
                <w:szCs w:val="20"/>
                <w:color w:val="auto"/>
              </w:rPr>
            </w:pPr>
            <w:r>
              <w:rPr>
                <w:rFonts w:ascii="Arial" w:cs="Arial" w:eastAsia="Arial" w:hAnsi="Arial"/>
                <w:sz w:val="18"/>
                <w:szCs w:val="18"/>
                <w:color w:val="auto"/>
                <w:w w:val="97"/>
              </w:rPr>
              <w:t>0.01%</w:t>
            </w:r>
          </w:p>
        </w:tc>
      </w:tr>
      <w:tr>
        <w:trPr>
          <w:trHeight w:val="203"/>
        </w:trPr>
        <w:tc>
          <w:tcPr>
            <w:tcW w:w="7440" w:type="dxa"/>
            <w:vAlign w:val="bottom"/>
            <w:shd w:val="clear" w:color="auto" w:fill="EBEBEC"/>
          </w:tcPr>
          <w:p>
            <w:pPr>
              <w:ind w:left="140"/>
              <w:spacing w:after="0" w:line="202" w:lineRule="exact"/>
              <w:rPr>
                <w:sz w:val="20"/>
                <w:szCs w:val="20"/>
                <w:color w:val="auto"/>
              </w:rPr>
            </w:pPr>
            <w:r>
              <w:rPr>
                <w:rFonts w:ascii="Arial" w:cs="Arial" w:eastAsia="Arial" w:hAnsi="Arial"/>
                <w:sz w:val="18"/>
                <w:szCs w:val="18"/>
                <w:color w:val="auto"/>
              </w:rPr>
              <w:t>James N. Chapman</w:t>
            </w:r>
          </w:p>
        </w:tc>
        <w:tc>
          <w:tcPr>
            <w:tcW w:w="1780" w:type="dxa"/>
            <w:vAlign w:val="bottom"/>
            <w:shd w:val="clear" w:color="auto" w:fill="EBEBEC"/>
          </w:tcPr>
          <w:p>
            <w:pPr>
              <w:jc w:val="right"/>
              <w:ind w:right="32"/>
              <w:spacing w:after="0" w:line="202" w:lineRule="exact"/>
              <w:rPr>
                <w:sz w:val="20"/>
                <w:szCs w:val="20"/>
                <w:color w:val="auto"/>
              </w:rPr>
            </w:pPr>
            <w:r>
              <w:rPr>
                <w:rFonts w:ascii="Arial" w:cs="Arial" w:eastAsia="Arial" w:hAnsi="Arial"/>
                <w:sz w:val="18"/>
                <w:szCs w:val="18"/>
                <w:color w:val="auto"/>
              </w:rPr>
              <w:t>2,000</w:t>
            </w:r>
          </w:p>
        </w:tc>
        <w:tc>
          <w:tcPr>
            <w:tcW w:w="2020" w:type="dxa"/>
            <w:vAlign w:val="bottom"/>
            <w:shd w:val="clear" w:color="auto" w:fill="EBEBEC"/>
          </w:tcPr>
          <w:p>
            <w:pPr>
              <w:jc w:val="center"/>
              <w:spacing w:after="0" w:line="202" w:lineRule="exact"/>
              <w:rPr>
                <w:sz w:val="20"/>
                <w:szCs w:val="20"/>
                <w:color w:val="auto"/>
              </w:rPr>
            </w:pPr>
            <w:r>
              <w:rPr>
                <w:rFonts w:ascii="Arial" w:cs="Arial" w:eastAsia="Arial" w:hAnsi="Arial"/>
                <w:sz w:val="18"/>
                <w:szCs w:val="18"/>
                <w:color w:val="auto"/>
                <w:w w:val="97"/>
              </w:rPr>
              <w:t>0.00%</w:t>
            </w:r>
          </w:p>
        </w:tc>
      </w:tr>
      <w:tr>
        <w:trPr>
          <w:trHeight w:val="203"/>
        </w:trPr>
        <w:tc>
          <w:tcPr>
            <w:tcW w:w="7440" w:type="dxa"/>
            <w:vAlign w:val="bottom"/>
            <w:shd w:val="clear" w:color="auto" w:fill="EBEBEC"/>
          </w:tcPr>
          <w:p>
            <w:pPr>
              <w:ind w:left="140"/>
              <w:spacing w:after="0" w:line="202" w:lineRule="exact"/>
              <w:rPr>
                <w:sz w:val="20"/>
                <w:szCs w:val="20"/>
                <w:color w:val="auto"/>
              </w:rPr>
            </w:pPr>
            <w:r>
              <w:rPr>
                <w:rFonts w:ascii="Arial" w:cs="Arial" w:eastAsia="Arial" w:hAnsi="Arial"/>
                <w:sz w:val="18"/>
                <w:szCs w:val="18"/>
                <w:color w:val="auto"/>
              </w:rPr>
              <w:t>James R. Jackson</w:t>
            </w:r>
          </w:p>
        </w:tc>
        <w:tc>
          <w:tcPr>
            <w:tcW w:w="1780" w:type="dxa"/>
            <w:vAlign w:val="bottom"/>
            <w:shd w:val="clear" w:color="auto" w:fill="EBEBE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20" w:type="dxa"/>
            <w:vAlign w:val="bottom"/>
            <w:shd w:val="clear" w:color="auto" w:fill="EBEBEC"/>
          </w:tcPr>
          <w:p>
            <w:pPr>
              <w:jc w:val="center"/>
              <w:spacing w:after="0" w:line="202" w:lineRule="exact"/>
              <w:rPr>
                <w:sz w:val="20"/>
                <w:szCs w:val="20"/>
                <w:color w:val="auto"/>
              </w:rPr>
            </w:pPr>
            <w:r>
              <w:rPr>
                <w:rFonts w:ascii="Arial" w:cs="Arial" w:eastAsia="Arial" w:hAnsi="Arial"/>
                <w:sz w:val="18"/>
                <w:szCs w:val="18"/>
                <w:color w:val="auto"/>
                <w:w w:val="97"/>
              </w:rPr>
              <w:t>0.00%</w:t>
            </w:r>
          </w:p>
        </w:tc>
      </w:tr>
      <w:tr>
        <w:trPr>
          <w:trHeight w:val="203"/>
        </w:trPr>
        <w:tc>
          <w:tcPr>
            <w:tcW w:w="7440" w:type="dxa"/>
            <w:vAlign w:val="bottom"/>
            <w:shd w:val="clear" w:color="auto" w:fill="EBEBEC"/>
          </w:tcPr>
          <w:p>
            <w:pPr>
              <w:ind w:left="140"/>
              <w:spacing w:after="0" w:line="202" w:lineRule="exact"/>
              <w:rPr>
                <w:sz w:val="20"/>
                <w:szCs w:val="20"/>
                <w:color w:val="auto"/>
              </w:rPr>
            </w:pPr>
            <w:r>
              <w:rPr>
                <w:rFonts w:ascii="Arial" w:cs="Arial" w:eastAsia="Arial" w:hAnsi="Arial"/>
                <w:sz w:val="18"/>
                <w:szCs w:val="18"/>
                <w:color w:val="auto"/>
              </w:rPr>
              <w:t>Christian S. Kendall</w:t>
            </w:r>
          </w:p>
        </w:tc>
        <w:tc>
          <w:tcPr>
            <w:tcW w:w="1780" w:type="dxa"/>
            <w:vAlign w:val="bottom"/>
            <w:shd w:val="clear" w:color="auto" w:fill="EBEBEC"/>
          </w:tcPr>
          <w:p>
            <w:pPr>
              <w:jc w:val="right"/>
              <w:ind w:right="32"/>
              <w:spacing w:after="0" w:line="202" w:lineRule="exact"/>
              <w:rPr>
                <w:sz w:val="20"/>
                <w:szCs w:val="20"/>
                <w:color w:val="auto"/>
              </w:rPr>
            </w:pPr>
            <w:r>
              <w:rPr>
                <w:rFonts w:ascii="Arial" w:cs="Arial" w:eastAsia="Arial" w:hAnsi="Arial"/>
                <w:sz w:val="18"/>
                <w:szCs w:val="18"/>
                <w:color w:val="auto"/>
              </w:rPr>
              <w:t>20,895</w:t>
            </w:r>
          </w:p>
        </w:tc>
        <w:tc>
          <w:tcPr>
            <w:tcW w:w="2020" w:type="dxa"/>
            <w:vAlign w:val="bottom"/>
            <w:shd w:val="clear" w:color="auto" w:fill="EBEBEC"/>
          </w:tcPr>
          <w:p>
            <w:pPr>
              <w:jc w:val="center"/>
              <w:spacing w:after="0" w:line="202" w:lineRule="exact"/>
              <w:rPr>
                <w:sz w:val="20"/>
                <w:szCs w:val="20"/>
                <w:color w:val="auto"/>
              </w:rPr>
            </w:pPr>
            <w:r>
              <w:rPr>
                <w:rFonts w:ascii="Arial" w:cs="Arial" w:eastAsia="Arial" w:hAnsi="Arial"/>
                <w:sz w:val="18"/>
                <w:szCs w:val="18"/>
                <w:color w:val="auto"/>
                <w:w w:val="97"/>
              </w:rPr>
              <w:t>0.02%</w:t>
            </w:r>
          </w:p>
        </w:tc>
      </w:tr>
      <w:tr>
        <w:trPr>
          <w:trHeight w:val="203"/>
        </w:trPr>
        <w:tc>
          <w:tcPr>
            <w:tcW w:w="7440" w:type="dxa"/>
            <w:vAlign w:val="bottom"/>
            <w:shd w:val="clear" w:color="auto" w:fill="EBEBEC"/>
          </w:tcPr>
          <w:p>
            <w:pPr>
              <w:ind w:left="140"/>
              <w:spacing w:after="0" w:line="202" w:lineRule="exact"/>
              <w:rPr>
                <w:sz w:val="20"/>
                <w:szCs w:val="20"/>
                <w:color w:val="auto"/>
              </w:rPr>
            </w:pPr>
            <w:r>
              <w:rPr>
                <w:rFonts w:ascii="Arial" w:cs="Arial" w:eastAsia="Arial" w:hAnsi="Arial"/>
                <w:sz w:val="18"/>
                <w:szCs w:val="18"/>
                <w:color w:val="auto"/>
              </w:rPr>
              <w:t>Francisco L. Leon</w:t>
            </w:r>
          </w:p>
        </w:tc>
        <w:tc>
          <w:tcPr>
            <w:tcW w:w="1780" w:type="dxa"/>
            <w:vAlign w:val="bottom"/>
            <w:shd w:val="clear" w:color="auto" w:fill="EBEBEC"/>
          </w:tcPr>
          <w:p>
            <w:pPr>
              <w:jc w:val="right"/>
              <w:ind w:right="32"/>
              <w:spacing w:after="0" w:line="202" w:lineRule="exact"/>
              <w:rPr>
                <w:sz w:val="20"/>
                <w:szCs w:val="20"/>
                <w:color w:val="auto"/>
              </w:rPr>
            </w:pPr>
            <w:r>
              <w:rPr>
                <w:rFonts w:ascii="Arial" w:cs="Arial" w:eastAsia="Arial" w:hAnsi="Arial"/>
                <w:sz w:val="18"/>
                <w:szCs w:val="18"/>
                <w:color w:val="auto"/>
              </w:rPr>
              <w:t>122,287</w:t>
            </w:r>
          </w:p>
        </w:tc>
        <w:tc>
          <w:tcPr>
            <w:tcW w:w="2020" w:type="dxa"/>
            <w:vAlign w:val="bottom"/>
            <w:shd w:val="clear" w:color="auto" w:fill="EBEBEC"/>
          </w:tcPr>
          <w:p>
            <w:pPr>
              <w:jc w:val="center"/>
              <w:spacing w:after="0" w:line="202" w:lineRule="exact"/>
              <w:rPr>
                <w:sz w:val="20"/>
                <w:szCs w:val="20"/>
                <w:color w:val="auto"/>
              </w:rPr>
            </w:pPr>
            <w:r>
              <w:rPr>
                <w:rFonts w:ascii="Arial" w:cs="Arial" w:eastAsia="Arial" w:hAnsi="Arial"/>
                <w:sz w:val="18"/>
                <w:szCs w:val="18"/>
                <w:color w:val="auto"/>
                <w:w w:val="97"/>
              </w:rPr>
              <w:t>0.13%</w:t>
            </w:r>
          </w:p>
        </w:tc>
      </w:tr>
      <w:tr>
        <w:trPr>
          <w:trHeight w:val="203"/>
        </w:trPr>
        <w:tc>
          <w:tcPr>
            <w:tcW w:w="7440" w:type="dxa"/>
            <w:vAlign w:val="bottom"/>
            <w:shd w:val="clear" w:color="auto" w:fill="EBEBEC"/>
          </w:tcPr>
          <w:p>
            <w:pPr>
              <w:ind w:left="140"/>
              <w:spacing w:after="0" w:line="202" w:lineRule="exact"/>
              <w:rPr>
                <w:sz w:val="20"/>
                <w:szCs w:val="20"/>
                <w:color w:val="auto"/>
              </w:rPr>
            </w:pPr>
            <w:r>
              <w:rPr>
                <w:rFonts w:ascii="Arial" w:cs="Arial" w:eastAsia="Arial" w:hAnsi="Arial"/>
                <w:sz w:val="18"/>
                <w:szCs w:val="18"/>
                <w:color w:val="auto"/>
              </w:rPr>
              <w:t>Mark A. (Mac) McFarland</w:t>
            </w:r>
          </w:p>
        </w:tc>
        <w:tc>
          <w:tcPr>
            <w:tcW w:w="1780" w:type="dxa"/>
            <w:vAlign w:val="bottom"/>
            <w:shd w:val="clear" w:color="auto" w:fill="EBEBEC"/>
          </w:tcPr>
          <w:p>
            <w:pPr>
              <w:jc w:val="right"/>
              <w:ind w:right="32"/>
              <w:spacing w:after="0" w:line="202" w:lineRule="exact"/>
              <w:rPr>
                <w:sz w:val="20"/>
                <w:szCs w:val="20"/>
                <w:color w:val="auto"/>
              </w:rPr>
            </w:pPr>
            <w:r>
              <w:rPr>
                <w:rFonts w:ascii="Arial" w:cs="Arial" w:eastAsia="Arial" w:hAnsi="Arial"/>
                <w:sz w:val="18"/>
                <w:szCs w:val="18"/>
                <w:color w:val="auto"/>
              </w:rPr>
              <w:t>16,872</w:t>
            </w:r>
          </w:p>
        </w:tc>
        <w:tc>
          <w:tcPr>
            <w:tcW w:w="2020" w:type="dxa"/>
            <w:vAlign w:val="bottom"/>
            <w:shd w:val="clear" w:color="auto" w:fill="EBEBEC"/>
          </w:tcPr>
          <w:p>
            <w:pPr>
              <w:jc w:val="center"/>
              <w:spacing w:after="0" w:line="202" w:lineRule="exact"/>
              <w:rPr>
                <w:sz w:val="20"/>
                <w:szCs w:val="20"/>
                <w:color w:val="auto"/>
              </w:rPr>
            </w:pPr>
            <w:r>
              <w:rPr>
                <w:rFonts w:ascii="Arial" w:cs="Arial" w:eastAsia="Arial" w:hAnsi="Arial"/>
                <w:sz w:val="18"/>
                <w:szCs w:val="18"/>
                <w:color w:val="auto"/>
                <w:w w:val="97"/>
              </w:rPr>
              <w:t>0.02%</w:t>
            </w:r>
          </w:p>
        </w:tc>
      </w:tr>
      <w:tr>
        <w:trPr>
          <w:trHeight w:val="203"/>
        </w:trPr>
        <w:tc>
          <w:tcPr>
            <w:tcW w:w="7440" w:type="dxa"/>
            <w:vAlign w:val="bottom"/>
            <w:shd w:val="clear" w:color="auto" w:fill="EBEBEC"/>
          </w:tcPr>
          <w:p>
            <w:pPr>
              <w:ind w:left="140"/>
              <w:spacing w:after="0" w:line="202" w:lineRule="exact"/>
              <w:rPr>
                <w:sz w:val="20"/>
                <w:szCs w:val="20"/>
                <w:color w:val="auto"/>
              </w:rPr>
            </w:pPr>
            <w:r>
              <w:rPr>
                <w:rFonts w:ascii="Arial" w:cs="Arial" w:eastAsia="Arial" w:hAnsi="Arial"/>
                <w:sz w:val="18"/>
                <w:szCs w:val="18"/>
                <w:color w:val="auto"/>
              </w:rPr>
              <w:t>William B. Roby</w:t>
            </w:r>
          </w:p>
        </w:tc>
        <w:tc>
          <w:tcPr>
            <w:tcW w:w="1780" w:type="dxa"/>
            <w:vAlign w:val="bottom"/>
            <w:shd w:val="clear" w:color="auto" w:fill="EBEBEC"/>
          </w:tcPr>
          <w:p>
            <w:pPr>
              <w:jc w:val="right"/>
              <w:ind w:right="32"/>
              <w:spacing w:after="0" w:line="202" w:lineRule="exact"/>
              <w:rPr>
                <w:sz w:val="20"/>
                <w:szCs w:val="20"/>
                <w:color w:val="auto"/>
              </w:rPr>
            </w:pPr>
            <w:r>
              <w:rPr>
                <w:rFonts w:ascii="Arial" w:cs="Arial" w:eastAsia="Arial" w:hAnsi="Arial"/>
                <w:sz w:val="18"/>
                <w:szCs w:val="18"/>
                <w:color w:val="auto"/>
              </w:rPr>
              <w:t>9,570</w:t>
            </w:r>
          </w:p>
        </w:tc>
        <w:tc>
          <w:tcPr>
            <w:tcW w:w="2020" w:type="dxa"/>
            <w:vAlign w:val="bottom"/>
            <w:shd w:val="clear" w:color="auto" w:fill="EBEBEC"/>
          </w:tcPr>
          <w:p>
            <w:pPr>
              <w:jc w:val="center"/>
              <w:spacing w:after="0" w:line="202" w:lineRule="exact"/>
              <w:rPr>
                <w:sz w:val="20"/>
                <w:szCs w:val="20"/>
                <w:color w:val="auto"/>
              </w:rPr>
            </w:pPr>
            <w:r>
              <w:rPr>
                <w:rFonts w:ascii="Arial" w:cs="Arial" w:eastAsia="Arial" w:hAnsi="Arial"/>
                <w:sz w:val="18"/>
                <w:szCs w:val="18"/>
                <w:color w:val="auto"/>
                <w:w w:val="97"/>
              </w:rPr>
              <w:t>0.01%</w:t>
            </w:r>
          </w:p>
        </w:tc>
      </w:tr>
      <w:tr>
        <w:trPr>
          <w:trHeight w:val="203"/>
        </w:trPr>
        <w:tc>
          <w:tcPr>
            <w:tcW w:w="7440" w:type="dxa"/>
            <w:vAlign w:val="bottom"/>
            <w:shd w:val="clear" w:color="auto" w:fill="EBEBEC"/>
          </w:tcPr>
          <w:p>
            <w:pPr>
              <w:ind w:left="140"/>
              <w:spacing w:after="0" w:line="202" w:lineRule="exact"/>
              <w:rPr>
                <w:sz w:val="20"/>
                <w:szCs w:val="20"/>
                <w:color w:val="auto"/>
              </w:rPr>
            </w:pPr>
            <w:r>
              <w:rPr>
                <w:rFonts w:ascii="Arial" w:cs="Arial" w:eastAsia="Arial" w:hAnsi="Arial"/>
                <w:sz w:val="18"/>
                <w:szCs w:val="18"/>
                <w:color w:val="auto"/>
              </w:rPr>
              <w:t>Bobby Saadati</w:t>
            </w:r>
          </w:p>
        </w:tc>
        <w:tc>
          <w:tcPr>
            <w:tcW w:w="1780" w:type="dxa"/>
            <w:vAlign w:val="bottom"/>
            <w:shd w:val="clear" w:color="auto" w:fill="EBEBE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20" w:type="dxa"/>
            <w:vAlign w:val="bottom"/>
            <w:shd w:val="clear" w:color="auto" w:fill="EBEBEC"/>
          </w:tcPr>
          <w:p>
            <w:pPr>
              <w:jc w:val="center"/>
              <w:spacing w:after="0" w:line="202" w:lineRule="exact"/>
              <w:rPr>
                <w:sz w:val="20"/>
                <w:szCs w:val="20"/>
                <w:color w:val="auto"/>
              </w:rPr>
            </w:pPr>
            <w:r>
              <w:rPr>
                <w:rFonts w:ascii="Arial" w:cs="Arial" w:eastAsia="Arial" w:hAnsi="Arial"/>
                <w:sz w:val="18"/>
                <w:szCs w:val="18"/>
                <w:color w:val="auto"/>
                <w:w w:val="97"/>
              </w:rPr>
              <w:t>0.00%</w:t>
            </w:r>
          </w:p>
        </w:tc>
      </w:tr>
      <w:tr>
        <w:trPr>
          <w:trHeight w:val="203"/>
        </w:trPr>
        <w:tc>
          <w:tcPr>
            <w:tcW w:w="7440" w:type="dxa"/>
            <w:vAlign w:val="bottom"/>
            <w:shd w:val="clear" w:color="auto" w:fill="EBEBEC"/>
          </w:tcPr>
          <w:p>
            <w:pPr>
              <w:ind w:left="140"/>
              <w:spacing w:after="0" w:line="202" w:lineRule="exact"/>
              <w:rPr>
                <w:sz w:val="20"/>
                <w:szCs w:val="20"/>
                <w:color w:val="auto"/>
              </w:rPr>
            </w:pPr>
            <w:r>
              <w:rPr>
                <w:rFonts w:ascii="Arial" w:cs="Arial" w:eastAsia="Arial" w:hAnsi="Arial"/>
                <w:sz w:val="18"/>
                <w:szCs w:val="18"/>
                <w:color w:val="auto"/>
              </w:rPr>
              <w:t>Alejandra (Ale) Veltmann</w:t>
            </w:r>
          </w:p>
        </w:tc>
        <w:tc>
          <w:tcPr>
            <w:tcW w:w="1780" w:type="dxa"/>
            <w:vAlign w:val="bottom"/>
            <w:shd w:val="clear" w:color="auto" w:fill="EBEBE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20" w:type="dxa"/>
            <w:vAlign w:val="bottom"/>
            <w:shd w:val="clear" w:color="auto" w:fill="EBEBEC"/>
          </w:tcPr>
          <w:p>
            <w:pPr>
              <w:jc w:val="center"/>
              <w:spacing w:after="0" w:line="202" w:lineRule="exact"/>
              <w:rPr>
                <w:sz w:val="20"/>
                <w:szCs w:val="20"/>
                <w:color w:val="auto"/>
              </w:rPr>
            </w:pPr>
            <w:r>
              <w:rPr>
                <w:rFonts w:ascii="Arial" w:cs="Arial" w:eastAsia="Arial" w:hAnsi="Arial"/>
                <w:sz w:val="18"/>
                <w:szCs w:val="18"/>
                <w:color w:val="auto"/>
                <w:w w:val="97"/>
              </w:rPr>
              <w:t>0.00%</w:t>
            </w:r>
          </w:p>
        </w:tc>
      </w:tr>
      <w:tr>
        <w:trPr>
          <w:trHeight w:val="203"/>
        </w:trPr>
        <w:tc>
          <w:tcPr>
            <w:tcW w:w="7440" w:type="dxa"/>
            <w:vAlign w:val="bottom"/>
            <w:shd w:val="clear" w:color="auto" w:fill="EBEBEC"/>
          </w:tcPr>
          <w:p>
            <w:pPr>
              <w:ind w:left="140"/>
              <w:spacing w:after="0" w:line="202" w:lineRule="exact"/>
              <w:rPr>
                <w:sz w:val="20"/>
                <w:szCs w:val="20"/>
                <w:color w:val="auto"/>
              </w:rPr>
            </w:pPr>
            <w:r>
              <w:rPr>
                <w:rFonts w:ascii="Arial" w:cs="Arial" w:eastAsia="Arial" w:hAnsi="Arial"/>
                <w:sz w:val="18"/>
                <w:szCs w:val="18"/>
                <w:color w:val="auto"/>
              </w:rPr>
              <w:t>Jay A. Bys</w:t>
            </w:r>
          </w:p>
        </w:tc>
        <w:tc>
          <w:tcPr>
            <w:tcW w:w="1780" w:type="dxa"/>
            <w:vAlign w:val="bottom"/>
            <w:shd w:val="clear" w:color="auto" w:fill="EBEBEC"/>
          </w:tcPr>
          <w:p>
            <w:pPr>
              <w:jc w:val="right"/>
              <w:ind w:right="32"/>
              <w:spacing w:after="0" w:line="202" w:lineRule="exact"/>
              <w:rPr>
                <w:sz w:val="20"/>
                <w:szCs w:val="20"/>
                <w:color w:val="auto"/>
              </w:rPr>
            </w:pPr>
            <w:r>
              <w:rPr>
                <w:rFonts w:ascii="Arial" w:cs="Arial" w:eastAsia="Arial" w:hAnsi="Arial"/>
                <w:sz w:val="18"/>
                <w:szCs w:val="18"/>
                <w:color w:val="auto"/>
              </w:rPr>
              <w:t>104,825</w:t>
            </w:r>
          </w:p>
        </w:tc>
        <w:tc>
          <w:tcPr>
            <w:tcW w:w="2020" w:type="dxa"/>
            <w:vAlign w:val="bottom"/>
            <w:shd w:val="clear" w:color="auto" w:fill="EBEBEC"/>
          </w:tcPr>
          <w:p>
            <w:pPr>
              <w:jc w:val="center"/>
              <w:spacing w:after="0" w:line="202" w:lineRule="exact"/>
              <w:rPr>
                <w:sz w:val="20"/>
                <w:szCs w:val="20"/>
                <w:color w:val="auto"/>
              </w:rPr>
            </w:pPr>
            <w:r>
              <w:rPr>
                <w:rFonts w:ascii="Arial" w:cs="Arial" w:eastAsia="Arial" w:hAnsi="Arial"/>
                <w:sz w:val="18"/>
                <w:szCs w:val="18"/>
                <w:color w:val="auto"/>
                <w:w w:val="97"/>
              </w:rPr>
              <w:t>0.12%</w:t>
            </w:r>
          </w:p>
        </w:tc>
      </w:tr>
      <w:tr>
        <w:trPr>
          <w:trHeight w:val="203"/>
        </w:trPr>
        <w:tc>
          <w:tcPr>
            <w:tcW w:w="7440" w:type="dxa"/>
            <w:vAlign w:val="bottom"/>
            <w:shd w:val="clear" w:color="auto" w:fill="EBEBEC"/>
          </w:tcPr>
          <w:p>
            <w:pPr>
              <w:ind w:left="140"/>
              <w:spacing w:after="0" w:line="202" w:lineRule="exact"/>
              <w:rPr>
                <w:sz w:val="20"/>
                <w:szCs w:val="20"/>
                <w:color w:val="auto"/>
              </w:rPr>
            </w:pPr>
            <w:r>
              <w:rPr>
                <w:rFonts w:ascii="Arial" w:cs="Arial" w:eastAsia="Arial" w:hAnsi="Arial"/>
                <w:sz w:val="18"/>
                <w:szCs w:val="18"/>
                <w:color w:val="auto"/>
              </w:rPr>
              <w:t>Clio Crespy</w:t>
            </w:r>
          </w:p>
        </w:tc>
        <w:tc>
          <w:tcPr>
            <w:tcW w:w="1780" w:type="dxa"/>
            <w:vAlign w:val="bottom"/>
            <w:shd w:val="clear" w:color="auto" w:fill="EBEBE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20" w:type="dxa"/>
            <w:vAlign w:val="bottom"/>
            <w:shd w:val="clear" w:color="auto" w:fill="EBEBEC"/>
          </w:tcPr>
          <w:p>
            <w:pPr>
              <w:jc w:val="center"/>
              <w:spacing w:after="0" w:line="202" w:lineRule="exact"/>
              <w:rPr>
                <w:sz w:val="20"/>
                <w:szCs w:val="20"/>
                <w:color w:val="auto"/>
              </w:rPr>
            </w:pPr>
            <w:r>
              <w:rPr>
                <w:rFonts w:ascii="Arial" w:cs="Arial" w:eastAsia="Arial" w:hAnsi="Arial"/>
                <w:sz w:val="18"/>
                <w:szCs w:val="18"/>
                <w:color w:val="auto"/>
                <w:w w:val="97"/>
              </w:rPr>
              <w:t>0.00%</w:t>
            </w:r>
          </w:p>
        </w:tc>
      </w:tr>
      <w:tr>
        <w:trPr>
          <w:trHeight w:val="203"/>
        </w:trPr>
        <w:tc>
          <w:tcPr>
            <w:tcW w:w="7440" w:type="dxa"/>
            <w:vAlign w:val="bottom"/>
            <w:shd w:val="clear" w:color="auto" w:fill="EBEBEC"/>
          </w:tcPr>
          <w:p>
            <w:pPr>
              <w:ind w:left="140"/>
              <w:spacing w:after="0" w:line="202" w:lineRule="exact"/>
              <w:rPr>
                <w:sz w:val="20"/>
                <w:szCs w:val="20"/>
                <w:color w:val="auto"/>
              </w:rPr>
            </w:pPr>
            <w:r>
              <w:rPr>
                <w:rFonts w:ascii="Arial" w:cs="Arial" w:eastAsia="Arial" w:hAnsi="Arial"/>
                <w:sz w:val="18"/>
                <w:szCs w:val="18"/>
                <w:color w:val="auto"/>
              </w:rPr>
              <w:t>Chris D. Gould</w:t>
            </w:r>
          </w:p>
        </w:tc>
        <w:tc>
          <w:tcPr>
            <w:tcW w:w="1780" w:type="dxa"/>
            <w:vAlign w:val="bottom"/>
            <w:shd w:val="clear" w:color="auto" w:fill="EBEBEC"/>
          </w:tcPr>
          <w:p>
            <w:pPr>
              <w:jc w:val="right"/>
              <w:ind w:right="32"/>
              <w:spacing w:after="0" w:line="202" w:lineRule="exact"/>
              <w:rPr>
                <w:sz w:val="20"/>
                <w:szCs w:val="20"/>
                <w:color w:val="auto"/>
              </w:rPr>
            </w:pPr>
            <w:r>
              <w:rPr>
                <w:rFonts w:ascii="Arial" w:cs="Arial" w:eastAsia="Arial" w:hAnsi="Arial"/>
                <w:sz w:val="18"/>
                <w:szCs w:val="18"/>
                <w:color w:val="auto"/>
              </w:rPr>
              <w:t>73,865</w:t>
            </w:r>
          </w:p>
        </w:tc>
        <w:tc>
          <w:tcPr>
            <w:tcW w:w="2020" w:type="dxa"/>
            <w:vAlign w:val="bottom"/>
            <w:shd w:val="clear" w:color="auto" w:fill="EBEBEC"/>
          </w:tcPr>
          <w:p>
            <w:pPr>
              <w:jc w:val="center"/>
              <w:spacing w:after="0" w:line="202" w:lineRule="exact"/>
              <w:rPr>
                <w:sz w:val="20"/>
                <w:szCs w:val="20"/>
                <w:color w:val="auto"/>
              </w:rPr>
            </w:pPr>
            <w:r>
              <w:rPr>
                <w:rFonts w:ascii="Arial" w:cs="Arial" w:eastAsia="Arial" w:hAnsi="Arial"/>
                <w:sz w:val="18"/>
                <w:szCs w:val="18"/>
                <w:color w:val="auto"/>
                <w:w w:val="97"/>
              </w:rPr>
              <w:t>0.08%</w:t>
            </w:r>
          </w:p>
        </w:tc>
      </w:tr>
      <w:tr>
        <w:trPr>
          <w:trHeight w:val="203"/>
        </w:trPr>
        <w:tc>
          <w:tcPr>
            <w:tcW w:w="7440" w:type="dxa"/>
            <w:vAlign w:val="bottom"/>
            <w:shd w:val="clear" w:color="auto" w:fill="EBEBEC"/>
          </w:tcPr>
          <w:p>
            <w:pPr>
              <w:ind w:left="140"/>
              <w:spacing w:after="0" w:line="202" w:lineRule="exact"/>
              <w:rPr>
                <w:sz w:val="20"/>
                <w:szCs w:val="20"/>
                <w:color w:val="auto"/>
              </w:rPr>
            </w:pPr>
            <w:r>
              <w:rPr>
                <w:rFonts w:ascii="Arial" w:cs="Arial" w:eastAsia="Arial" w:hAnsi="Arial"/>
                <w:sz w:val="18"/>
                <w:szCs w:val="18"/>
                <w:color w:val="auto"/>
              </w:rPr>
              <w:t>Michael L. Preston</w:t>
            </w:r>
          </w:p>
        </w:tc>
        <w:tc>
          <w:tcPr>
            <w:tcW w:w="1780" w:type="dxa"/>
            <w:vAlign w:val="bottom"/>
            <w:shd w:val="clear" w:color="auto" w:fill="EBEBEC"/>
          </w:tcPr>
          <w:p>
            <w:pPr>
              <w:jc w:val="right"/>
              <w:ind w:right="32"/>
              <w:spacing w:after="0" w:line="202" w:lineRule="exact"/>
              <w:rPr>
                <w:sz w:val="20"/>
                <w:szCs w:val="20"/>
                <w:color w:val="auto"/>
              </w:rPr>
            </w:pPr>
            <w:r>
              <w:rPr>
                <w:rFonts w:ascii="Arial" w:cs="Arial" w:eastAsia="Arial" w:hAnsi="Arial"/>
                <w:sz w:val="18"/>
                <w:szCs w:val="18"/>
                <w:color w:val="auto"/>
              </w:rPr>
              <w:t>26,409</w:t>
            </w:r>
          </w:p>
        </w:tc>
        <w:tc>
          <w:tcPr>
            <w:tcW w:w="2020" w:type="dxa"/>
            <w:vAlign w:val="bottom"/>
            <w:shd w:val="clear" w:color="auto" w:fill="EBEBEC"/>
          </w:tcPr>
          <w:p>
            <w:pPr>
              <w:jc w:val="center"/>
              <w:spacing w:after="0" w:line="202" w:lineRule="exact"/>
              <w:rPr>
                <w:sz w:val="20"/>
                <w:szCs w:val="20"/>
                <w:color w:val="auto"/>
              </w:rPr>
            </w:pPr>
            <w:r>
              <w:rPr>
                <w:rFonts w:ascii="Arial" w:cs="Arial" w:eastAsia="Arial" w:hAnsi="Arial"/>
                <w:sz w:val="18"/>
                <w:szCs w:val="18"/>
                <w:color w:val="auto"/>
                <w:w w:val="97"/>
              </w:rPr>
              <w:t>0.03%</w:t>
            </w:r>
          </w:p>
        </w:tc>
      </w:tr>
      <w:tr>
        <w:trPr>
          <w:trHeight w:val="203"/>
        </w:trPr>
        <w:tc>
          <w:tcPr>
            <w:tcW w:w="7440" w:type="dxa"/>
            <w:vAlign w:val="bottom"/>
            <w:shd w:val="clear" w:color="auto" w:fill="EBEBEC"/>
          </w:tcPr>
          <w:p>
            <w:pPr>
              <w:ind w:left="140"/>
              <w:spacing w:after="0" w:line="202" w:lineRule="exact"/>
              <w:rPr>
                <w:sz w:val="20"/>
                <w:szCs w:val="20"/>
                <w:color w:val="auto"/>
              </w:rPr>
            </w:pPr>
            <w:r>
              <w:rPr>
                <w:rFonts w:ascii="Arial" w:cs="Arial" w:eastAsia="Arial" w:hAnsi="Arial"/>
                <w:sz w:val="18"/>
                <w:szCs w:val="18"/>
                <w:color w:val="auto"/>
              </w:rPr>
              <w:t>Executive officers and directors as a group (consisting</w:t>
            </w:r>
          </w:p>
        </w:tc>
        <w:tc>
          <w:tcPr>
            <w:tcW w:w="1780" w:type="dxa"/>
            <w:vAlign w:val="bottom"/>
            <w:shd w:val="clear" w:color="auto" w:fill="EBEBEC"/>
          </w:tcPr>
          <w:p>
            <w:pPr>
              <w:spacing w:after="0"/>
              <w:rPr>
                <w:sz w:val="17"/>
                <w:szCs w:val="17"/>
                <w:color w:val="auto"/>
              </w:rPr>
            </w:pPr>
          </w:p>
        </w:tc>
        <w:tc>
          <w:tcPr>
            <w:tcW w:w="2020" w:type="dxa"/>
            <w:vAlign w:val="bottom"/>
            <w:shd w:val="clear" w:color="auto" w:fill="EBEBEC"/>
          </w:tcPr>
          <w:p>
            <w:pPr>
              <w:spacing w:after="0"/>
              <w:rPr>
                <w:sz w:val="17"/>
                <w:szCs w:val="17"/>
                <w:color w:val="auto"/>
              </w:rPr>
            </w:pPr>
          </w:p>
        </w:tc>
      </w:tr>
      <w:tr>
        <w:trPr>
          <w:trHeight w:val="221"/>
        </w:trPr>
        <w:tc>
          <w:tcPr>
            <w:tcW w:w="7440" w:type="dxa"/>
            <w:vAlign w:val="bottom"/>
            <w:shd w:val="clear" w:color="auto" w:fill="EBEBEC"/>
          </w:tcPr>
          <w:p>
            <w:pPr>
              <w:ind w:left="300"/>
              <w:spacing w:after="0"/>
              <w:rPr>
                <w:sz w:val="20"/>
                <w:szCs w:val="20"/>
                <w:color w:val="auto"/>
              </w:rPr>
            </w:pPr>
            <w:r>
              <w:rPr>
                <w:rFonts w:ascii="Arial" w:cs="Arial" w:eastAsia="Arial" w:hAnsi="Arial"/>
                <w:sz w:val="18"/>
                <w:szCs w:val="18"/>
                <w:color w:val="auto"/>
              </w:rPr>
              <w:t>of 16 persons)</w:t>
            </w:r>
          </w:p>
        </w:tc>
        <w:tc>
          <w:tcPr>
            <w:tcW w:w="178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398,058</w:t>
            </w:r>
          </w:p>
        </w:tc>
        <w:tc>
          <w:tcPr>
            <w:tcW w:w="202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7"/>
              </w:rPr>
              <w:t>0.44%</w:t>
            </w:r>
          </w:p>
        </w:tc>
      </w:tr>
    </w:tbl>
    <w:p>
      <w:pPr>
        <w:spacing w:after="0" w:line="3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Less than 1%.</w:t>
      </w:r>
    </w:p>
    <w:p>
      <w:pPr>
        <w:spacing w:after="0" w:line="109" w:lineRule="exact"/>
        <w:rPr>
          <w:sz w:val="20"/>
          <w:szCs w:val="20"/>
          <w:color w:val="auto"/>
        </w:rPr>
      </w:pPr>
    </w:p>
    <w:p>
      <w:pPr>
        <w:ind w:left="320" w:right="220" w:hanging="312"/>
        <w:spacing w:after="0" w:line="285" w:lineRule="auto"/>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Unless otherwise noted below, the address for each beneficial owner is c/o California Resources Corporation, 1 World Trade Center, Suite 1500, Long Beach, California 90831.</w:t>
      </w:r>
    </w:p>
    <w:p>
      <w:pPr>
        <w:spacing w:after="0" w:line="49" w:lineRule="exact"/>
        <w:rPr>
          <w:rFonts w:ascii="Arial" w:cs="Arial" w:eastAsia="Arial" w:hAnsi="Arial"/>
          <w:sz w:val="14"/>
          <w:szCs w:val="14"/>
          <w:color w:val="auto"/>
        </w:rPr>
      </w:pPr>
    </w:p>
    <w:p>
      <w:pPr>
        <w:ind w:left="320" w:hanging="312"/>
        <w:spacing w:after="0"/>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Except as otherwise noted below, based on total shares outstanding of 90,646,665 as of March 10, 2025.</w:t>
      </w:r>
    </w:p>
    <w:p>
      <w:pPr>
        <w:spacing w:after="0" w:line="109" w:lineRule="exact"/>
        <w:rPr>
          <w:rFonts w:ascii="Arial" w:cs="Arial" w:eastAsia="Arial" w:hAnsi="Arial"/>
          <w:sz w:val="14"/>
          <w:szCs w:val="14"/>
          <w:color w:val="auto"/>
        </w:rPr>
      </w:pPr>
    </w:p>
    <w:p>
      <w:pPr>
        <w:ind w:left="320" w:right="140" w:hanging="312"/>
        <w:spacing w:after="0" w:line="263" w:lineRule="auto"/>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Based on Amendment No. 5 to Schedule 13G filed with the SEC on November 12, 2024 by BlackRock, Inc. (“</w:t>
      </w:r>
      <w:r>
        <w:rPr>
          <w:rFonts w:ascii="Arial" w:cs="Arial" w:eastAsia="Arial" w:hAnsi="Arial"/>
          <w:sz w:val="14"/>
          <w:szCs w:val="14"/>
          <w:b w:val="1"/>
          <w:bCs w:val="1"/>
          <w:i w:val="1"/>
          <w:iCs w:val="1"/>
          <w:color w:val="auto"/>
        </w:rPr>
        <w:t>BlackRock</w:t>
      </w:r>
      <w:r>
        <w:rPr>
          <w:rFonts w:ascii="Arial" w:cs="Arial" w:eastAsia="Arial" w:hAnsi="Arial"/>
          <w:sz w:val="14"/>
          <w:szCs w:val="14"/>
          <w:color w:val="auto"/>
        </w:rPr>
        <w:t>”). BlackRock has sole voting power with respect to 10,545,719 shares of common stock, and sole dispositive power with respect to 10,715,888 shares of common stock. BlackRock’s address is 50 Hudson Yards, New York, NY 10001.</w:t>
      </w:r>
    </w:p>
    <w:p>
      <w:pPr>
        <w:spacing w:after="0" w:line="64" w:lineRule="exact"/>
        <w:rPr>
          <w:rFonts w:ascii="Arial" w:cs="Arial" w:eastAsia="Arial" w:hAnsi="Arial"/>
          <w:sz w:val="14"/>
          <w:szCs w:val="14"/>
          <w:color w:val="auto"/>
        </w:rPr>
      </w:pPr>
    </w:p>
    <w:p>
      <w:pPr>
        <w:ind w:left="320" w:right="60" w:hanging="312"/>
        <w:spacing w:after="0" w:line="248" w:lineRule="auto"/>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Based on Schedule 13D filed with the SEC on July 9, 2024 by Canada Pension Plan Investment Board (“</w:t>
      </w:r>
      <w:r>
        <w:rPr>
          <w:rFonts w:ascii="Arial" w:cs="Arial" w:eastAsia="Arial" w:hAnsi="Arial"/>
          <w:sz w:val="14"/>
          <w:szCs w:val="14"/>
          <w:b w:val="1"/>
          <w:bCs w:val="1"/>
          <w:i w:val="1"/>
          <w:iCs w:val="1"/>
          <w:color w:val="auto"/>
        </w:rPr>
        <w:t>CPPIB</w:t>
      </w:r>
      <w:r>
        <w:rPr>
          <w:rFonts w:ascii="Arial" w:cs="Arial" w:eastAsia="Arial" w:hAnsi="Arial"/>
          <w:sz w:val="14"/>
          <w:szCs w:val="14"/>
          <w:color w:val="auto"/>
        </w:rPr>
        <w:t>”) and certain other reporting persons. CPPIB has an aggregate beneficial ownership of 10,506,895 shares of common stock, or 11.8% of the class, and has shared voting and dispositive powers with respect to 10,506,895 shares of common stock. and CPP Investment Board Private Holdings (6), Inc. (“</w:t>
      </w:r>
      <w:r>
        <w:rPr>
          <w:rFonts w:ascii="Arial" w:cs="Arial" w:eastAsia="Arial" w:hAnsi="Arial"/>
          <w:sz w:val="14"/>
          <w:szCs w:val="14"/>
          <w:b w:val="1"/>
          <w:bCs w:val="1"/>
          <w:i w:val="1"/>
          <w:iCs w:val="1"/>
          <w:color w:val="auto"/>
        </w:rPr>
        <w:t>CPPIB-PH(6)</w:t>
      </w:r>
      <w:r>
        <w:rPr>
          <w:rFonts w:ascii="Arial" w:cs="Arial" w:eastAsia="Arial" w:hAnsi="Arial"/>
          <w:sz w:val="14"/>
          <w:szCs w:val="14"/>
          <w:color w:val="auto"/>
        </w:rPr>
        <w:t>”) is the wholly owned subsidiary of CPP Investment Board Private Holdings</w:t>
      </w:r>
    </w:p>
    <w:p>
      <w:pPr>
        <w:ind w:left="320" w:right="120"/>
        <w:spacing w:after="0" w:line="249" w:lineRule="auto"/>
        <w:rPr>
          <w:rFonts w:ascii="Arial" w:cs="Arial" w:eastAsia="Arial" w:hAnsi="Arial"/>
          <w:sz w:val="14"/>
          <w:szCs w:val="14"/>
          <w:color w:val="auto"/>
        </w:rPr>
      </w:pPr>
      <w:r>
        <w:rPr>
          <w:rFonts w:ascii="Arial" w:cs="Arial" w:eastAsia="Arial" w:hAnsi="Arial"/>
          <w:sz w:val="14"/>
          <w:szCs w:val="14"/>
          <w:color w:val="auto"/>
        </w:rPr>
        <w:t>(5), Inc. (“</w:t>
      </w:r>
      <w:r>
        <w:rPr>
          <w:rFonts w:ascii="Arial" w:cs="Arial" w:eastAsia="Arial" w:hAnsi="Arial"/>
          <w:sz w:val="14"/>
          <w:szCs w:val="14"/>
          <w:b w:val="1"/>
          <w:bCs w:val="1"/>
          <w:i w:val="1"/>
          <w:iCs w:val="1"/>
          <w:color w:val="auto"/>
        </w:rPr>
        <w:t>CPPIB-PH(5)</w:t>
      </w:r>
      <w:r>
        <w:rPr>
          <w:rFonts w:ascii="Arial" w:cs="Arial" w:eastAsia="Arial" w:hAnsi="Arial"/>
          <w:sz w:val="14"/>
          <w:szCs w:val="14"/>
          <w:color w:val="auto"/>
        </w:rPr>
        <w:t>”), which is the wholly owned subsidiary of CPPIB. CPPIB-PH(5) has an aggregate beneficial ownership of 10,506,895 shares of common stock, or 11.8% of the class, and has shared voting and dispositive powers with respect to 10,506,895 shares of common stock. CPPIB-PH(6) has an aggregate beneficial ownership of 10,506,895 shares of common stock, or 11.8% of the class, and has shared voting and dispositive powers with respect to 10,506,895 shares of common stock. CPPIB's address is c/o CPPIB, One Queen Street East, Suite 2500, ON M5C wW5 Canada.</w:t>
      </w:r>
    </w:p>
    <w:p>
      <w:pPr>
        <w:spacing w:after="0" w:line="73" w:lineRule="exact"/>
        <w:rPr>
          <w:rFonts w:ascii="Arial" w:cs="Arial" w:eastAsia="Arial" w:hAnsi="Arial"/>
          <w:sz w:val="14"/>
          <w:szCs w:val="14"/>
          <w:color w:val="auto"/>
        </w:rPr>
      </w:pPr>
    </w:p>
    <w:p>
      <w:pPr>
        <w:ind w:left="320" w:hanging="312"/>
        <w:spacing w:after="0" w:line="263" w:lineRule="auto"/>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Based on Amendment No. 6 to Schedule 13G filed with the SEC on November 12, 2024 by The Vanguard Group (“</w:t>
      </w:r>
      <w:r>
        <w:rPr>
          <w:rFonts w:ascii="Arial" w:cs="Arial" w:eastAsia="Arial" w:hAnsi="Arial"/>
          <w:sz w:val="14"/>
          <w:szCs w:val="14"/>
          <w:b w:val="1"/>
          <w:bCs w:val="1"/>
          <w:i w:val="1"/>
          <w:iCs w:val="1"/>
          <w:color w:val="auto"/>
        </w:rPr>
        <w:t>Vanguard</w:t>
      </w:r>
      <w:r>
        <w:rPr>
          <w:rFonts w:ascii="Arial" w:cs="Arial" w:eastAsia="Arial" w:hAnsi="Arial"/>
          <w:sz w:val="14"/>
          <w:szCs w:val="14"/>
          <w:color w:val="auto"/>
        </w:rPr>
        <w:t>”). Vanguard has shared voting power with respect to 51,522 shares of common stock, sole dispositive power with respect to 9,003,950 shares of common stock, and shared dispositive power with respect to 116,219 shares of common stock. Vanguard’s address is 100 Vanguard Blvd., Malvern, PA 19355.</w:t>
      </w:r>
    </w:p>
    <w:p>
      <w:pPr>
        <w:spacing w:after="0" w:line="20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9" w:name="page70"/>
    <w:bookmarkEnd w:id="69"/>
    <w:p>
      <w:pPr>
        <w:ind w:left="8932"/>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68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2025 PROXY STATEMENT</w:t>
      </w:r>
    </w:p>
    <w:p>
      <w:pPr>
        <w:spacing w:after="0" w:line="86" w:lineRule="exact"/>
        <w:rPr>
          <w:sz w:val="20"/>
          <w:szCs w:val="20"/>
          <w:color w:val="auto"/>
        </w:rPr>
      </w:pPr>
    </w:p>
    <w:p>
      <w:pPr>
        <w:ind w:left="9352"/>
        <w:spacing w:after="0"/>
        <w:rPr>
          <w:sz w:val="20"/>
          <w:szCs w:val="20"/>
          <w:color w:val="auto"/>
        </w:rPr>
      </w:pPr>
      <w:r>
        <w:rPr>
          <w:rFonts w:ascii="Arial" w:cs="Arial" w:eastAsia="Arial" w:hAnsi="Arial"/>
          <w:sz w:val="14"/>
          <w:szCs w:val="14"/>
          <w:color w:val="auto"/>
        </w:rPr>
        <w:t>Stock Ownership Information</w:t>
      </w:r>
    </w:p>
    <w:p>
      <w:pPr>
        <w:spacing w:after="0" w:line="271" w:lineRule="exact"/>
        <w:rPr>
          <w:sz w:val="20"/>
          <w:szCs w:val="20"/>
          <w:color w:val="auto"/>
        </w:rPr>
      </w:pPr>
    </w:p>
    <w:p>
      <w:pPr>
        <w:ind w:left="312" w:right="40" w:hanging="312"/>
        <w:spacing w:after="0" w:line="244" w:lineRule="auto"/>
        <w:tabs>
          <w:tab w:leader="none" w:pos="312" w:val="left"/>
        </w:tabs>
        <w:numPr>
          <w:ilvl w:val="0"/>
          <w:numId w:val="51"/>
        </w:numPr>
        <w:rPr>
          <w:rFonts w:ascii="Arial" w:cs="Arial" w:eastAsia="Arial" w:hAnsi="Arial"/>
          <w:sz w:val="14"/>
          <w:szCs w:val="14"/>
          <w:color w:val="auto"/>
        </w:rPr>
      </w:pPr>
      <w:r>
        <w:rPr>
          <w:rFonts w:ascii="Arial" w:cs="Arial" w:eastAsia="Arial" w:hAnsi="Arial"/>
          <w:sz w:val="14"/>
          <w:szCs w:val="14"/>
          <w:color w:val="auto"/>
        </w:rPr>
        <w:t>Based on Schedule 13D filed with the SEC on July 9, 2024 by IKAV Energy Inc. (“</w:t>
      </w:r>
      <w:r>
        <w:rPr>
          <w:rFonts w:ascii="Arial" w:cs="Arial" w:eastAsia="Arial" w:hAnsi="Arial"/>
          <w:sz w:val="14"/>
          <w:szCs w:val="14"/>
          <w:b w:val="1"/>
          <w:bCs w:val="1"/>
          <w:i w:val="1"/>
          <w:iCs w:val="1"/>
          <w:color w:val="auto"/>
        </w:rPr>
        <w:t>IKAV</w:t>
      </w:r>
      <w:r>
        <w:rPr>
          <w:rFonts w:ascii="Arial" w:cs="Arial" w:eastAsia="Arial" w:hAnsi="Arial"/>
          <w:sz w:val="14"/>
          <w:szCs w:val="14"/>
          <w:color w:val="auto"/>
        </w:rPr>
        <w:t>”) and certain other reporting persons. IKAV has an aggregate beneficial ownership of 114,504 shares of common stock, or 0.1% of the class, and has shared voting and dispositive powers with respect to 114,504 shares of common stock. SIMLOG Inc. has an aggregate beneficial ownership of 276,352 shares of common stock, or 0.3% of the class, and has shared voting and dispositive powers with respect to 276,352 shares of common stock. IKAV Impact S.à r.l. has an aggregate beneficial ownership of 8,371,203 shares of common stock, or 9.4% of the class, and has shared voting and dispositive powers with respect to 8,371,203 shares of common stock. IKAV Energy Inc. is wholly owned by IKAV Energy Holdings LLC, whose majority managing member is IKAV Inc. The shareholders of IKAV Inc. are IKAV Energy Spain, S.L. and Mr. von Wasserschleben. Mr. von Wasserschleben is the sole owner of IKAV Energy Spain, S.L. As such, each of the foregoing entities and Mr. von Wasserschleben may be deemed to share beneficial ownership of the securities held of record by IKAV Energy Inc. SIMLOG Inc. is wholly owned by Simlog S.à r.l., which is controlled by IKAV SICAV FIS SCA, whose general partner is IKAV General Partner S.à r.l., which is wholly owned by Institut für Kapitalanlagen und Vesicherungslösungen GmbH, whose majority owner is Mr. von Wasserschleben. As such, each of the foregoing entities and Mr. von Wasserschleben may be deemed to share beneficial ownership of the securities held of record by SIMLOG Inc. IKAV Impact S.à r.l. is controlled by IKAV SICAV FIS SCA, whose general partner is IKAV General Partner S.à r.l., which is wholly owned by Institut für Kapitalanlagen und Vesicherungslösungen GmbH, whose majority owner is Mr. von Wasserschleben. As such, each of the foregoing entities and Mr. von Wasserschleben may be deemed to share beneficial ownership of the securities held of record by IKAV Impact S.à r.l. The business address for IKAV Energy Inc., IKAV Energy Holdings LLC, IKAV Inc., SIMLOG Inc. and Mr. von Wasserschleben is 1201 Louisiana Street, Suite 3400, Houston, Texas 77002. The business address for Simlog S.à r.l., IKAV SICAV FIS SCA, IKAV General Partner S.à r.l. and IKAV Impact S.à r.l. is 74a, Route de Luxembourg, Wasserbillig, L-6633 Luxembourg. The business address for the Institut für Kapitalanlagen und Vesicherungslösungen GmbH is Holzdamm 14, 20099 Hamburg, Germany. The business address for IKAV Energy Spain is S.L. is Plaza Tirso de Molina 12, 1°Izda 28012 Madrid, Spain.</w:t>
      </w:r>
    </w:p>
    <w:p>
      <w:pPr>
        <w:spacing w:after="0" w:line="243" w:lineRule="exact"/>
        <w:rPr>
          <w:rFonts w:ascii="Arial" w:cs="Arial" w:eastAsia="Arial" w:hAnsi="Arial"/>
          <w:sz w:val="14"/>
          <w:szCs w:val="14"/>
          <w:color w:val="auto"/>
        </w:rPr>
      </w:pPr>
    </w:p>
    <w:p>
      <w:pPr>
        <w:ind w:left="312" w:right="100" w:hanging="312"/>
        <w:spacing w:after="0" w:line="245" w:lineRule="auto"/>
        <w:tabs>
          <w:tab w:leader="none" w:pos="312" w:val="left"/>
        </w:tabs>
        <w:numPr>
          <w:ilvl w:val="0"/>
          <w:numId w:val="51"/>
        </w:numPr>
        <w:rPr>
          <w:rFonts w:ascii="Arial" w:cs="Arial" w:eastAsia="Arial" w:hAnsi="Arial"/>
          <w:sz w:val="14"/>
          <w:szCs w:val="14"/>
          <w:color w:val="auto"/>
        </w:rPr>
      </w:pPr>
      <w:r>
        <w:rPr>
          <w:rFonts w:ascii="Arial" w:cs="Arial" w:eastAsia="Arial" w:hAnsi="Arial"/>
          <w:sz w:val="14"/>
          <w:szCs w:val="14"/>
          <w:color w:val="auto"/>
        </w:rPr>
        <w:t>Based on Amendment No. 5 to Schedule 13G filed with the SEC on February 14, 2025 by Solar Projects LLC (“</w:t>
      </w:r>
      <w:r>
        <w:rPr>
          <w:rFonts w:ascii="Arial" w:cs="Arial" w:eastAsia="Arial" w:hAnsi="Arial"/>
          <w:sz w:val="14"/>
          <w:szCs w:val="14"/>
          <w:b w:val="1"/>
          <w:bCs w:val="1"/>
          <w:i w:val="1"/>
          <w:iCs w:val="1"/>
          <w:color w:val="auto"/>
        </w:rPr>
        <w:t>Solar</w:t>
      </w:r>
      <w:r>
        <w:rPr>
          <w:rFonts w:ascii="Arial" w:cs="Arial" w:eastAsia="Arial" w:hAnsi="Arial"/>
          <w:sz w:val="14"/>
          <w:szCs w:val="14"/>
          <w:color w:val="auto"/>
        </w:rPr>
        <w:t>”) and certain other reporting persons. Solar has an aggregate beneficial ownership of 6,148,821 shares of common stock, or 6.73% of the class, and has shared voting and dispositive powers with respect to 6,148,821 shares of common stock. Solar’s sole member, Solar Trust No. 2 (“</w:t>
      </w:r>
      <w:r>
        <w:rPr>
          <w:rFonts w:ascii="Arial" w:cs="Arial" w:eastAsia="Arial" w:hAnsi="Arial"/>
          <w:sz w:val="14"/>
          <w:szCs w:val="14"/>
          <w:b w:val="1"/>
          <w:bCs w:val="1"/>
          <w:i w:val="1"/>
          <w:iCs w:val="1"/>
          <w:color w:val="auto"/>
        </w:rPr>
        <w:t>Solar Trust</w:t>
      </w:r>
      <w:r>
        <w:rPr>
          <w:rFonts w:ascii="Arial" w:cs="Arial" w:eastAsia="Arial" w:hAnsi="Arial"/>
          <w:sz w:val="14"/>
          <w:szCs w:val="14"/>
          <w:color w:val="auto"/>
        </w:rPr>
        <w:t>”), may be deemed to beneficially own the 6,148,821 shares of common stock beneficially owned by Solar, and has shared voting and dispositive powers with respect to 6,148,821 shares of common stock. Comeg Trust LLC (“</w:t>
      </w:r>
      <w:r>
        <w:rPr>
          <w:rFonts w:ascii="Arial" w:cs="Arial" w:eastAsia="Arial" w:hAnsi="Arial"/>
          <w:sz w:val="14"/>
          <w:szCs w:val="14"/>
          <w:b w:val="1"/>
          <w:bCs w:val="1"/>
          <w:i w:val="1"/>
          <w:iCs w:val="1"/>
          <w:color w:val="auto"/>
        </w:rPr>
        <w:t>Comeg LLC</w:t>
      </w:r>
      <w:r>
        <w:rPr>
          <w:rFonts w:ascii="Arial" w:cs="Arial" w:eastAsia="Arial" w:hAnsi="Arial"/>
          <w:sz w:val="14"/>
          <w:szCs w:val="14"/>
          <w:color w:val="auto"/>
        </w:rPr>
        <w:t>”), has an aggregate beneficial ownership of 91,044 shares of common stock or less than 1% of the class, and has shared voting and dispositive powers with respect to 91,044 shares of common stock. Comeg Trust, as the controlling member of Comeg LLC, may be deemed to beneficially own the 91,044 shares beneficially owned by Comeg LLC and has shared voting and dispositive powers with respect to 91,044 shares of common stock. David Scott Gimbel, as manager of Solar and Comeg LLC and the trustee of Solar Trust and Comeg Trust, has an aggregate beneficial ownership of 6,246,865 shares of common stock or 6.84% of the class, and has sole voting and dispositive powers with respect to 7,000 shares of common stock and shared voting and dispositive powers with respect to 6,239,865 shares of common stock. The address of Solar and Solar Trust is 1201 North Market Street, Suite 1002, Wilmington DE 19801.The address of Comeg LLC and Comeg Trust is 20 Montchanin, Suite 100, Greenville, Delaware 19807. The address of Mr. Gimbel is 323 Pablo Rd, Ponte Vedra Beach, Florida 32082.</w:t>
      </w:r>
    </w:p>
    <w:p>
      <w:pPr>
        <w:spacing w:after="0" w:line="82" w:lineRule="exact"/>
        <w:rPr>
          <w:rFonts w:ascii="Arial" w:cs="Arial" w:eastAsia="Arial" w:hAnsi="Arial"/>
          <w:sz w:val="14"/>
          <w:szCs w:val="14"/>
          <w:color w:val="auto"/>
        </w:rPr>
      </w:pPr>
    </w:p>
    <w:p>
      <w:pPr>
        <w:ind w:left="312" w:right="120" w:hanging="312"/>
        <w:spacing w:after="0" w:line="256" w:lineRule="auto"/>
        <w:tabs>
          <w:tab w:leader="none" w:pos="312" w:val="left"/>
        </w:tabs>
        <w:numPr>
          <w:ilvl w:val="0"/>
          <w:numId w:val="51"/>
        </w:numPr>
        <w:rPr>
          <w:rFonts w:ascii="Arial" w:cs="Arial" w:eastAsia="Arial" w:hAnsi="Arial"/>
          <w:sz w:val="14"/>
          <w:szCs w:val="14"/>
          <w:color w:val="auto"/>
        </w:rPr>
      </w:pPr>
      <w:r>
        <w:rPr>
          <w:rFonts w:ascii="Arial" w:cs="Arial" w:eastAsia="Arial" w:hAnsi="Arial"/>
          <w:sz w:val="14"/>
          <w:szCs w:val="14"/>
          <w:color w:val="auto"/>
        </w:rPr>
        <w:t>Based on Schedule 13G filed with the SEC on August 2, 2024 by First Trust Advisors L.P. (“</w:t>
      </w:r>
      <w:r>
        <w:rPr>
          <w:rFonts w:ascii="Arial" w:cs="Arial" w:eastAsia="Arial" w:hAnsi="Arial"/>
          <w:sz w:val="14"/>
          <w:szCs w:val="14"/>
          <w:b w:val="1"/>
          <w:bCs w:val="1"/>
          <w:i w:val="1"/>
          <w:iCs w:val="1"/>
          <w:color w:val="auto"/>
        </w:rPr>
        <w:t>First Trust</w:t>
      </w:r>
      <w:r>
        <w:rPr>
          <w:rFonts w:ascii="Arial" w:cs="Arial" w:eastAsia="Arial" w:hAnsi="Arial"/>
          <w:sz w:val="14"/>
          <w:szCs w:val="14"/>
          <w:color w:val="auto"/>
        </w:rPr>
        <w:t>”), First Trust has shared voting power with respect to 6,109,219 shares of common stock and shared dispositive power with respect to 6,109,219 shares of common stock. The Charger Corporation has shared voting power with respect to 6,109,219 shares of common stock and shared dispositive power with respect to 6,109,219 shares of common stock. The Charger Corporation is the general partner of First Trust. First Trust's address is 120 East Liberty Drive, Suite 400, Wheaton, IL 60187.</w:t>
      </w:r>
    </w:p>
    <w:p>
      <w:pPr>
        <w:spacing w:after="0" w:line="22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890" w:right="339" w:bottom="1440" w:gutter="0" w:footer="0" w:header="0"/>
        </w:sectPr>
      </w:pPr>
    </w:p>
    <w:bookmarkStart w:id="70" w:name="page71"/>
    <w:bookmarkEnd w:id="70"/>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68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2025 PROXY STATEMENT</w:t>
      </w:r>
    </w:p>
    <w:p>
      <w:pPr>
        <w:spacing w:after="0" w:line="73" w:lineRule="exact"/>
        <w:rPr>
          <w:sz w:val="20"/>
          <w:szCs w:val="20"/>
          <w:color w:val="auto"/>
        </w:rPr>
      </w:pPr>
    </w:p>
    <w:p>
      <w:pPr>
        <w:ind w:left="922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32"/>
          <w:szCs w:val="32"/>
          <w:color w:val="0075C9"/>
        </w:rPr>
        <w:t>Proposals Requiring Your Vote</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color w:val="0075C9"/>
        </w:rPr>
        <w:t>Proposal 1: Election of Directors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In 2025, ten incumbent directors have been nominated by the Board of Directors for reelection through the 2026 annual meeting.</w:t>
      </w:r>
    </w:p>
    <w:p>
      <w:pPr>
        <w:spacing w:after="0" w:line="21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A brief statement about the background and qualifications of each nominee is given above under “Our Board of Directors and Director Nominees.” If any nominee for whom you have voted becomes unable to serve, your proxy may be voted for another person designated by our Board, or our Board of Directors may determine to reduce the size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144780</wp:posOffset>
            </wp:positionV>
            <wp:extent cx="68148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5"/>
          <w:szCs w:val="25"/>
          <w:color w:val="808080"/>
        </w:rPr>
        <w:t>THE BOARD OF DIRECTORS RECOMMENDS STOCKHOLDERS VOTE</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75C9"/>
        </w:rPr>
        <w:t xml:space="preserve">“FOR” </w:t>
      </w:r>
      <w:r>
        <w:rPr>
          <w:rFonts w:ascii="Arial" w:cs="Arial" w:eastAsia="Arial" w:hAnsi="Arial"/>
          <w:sz w:val="25"/>
          <w:szCs w:val="25"/>
          <w:color w:val="808080"/>
        </w:rPr>
        <w:t>EACH OF THE DIRECTOR NOMINEES IDENTIFIED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99695</wp:posOffset>
            </wp:positionV>
            <wp:extent cx="68148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color w:val="0075C9"/>
        </w:rPr>
        <w:t>Proposal 2: Ratification of the Appointment of the Independent Registered Public Accounting Firm</w:t>
      </w:r>
    </w:p>
    <w:p>
      <w:pPr>
        <w:spacing w:after="0" w:line="21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Audit Committee appointed, and the Board of Directors ratified the appointment of, KPMG LLP, independent registered public accounting firm, to audit our financial statements as of and for the year ending December 31, 2025. The submission of this matter for ratification by stockholders is not legally required, but the Board of Directors believes the submission provides an opportunity for stockholders through their vote to communicate with the Board of Directors about an important aspect of corporate governance. The Board of Directors recommends that stockholders vote for the ratification of this appointment. Notwithstanding the selection, the Board of Directors, in its discretion, may direct the appointment of a new independent registered public accounting firm at any time during the year if the Board believes that the change would be in the best interests of CRC and its stockholders. If the stockholders vote against ratification, the Board of Directors will reconsider its selection.</w:t>
      </w:r>
    </w:p>
    <w:p>
      <w:pPr>
        <w:spacing w:after="0" w:line="180"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KPMG LLP has served as our independent registered public accounting firm and audited our financial statements beginning with the year ended December 31, 2014.</w:t>
      </w:r>
    </w:p>
    <w:p>
      <w:pPr>
        <w:spacing w:after="0" w:line="154"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 table below sets forth the aggregate fees incurred for professional services rendered by KPMG LLP for the years ended December 31, 2024 and 2023:</w:t>
      </w:r>
    </w:p>
    <w:p>
      <w:pPr>
        <w:spacing w:after="0" w:line="154" w:lineRule="exact"/>
        <w:rPr>
          <w:sz w:val="20"/>
          <w:szCs w:val="20"/>
          <w:color w:val="auto"/>
        </w:rPr>
      </w:pPr>
    </w:p>
    <w:tbl>
      <w:tblPr>
        <w:tblLayout w:type="fixed"/>
        <w:tblInd w:w="580" w:type="dxa"/>
        <w:tblCellMar>
          <w:top w:w="0" w:type="dxa"/>
          <w:left w:w="0" w:type="dxa"/>
          <w:bottom w:w="0" w:type="dxa"/>
          <w:right w:w="0" w:type="dxa"/>
        </w:tblCellMar>
      </w:tblPr>
      <w:tr>
        <w:trPr>
          <w:trHeight w:val="221"/>
        </w:trPr>
        <w:tc>
          <w:tcPr>
            <w:tcW w:w="6600" w:type="dxa"/>
            <w:vAlign w:val="bottom"/>
            <w:tcBorders>
              <w:bottom w:val="single" w:sz="8" w:color="0075C9"/>
            </w:tcBorders>
          </w:tcPr>
          <w:p>
            <w:pPr>
              <w:spacing w:after="0"/>
              <w:rPr>
                <w:sz w:val="19"/>
                <w:szCs w:val="19"/>
                <w:color w:val="auto"/>
              </w:rPr>
            </w:pPr>
          </w:p>
        </w:tc>
        <w:tc>
          <w:tcPr>
            <w:tcW w:w="300" w:type="dxa"/>
            <w:vAlign w:val="bottom"/>
            <w:tcBorders>
              <w:bottom w:val="single" w:sz="8" w:color="0075C9"/>
            </w:tcBorders>
          </w:tcPr>
          <w:p>
            <w:pPr>
              <w:spacing w:after="0"/>
              <w:rPr>
                <w:sz w:val="19"/>
                <w:szCs w:val="19"/>
                <w:color w:val="auto"/>
              </w:rPr>
            </w:pPr>
          </w:p>
        </w:tc>
        <w:tc>
          <w:tcPr>
            <w:tcW w:w="240" w:type="dxa"/>
            <w:vAlign w:val="bottom"/>
            <w:tcBorders>
              <w:bottom w:val="single" w:sz="8" w:color="0075C9"/>
            </w:tcBorders>
          </w:tcPr>
          <w:p>
            <w:pPr>
              <w:spacing w:after="0"/>
              <w:rPr>
                <w:sz w:val="19"/>
                <w:szCs w:val="19"/>
                <w:color w:val="auto"/>
              </w:rPr>
            </w:pPr>
          </w:p>
        </w:tc>
        <w:tc>
          <w:tcPr>
            <w:tcW w:w="1040" w:type="dxa"/>
            <w:vAlign w:val="bottom"/>
            <w:tcBorders>
              <w:bottom w:val="single" w:sz="8" w:color="0075C9"/>
            </w:tcBorders>
          </w:tcPr>
          <w:p>
            <w:pPr>
              <w:jc w:val="right"/>
              <w:ind w:right="350"/>
              <w:spacing w:after="0"/>
              <w:rPr>
                <w:sz w:val="20"/>
                <w:szCs w:val="20"/>
                <w:color w:val="auto"/>
              </w:rPr>
            </w:pPr>
            <w:r>
              <w:rPr>
                <w:rFonts w:ascii="Arial" w:cs="Arial" w:eastAsia="Arial" w:hAnsi="Arial"/>
                <w:sz w:val="18"/>
                <w:szCs w:val="18"/>
                <w:color w:val="0075C9"/>
              </w:rPr>
              <w:t>2024</w:t>
            </w:r>
          </w:p>
        </w:tc>
        <w:tc>
          <w:tcPr>
            <w:tcW w:w="460" w:type="dxa"/>
            <w:vAlign w:val="bottom"/>
            <w:tcBorders>
              <w:bottom w:val="single" w:sz="8" w:color="0075C9"/>
            </w:tcBorders>
          </w:tcPr>
          <w:p>
            <w:pPr>
              <w:spacing w:after="0"/>
              <w:rPr>
                <w:sz w:val="19"/>
                <w:szCs w:val="19"/>
                <w:color w:val="auto"/>
              </w:rPr>
            </w:pPr>
          </w:p>
        </w:tc>
        <w:tc>
          <w:tcPr>
            <w:tcW w:w="260" w:type="dxa"/>
            <w:vAlign w:val="bottom"/>
            <w:tcBorders>
              <w:bottom w:val="single" w:sz="8" w:color="0075C9"/>
            </w:tcBorders>
          </w:tcPr>
          <w:p>
            <w:pPr>
              <w:spacing w:after="0"/>
              <w:rPr>
                <w:sz w:val="19"/>
                <w:szCs w:val="19"/>
                <w:color w:val="auto"/>
              </w:rPr>
            </w:pPr>
          </w:p>
        </w:tc>
        <w:tc>
          <w:tcPr>
            <w:tcW w:w="1040" w:type="dxa"/>
            <w:vAlign w:val="bottom"/>
            <w:tcBorders>
              <w:bottom w:val="single" w:sz="8" w:color="0075C9"/>
            </w:tcBorders>
          </w:tcPr>
          <w:p>
            <w:pPr>
              <w:jc w:val="right"/>
              <w:ind w:right="350"/>
              <w:spacing w:after="0"/>
              <w:rPr>
                <w:sz w:val="20"/>
                <w:szCs w:val="20"/>
                <w:color w:val="auto"/>
              </w:rPr>
            </w:pPr>
            <w:r>
              <w:rPr>
                <w:rFonts w:ascii="Arial" w:cs="Arial" w:eastAsia="Arial" w:hAnsi="Arial"/>
                <w:sz w:val="18"/>
                <w:szCs w:val="18"/>
                <w:color w:val="0075C9"/>
              </w:rPr>
              <w:t>2023</w:t>
            </w:r>
          </w:p>
        </w:tc>
        <w:tc>
          <w:tcPr>
            <w:tcW w:w="160" w:type="dxa"/>
            <w:vAlign w:val="bottom"/>
            <w:tcBorders>
              <w:bottom w:val="single" w:sz="8" w:color="0075C9"/>
            </w:tcBorders>
          </w:tcPr>
          <w:p>
            <w:pPr>
              <w:spacing w:after="0"/>
              <w:rPr>
                <w:sz w:val="19"/>
                <w:szCs w:val="19"/>
                <w:color w:val="auto"/>
              </w:rPr>
            </w:pPr>
          </w:p>
        </w:tc>
      </w:tr>
      <w:tr>
        <w:trPr>
          <w:trHeight w:val="177"/>
        </w:trPr>
        <w:tc>
          <w:tcPr>
            <w:tcW w:w="6600" w:type="dxa"/>
            <w:vAlign w:val="bottom"/>
            <w:shd w:val="clear" w:color="auto" w:fill="EBEBEC"/>
          </w:tcPr>
          <w:p>
            <w:pPr>
              <w:spacing w:after="0" w:line="177" w:lineRule="exact"/>
              <w:rPr>
                <w:sz w:val="20"/>
                <w:szCs w:val="20"/>
                <w:color w:val="auto"/>
              </w:rPr>
            </w:pPr>
            <w:r>
              <w:rPr>
                <w:rFonts w:ascii="Arial" w:cs="Arial" w:eastAsia="Arial" w:hAnsi="Arial"/>
                <w:sz w:val="18"/>
                <w:szCs w:val="18"/>
                <w:color w:val="auto"/>
              </w:rPr>
              <w:t>Audit Fees (1)</w:t>
            </w:r>
          </w:p>
        </w:tc>
        <w:tc>
          <w:tcPr>
            <w:tcW w:w="540" w:type="dxa"/>
            <w:vAlign w:val="bottom"/>
            <w:gridSpan w:val="2"/>
            <w:shd w:val="clear" w:color="auto" w:fill="EBEBEC"/>
          </w:tcPr>
          <w:p>
            <w:pPr>
              <w:jc w:val="right"/>
              <w:ind w:right="140"/>
              <w:spacing w:after="0" w:line="177" w:lineRule="exact"/>
              <w:rPr>
                <w:sz w:val="20"/>
                <w:szCs w:val="20"/>
                <w:color w:val="auto"/>
              </w:rPr>
            </w:pPr>
            <w:r>
              <w:rPr>
                <w:rFonts w:ascii="Arial" w:cs="Arial" w:eastAsia="Arial" w:hAnsi="Arial"/>
                <w:sz w:val="18"/>
                <w:szCs w:val="18"/>
                <w:color w:val="auto"/>
              </w:rPr>
              <w:t>$</w:t>
            </w:r>
          </w:p>
        </w:tc>
        <w:tc>
          <w:tcPr>
            <w:tcW w:w="1040" w:type="dxa"/>
            <w:vAlign w:val="bottom"/>
            <w:shd w:val="clear" w:color="auto" w:fill="EBEBEC"/>
          </w:tcPr>
          <w:p>
            <w:pPr>
              <w:jc w:val="right"/>
              <w:ind w:right="10"/>
              <w:spacing w:after="0" w:line="177" w:lineRule="exact"/>
              <w:rPr>
                <w:sz w:val="20"/>
                <w:szCs w:val="20"/>
                <w:color w:val="auto"/>
              </w:rPr>
            </w:pPr>
            <w:r>
              <w:rPr>
                <w:rFonts w:ascii="Arial" w:cs="Arial" w:eastAsia="Arial" w:hAnsi="Arial"/>
                <w:sz w:val="18"/>
                <w:szCs w:val="18"/>
                <w:color w:val="auto"/>
              </w:rPr>
              <w:t>3,523,000</w:t>
            </w:r>
          </w:p>
        </w:tc>
        <w:tc>
          <w:tcPr>
            <w:tcW w:w="720" w:type="dxa"/>
            <w:vAlign w:val="bottom"/>
            <w:gridSpan w:val="2"/>
            <w:shd w:val="clear" w:color="auto" w:fill="EBEBEC"/>
          </w:tcPr>
          <w:p>
            <w:pPr>
              <w:jc w:val="right"/>
              <w:ind w:right="160"/>
              <w:spacing w:after="0" w:line="177" w:lineRule="exact"/>
              <w:rPr>
                <w:sz w:val="20"/>
                <w:szCs w:val="20"/>
                <w:color w:val="auto"/>
              </w:rPr>
            </w:pPr>
            <w:r>
              <w:rPr>
                <w:rFonts w:ascii="Arial" w:cs="Arial" w:eastAsia="Arial" w:hAnsi="Arial"/>
                <w:sz w:val="18"/>
                <w:szCs w:val="18"/>
                <w:color w:val="auto"/>
              </w:rPr>
              <w:t>$</w:t>
            </w:r>
          </w:p>
        </w:tc>
        <w:tc>
          <w:tcPr>
            <w:tcW w:w="1040" w:type="dxa"/>
            <w:vAlign w:val="bottom"/>
            <w:shd w:val="clear" w:color="auto" w:fill="EBEBEC"/>
          </w:tcPr>
          <w:p>
            <w:pPr>
              <w:jc w:val="right"/>
              <w:ind w:right="10"/>
              <w:spacing w:after="0" w:line="177" w:lineRule="exact"/>
              <w:rPr>
                <w:sz w:val="20"/>
                <w:szCs w:val="20"/>
                <w:color w:val="auto"/>
              </w:rPr>
            </w:pPr>
            <w:r>
              <w:rPr>
                <w:rFonts w:ascii="Arial" w:cs="Arial" w:eastAsia="Arial" w:hAnsi="Arial"/>
                <w:sz w:val="18"/>
                <w:szCs w:val="18"/>
                <w:color w:val="auto"/>
              </w:rPr>
              <w:t>2,115,000</w:t>
            </w:r>
          </w:p>
        </w:tc>
        <w:tc>
          <w:tcPr>
            <w:tcW w:w="160" w:type="dxa"/>
            <w:vAlign w:val="bottom"/>
            <w:shd w:val="clear" w:color="auto" w:fill="EBEBEC"/>
          </w:tcPr>
          <w:p>
            <w:pPr>
              <w:spacing w:after="0"/>
              <w:rPr>
                <w:sz w:val="15"/>
                <w:szCs w:val="15"/>
                <w:color w:val="auto"/>
              </w:rPr>
            </w:pPr>
          </w:p>
        </w:tc>
      </w:tr>
      <w:tr>
        <w:trPr>
          <w:trHeight w:val="221"/>
        </w:trPr>
        <w:tc>
          <w:tcPr>
            <w:tcW w:w="6600" w:type="dxa"/>
            <w:vAlign w:val="bottom"/>
            <w:tcBorders>
              <w:bottom w:val="single" w:sz="8" w:color="EBEBEC"/>
            </w:tcBorders>
            <w:shd w:val="clear" w:color="auto" w:fill="EBEBEC"/>
          </w:tcPr>
          <w:p>
            <w:pPr>
              <w:spacing w:after="0"/>
              <w:rPr>
                <w:sz w:val="20"/>
                <w:szCs w:val="20"/>
                <w:color w:val="auto"/>
              </w:rPr>
            </w:pPr>
            <w:r>
              <w:rPr>
                <w:rFonts w:ascii="Arial" w:cs="Arial" w:eastAsia="Arial" w:hAnsi="Arial"/>
                <w:sz w:val="18"/>
                <w:szCs w:val="18"/>
                <w:color w:val="auto"/>
              </w:rPr>
              <w:t>Audit-Related Fees (2)</w:t>
            </w:r>
          </w:p>
        </w:tc>
        <w:tc>
          <w:tcPr>
            <w:tcW w:w="300" w:type="dxa"/>
            <w:vAlign w:val="bottom"/>
            <w:tcBorders>
              <w:bottom w:val="single" w:sz="8" w:color="EBEBEC"/>
            </w:tcBorders>
            <w:shd w:val="clear" w:color="auto" w:fill="EBEBEC"/>
          </w:tcPr>
          <w:p>
            <w:pPr>
              <w:spacing w:after="0"/>
              <w:rPr>
                <w:sz w:val="19"/>
                <w:szCs w:val="19"/>
                <w:color w:val="auto"/>
              </w:rPr>
            </w:pPr>
          </w:p>
        </w:tc>
        <w:tc>
          <w:tcPr>
            <w:tcW w:w="240" w:type="dxa"/>
            <w:vAlign w:val="bottom"/>
            <w:tcBorders>
              <w:bottom w:val="single" w:sz="8" w:color="auto"/>
            </w:tcBorders>
            <w:shd w:val="clear" w:color="auto" w:fill="EBEBEC"/>
          </w:tcPr>
          <w:p>
            <w:pPr>
              <w:spacing w:after="0"/>
              <w:rPr>
                <w:sz w:val="19"/>
                <w:szCs w:val="19"/>
                <w:color w:val="auto"/>
              </w:rPr>
            </w:pPr>
          </w:p>
        </w:tc>
        <w:tc>
          <w:tcPr>
            <w:tcW w:w="1040" w:type="dxa"/>
            <w:vAlign w:val="bottom"/>
            <w:tcBorders>
              <w:bottom w:val="single" w:sz="8" w:color="auto"/>
            </w:tcBorders>
            <w:shd w:val="clear" w:color="auto" w:fill="EBEBEC"/>
          </w:tcPr>
          <w:p>
            <w:pPr>
              <w:jc w:val="right"/>
              <w:ind w:right="10"/>
              <w:spacing w:after="0"/>
              <w:rPr>
                <w:sz w:val="20"/>
                <w:szCs w:val="20"/>
                <w:color w:val="auto"/>
              </w:rPr>
            </w:pPr>
            <w:r>
              <w:rPr>
                <w:rFonts w:ascii="Arial" w:cs="Arial" w:eastAsia="Arial" w:hAnsi="Arial"/>
                <w:sz w:val="18"/>
                <w:szCs w:val="18"/>
                <w:color w:val="auto"/>
              </w:rPr>
              <w:t>248,500</w:t>
            </w:r>
          </w:p>
        </w:tc>
        <w:tc>
          <w:tcPr>
            <w:tcW w:w="460" w:type="dxa"/>
            <w:vAlign w:val="bottom"/>
            <w:tcBorders>
              <w:bottom w:val="single" w:sz="8" w:color="EBEBEC"/>
            </w:tcBorders>
            <w:shd w:val="clear" w:color="auto" w:fill="EBEBEC"/>
          </w:tcPr>
          <w:p>
            <w:pPr>
              <w:spacing w:after="0"/>
              <w:rPr>
                <w:sz w:val="19"/>
                <w:szCs w:val="19"/>
                <w:color w:val="auto"/>
              </w:rPr>
            </w:pPr>
          </w:p>
        </w:tc>
        <w:tc>
          <w:tcPr>
            <w:tcW w:w="260" w:type="dxa"/>
            <w:vAlign w:val="bottom"/>
            <w:tcBorders>
              <w:bottom w:val="single" w:sz="8" w:color="auto"/>
            </w:tcBorders>
            <w:shd w:val="clear" w:color="auto" w:fill="EBEBEC"/>
          </w:tcPr>
          <w:p>
            <w:pPr>
              <w:spacing w:after="0"/>
              <w:rPr>
                <w:sz w:val="19"/>
                <w:szCs w:val="19"/>
                <w:color w:val="auto"/>
              </w:rPr>
            </w:pPr>
          </w:p>
        </w:tc>
        <w:tc>
          <w:tcPr>
            <w:tcW w:w="1040" w:type="dxa"/>
            <w:vAlign w:val="bottom"/>
            <w:tcBorders>
              <w:bottom w:val="single" w:sz="8" w:color="auto"/>
            </w:tcBorders>
            <w:shd w:val="clear" w:color="auto" w:fill="EBEBEC"/>
          </w:tcPr>
          <w:p>
            <w:pPr>
              <w:jc w:val="right"/>
              <w:ind w:right="10"/>
              <w:spacing w:after="0"/>
              <w:rPr>
                <w:sz w:val="20"/>
                <w:szCs w:val="20"/>
                <w:color w:val="auto"/>
              </w:rPr>
            </w:pPr>
            <w:r>
              <w:rPr>
                <w:rFonts w:ascii="Arial" w:cs="Arial" w:eastAsia="Arial" w:hAnsi="Arial"/>
                <w:sz w:val="18"/>
                <w:szCs w:val="18"/>
                <w:color w:val="auto"/>
              </w:rPr>
              <w:t>95,997</w:t>
            </w:r>
          </w:p>
        </w:tc>
        <w:tc>
          <w:tcPr>
            <w:tcW w:w="160" w:type="dxa"/>
            <w:vAlign w:val="bottom"/>
            <w:tcBorders>
              <w:bottom w:val="single" w:sz="8" w:color="EBEBEC"/>
            </w:tcBorders>
            <w:shd w:val="clear" w:color="auto" w:fill="EBEBEC"/>
          </w:tcPr>
          <w:p>
            <w:pPr>
              <w:spacing w:after="0"/>
              <w:rPr>
                <w:sz w:val="19"/>
                <w:szCs w:val="19"/>
                <w:color w:val="auto"/>
              </w:rPr>
            </w:pPr>
          </w:p>
        </w:tc>
      </w:tr>
      <w:tr>
        <w:trPr>
          <w:trHeight w:val="210"/>
        </w:trPr>
        <w:tc>
          <w:tcPr>
            <w:tcW w:w="6600" w:type="dxa"/>
            <w:vAlign w:val="bottom"/>
            <w:shd w:val="clear" w:color="auto" w:fill="EBEBEC"/>
          </w:tcPr>
          <w:p>
            <w:pPr>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EBEBE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BEBEC"/>
          </w:tcPr>
          <w:p>
            <w:pPr>
              <w:jc w:val="right"/>
              <w:ind w:right="10"/>
              <w:spacing w:after="0"/>
              <w:rPr>
                <w:sz w:val="20"/>
                <w:szCs w:val="20"/>
                <w:color w:val="auto"/>
              </w:rPr>
            </w:pPr>
            <w:r>
              <w:rPr>
                <w:rFonts w:ascii="Arial" w:cs="Arial" w:eastAsia="Arial" w:hAnsi="Arial"/>
                <w:sz w:val="18"/>
                <w:szCs w:val="18"/>
                <w:color w:val="auto"/>
              </w:rPr>
              <w:t>3,771,500</w:t>
            </w:r>
          </w:p>
        </w:tc>
        <w:tc>
          <w:tcPr>
            <w:tcW w:w="720" w:type="dxa"/>
            <w:vAlign w:val="bottom"/>
            <w:gridSpan w:val="2"/>
            <w:shd w:val="clear" w:color="auto" w:fill="EBEBE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BEBEC"/>
          </w:tcPr>
          <w:p>
            <w:pPr>
              <w:jc w:val="right"/>
              <w:ind w:right="10"/>
              <w:spacing w:after="0"/>
              <w:rPr>
                <w:sz w:val="20"/>
                <w:szCs w:val="20"/>
                <w:color w:val="auto"/>
              </w:rPr>
            </w:pPr>
            <w:r>
              <w:rPr>
                <w:rFonts w:ascii="Arial" w:cs="Arial" w:eastAsia="Arial" w:hAnsi="Arial"/>
                <w:sz w:val="18"/>
                <w:szCs w:val="18"/>
                <w:color w:val="auto"/>
              </w:rPr>
              <w:t>2,210,997</w:t>
            </w:r>
          </w:p>
        </w:tc>
        <w:tc>
          <w:tcPr>
            <w:tcW w:w="160" w:type="dxa"/>
            <w:vAlign w:val="bottom"/>
            <w:shd w:val="clear" w:color="auto" w:fill="EBEBE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-145415</wp:posOffset>
            </wp:positionV>
            <wp:extent cx="9461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-273685</wp:posOffset>
            </wp:positionV>
            <wp:extent cx="94615"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92583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133" w:lineRule="exact"/>
        <w:rPr>
          <w:sz w:val="20"/>
          <w:szCs w:val="20"/>
          <w:color w:val="auto"/>
        </w:rPr>
      </w:pPr>
    </w:p>
    <w:p>
      <w:pPr>
        <w:ind w:left="320" w:right="260" w:hanging="312"/>
        <w:spacing w:after="0" w:line="285" w:lineRule="auto"/>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Audit Fees represent the aggregate fees for professional services provided in connection with the annual audit of our financial statements included in Form 10-K and reviews of our quarterly financial statements. Audit Fees also include registration statements, consents, comfort letters and fees for services related to debt compliance.</w:t>
      </w:r>
    </w:p>
    <w:p>
      <w:pPr>
        <w:spacing w:after="0" w:line="49" w:lineRule="exact"/>
        <w:rPr>
          <w:rFonts w:ascii="Arial" w:cs="Arial" w:eastAsia="Arial" w:hAnsi="Arial"/>
          <w:sz w:val="14"/>
          <w:szCs w:val="14"/>
          <w:color w:val="auto"/>
        </w:rPr>
      </w:pPr>
    </w:p>
    <w:p>
      <w:pPr>
        <w:ind w:left="320" w:right="260" w:hanging="312"/>
        <w:spacing w:after="0" w:line="285" w:lineRule="auto"/>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Audit-Related Fees are primarily for audits of our benefit plans and other audits. KPMG did not render any advisory services in 2024 with respect to financial accounting matters.</w:t>
      </w:r>
    </w:p>
    <w:p>
      <w:pPr>
        <w:spacing w:after="0" w:line="148" w:lineRule="exact"/>
        <w:rPr>
          <w:sz w:val="20"/>
          <w:szCs w:val="20"/>
          <w:color w:val="auto"/>
        </w:rPr>
      </w:pPr>
    </w:p>
    <w:p>
      <w:pPr>
        <w:ind w:right="380"/>
        <w:spacing w:after="0" w:line="247" w:lineRule="auto"/>
        <w:rPr>
          <w:sz w:val="20"/>
          <w:szCs w:val="20"/>
          <w:color w:val="auto"/>
        </w:rPr>
      </w:pPr>
      <w:r>
        <w:rPr>
          <w:rFonts w:ascii="Arial" w:cs="Arial" w:eastAsia="Arial" w:hAnsi="Arial"/>
          <w:sz w:val="18"/>
          <w:szCs w:val="18"/>
          <w:color w:val="auto"/>
        </w:rPr>
        <w:t>The Audit Committee must give prior approval to any management request for any amount or type of service (audit, audit-related and tax services or, to the extent permitted by law, non-audit services) our independent registered accounting firm provides to us. The Audit Committee has established policies and procedures regarding pre-approval of all services provided by the independent registered public accounting firm. The</w:t>
      </w:r>
    </w:p>
    <w:p>
      <w:pPr>
        <w:spacing w:after="0" w:line="21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1" w:name="page72"/>
    <w:bookmarkEnd w:id="71"/>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68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2025 PROXY STATEMENT</w:t>
      </w:r>
    </w:p>
    <w:p>
      <w:pPr>
        <w:spacing w:after="0" w:line="73" w:lineRule="exact"/>
        <w:rPr>
          <w:sz w:val="20"/>
          <w:szCs w:val="20"/>
          <w:color w:val="auto"/>
        </w:rPr>
      </w:pPr>
    </w:p>
    <w:p>
      <w:pPr>
        <w:ind w:left="9220"/>
        <w:spacing w:after="0"/>
        <w:rPr>
          <w:sz w:val="20"/>
          <w:szCs w:val="20"/>
          <w:color w:val="auto"/>
        </w:rPr>
      </w:pPr>
      <w:r>
        <w:rPr>
          <w:rFonts w:ascii="Arial" w:cs="Arial" w:eastAsia="Arial" w:hAnsi="Arial"/>
          <w:sz w:val="14"/>
          <w:szCs w:val="14"/>
          <w:color w:val="auto"/>
        </w:rPr>
        <w:t>Proposals Requiring Your Vote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 pre-approved all services provided to CRC by our independent registered accounting firm in 2024 and 2023.</w:t>
      </w:r>
    </w:p>
    <w:p>
      <w:pPr>
        <w:spacing w:after="0" w:line="212"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A representative of KPMG LLP is expected to be present at the Annual Meeting and will be offered the opportunity to make a statement if such representative desires to do so and will be available to respond to appropriate questions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135255</wp:posOffset>
            </wp:positionV>
            <wp:extent cx="68148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319" w:lineRule="exact"/>
        <w:rPr>
          <w:sz w:val="20"/>
          <w:szCs w:val="20"/>
          <w:color w:val="auto"/>
        </w:rPr>
      </w:pPr>
    </w:p>
    <w:p>
      <w:pPr>
        <w:jc w:val="center"/>
        <w:spacing w:after="0" w:line="260" w:lineRule="auto"/>
        <w:rPr>
          <w:sz w:val="20"/>
          <w:szCs w:val="20"/>
          <w:color w:val="auto"/>
        </w:rPr>
      </w:pPr>
      <w:r>
        <w:rPr>
          <w:rFonts w:ascii="Arial" w:cs="Arial" w:eastAsia="Arial" w:hAnsi="Arial"/>
          <w:sz w:val="25"/>
          <w:szCs w:val="25"/>
          <w:color w:val="808080"/>
        </w:rPr>
        <w:t xml:space="preserve">THE BOARD OF DIRECTORS RECOMMENDS THAT STOCKHOLDERS VOTE </w:t>
      </w:r>
      <w:r>
        <w:rPr>
          <w:rFonts w:ascii="Arial" w:cs="Arial" w:eastAsia="Arial" w:hAnsi="Arial"/>
          <w:sz w:val="25"/>
          <w:szCs w:val="25"/>
          <w:b w:val="1"/>
          <w:bCs w:val="1"/>
          <w:color w:val="0075C9"/>
        </w:rPr>
        <w:t>“FOR”</w:t>
      </w:r>
      <w:r>
        <w:rPr>
          <w:rFonts w:ascii="Arial" w:cs="Arial" w:eastAsia="Arial" w:hAnsi="Arial"/>
          <w:sz w:val="25"/>
          <w:szCs w:val="25"/>
          <w:color w:val="808080"/>
        </w:rPr>
        <w:t xml:space="preserve"> PROPOSAL 2 TO RATIFY THE APPOINTMENT OF THE INDEPENDENT REGISTERED PUBLIC ACCOUNTING FIRM, KPMG LLP,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71755</wp:posOffset>
            </wp:positionV>
            <wp:extent cx="68148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0075C9"/>
        </w:rPr>
        <w:t>Proposal 3: Advisory Vote to Approve Named Executive Officer Compensation</w:t>
      </w:r>
    </w:p>
    <w:p>
      <w:pPr>
        <w:spacing w:after="0" w:line="10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Section 14A of the Securities Exchange Act of 1934, as amended, requires us to provide our stockholders with an advisory (nonbinding) vote on the compensation paid to our named executive officers (sometimes referred to as the “say-on-pay” proposal) as disclosed pursuant to Item 402 of Regulation S-K, including the Compensation Discussion and Analysis, accompanying compensation tables and narrative discussion set forth in this proxy statement. Accordingly, you may vote on the following resolution at our Annual Meeting:</w:t>
      </w:r>
    </w:p>
    <w:p>
      <w:pPr>
        <w:spacing w:after="0" w:line="174" w:lineRule="exact"/>
        <w:rPr>
          <w:sz w:val="20"/>
          <w:szCs w:val="20"/>
          <w:color w:val="auto"/>
        </w:rPr>
      </w:pPr>
    </w:p>
    <w:p>
      <w:pPr>
        <w:ind w:right="200"/>
        <w:spacing w:after="0" w:line="301" w:lineRule="auto"/>
        <w:rPr>
          <w:sz w:val="20"/>
          <w:szCs w:val="20"/>
          <w:color w:val="auto"/>
        </w:rPr>
      </w:pPr>
      <w:r>
        <w:rPr>
          <w:rFonts w:ascii="Arial" w:cs="Arial" w:eastAsia="Arial" w:hAnsi="Arial"/>
          <w:sz w:val="17"/>
          <w:szCs w:val="17"/>
          <w:color w:val="auto"/>
        </w:rPr>
        <w:t>“RESOLVED, that the compensation paid to the Company’s named executive officers as disclosed pursuant to Item 402 of Regulation S-K, including the Compensation Discussion and Analysis, accompanying compensation tables and narrative discussion, is hereby approved.”</w:t>
      </w:r>
    </w:p>
    <w:p>
      <w:pPr>
        <w:spacing w:after="0" w:line="131" w:lineRule="exact"/>
        <w:rPr>
          <w:sz w:val="20"/>
          <w:szCs w:val="20"/>
          <w:color w:val="auto"/>
        </w:rPr>
      </w:pPr>
    </w:p>
    <w:p>
      <w:pPr>
        <w:jc w:val="both"/>
        <w:ind w:right="280"/>
        <w:spacing w:after="0" w:line="253" w:lineRule="auto"/>
        <w:rPr>
          <w:sz w:val="20"/>
          <w:szCs w:val="20"/>
          <w:color w:val="auto"/>
        </w:rPr>
      </w:pPr>
      <w:r>
        <w:rPr>
          <w:rFonts w:ascii="Arial" w:cs="Arial" w:eastAsia="Arial" w:hAnsi="Arial"/>
          <w:sz w:val="18"/>
          <w:szCs w:val="18"/>
          <w:color w:val="auto"/>
        </w:rPr>
        <w:t>This vote is nonbinding. The Board of Directors and the Compensation Committee, which is comprised of independent directors, expect to take into account the outcome of the vote when considering future executive compensation decisions to the extent they can determine the cause or causes of any significant negative voting results.</w:t>
      </w:r>
    </w:p>
    <w:p>
      <w:pPr>
        <w:spacing w:after="0" w:line="169"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The Company last held a “say-on-frequency” vote in 2021, at which point our stockholders voted for, and the Board determined to hold, annual say-on-pay votes.</w:t>
      </w:r>
    </w:p>
    <w:p>
      <w:pPr>
        <w:spacing w:after="0" w:line="154"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As described above in detail under the “Compensation Discussion and Analysis” section of this proxy statement, our 2024 Compensation Program significantly aligns our executive compensation with our shareholder interests. Our compensation program includes a mix of short-and long-term awards that are primarily performance-based, with the significant majority provided as time- and performance-based equity awards. This advisory, nonbinding say-on-pay vote does not cover director compensation, which is also disclosed in the accompanying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149860</wp:posOffset>
            </wp:positionV>
            <wp:extent cx="68148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340" w:lineRule="exact"/>
        <w:rPr>
          <w:sz w:val="20"/>
          <w:szCs w:val="20"/>
          <w:color w:val="auto"/>
        </w:rPr>
      </w:pPr>
    </w:p>
    <w:p>
      <w:pPr>
        <w:ind w:left="660"/>
        <w:spacing w:after="0"/>
        <w:rPr>
          <w:sz w:val="20"/>
          <w:szCs w:val="20"/>
          <w:color w:val="auto"/>
        </w:rPr>
      </w:pPr>
      <w:r>
        <w:rPr>
          <w:rFonts w:ascii="Arial" w:cs="Arial" w:eastAsia="Arial" w:hAnsi="Arial"/>
          <w:sz w:val="25"/>
          <w:szCs w:val="25"/>
          <w:color w:val="808080"/>
        </w:rPr>
        <w:t xml:space="preserve">THE BOARD OF DIRECTORS RECOMMENDS THAT STOCKHOLDERS VOTE </w:t>
      </w:r>
      <w:r>
        <w:rPr>
          <w:rFonts w:ascii="Arial" w:cs="Arial" w:eastAsia="Arial" w:hAnsi="Arial"/>
          <w:sz w:val="25"/>
          <w:szCs w:val="25"/>
          <w:b w:val="1"/>
          <w:bCs w:val="1"/>
          <w:color w:val="0075C9"/>
        </w:rPr>
        <w:t>“FOR”</w:t>
      </w:r>
    </w:p>
    <w:p>
      <w:pPr>
        <w:spacing w:after="0" w:line="36" w:lineRule="exact"/>
        <w:rPr>
          <w:sz w:val="20"/>
          <w:szCs w:val="20"/>
          <w:color w:val="auto"/>
        </w:rPr>
      </w:pPr>
    </w:p>
    <w:p>
      <w:pPr>
        <w:ind w:left="2360"/>
        <w:spacing w:after="0"/>
        <w:rPr>
          <w:sz w:val="20"/>
          <w:szCs w:val="20"/>
          <w:color w:val="auto"/>
        </w:rPr>
      </w:pPr>
      <w:r>
        <w:rPr>
          <w:rFonts w:ascii="Arial" w:cs="Arial" w:eastAsia="Arial" w:hAnsi="Arial"/>
          <w:sz w:val="25"/>
          <w:szCs w:val="25"/>
          <w:color w:val="808080"/>
        </w:rPr>
        <w:t>PROPOSAL 3 ON THE ADVISORY VOTE TO APPROVE</w:t>
      </w:r>
    </w:p>
    <w:p>
      <w:pPr>
        <w:spacing w:after="0" w:line="10" w:lineRule="exact"/>
        <w:rPr>
          <w:sz w:val="20"/>
          <w:szCs w:val="20"/>
          <w:color w:val="auto"/>
        </w:rPr>
      </w:pPr>
    </w:p>
    <w:p>
      <w:pPr>
        <w:ind w:left="2740"/>
        <w:spacing w:after="0"/>
        <w:rPr>
          <w:sz w:val="20"/>
          <w:szCs w:val="20"/>
          <w:color w:val="auto"/>
        </w:rPr>
      </w:pPr>
      <w:r>
        <w:rPr>
          <w:rFonts w:ascii="Arial" w:cs="Arial" w:eastAsia="Arial" w:hAnsi="Arial"/>
          <w:sz w:val="25"/>
          <w:szCs w:val="25"/>
          <w:color w:val="808080"/>
        </w:rPr>
        <w:t>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99695</wp:posOffset>
            </wp:positionV>
            <wp:extent cx="68148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2" w:name="page73"/>
    <w:bookmarkEnd w:id="72"/>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68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2025 PROXY STATEMENT</w:t>
      </w:r>
    </w:p>
    <w:p>
      <w:pPr>
        <w:spacing w:after="0" w:line="73" w:lineRule="exact"/>
        <w:rPr>
          <w:sz w:val="20"/>
          <w:szCs w:val="20"/>
          <w:color w:val="auto"/>
        </w:rPr>
      </w:pPr>
    </w:p>
    <w:p>
      <w:pPr>
        <w:ind w:left="9920"/>
        <w:spacing w:after="0"/>
        <w:rPr>
          <w:sz w:val="20"/>
          <w:szCs w:val="20"/>
          <w:color w:val="auto"/>
        </w:rPr>
      </w:pPr>
      <w:r>
        <w:rPr>
          <w:rFonts w:ascii="Arial" w:cs="Arial" w:eastAsia="Arial" w:hAnsi="Arial"/>
          <w:sz w:val="14"/>
          <w:szCs w:val="14"/>
          <w:color w:val="auto"/>
        </w:rPr>
        <w:t>General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32"/>
          <w:szCs w:val="32"/>
          <w:color w:val="0075C9"/>
        </w:rPr>
        <w:t>General Information</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0075C9"/>
        </w:rPr>
        <w:t>Voting Procedures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At the close of business on March 10, 2025, the “</w:t>
      </w: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for the determination of stockholders entitled to receive notice of and to vote at the Annual Meeting, there were 90,646,665 shares of common stock outstanding, each share of which is entitled to one vote. Common stock is the only class of our outstanding securities entitled to receive notice of and to vote at the Annual Meeting. There are no cumulative voting rights associated with the Company’s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Appointment of Proxy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Our Board of Directors asks you to appoint Francisco Leon and Tiffany (TJ) Thom Cepak as your proxy holder (“</w:t>
      </w:r>
      <w:r>
        <w:rPr>
          <w:rFonts w:ascii="Arial" w:cs="Arial" w:eastAsia="Arial" w:hAnsi="Arial"/>
          <w:sz w:val="18"/>
          <w:szCs w:val="18"/>
          <w:b w:val="1"/>
          <w:bCs w:val="1"/>
          <w:i w:val="1"/>
          <w:iCs w:val="1"/>
          <w:color w:val="auto"/>
        </w:rPr>
        <w:t>Proxy Holder</w:t>
      </w:r>
      <w:r>
        <w:rPr>
          <w:rFonts w:ascii="Arial" w:cs="Arial" w:eastAsia="Arial" w:hAnsi="Arial"/>
          <w:sz w:val="18"/>
          <w:szCs w:val="18"/>
          <w:color w:val="auto"/>
        </w:rPr>
        <w:t>”) to vote your shares at the Annual Meeting. You make this appointment by using one of the voting methods described below.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Quorum and Discretionary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 presence at the Annual Meeting of a majority of shares of our common stock issued and outstanding and entitled to vote, present at the Annual Meeting or by proxy, is necessary to constitute a quorum in order to transact business at the Annual Meeting. Your shares are counted as present at the Annual Meeting if you attend the Annual Meeting and vote at the Annual Meeting or if you properly return a proxy by Internet, telephone or mail. Abstentions will be counted as present for purposes of determining whether a quorum is present at the Annual Meeting.</w:t>
      </w:r>
    </w:p>
    <w:p>
      <w:pPr>
        <w:spacing w:after="0" w:line="17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Chair of the Annual Meeting or, if directed by the Chair of the Annual Meeting, a majority of the shares so represented, may adjourn the Annual Meeting from time to time, whether or not there is a quorum represented, and the Proxy Holder will vote the proxies they have been authorized to vote at the Annual Meeting in favor of such an adjournment. In the event a quorum is present at the Annual Meeting but sufficient votes to approve any of the items proposed by our Board of Directors have not been received, the Chair of the meeting or the Proxy Holder may propose one or more adjournments of the Annual Meeting to permit further solicitation of proxies. A stockholder vote may be taken on one or more of the proposals in this proxy statement prior to such adjournment if sufficient proxies have been received and it is otherwise appropriate.</w:t>
      </w:r>
    </w:p>
    <w:p>
      <w:pPr>
        <w:spacing w:after="0" w:line="185" w:lineRule="exact"/>
        <w:rPr>
          <w:sz w:val="20"/>
          <w:szCs w:val="20"/>
          <w:color w:val="auto"/>
        </w:rPr>
      </w:pPr>
    </w:p>
    <w:p>
      <w:pPr>
        <w:ind w:right="560"/>
        <w:spacing w:after="0" w:line="247" w:lineRule="auto"/>
        <w:rPr>
          <w:sz w:val="20"/>
          <w:szCs w:val="20"/>
          <w:color w:val="auto"/>
        </w:rPr>
      </w:pPr>
      <w:r>
        <w:rPr>
          <w:rFonts w:ascii="Arial" w:cs="Arial" w:eastAsia="Arial" w:hAnsi="Arial"/>
          <w:sz w:val="18"/>
          <w:szCs w:val="18"/>
          <w:color w:val="auto"/>
        </w:rPr>
        <w:t>Our Board of Directors does not know of any other matters that are to be presented for action at the Annual Meeting. However, if other matters properly come before the Annual Meeting, the proxies solicited by the Board of Directors will provide the Proxy Holder with the authority to vote on those matters and nominees in accordance with such person’s discretion. Where a stockholder has appropriately specified how a proxy is to be voted, it will be voted by the Proxy Holder in accordance with the specification.</w:t>
      </w:r>
    </w:p>
    <w:p>
      <w:pPr>
        <w:spacing w:after="0" w:line="22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3" w:name="page74"/>
    <w:bookmarkEnd w:id="73"/>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68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2025 PROXY STATEMENT</w:t>
      </w:r>
    </w:p>
    <w:p>
      <w:pPr>
        <w:spacing w:after="0" w:line="73" w:lineRule="exact"/>
        <w:rPr>
          <w:sz w:val="20"/>
          <w:szCs w:val="20"/>
          <w:color w:val="auto"/>
        </w:rPr>
      </w:pPr>
    </w:p>
    <w:p>
      <w:pPr>
        <w:ind w:left="9920"/>
        <w:spacing w:after="0"/>
        <w:rPr>
          <w:sz w:val="20"/>
          <w:szCs w:val="20"/>
          <w:color w:val="auto"/>
        </w:rPr>
      </w:pPr>
      <w:r>
        <w:rPr>
          <w:rFonts w:ascii="Arial" w:cs="Arial" w:eastAsia="Arial" w:hAnsi="Arial"/>
          <w:sz w:val="14"/>
          <w:szCs w:val="14"/>
          <w:color w:val="auto"/>
        </w:rPr>
        <w:t>General Information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How to Vote Shares Registered in Your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If you own shares that are registered in your own name, you are a “registered stockholder” and you may attend the Annual Meeting and vote at the Annual Meeting. You also may vote by proxy without attending the Annual Meeting in any of the following ways:</w:t>
      </w:r>
    </w:p>
    <w:p>
      <w:pPr>
        <w:spacing w:after="0" w:line="199" w:lineRule="exact"/>
        <w:rPr>
          <w:sz w:val="20"/>
          <w:szCs w:val="20"/>
          <w:color w:val="auto"/>
        </w:rPr>
      </w:pPr>
    </w:p>
    <w:tbl>
      <w:tblPr>
        <w:tblLayout w:type="fixed"/>
        <w:tblInd w:w="860" w:type="dxa"/>
        <w:tblCellMar>
          <w:top w:w="0" w:type="dxa"/>
          <w:left w:w="0" w:type="dxa"/>
          <w:bottom w:w="0" w:type="dxa"/>
          <w:right w:w="0" w:type="dxa"/>
        </w:tblCellMar>
      </w:tblPr>
      <w:tr>
        <w:trPr>
          <w:trHeight w:val="538"/>
        </w:trPr>
        <w:tc>
          <w:tcPr>
            <w:tcW w:w="3340" w:type="dxa"/>
            <w:vAlign w:val="bottom"/>
            <w:shd w:val="clear" w:color="auto" w:fill="E6EFF7"/>
          </w:tcPr>
          <w:p>
            <w:pPr>
              <w:ind w:left="1080"/>
              <w:spacing w:after="0"/>
              <w:rPr>
                <w:sz w:val="20"/>
                <w:szCs w:val="20"/>
                <w:color w:val="auto"/>
              </w:rPr>
            </w:pPr>
            <w:r>
              <w:rPr>
                <w:rFonts w:ascii="Arial" w:cs="Arial" w:eastAsia="Arial" w:hAnsi="Arial"/>
                <w:sz w:val="18"/>
                <w:szCs w:val="18"/>
                <w:b w:val="1"/>
                <w:bCs w:val="1"/>
                <w:color w:val="0075C9"/>
              </w:rPr>
              <w:t>BY INTERNET</w:t>
            </w:r>
          </w:p>
        </w:tc>
        <w:tc>
          <w:tcPr>
            <w:tcW w:w="3160" w:type="dxa"/>
            <w:vAlign w:val="bottom"/>
            <w:shd w:val="clear" w:color="auto" w:fill="E6EFF7"/>
          </w:tcPr>
          <w:p>
            <w:pPr>
              <w:ind w:left="840"/>
              <w:spacing w:after="0"/>
              <w:rPr>
                <w:sz w:val="20"/>
                <w:szCs w:val="20"/>
                <w:color w:val="auto"/>
              </w:rPr>
            </w:pPr>
            <w:r>
              <w:rPr>
                <w:rFonts w:ascii="Arial" w:cs="Arial" w:eastAsia="Arial" w:hAnsi="Arial"/>
                <w:sz w:val="18"/>
                <w:szCs w:val="18"/>
                <w:b w:val="1"/>
                <w:bCs w:val="1"/>
                <w:color w:val="0075C9"/>
              </w:rPr>
              <w:t>BY TELEPHONE</w:t>
            </w:r>
          </w:p>
        </w:tc>
        <w:tc>
          <w:tcPr>
            <w:tcW w:w="3040" w:type="dxa"/>
            <w:vAlign w:val="bottom"/>
            <w:shd w:val="clear" w:color="auto" w:fill="E6EFF7"/>
          </w:tcPr>
          <w:p>
            <w:pPr>
              <w:ind w:left="1000"/>
              <w:spacing w:after="0"/>
              <w:rPr>
                <w:sz w:val="20"/>
                <w:szCs w:val="20"/>
                <w:color w:val="auto"/>
              </w:rPr>
            </w:pPr>
            <w:r>
              <w:rPr>
                <w:rFonts w:ascii="Arial" w:cs="Arial" w:eastAsia="Arial" w:hAnsi="Arial"/>
                <w:sz w:val="18"/>
                <w:szCs w:val="18"/>
                <w:b w:val="1"/>
                <w:bCs w:val="1"/>
                <w:color w:val="0075C9"/>
              </w:rPr>
              <w:t>BY MAIL</w:t>
            </w:r>
          </w:p>
        </w:tc>
      </w:tr>
      <w:tr>
        <w:trPr>
          <w:trHeight w:val="264"/>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You may submit a proxy electronically on the</w:t>
            </w:r>
          </w:p>
        </w:tc>
        <w:tc>
          <w:tcPr>
            <w:tcW w:w="316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If you request paper copies of the proxy</w:t>
            </w:r>
          </w:p>
        </w:tc>
        <w:tc>
          <w:tcPr>
            <w:tcW w:w="3040" w:type="dxa"/>
            <w:vAlign w:val="bottom"/>
            <w:shd w:val="clear" w:color="auto" w:fill="E6EFF7"/>
          </w:tcPr>
          <w:p>
            <w:pPr>
              <w:ind w:left="240"/>
              <w:spacing w:after="0"/>
              <w:rPr>
                <w:sz w:val="20"/>
                <w:szCs w:val="20"/>
                <w:color w:val="auto"/>
              </w:rPr>
            </w:pPr>
            <w:r>
              <w:rPr>
                <w:rFonts w:ascii="Arial" w:cs="Arial" w:eastAsia="Arial" w:hAnsi="Arial"/>
                <w:sz w:val="14"/>
                <w:szCs w:val="14"/>
                <w:i w:val="1"/>
                <w:iCs w:val="1"/>
                <w:color w:val="auto"/>
              </w:rPr>
              <w:t>If you request paper copies of the proxy</w:t>
            </w:r>
          </w:p>
        </w:tc>
      </w:tr>
      <w:tr>
        <w:trPr>
          <w:trHeight w:val="162"/>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Internet by following the instructions provided</w:t>
            </w:r>
          </w:p>
        </w:tc>
        <w:tc>
          <w:tcPr>
            <w:tcW w:w="316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materials by mail, you may submit a proxy</w:t>
            </w:r>
          </w:p>
        </w:tc>
        <w:tc>
          <w:tcPr>
            <w:tcW w:w="3040" w:type="dxa"/>
            <w:vAlign w:val="bottom"/>
            <w:shd w:val="clear" w:color="auto" w:fill="E6EFF7"/>
          </w:tcPr>
          <w:p>
            <w:pPr>
              <w:ind w:left="240"/>
              <w:spacing w:after="0"/>
              <w:rPr>
                <w:sz w:val="20"/>
                <w:szCs w:val="20"/>
                <w:color w:val="auto"/>
              </w:rPr>
            </w:pPr>
            <w:r>
              <w:rPr>
                <w:rFonts w:ascii="Arial" w:cs="Arial" w:eastAsia="Arial" w:hAnsi="Arial"/>
                <w:sz w:val="14"/>
                <w:szCs w:val="14"/>
                <w:i w:val="1"/>
                <w:iCs w:val="1"/>
                <w:color w:val="auto"/>
              </w:rPr>
              <w:t>materials by mail, you may indicate your</w:t>
            </w:r>
          </w:p>
        </w:tc>
      </w:tr>
      <w:tr>
        <w:trPr>
          <w:trHeight w:val="162"/>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in the Notice of Internet Availability of Proxy</w:t>
            </w:r>
          </w:p>
        </w:tc>
        <w:tc>
          <w:tcPr>
            <w:tcW w:w="316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by telephone using the toll-free number</w:t>
            </w:r>
          </w:p>
        </w:tc>
        <w:tc>
          <w:tcPr>
            <w:tcW w:w="3040" w:type="dxa"/>
            <w:vAlign w:val="bottom"/>
            <w:shd w:val="clear" w:color="auto" w:fill="E6EFF7"/>
          </w:tcPr>
          <w:p>
            <w:pPr>
              <w:ind w:left="240"/>
              <w:spacing w:after="0"/>
              <w:rPr>
                <w:sz w:val="20"/>
                <w:szCs w:val="20"/>
                <w:color w:val="auto"/>
              </w:rPr>
            </w:pPr>
            <w:r>
              <w:rPr>
                <w:rFonts w:ascii="Arial" w:cs="Arial" w:eastAsia="Arial" w:hAnsi="Arial"/>
                <w:sz w:val="14"/>
                <w:szCs w:val="14"/>
                <w:i w:val="1"/>
                <w:iCs w:val="1"/>
                <w:color w:val="auto"/>
              </w:rPr>
              <w:t>vote by completing, signing and dating</w:t>
            </w:r>
          </w:p>
        </w:tc>
      </w:tr>
      <w:tr>
        <w:trPr>
          <w:trHeight w:val="162"/>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Materials. Please have the Notice of Internet</w:t>
            </w:r>
          </w:p>
        </w:tc>
        <w:tc>
          <w:tcPr>
            <w:tcW w:w="316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listed on the proxy card. Please have your</w:t>
            </w:r>
          </w:p>
        </w:tc>
        <w:tc>
          <w:tcPr>
            <w:tcW w:w="3040" w:type="dxa"/>
            <w:vAlign w:val="bottom"/>
            <w:shd w:val="clear" w:color="auto" w:fill="E6EFF7"/>
          </w:tcPr>
          <w:p>
            <w:pPr>
              <w:ind w:left="240"/>
              <w:spacing w:after="0"/>
              <w:rPr>
                <w:sz w:val="20"/>
                <w:szCs w:val="20"/>
                <w:color w:val="auto"/>
              </w:rPr>
            </w:pPr>
            <w:r>
              <w:rPr>
                <w:rFonts w:ascii="Arial" w:cs="Arial" w:eastAsia="Arial" w:hAnsi="Arial"/>
                <w:sz w:val="14"/>
                <w:szCs w:val="14"/>
                <w:i w:val="1"/>
                <w:iCs w:val="1"/>
                <w:color w:val="auto"/>
              </w:rPr>
              <w:t>your proxy card and returning it in the</w:t>
            </w:r>
          </w:p>
        </w:tc>
      </w:tr>
      <w:tr>
        <w:trPr>
          <w:trHeight w:val="162"/>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Availability of Proxy Materials in hand when</w:t>
            </w:r>
          </w:p>
        </w:tc>
        <w:tc>
          <w:tcPr>
            <w:tcW w:w="316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proxy card in hand when you call.</w:t>
            </w:r>
          </w:p>
        </w:tc>
        <w:tc>
          <w:tcPr>
            <w:tcW w:w="3040" w:type="dxa"/>
            <w:vAlign w:val="bottom"/>
            <w:shd w:val="clear" w:color="auto" w:fill="E6EFF7"/>
          </w:tcPr>
          <w:p>
            <w:pPr>
              <w:ind w:left="240"/>
              <w:spacing w:after="0"/>
              <w:rPr>
                <w:sz w:val="20"/>
                <w:szCs w:val="20"/>
                <w:color w:val="auto"/>
              </w:rPr>
            </w:pPr>
            <w:r>
              <w:rPr>
                <w:rFonts w:ascii="Arial" w:cs="Arial" w:eastAsia="Arial" w:hAnsi="Arial"/>
                <w:sz w:val="14"/>
                <w:szCs w:val="14"/>
                <w:i w:val="1"/>
                <w:iCs w:val="1"/>
                <w:color w:val="auto"/>
              </w:rPr>
              <w:t>reply envelope provided.</w:t>
            </w:r>
          </w:p>
        </w:tc>
      </w:tr>
      <w:tr>
        <w:trPr>
          <w:trHeight w:val="162"/>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you log onto the website. Internet voting</w:t>
            </w:r>
          </w:p>
        </w:tc>
        <w:tc>
          <w:tcPr>
            <w:tcW w:w="316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Telephone voting facilities will close and no</w:t>
            </w:r>
          </w:p>
        </w:tc>
        <w:tc>
          <w:tcPr>
            <w:tcW w:w="3040" w:type="dxa"/>
            <w:vAlign w:val="bottom"/>
            <w:shd w:val="clear" w:color="auto" w:fill="E6EFF7"/>
          </w:tcPr>
          <w:p>
            <w:pPr>
              <w:spacing w:after="0"/>
              <w:rPr>
                <w:sz w:val="14"/>
                <w:szCs w:val="14"/>
                <w:color w:val="auto"/>
              </w:rPr>
            </w:pPr>
          </w:p>
        </w:tc>
      </w:tr>
      <w:tr>
        <w:trPr>
          <w:trHeight w:val="162"/>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facilities will be available 24 hours a day, 7</w:t>
            </w:r>
          </w:p>
        </w:tc>
        <w:tc>
          <w:tcPr>
            <w:tcW w:w="316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longer be available after 11:59 p.m.,</w:t>
            </w:r>
          </w:p>
        </w:tc>
        <w:tc>
          <w:tcPr>
            <w:tcW w:w="3040" w:type="dxa"/>
            <w:vAlign w:val="bottom"/>
            <w:shd w:val="clear" w:color="auto" w:fill="E6EFF7"/>
          </w:tcPr>
          <w:p>
            <w:pPr>
              <w:spacing w:after="0"/>
              <w:rPr>
                <w:sz w:val="14"/>
                <w:szCs w:val="14"/>
                <w:color w:val="auto"/>
              </w:rPr>
            </w:pPr>
          </w:p>
        </w:tc>
      </w:tr>
      <w:tr>
        <w:trPr>
          <w:trHeight w:val="162"/>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days a week, and will close at 11:59 p.m.,</w:t>
            </w:r>
          </w:p>
        </w:tc>
        <w:tc>
          <w:tcPr>
            <w:tcW w:w="316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Eastern Time, on May 1, 2025.</w:t>
            </w:r>
          </w:p>
        </w:tc>
        <w:tc>
          <w:tcPr>
            <w:tcW w:w="3040" w:type="dxa"/>
            <w:vAlign w:val="bottom"/>
            <w:shd w:val="clear" w:color="auto" w:fill="E6EFF7"/>
          </w:tcPr>
          <w:p>
            <w:pPr>
              <w:spacing w:after="0"/>
              <w:rPr>
                <w:sz w:val="14"/>
                <w:szCs w:val="14"/>
                <w:color w:val="auto"/>
              </w:rPr>
            </w:pPr>
          </w:p>
        </w:tc>
      </w:tr>
      <w:tr>
        <w:trPr>
          <w:trHeight w:val="188"/>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Eastern Time, on May 1, 2025.</w:t>
            </w:r>
          </w:p>
        </w:tc>
        <w:tc>
          <w:tcPr>
            <w:tcW w:w="3160" w:type="dxa"/>
            <w:vAlign w:val="bottom"/>
            <w:shd w:val="clear" w:color="auto" w:fill="E6EFF7"/>
          </w:tcPr>
          <w:p>
            <w:pPr>
              <w:spacing w:after="0"/>
              <w:rPr>
                <w:sz w:val="16"/>
                <w:szCs w:val="16"/>
                <w:color w:val="auto"/>
              </w:rPr>
            </w:pPr>
          </w:p>
        </w:tc>
        <w:tc>
          <w:tcPr>
            <w:tcW w:w="3040" w:type="dxa"/>
            <w:vAlign w:val="bottom"/>
            <w:shd w:val="clear" w:color="auto" w:fill="E6EFF7"/>
          </w:tcPr>
          <w:p>
            <w:pPr>
              <w:spacing w:after="0"/>
              <w:rPr>
                <w:sz w:val="16"/>
                <w:szCs w:val="16"/>
                <w:color w:val="auto"/>
              </w:rPr>
            </w:pPr>
          </w:p>
        </w:tc>
      </w:tr>
      <w:tr>
        <w:trPr>
          <w:trHeight w:val="89"/>
        </w:trPr>
        <w:tc>
          <w:tcPr>
            <w:tcW w:w="3340" w:type="dxa"/>
            <w:vAlign w:val="bottom"/>
            <w:shd w:val="clear" w:color="auto" w:fill="E6EFF7"/>
          </w:tcPr>
          <w:p>
            <w:pPr>
              <w:spacing w:after="0"/>
              <w:rPr>
                <w:sz w:val="7"/>
                <w:szCs w:val="7"/>
                <w:color w:val="auto"/>
              </w:rPr>
            </w:pPr>
          </w:p>
        </w:tc>
        <w:tc>
          <w:tcPr>
            <w:tcW w:w="3160" w:type="dxa"/>
            <w:vAlign w:val="bottom"/>
            <w:shd w:val="clear" w:color="auto" w:fill="E6EFF7"/>
          </w:tcPr>
          <w:p>
            <w:pPr>
              <w:spacing w:after="0"/>
              <w:rPr>
                <w:sz w:val="7"/>
                <w:szCs w:val="7"/>
                <w:color w:val="auto"/>
              </w:rPr>
            </w:pPr>
          </w:p>
        </w:tc>
        <w:tc>
          <w:tcPr>
            <w:tcW w:w="3040" w:type="dxa"/>
            <w:vAlign w:val="bottom"/>
            <w:shd w:val="clear" w:color="auto" w:fill="E6EFF7"/>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-1328420</wp:posOffset>
            </wp:positionV>
            <wp:extent cx="342900" cy="291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0" cy="29146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-1336675</wp:posOffset>
            </wp:positionV>
            <wp:extent cx="171450" cy="3003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71450" cy="3003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-1225550</wp:posOffset>
            </wp:positionV>
            <wp:extent cx="282575" cy="1885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For stockholders who have their shares voted by duly submitting a proxy by Internet, telephone or mail, the Proxy Holders will vote all shares represented by such valid proxies in accordance with the stockholders’ instructions. If a stockholder signs and mails a proxy card, but does not indicate how the Proxy Holders should vote, the Proxy Holders will vote in accordance with the Board of Directors’ recommendations as set forth above.</w:t>
      </w:r>
    </w:p>
    <w:p>
      <w:pPr>
        <w:spacing w:after="0" w:line="174" w:lineRule="exact"/>
        <w:rPr>
          <w:sz w:val="20"/>
          <w:szCs w:val="20"/>
          <w:color w:val="auto"/>
        </w:rPr>
      </w:pPr>
    </w:p>
    <w:p>
      <w:pPr>
        <w:jc w:val="both"/>
        <w:ind w:right="300"/>
        <w:spacing w:after="0" w:line="253" w:lineRule="auto"/>
        <w:rPr>
          <w:sz w:val="20"/>
          <w:szCs w:val="20"/>
          <w:color w:val="auto"/>
        </w:rPr>
      </w:pPr>
      <w:r>
        <w:rPr>
          <w:rFonts w:ascii="Arial" w:cs="Arial" w:eastAsia="Arial" w:hAnsi="Arial"/>
          <w:sz w:val="18"/>
          <w:szCs w:val="18"/>
          <w:color w:val="auto"/>
        </w:rPr>
        <w:t>If you received more than one Notice of Internet Availability of Proxy Materials, your shares are likely registered in different names or with different addresses or are in more than one account. You must separately vote the shares shown on each Notice of Internet Availability of Proxy Materials that you receive in order for all of your shares to be voted at the Annual Meeting.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How to Vote Shares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If you hold shares through a brokerage firm, trustee, bank, other financial intermediary or nominee (known as shares held in “street name”), you will receive from that broker, trustee, bank, financial intermediary or other nominee (the “</w:t>
      </w:r>
      <w:r>
        <w:rPr>
          <w:rFonts w:ascii="Arial" w:cs="Arial" w:eastAsia="Arial" w:hAnsi="Arial"/>
          <w:sz w:val="18"/>
          <w:szCs w:val="18"/>
          <w:b w:val="1"/>
          <w:bCs w:val="1"/>
          <w:i w:val="1"/>
          <w:iCs w:val="1"/>
          <w:color w:val="auto"/>
        </w:rPr>
        <w:t>intermediary</w:t>
      </w:r>
      <w:r>
        <w:rPr>
          <w:rFonts w:ascii="Arial" w:cs="Arial" w:eastAsia="Arial" w:hAnsi="Arial"/>
          <w:sz w:val="18"/>
          <w:szCs w:val="18"/>
          <w:color w:val="auto"/>
        </w:rPr>
        <w:t>”) a voting instruction form that will explain how to direct the voting of your shares through the intermediary, which may include the ability to provide voting instructions via the Internet or by telephone.</w:t>
      </w:r>
    </w:p>
    <w:p>
      <w:pPr>
        <w:spacing w:after="0" w:line="17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 xml:space="preserve">If your shares are held in street name through a brokerage firm that is a member of the NYSE and you want to vote on any of the proposals to be submitted to a vote at the Annual Meeting (except as to Proposal 2), you MUST indicate how you wish your shares to be voted. The broker will vote shares held by you in street name in accordance with your voting instructions, as indicated on your signed voting instruction form or by the instructions you provide via the Internet or by telephone. Absent such instructions, the proxy submitted by the broker with respect to your shares will indicate that the broker is not able to cast a vote with respect to the matter, which is commonly referred to as a “broker non-vote.” </w:t>
      </w:r>
      <w:r>
        <w:rPr>
          <w:rFonts w:ascii="Arial" w:cs="Arial" w:eastAsia="Arial" w:hAnsi="Arial"/>
          <w:sz w:val="18"/>
          <w:szCs w:val="18"/>
          <w:b w:val="1"/>
          <w:bCs w:val="1"/>
          <w:color w:val="auto"/>
        </w:rPr>
        <w:t>Accordingly, if your shares are held in street name, it is important that you provide voting instructions to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broker or other intermediary so that your vote will be counted. </w:t>
      </w:r>
      <w:r>
        <w:rPr>
          <w:rFonts w:ascii="Arial" w:cs="Arial" w:eastAsia="Arial" w:hAnsi="Arial"/>
          <w:sz w:val="18"/>
          <w:szCs w:val="18"/>
          <w:color w:val="auto"/>
        </w:rPr>
        <w:t>Under NYSE rules, Proposal 2 is considered a “routine matter,” and thus</w:t>
      </w:r>
      <w:r>
        <w:rPr>
          <w:rFonts w:ascii="Arial" w:cs="Arial" w:eastAsia="Arial" w:hAnsi="Arial"/>
          <w:sz w:val="18"/>
          <w:szCs w:val="18"/>
          <w:b w:val="1"/>
          <w:bCs w:val="1"/>
          <w:color w:val="auto"/>
        </w:rPr>
        <w:t xml:space="preserve"> </w:t>
      </w:r>
      <w:r>
        <w:rPr>
          <w:rFonts w:ascii="Arial" w:cs="Arial" w:eastAsia="Arial" w:hAnsi="Arial"/>
          <w:sz w:val="18"/>
          <w:szCs w:val="18"/>
          <w:color w:val="auto"/>
        </w:rPr>
        <w:t>a broker is permitted in its discretion to cast a vote on this proposal as to your shares in the event that you do not provide the broker with voting instructions.</w:t>
      </w:r>
    </w:p>
    <w:p>
      <w:pPr>
        <w:spacing w:after="0" w:line="23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4" w:name="page75"/>
    <w:bookmarkEnd w:id="74"/>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68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2025 PROXY STATEMENT</w:t>
      </w:r>
    </w:p>
    <w:p>
      <w:pPr>
        <w:spacing w:after="0" w:line="73" w:lineRule="exact"/>
        <w:rPr>
          <w:sz w:val="20"/>
          <w:szCs w:val="20"/>
          <w:color w:val="auto"/>
        </w:rPr>
      </w:pPr>
    </w:p>
    <w:p>
      <w:pPr>
        <w:ind w:left="9920"/>
        <w:spacing w:after="0"/>
        <w:rPr>
          <w:sz w:val="20"/>
          <w:szCs w:val="20"/>
          <w:color w:val="auto"/>
        </w:rPr>
      </w:pPr>
      <w:r>
        <w:rPr>
          <w:rFonts w:ascii="Arial" w:cs="Arial" w:eastAsia="Arial" w:hAnsi="Arial"/>
          <w:sz w:val="14"/>
          <w:szCs w:val="14"/>
          <w:color w:val="auto"/>
        </w:rPr>
        <w:t>General Information</w:t>
      </w:r>
    </w:p>
    <w:p>
      <w:pPr>
        <w:spacing w:after="0" w:line="35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If you hold shares in street name and wish to vote your shares at the Annual Meeting, you must first obtain a valid proxy from the intermediary. To attend the Annual Meeting (regardless of whether you intend to vote your shares at the Annual Meeting), you should follow the instructions under “Attending the Annual Meeting” below.</w:t>
      </w:r>
    </w:p>
    <w:p>
      <w:pPr>
        <w:spacing w:after="0" w:line="169"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If you received more than one voting instruction form, your shares are likely registered in different names or with different addresses or are in more than one account. You must separately follow the foregoing voting procedures for each voting instruction form that you receive in order for all of your shares to be voted at the Annual Meeting.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Revoking or Changing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If you are a registered stockholder, you may revoke your proxy at any time before your shares are voted at the Annual Meeting by:</w:t>
      </w:r>
    </w:p>
    <w:p>
      <w:pPr>
        <w:spacing w:after="0" w:line="104" w:lineRule="exact"/>
        <w:rPr>
          <w:sz w:val="20"/>
          <w:szCs w:val="20"/>
          <w:color w:val="auto"/>
        </w:rPr>
      </w:pPr>
    </w:p>
    <w:p>
      <w:pPr>
        <w:ind w:left="540" w:hanging="322"/>
        <w:spacing w:after="0"/>
        <w:tabs>
          <w:tab w:leader="none" w:pos="54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voting again through the Internet or by telephone prior to 11:59 p.m., Eastern Time on May 1, 2025;</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requesting, completing and mailing in a new paper proxy card, as outlined in the Notice of Internet Availability of Proxy Materials;</w:t>
      </w:r>
    </w:p>
    <w:p>
      <w:pPr>
        <w:spacing w:after="0" w:line="116" w:lineRule="exact"/>
        <w:rPr>
          <w:rFonts w:ascii="Times New Roman" w:cs="Times New Roman" w:eastAsia="Times New Roman" w:hAnsi="Times New Roman"/>
          <w:sz w:val="18"/>
          <w:szCs w:val="18"/>
          <w:color w:val="auto"/>
        </w:rPr>
      </w:pPr>
    </w:p>
    <w:p>
      <w:pPr>
        <w:ind w:left="540" w:right="640" w:hanging="322"/>
        <w:spacing w:after="0" w:line="270" w:lineRule="auto"/>
        <w:tabs>
          <w:tab w:leader="none" w:pos="54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voting at the Annual Meeting; however, attending the Annual Meeting without completing a ballot will not revoke any previously submitted proxy; or</w:t>
      </w:r>
    </w:p>
    <w:p>
      <w:pPr>
        <w:spacing w:after="0" w:line="46" w:lineRule="exact"/>
        <w:rPr>
          <w:rFonts w:ascii="Times New Roman" w:cs="Times New Roman" w:eastAsia="Times New Roman" w:hAnsi="Times New Roman"/>
          <w:sz w:val="18"/>
          <w:szCs w:val="18"/>
          <w:color w:val="auto"/>
        </w:rPr>
      </w:pPr>
    </w:p>
    <w:p>
      <w:pPr>
        <w:ind w:left="540" w:right="440" w:hanging="322"/>
        <w:spacing w:after="0" w:line="270" w:lineRule="auto"/>
        <w:tabs>
          <w:tab w:leader="none" w:pos="54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submitting a written notice of revocation to the Corporate Secretary of California Resources Corporation at 1 World Trade Center, Suite 1500, Long Beach, California 90831 that is received no later than May 1, 2025.</w:t>
      </w:r>
    </w:p>
    <w:p>
      <w:pPr>
        <w:spacing w:after="0" w:line="154"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If you are a street-name stockholder and you vote by proxy, you may change your vote by submitting new voting instructions to your broker, bank or other nominee in accordance with that entity’s procedures.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Required Vote and Method of 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Proposal 1. Election of Directors</w:t>
      </w:r>
    </w:p>
    <w:p>
      <w:pPr>
        <w:spacing w:after="0" w:line="115"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Pursuant to the Company's Bylaws, a nominee will be elected to the Board of Directors if such nominee receives the highest number of votes cast “FOR” a particular position on the Board of Directors. The election of directors involves a matter on which a broker (or other nominee) does not have “discretionary” authority to vote. If you do not instruct your broker how to vote with respect to this item, your broker may not vote your shares with respect to this proposal. In such case, a broker non-vote will occur. “Withhold” votes and broker non-votes are not considered votes cast and will have no effect on the outcome of the election of directors.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Proposal 2. Ratification of the Appointment of the Independent Registered Public Accounting Firm</w:t>
      </w:r>
    </w:p>
    <w:p>
      <w:pPr>
        <w:spacing w:after="0" w:line="11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affirmative vote of a majority in voting power of the shares present in person, or represented by proxy at the Annual Meeting, and entitled to vote on the matter, is required to approve Proposal 2. Proposal 2 involves a matter on which a broker (or other nominee) does have “discretionary” authority to vote. Even if you do not instruct your broker how to vote with respect to this item, your broker may vote your shares with respect to this proposal in its discretion. With respect to Proposal 2, abstentions are treated as present or represented and entitled to vote on the matter and will have the same effect as a vote “AGAINST.”</w:t>
      </w:r>
    </w:p>
    <w:p>
      <w:pPr>
        <w:spacing w:after="0" w:line="23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5" w:name="page76"/>
    <w:bookmarkEnd w:id="75"/>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68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t>2025 PROXY STATEMENT</w:t>
      </w:r>
    </w:p>
    <w:p>
      <w:pPr>
        <w:spacing w:after="0" w:line="73" w:lineRule="exact"/>
        <w:rPr>
          <w:sz w:val="20"/>
          <w:szCs w:val="20"/>
          <w:color w:val="auto"/>
        </w:rPr>
      </w:pPr>
    </w:p>
    <w:p>
      <w:pPr>
        <w:ind w:left="9920"/>
        <w:spacing w:after="0"/>
        <w:rPr>
          <w:sz w:val="20"/>
          <w:szCs w:val="20"/>
          <w:color w:val="auto"/>
        </w:rPr>
      </w:pPr>
      <w:r>
        <w:rPr>
          <w:rFonts w:ascii="Arial" w:cs="Arial" w:eastAsia="Arial" w:hAnsi="Arial"/>
          <w:sz w:val="14"/>
          <w:szCs w:val="14"/>
          <w:color w:val="auto"/>
        </w:rPr>
        <w:t>General Information</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Proposal 3. Advisory Vote to Approve Named Executive Officer Compensation</w:t>
      </w:r>
    </w:p>
    <w:p>
      <w:pPr>
        <w:spacing w:after="0" w:line="11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affirmative vote of a majority in voting power of the shares present in person, or represented by proxy at the Annual Meeting, and entitled to vote on the matter, is required to approve the recommendations in Proposal 3. Such proposal involves matters on which a broker (or other nominee) does not have “discretionary” authority to vote. If you do not instruct your broker how to vote with respect to this item, your broker may not vote your shares with respect to this proposal. In such case, a broker non-vote will occur. Broker non-votes are not considered and will have no effect on the outcome of Proposal 3. Abstentions are treated as present or represented and entitled to vote on the matter and will have the same effect as a vote “AGAINST.” With respect to Proposal 3, while this vote is required by law, it will neither be binding on the Company or the Board of Directors nor will it create or imply any change in the fiduciary duties of, or impose any additional fiduciary duty on, the Company or the Board of Directors. However, the views of our stockholders are important to us, and our Compensation Committee will take into account the outcome of the vote when considering future executive compensation decisions. We urge you to read the section entitled “Compensation Discussion and Analysis,” including the compensation tables that follow, which discusses in detail how our executive compensation program implements our compensation philosophy.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Method and Cost of Soliciting and Tabulating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Board of Directors is providing these proxy materials to you in connection with the solicitation by the Board of Directors of proxies to be voted at the Annual Meeting. In addition to solicitation by mail, our officers, directors and employees may solicit proxies personally or by telephone, facsimile or electronic means. These officers, directors and employees will not receive any extra compensation for these services. In addition, we will make arrangements with brokerage houses, custodians, nominees and other fiduciaries to send proxy materials to the beneficial owners of our stock, and we will reimburse them for postage and clerical expenses. We will bear the costs of the solicitation, including the cost of the preparation, assembly, printing and, where applicable, mailing of the Notice of Internet Availability of Proxy Materials, the Notice of the 2025 Annual Meeting of Stockholders, this proxy statement, the proxy card and any additional information furnished by us to our stockholders. In addition, we have hired Okapi Partners, LLC to assist us in soliciting proxies, which it may do by telephone or in person. We will pay Okapi Partners, LLC a fee of $10,000, plus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Attending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How can I vote my shares and participate at the Annual Meeting?</w:t>
      </w:r>
    </w:p>
    <w:p>
      <w:pPr>
        <w:spacing w:after="0" w:line="4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This year’s Annual Meeting will be held entirely online to allow greater participation. Shareholders may participate in the Annual Meeting by visiting the following website: https://www.virtualshareholdermeeting.com/CRC2025. To participate in the Annual Meeting, you will need the 16-digit control number included on your Notice, on your proxy card or on the instructions that accompanied your proxy materials. Shares held in your name as the shareholder of record may be voted electronically during the Annual Meeting. Shares for which you are the beneficial owner but not the shareholder of record also may be voted electronically during the Annual Meeting; however, in order for stockholders whose shares were held in an account at a brokerage firm, bank or other nominee (i.e., in “street name”) as of March 10, 2025, to vote their shares at the meeting, they will need to obtain a legal proxy from the broker, bank or other nominee that holds their shares authorizing them to vote at the Annual Meeting. However, even if you plan to attend the Annual Meeting, the Company recommends that you vote your shares in advance, so that your vote will be counted if you later decide not to attend the Annual Meeting.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What will I need in order to attend the Annual Meeting?</w:t>
      </w:r>
    </w:p>
    <w:p>
      <w:pPr>
        <w:spacing w:after="0" w:line="48"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You are entitled to attend the virtual Annual Meeting only if you were a stockholder of record as of the record date for the Annual Meeting, or March 10, 2025, or you hold a valid proxy for the Annual Meeting. You may attend the Annual Meeting, vote, and submit a question during the Annual Meeting by visiting https://www.virtualshareholdermeeting.com/CRC2025 and using your 16-digit control number to enter the meeting. If you are not a stockholder of record but hold shares as a beneficial owner in street name, you may be required to provide proof of beneficial ownership, such as your most recent account statement as of the Record Date, a copy of the voting instruction form provided by your broker, bank, trustee, or nominee, or other</w:t>
      </w:r>
    </w:p>
    <w:p>
      <w:pPr>
        <w:spacing w:after="0" w:line="233" w:lineRule="exact"/>
        <w:rPr>
          <w:sz w:val="20"/>
          <w:szCs w:val="20"/>
          <w:color w:val="auto"/>
        </w:rPr>
      </w:pPr>
    </w:p>
    <w:p>
      <w:pPr>
        <w:ind w:left="718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6" w:name="page77"/>
    <w:bookmarkEnd w:id="76"/>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74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73" w:lineRule="exact"/>
        <w:rPr>
          <w:sz w:val="20"/>
          <w:szCs w:val="20"/>
          <w:color w:val="auto"/>
        </w:rPr>
      </w:pPr>
    </w:p>
    <w:p>
      <w:pPr>
        <w:ind w:left="9920"/>
        <w:spacing w:after="0"/>
        <w:rPr>
          <w:sz w:val="20"/>
          <w:szCs w:val="20"/>
          <w:color w:val="auto"/>
        </w:rPr>
      </w:pPr>
      <w:r>
        <w:rPr>
          <w:rFonts w:ascii="Arial" w:cs="Arial" w:eastAsia="Arial" w:hAnsi="Arial"/>
          <w:sz w:val="14"/>
          <w:szCs w:val="14"/>
          <w:color w:val="auto"/>
        </w:rPr>
        <w:t>General Information</w:t>
      </w:r>
    </w:p>
    <w:p>
      <w:pPr>
        <w:spacing w:after="0" w:line="194"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auto"/>
        </w:rPr>
        <w:t>similar evidence of ownership. If you do not comply with the procedures outlined above, you will not be admitted to the virtual Annual Meeting.</w:t>
      </w:r>
    </w:p>
    <w:p>
      <w:pPr>
        <w:spacing w:after="0" w:line="154"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Stockholders may submit questions live during the meeting on our Annual Meeting website, https://www.virtualshareholdermeeting.com/CRC2025. We plan to provide adequate time for stockholder questions to be read and answered by Company personnel during the meeting. Following the Annual Meeting, we will publish an answer to each appropriate question we received on our Investor Relations website at http://investors.crc.com as soon as practical. In submitting questions, please note that we will only address questions that are germane to the matters being voted on at our Annual Meeting.</w:t>
      </w:r>
    </w:p>
    <w:p>
      <w:pPr>
        <w:spacing w:after="0" w:line="176"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During the Annual Meeting, we will offer live technical support for all stockholders attending the meeting. We encourage you to access the meeting prior to the start time. Please allow ample time for online check-in, which will begin at 10:45 a.m. Pacific Time. We will have technicians ready to assist if you have difficulties accessing the virtual meeting during the check-in time or during the Annual Meeting. If you encounter any difficulties accessing the virtual meeting during the check-in or course of the Annual Meeting, please call (844) 976-0738 (U.S.) or (303) 562-9301 (international).</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0075C9"/>
        </w:rPr>
        <w:t>Notice of Internet Availability of Proxy Materials</w:t>
      </w:r>
    </w:p>
    <w:p>
      <w:pPr>
        <w:spacing w:after="0" w:line="106"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On March 19, 2025, we mailed a Notice of Internet Availability of Proxy Materials to our stockholders of record and beneficial owners who owned shares of our common stock at the close of business on March 10, 2025. The Notice of Internet Availability of Proxy Materials contained instructions on how to access the proxy materials and vote online. We have made these proxy materials available to you over the Internet or, upon your request, have delivered paper versions of these materials to you by mail, in connection with the solicitation of proxies by our Board of Directors for the Annual Meeting.</w:t>
      </w:r>
    </w:p>
    <w:p>
      <w:pPr>
        <w:spacing w:after="0" w:line="17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Choosing to receive your future proxy materials by e-mail will save us the cost of printing and mailing documents to you. If you choose to receive future proxy materials by e-mail, you will receive an e-mail next year with instructions containing a link to those materials and a link to the proxy voting site. Your election to receive proxy materials by e-mail will remain in effect until you terminate it.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7" w:name="page78"/>
    <w:bookmarkEnd w:id="77"/>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74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73" w:lineRule="exact"/>
        <w:rPr>
          <w:sz w:val="20"/>
          <w:szCs w:val="20"/>
          <w:color w:val="auto"/>
        </w:rPr>
      </w:pPr>
    </w:p>
    <w:p>
      <w:pPr>
        <w:ind w:left="9920"/>
        <w:spacing w:after="0"/>
        <w:rPr>
          <w:sz w:val="20"/>
          <w:szCs w:val="20"/>
          <w:color w:val="auto"/>
        </w:rPr>
      </w:pPr>
      <w:r>
        <w:rPr>
          <w:rFonts w:ascii="Arial" w:cs="Arial" w:eastAsia="Arial" w:hAnsi="Arial"/>
          <w:sz w:val="14"/>
          <w:szCs w:val="14"/>
          <w:color w:val="auto"/>
        </w:rPr>
        <w:t>General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0075C9"/>
        </w:rPr>
        <w:t>Stockholder Proposals and Director Nominations</w:t>
      </w:r>
    </w:p>
    <w:p>
      <w:pPr>
        <w:spacing w:after="0" w:line="10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Any stockholder who wishes to submit a proposal for inclusion in the proxy materials and for presentation at our 2026 annual meeting of stockholders must comply with the requirements set forth in Rule 14a-8 under the Exchange Act. In accordance with Rule 14a-8, stockholder proposals must be received by our Corporate Secretary at the address below not later than November 19, 2025.</w:t>
      </w:r>
    </w:p>
    <w:p>
      <w:pPr>
        <w:spacing w:after="0" w:line="169"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For stockholder proposals to be considered at our 2026 annual meeting of stockholders that are not submitted for inclusion in our proxy statement, as more specifically provided in our Bylaws, in order for stockholder nominations of persons for election to the Board of Directors or a proposal of any other business to be properly brought before the 2026 annual meeting of stockholders, it must be submitted in accordance with our Bylaws and must be received at our principal executive offices no earlier than the close of business on January 2, 2026 and not later than the close of business on February 1, 2026. Any such proposal must be an appropriate subject for stockholder action under applicable law and must comply with the notice requirements set forth in Section 2.9 of our Bylaws and should be sent in writing to: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California Resources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Corporate Secretary</w:t>
      </w:r>
    </w:p>
    <w:p>
      <w:pPr>
        <w:jc w:val="center"/>
        <w:spacing w:after="0" w:line="234" w:lineRule="auto"/>
        <w:rPr>
          <w:sz w:val="20"/>
          <w:szCs w:val="20"/>
          <w:color w:val="auto"/>
        </w:rPr>
      </w:pPr>
      <w:r>
        <w:rPr>
          <w:rFonts w:ascii="Arial" w:cs="Arial" w:eastAsia="Arial" w:hAnsi="Arial"/>
          <w:sz w:val="18"/>
          <w:szCs w:val="18"/>
          <w:color w:val="auto"/>
        </w:rPr>
        <w:t>1 World Trade Center, Suite 1500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Long Beach, California 90831</w:t>
      </w:r>
    </w:p>
    <w:p>
      <w:pPr>
        <w:spacing w:after="0" w:line="86" w:lineRule="exact"/>
        <w:rPr>
          <w:sz w:val="20"/>
          <w:szCs w:val="20"/>
          <w:color w:val="auto"/>
        </w:rPr>
      </w:pPr>
    </w:p>
    <w:p>
      <w:pPr>
        <w:ind w:right="380"/>
        <w:spacing w:after="0" w:line="283" w:lineRule="auto"/>
        <w:rPr>
          <w:sz w:val="20"/>
          <w:szCs w:val="20"/>
          <w:color w:val="auto"/>
        </w:rPr>
      </w:pPr>
      <w:r>
        <w:rPr>
          <w:rFonts w:ascii="Arial" w:cs="Arial" w:eastAsia="Arial" w:hAnsi="Arial"/>
          <w:sz w:val="17"/>
          <w:szCs w:val="17"/>
          <w:color w:val="auto"/>
        </w:rPr>
        <w:t>In addition to the satisfying the requirements under our Bylaws described above, to comply with the universal proxy rules under the Exchange Act, any stockholder who intends to solicit proxies in support of director nominees other than the Board of Directors’ nominees must provide written notice that sets forth the information required by Rule 14a-19 under the Exchange Act no later than March 3, 2026.</w:t>
      </w:r>
    </w:p>
    <w:p>
      <w:pPr>
        <w:spacing w:after="0" w:line="146"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Detailed information for submitting recommendations for director nominees is available upon written request to our Corporate Secretary at the address listed above.</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0075C9"/>
        </w:rPr>
        <w:t>Householding of Proxy Materials</w:t>
      </w:r>
    </w:p>
    <w:p>
      <w:pPr>
        <w:spacing w:after="0" w:line="106"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SEC’s proxy rules permit companies and intermediaries, such as brokers, banks and other nominees, to satisfy delivery requirements for proxy materials with respect to two or more stockholders sharing the same address by delivering a single set of proxy materials to those stockholders. This method of delivery, often referred to as “householding,” helps to reduce the amount of duplicative information that stockholders receive and lowers printing and mailing costs for companies.</w:t>
      </w:r>
    </w:p>
    <w:p>
      <w:pPr>
        <w:spacing w:after="0" w:line="174"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We are householding proxy materials for stockholders of record in connection with the Annual Meeting unless otherwise notified. We have been notified that certain intermediaries may household proxy materials as well. If you hold your shares of common stock through a broker, bank or other nominee that has determined to household proxy materials, only one set of proxy materials will be delivered to multiple stockholders sharing an address unless you notify your broker, bank or other nominee to the contrary.</w:t>
      </w:r>
    </w:p>
    <w:p>
      <w:pPr>
        <w:spacing w:after="0" w:line="17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will promptly deliver you a separate copy of the proxy materials for the Annual Meeting if you so request by (1) visiting http://www.proxyvote.com, (2) calling (800) 579-1639 or (3) sending an email to sendmaterial@proxyvote.com. If sending any email, please include your 16-digit control number in the subject line. You may also contact your broker, bank or other nominee to make a similar request.</w:t>
      </w:r>
    </w:p>
    <w:p>
      <w:pPr>
        <w:spacing w:after="0" w:line="169"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Please contact us or your broker, bank or other nominee directly if you have questions or wish to receive separate copies of our proxy materials in the future. You should also contact us or your broker, bank or other nominee if you wish to request delivery of a single copy if you are currently receiving multiple copies. These options are available to you at any time.</w:t>
      </w:r>
    </w:p>
    <w:p>
      <w:pPr>
        <w:spacing w:after="0" w:line="22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8" w:name="page79"/>
    <w:bookmarkEnd w:id="78"/>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74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73" w:lineRule="exact"/>
        <w:rPr>
          <w:sz w:val="20"/>
          <w:szCs w:val="20"/>
          <w:color w:val="auto"/>
        </w:rPr>
      </w:pPr>
    </w:p>
    <w:p>
      <w:pPr>
        <w:ind w:left="9920"/>
        <w:spacing w:after="0"/>
        <w:rPr>
          <w:sz w:val="20"/>
          <w:szCs w:val="20"/>
          <w:color w:val="auto"/>
        </w:rPr>
      </w:pPr>
      <w:r>
        <w:rPr>
          <w:rFonts w:ascii="Arial" w:cs="Arial" w:eastAsia="Arial" w:hAnsi="Arial"/>
          <w:sz w:val="14"/>
          <w:szCs w:val="14"/>
          <w:color w:val="auto"/>
        </w:rPr>
        <w:t>General Information</w:t>
      </w: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color w:val="0075C9"/>
        </w:rPr>
        <w:t>2024 Annual Report</w:t>
      </w:r>
    </w:p>
    <w:p>
      <w:pPr>
        <w:spacing w:after="0" w:line="106"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color w:val="auto"/>
        </w:rPr>
        <w:t>Our 2024 Annual Report to Stockholders, including our Annual Report on Form 10-K for the fiscal year ended December 31, 2024, as filed with the SEC, is being furnished to our stockholders primarily via the Internet and mailed to all stockholders who have requested to receive paper copies of the proxy materials. The 2024 Annual Report to Stockholders does not constitute a part of the proxy soliciting material.</w:t>
      </w:r>
    </w:p>
    <w:p>
      <w:pPr>
        <w:spacing w:after="0" w:line="169"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b w:val="1"/>
          <w:bCs w:val="1"/>
          <w:color w:val="auto"/>
        </w:rPr>
        <w:t>A copy of our Annual Report on Form 10-K for the fiscal year ended December 31, 2024, including the financial statements and the financial statement schedules, if any, but not including exhibits, is also available at http://www.proxyvote.com and a copy will be furnished at no charge to each person to whom a Notice of Internet Availability of Proxy Materials is delivered upon the request of such person to the following:</w:t>
      </w:r>
    </w:p>
    <w:p>
      <w:pPr>
        <w:sectPr>
          <w:pgSz w:w="11900" w:h="16838" w:orient="portrait"/>
          <w:cols w:equalWidth="0" w:num="1">
            <w:col w:w="11240"/>
          </w:cols>
          <w:pgMar w:left="320" w:top="890" w:right="339" w:bottom="1440" w:gutter="0" w:footer="0" w:header="0"/>
        </w:sectPr>
      </w:pPr>
    </w:p>
    <w:p>
      <w:pPr>
        <w:spacing w:after="0" w:line="15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TELEPHONE:</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EMAIL:</w:t>
      </w:r>
    </w:p>
    <w:p>
      <w:pPr>
        <w:ind w:left="20"/>
        <w:spacing w:after="0"/>
        <w:rPr>
          <w:sz w:val="20"/>
          <w:szCs w:val="20"/>
          <w:color w:val="auto"/>
        </w:rPr>
      </w:pPr>
      <w:r>
        <w:rPr>
          <w:rFonts w:ascii="Arial" w:cs="Arial" w:eastAsia="Arial" w:hAnsi="Arial"/>
          <w:sz w:val="18"/>
          <w:szCs w:val="18"/>
          <w:b w:val="1"/>
          <w:bCs w:val="1"/>
          <w:color w:val="auto"/>
        </w:rPr>
        <w:t>WEBSITE:</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(800) 579-1639</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sendmaterial@proxyvote.com</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http://www.proxyvote.com</w:t>
      </w:r>
    </w:p>
    <w:p>
      <w:pPr>
        <w:spacing w:after="0" w:line="180" w:lineRule="exact"/>
        <w:rPr>
          <w:sz w:val="20"/>
          <w:szCs w:val="20"/>
          <w:color w:val="auto"/>
        </w:rPr>
      </w:pPr>
    </w:p>
    <w:p>
      <w:pPr>
        <w:sectPr>
          <w:pgSz w:w="11900" w:h="16838" w:orient="portrait"/>
          <w:cols w:equalWidth="0" w:num="2">
            <w:col w:w="1180" w:space="560"/>
            <w:col w:w="9500"/>
          </w:cols>
          <w:pgMar w:left="320" w:top="890" w:right="339" w:bottom="1440" w:gutter="0" w:footer="0" w:header="0"/>
          <w:type w:val="continuous"/>
        </w:sectPr>
      </w:pPr>
    </w:p>
    <w:p>
      <w:pPr>
        <w:spacing w:after="0"/>
        <w:rPr>
          <w:sz w:val="20"/>
          <w:szCs w:val="20"/>
          <w:color w:val="auto"/>
        </w:rPr>
      </w:pPr>
      <w:r>
        <w:rPr>
          <w:rFonts w:ascii="Arial" w:cs="Arial" w:eastAsia="Arial" w:hAnsi="Arial"/>
          <w:sz w:val="18"/>
          <w:szCs w:val="18"/>
          <w:color w:val="auto"/>
        </w:rPr>
        <w:t>If sending an email, please include your 16-digit control number in the subject line.</w:t>
      </w:r>
    </w:p>
    <w:p>
      <w:pPr>
        <w:spacing w:after="0" w:line="200" w:lineRule="exact"/>
        <w:rPr>
          <w:sz w:val="20"/>
          <w:szCs w:val="20"/>
          <w:color w:val="auto"/>
        </w:rPr>
      </w:pPr>
    </w:p>
    <w:p>
      <w:pPr>
        <w:spacing w:after="0" w:line="28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79" w:name="page80"/>
    <w:bookmarkEnd w:id="79"/>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74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73" w:lineRule="exact"/>
        <w:rPr>
          <w:sz w:val="20"/>
          <w:szCs w:val="20"/>
          <w:color w:val="auto"/>
        </w:rPr>
      </w:pPr>
    </w:p>
    <w:p>
      <w:pPr>
        <w:ind w:left="10660"/>
        <w:spacing w:after="0"/>
        <w:rPr>
          <w:sz w:val="20"/>
          <w:szCs w:val="20"/>
          <w:color w:val="auto"/>
        </w:rPr>
      </w:pPr>
      <w:r>
        <w:rPr>
          <w:rFonts w:ascii="Arial" w:cs="Arial" w:eastAsia="Arial" w:hAnsi="Arial"/>
          <w:sz w:val="14"/>
          <w:szCs w:val="14"/>
          <w:color w:val="auto"/>
        </w:rPr>
        <w:t>Annex A</w:t>
      </w:r>
    </w:p>
    <w:p>
      <w:pPr>
        <w:spacing w:after="0" w:line="131" w:lineRule="exact"/>
        <w:rPr>
          <w:sz w:val="20"/>
          <w:szCs w:val="20"/>
          <w:color w:val="auto"/>
        </w:rPr>
      </w:pPr>
    </w:p>
    <w:p>
      <w:pPr>
        <w:spacing w:after="0"/>
        <w:rPr>
          <w:sz w:val="20"/>
          <w:szCs w:val="20"/>
          <w:color w:val="auto"/>
        </w:rPr>
      </w:pPr>
      <w:r>
        <w:rPr>
          <w:rFonts w:ascii="Arial" w:cs="Arial" w:eastAsia="Arial" w:hAnsi="Arial"/>
          <w:sz w:val="32"/>
          <w:szCs w:val="32"/>
          <w:color w:val="0075C9"/>
        </w:rPr>
        <w:t>Annex A</w:t>
      </w:r>
    </w:p>
    <w:p>
      <w:pPr>
        <w:spacing w:after="0" w:line="118" w:lineRule="exact"/>
        <w:rPr>
          <w:sz w:val="20"/>
          <w:szCs w:val="20"/>
          <w:color w:val="auto"/>
        </w:rPr>
      </w:pPr>
    </w:p>
    <w:p>
      <w:pPr>
        <w:spacing w:after="0"/>
        <w:rPr>
          <w:sz w:val="20"/>
          <w:szCs w:val="20"/>
          <w:color w:val="auto"/>
        </w:rPr>
      </w:pPr>
      <w:r>
        <w:rPr>
          <w:rFonts w:ascii="Arial" w:cs="Arial" w:eastAsia="Arial" w:hAnsi="Arial"/>
          <w:sz w:val="32"/>
          <w:szCs w:val="32"/>
          <w:color w:val="0075C9"/>
        </w:rPr>
        <w:t>Reconciliation of Non-GAAP Measures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0075C9"/>
        </w:rPr>
        <w:t>Adjusted EBITDAX, AIP</w:t>
      </w:r>
    </w:p>
    <w:p>
      <w:pPr>
        <w:spacing w:after="0" w:line="21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define Adjusted EBITDAX as earnings before interest expense; income taxes; depreciation, depletion and amortization; exploration expense; other unusual, infrequent and out-of-period items; and other non-cash items. We believe this measure provides useful information in assessing our financial condition, results of operations and cash flows and is widely used by the industry, the investment community and our lenders. Although this is a non-GAAP measure, the amounts included in the calculation were computed in accordance with GAAP. Certain items excluded from this non-GAAP measure are significant components in understanding and assessing our financial performance, such as our cost of capital and tax structure, as well as depreciation, depletion and amortization of our assets. This measure should be read in conjunction with the information contained in our financial statements prepared in accordance with GAAP. A version of Adjusted EBITDAX is a material component of certain of our financial covenants under our Revolving Credit Facility and is provided in addition to, and not as an alternative for, income and liquidity measures calculated in accordance with GAAP.</w:t>
      </w:r>
    </w:p>
    <w:p>
      <w:pPr>
        <w:spacing w:after="0" w:line="18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following tables present a reconciliation of the GAAP financial measures of net income and net cash provided by operating activities to the non-GAAP financial measure of adjusted EBITDAX and the calculation of adjusted EBITDAX for a performance metric used in our annual incentive plan (AIP), which excludes differences between the payout for cash incentive awards and the amount at target:</w:t>
      </w:r>
    </w:p>
    <w:p>
      <w:pPr>
        <w:spacing w:after="0" w:line="200" w:lineRule="exact"/>
        <w:rPr>
          <w:sz w:val="20"/>
          <w:szCs w:val="20"/>
          <w:color w:val="auto"/>
        </w:rPr>
      </w:pPr>
    </w:p>
    <w:p>
      <w:pPr>
        <w:spacing w:after="0" w:line="239"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0" w:name="page81"/>
    <w:bookmarkEnd w:id="80"/>
    <w:p>
      <w:pPr>
        <w:ind w:left="8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974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2025 PROXY STATEMENT</w:t>
      </w:r>
    </w:p>
    <w:p>
      <w:pPr>
        <w:spacing w:after="0" w:line="73"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ind w:left="760"/>
              <w:spacing w:after="0"/>
              <w:rPr>
                <w:sz w:val="20"/>
                <w:szCs w:val="20"/>
                <w:color w:val="auto"/>
              </w:rPr>
            </w:pPr>
            <w:r>
              <w:rPr>
                <w:rFonts w:ascii="Arial" w:cs="Arial" w:eastAsia="Arial" w:hAnsi="Arial"/>
                <w:sz w:val="14"/>
                <w:szCs w:val="14"/>
                <w:color w:val="auto"/>
                <w:w w:val="98"/>
              </w:rPr>
              <w:t>Annex A</w:t>
            </w:r>
          </w:p>
        </w:tc>
      </w:tr>
      <w:tr>
        <w:trPr>
          <w:trHeight w:val="332"/>
        </w:trPr>
        <w:tc>
          <w:tcPr>
            <w:tcW w:w="8040" w:type="dxa"/>
            <w:vAlign w:val="bottom"/>
          </w:tcPr>
          <w:p>
            <w:pPr>
              <w:spacing w:after="0"/>
              <w:rPr>
                <w:sz w:val="20"/>
                <w:szCs w:val="20"/>
                <w:color w:val="auto"/>
              </w:rPr>
            </w:pPr>
            <w:r>
              <w:rPr>
                <w:rFonts w:ascii="Arial" w:cs="Arial" w:eastAsia="Arial" w:hAnsi="Arial"/>
                <w:sz w:val="14"/>
                <w:szCs w:val="14"/>
                <w:i w:val="1"/>
                <w:iCs w:val="1"/>
                <w:color w:val="0075C9"/>
              </w:rPr>
              <w:t>($ in millions)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41"/>
              <w:spacing w:after="0"/>
              <w:rPr>
                <w:sz w:val="20"/>
                <w:szCs w:val="20"/>
                <w:color w:val="auto"/>
              </w:rPr>
            </w:pPr>
            <w:r>
              <w:rPr>
                <w:rFonts w:ascii="Arial" w:cs="Arial" w:eastAsia="Arial" w:hAnsi="Arial"/>
                <w:sz w:val="18"/>
                <w:szCs w:val="18"/>
                <w:color w:val="0075C9"/>
              </w:rPr>
              <w:t>1H 2024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8"/>
                <w:szCs w:val="18"/>
                <w:color w:val="0075C9"/>
              </w:rPr>
              <w:t>2H 2024</w:t>
            </w:r>
          </w:p>
        </w:tc>
      </w:tr>
      <w:tr>
        <w:trPr>
          <w:trHeight w:val="177"/>
        </w:trPr>
        <w:tc>
          <w:tcPr>
            <w:tcW w:w="8040" w:type="dxa"/>
            <w:vAlign w:val="bottom"/>
            <w:tcBorders>
              <w:top w:val="single" w:sz="8" w:color="0075C9"/>
            </w:tcBorders>
            <w:shd w:val="clear" w:color="auto" w:fill="EBEBEC"/>
          </w:tcPr>
          <w:p>
            <w:pPr>
              <w:spacing w:after="0" w:line="177" w:lineRule="exact"/>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0075C9"/>
            </w:tcBorders>
            <w:gridSpan w:val="2"/>
            <w:shd w:val="clear" w:color="auto" w:fill="EBEBEC"/>
          </w:tcPr>
          <w:p>
            <w:pPr>
              <w:jc w:val="right"/>
              <w:spacing w:after="0" w:line="177"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0075C9"/>
            </w:tcBorders>
            <w:gridSpan w:val="2"/>
            <w:shd w:val="clear" w:color="auto" w:fill="EBEBEC"/>
          </w:tcPr>
          <w:p>
            <w:pPr>
              <w:jc w:val="right"/>
              <w:spacing w:after="0" w:line="177" w:lineRule="exact"/>
              <w:rPr>
                <w:sz w:val="20"/>
                <w:szCs w:val="20"/>
                <w:color w:val="auto"/>
              </w:rPr>
            </w:pPr>
            <w:r>
              <w:rPr>
                <w:rFonts w:ascii="Arial" w:cs="Arial" w:eastAsia="Arial" w:hAnsi="Arial"/>
                <w:sz w:val="18"/>
                <w:szCs w:val="18"/>
                <w:color w:val="auto"/>
              </w:rPr>
              <w:t>(2 )</w:t>
            </w:r>
          </w:p>
        </w:tc>
        <w:tc>
          <w:tcPr>
            <w:tcW w:w="360" w:type="dxa"/>
            <w:vAlign w:val="bottom"/>
            <w:tcBorders>
              <w:top w:val="single" w:sz="8" w:color="0075C9"/>
            </w:tcBorders>
            <w:gridSpan w:val="2"/>
            <w:shd w:val="clear" w:color="auto" w:fill="EBEBEC"/>
          </w:tcPr>
          <w:p>
            <w:pPr>
              <w:jc w:val="right"/>
              <w:spacing w:after="0" w:line="177"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0075C9"/>
            </w:tcBorders>
            <w:shd w:val="clear" w:color="auto" w:fill="EBEBEC"/>
          </w:tcPr>
          <w:p>
            <w:pPr>
              <w:jc w:val="right"/>
              <w:spacing w:after="0" w:line="177" w:lineRule="exact"/>
              <w:rPr>
                <w:sz w:val="20"/>
                <w:szCs w:val="20"/>
                <w:color w:val="auto"/>
              </w:rPr>
            </w:pPr>
            <w:r>
              <w:rPr>
                <w:rFonts w:ascii="Arial" w:cs="Arial" w:eastAsia="Arial" w:hAnsi="Arial"/>
                <w:sz w:val="18"/>
                <w:szCs w:val="18"/>
                <w:color w:val="auto"/>
              </w:rPr>
              <w:t>378</w:t>
            </w:r>
          </w:p>
        </w:tc>
        <w:tc>
          <w:tcPr>
            <w:tcW w:w="120" w:type="dxa"/>
            <w:vAlign w:val="bottom"/>
            <w:tcBorders>
              <w:top w:val="single" w:sz="8" w:color="0075C9"/>
            </w:tcBorders>
            <w:shd w:val="clear" w:color="auto" w:fill="EBEBEC"/>
          </w:tcPr>
          <w:p>
            <w:pPr>
              <w:spacing w:after="0"/>
              <w:rPr>
                <w:sz w:val="15"/>
                <w:szCs w:val="15"/>
                <w:color w:val="auto"/>
              </w:rPr>
            </w:pPr>
          </w:p>
        </w:tc>
        <w:tc>
          <w:tcPr>
            <w:tcW w:w="240" w:type="dxa"/>
            <w:vAlign w:val="bottom"/>
          </w:tcPr>
          <w:p>
            <w:pPr>
              <w:spacing w:after="0"/>
              <w:rPr>
                <w:sz w:val="15"/>
                <w:szCs w:val="15"/>
                <w:color w:val="auto"/>
              </w:rPr>
            </w:pPr>
          </w:p>
        </w:tc>
      </w:tr>
      <w:tr>
        <w:trPr>
          <w:trHeight w:val="203"/>
        </w:trPr>
        <w:tc>
          <w:tcPr>
            <w:tcW w:w="8040" w:type="dxa"/>
            <w:vAlign w:val="bottom"/>
            <w:shd w:val="clear" w:color="auto" w:fill="EBEBEC"/>
          </w:tcPr>
          <w:p>
            <w:pPr>
              <w:ind w:left="260"/>
              <w:spacing w:after="0" w:line="202" w:lineRule="exact"/>
              <w:rPr>
                <w:sz w:val="20"/>
                <w:szCs w:val="20"/>
                <w:color w:val="auto"/>
              </w:rPr>
            </w:pPr>
            <w:r>
              <w:rPr>
                <w:rFonts w:ascii="Arial" w:cs="Arial" w:eastAsia="Arial" w:hAnsi="Arial"/>
                <w:sz w:val="18"/>
                <w:szCs w:val="18"/>
                <w:color w:val="auto"/>
              </w:rPr>
              <w:t>Interest and debt expense, net</w:t>
            </w:r>
          </w:p>
        </w:tc>
        <w:tc>
          <w:tcPr>
            <w:tcW w:w="240" w:type="dxa"/>
            <w:vAlign w:val="bottom"/>
            <w:shd w:val="clear" w:color="auto" w:fill="EBEBEC"/>
          </w:tcPr>
          <w:p>
            <w:pPr>
              <w:spacing w:after="0"/>
              <w:rPr>
                <w:sz w:val="17"/>
                <w:szCs w:val="17"/>
                <w:color w:val="auto"/>
              </w:rPr>
            </w:pPr>
          </w:p>
        </w:tc>
        <w:tc>
          <w:tcPr>
            <w:tcW w:w="120" w:type="dxa"/>
            <w:vAlign w:val="bottom"/>
            <w:shd w:val="clear" w:color="auto" w:fill="EBEBEC"/>
          </w:tcPr>
          <w:p>
            <w:pPr>
              <w:spacing w:after="0"/>
              <w:rPr>
                <w:sz w:val="17"/>
                <w:szCs w:val="17"/>
                <w:color w:val="auto"/>
              </w:rPr>
            </w:pPr>
          </w:p>
        </w:tc>
        <w:tc>
          <w:tcPr>
            <w:tcW w:w="960" w:type="dxa"/>
            <w:vAlign w:val="bottom"/>
            <w:shd w:val="clear" w:color="auto" w:fill="EBEBEC"/>
          </w:tcPr>
          <w:p>
            <w:pPr>
              <w:jc w:val="right"/>
              <w:spacing w:after="0" w:line="202" w:lineRule="exact"/>
              <w:rPr>
                <w:sz w:val="20"/>
                <w:szCs w:val="20"/>
                <w:color w:val="auto"/>
              </w:rPr>
            </w:pPr>
            <w:r>
              <w:rPr>
                <w:rFonts w:ascii="Arial" w:cs="Arial" w:eastAsia="Arial" w:hAnsi="Arial"/>
                <w:sz w:val="18"/>
                <w:szCs w:val="18"/>
                <w:color w:val="auto"/>
              </w:rPr>
              <w:t>30</w:t>
            </w:r>
          </w:p>
        </w:tc>
        <w:tc>
          <w:tcPr>
            <w:tcW w:w="100" w:type="dxa"/>
            <w:vAlign w:val="bottom"/>
            <w:shd w:val="clear" w:color="auto" w:fill="EBEBEC"/>
          </w:tcPr>
          <w:p>
            <w:pPr>
              <w:spacing w:after="0"/>
              <w:rPr>
                <w:sz w:val="17"/>
                <w:szCs w:val="17"/>
                <w:color w:val="auto"/>
              </w:rPr>
            </w:pPr>
          </w:p>
        </w:tc>
        <w:tc>
          <w:tcPr>
            <w:tcW w:w="220" w:type="dxa"/>
            <w:vAlign w:val="bottom"/>
            <w:shd w:val="clear" w:color="auto" w:fill="EBEBEC"/>
          </w:tcPr>
          <w:p>
            <w:pPr>
              <w:spacing w:after="0"/>
              <w:rPr>
                <w:sz w:val="17"/>
                <w:szCs w:val="17"/>
                <w:color w:val="auto"/>
              </w:rPr>
            </w:pPr>
          </w:p>
        </w:tc>
        <w:tc>
          <w:tcPr>
            <w:tcW w:w="140" w:type="dxa"/>
            <w:vAlign w:val="bottom"/>
            <w:shd w:val="clear" w:color="auto" w:fill="EBEBEC"/>
          </w:tcPr>
          <w:p>
            <w:pPr>
              <w:spacing w:after="0"/>
              <w:rPr>
                <w:sz w:val="17"/>
                <w:szCs w:val="17"/>
                <w:color w:val="auto"/>
              </w:rPr>
            </w:pPr>
          </w:p>
        </w:tc>
        <w:tc>
          <w:tcPr>
            <w:tcW w:w="940" w:type="dxa"/>
            <w:vAlign w:val="bottom"/>
            <w:shd w:val="clear" w:color="auto" w:fill="EBEBEC"/>
          </w:tcPr>
          <w:p>
            <w:pPr>
              <w:jc w:val="right"/>
              <w:spacing w:after="0" w:line="202" w:lineRule="exact"/>
              <w:rPr>
                <w:sz w:val="20"/>
                <w:szCs w:val="20"/>
                <w:color w:val="auto"/>
              </w:rPr>
            </w:pPr>
            <w:r>
              <w:rPr>
                <w:rFonts w:ascii="Arial" w:cs="Arial" w:eastAsia="Arial" w:hAnsi="Arial"/>
                <w:sz w:val="18"/>
                <w:szCs w:val="18"/>
                <w:color w:val="auto"/>
              </w:rPr>
              <w:t>57</w:t>
            </w:r>
          </w:p>
        </w:tc>
        <w:tc>
          <w:tcPr>
            <w:tcW w:w="120" w:type="dxa"/>
            <w:vAlign w:val="bottom"/>
            <w:shd w:val="clear" w:color="auto" w:fill="EBEBEC"/>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8040" w:type="dxa"/>
            <w:vAlign w:val="bottom"/>
            <w:shd w:val="clear" w:color="auto" w:fill="EBEBEC"/>
          </w:tcPr>
          <w:p>
            <w:pPr>
              <w:ind w:left="260"/>
              <w:spacing w:after="0" w:line="202" w:lineRule="exact"/>
              <w:rPr>
                <w:sz w:val="20"/>
                <w:szCs w:val="20"/>
                <w:color w:val="auto"/>
              </w:rPr>
            </w:pPr>
            <w:r>
              <w:rPr>
                <w:rFonts w:ascii="Arial" w:cs="Arial" w:eastAsia="Arial" w:hAnsi="Arial"/>
                <w:sz w:val="18"/>
                <w:szCs w:val="18"/>
                <w:color w:val="auto"/>
              </w:rPr>
              <w:t>Income tax (benefit) provision</w:t>
            </w:r>
          </w:p>
        </w:tc>
        <w:tc>
          <w:tcPr>
            <w:tcW w:w="240" w:type="dxa"/>
            <w:vAlign w:val="bottom"/>
            <w:shd w:val="clear" w:color="auto" w:fill="EBEBEC"/>
          </w:tcPr>
          <w:p>
            <w:pPr>
              <w:spacing w:after="0"/>
              <w:rPr>
                <w:sz w:val="17"/>
                <w:szCs w:val="17"/>
                <w:color w:val="auto"/>
              </w:rPr>
            </w:pPr>
          </w:p>
        </w:tc>
        <w:tc>
          <w:tcPr>
            <w:tcW w:w="120" w:type="dxa"/>
            <w:vAlign w:val="bottom"/>
            <w:shd w:val="clear" w:color="auto" w:fill="EBEBEC"/>
          </w:tcPr>
          <w:p>
            <w:pPr>
              <w:spacing w:after="0"/>
              <w:rPr>
                <w:sz w:val="17"/>
                <w:szCs w:val="17"/>
                <w:color w:val="auto"/>
              </w:rPr>
            </w:pPr>
          </w:p>
        </w:tc>
        <w:tc>
          <w:tcPr>
            <w:tcW w:w="1060" w:type="dxa"/>
            <w:vAlign w:val="bottom"/>
            <w:gridSpan w:val="2"/>
            <w:shd w:val="clear" w:color="auto" w:fill="EBEBEC"/>
          </w:tcPr>
          <w:p>
            <w:pPr>
              <w:jc w:val="right"/>
              <w:spacing w:after="0" w:line="202" w:lineRule="exact"/>
              <w:rPr>
                <w:sz w:val="20"/>
                <w:szCs w:val="20"/>
                <w:color w:val="auto"/>
              </w:rPr>
            </w:pPr>
            <w:r>
              <w:rPr>
                <w:rFonts w:ascii="Arial" w:cs="Arial" w:eastAsia="Arial" w:hAnsi="Arial"/>
                <w:sz w:val="18"/>
                <w:szCs w:val="18"/>
                <w:color w:val="auto"/>
              </w:rPr>
              <w:t>(6 )</w:t>
            </w:r>
          </w:p>
        </w:tc>
        <w:tc>
          <w:tcPr>
            <w:tcW w:w="220" w:type="dxa"/>
            <w:vAlign w:val="bottom"/>
            <w:shd w:val="clear" w:color="auto" w:fill="EBEBEC"/>
          </w:tcPr>
          <w:p>
            <w:pPr>
              <w:spacing w:after="0"/>
              <w:rPr>
                <w:sz w:val="17"/>
                <w:szCs w:val="17"/>
                <w:color w:val="auto"/>
              </w:rPr>
            </w:pPr>
          </w:p>
        </w:tc>
        <w:tc>
          <w:tcPr>
            <w:tcW w:w="140" w:type="dxa"/>
            <w:vAlign w:val="bottom"/>
            <w:shd w:val="clear" w:color="auto" w:fill="EBEBEC"/>
          </w:tcPr>
          <w:p>
            <w:pPr>
              <w:spacing w:after="0"/>
              <w:rPr>
                <w:sz w:val="17"/>
                <w:szCs w:val="17"/>
                <w:color w:val="auto"/>
              </w:rPr>
            </w:pPr>
          </w:p>
        </w:tc>
        <w:tc>
          <w:tcPr>
            <w:tcW w:w="940" w:type="dxa"/>
            <w:vAlign w:val="bottom"/>
            <w:shd w:val="clear" w:color="auto" w:fill="EBEBEC"/>
          </w:tcPr>
          <w:p>
            <w:pPr>
              <w:jc w:val="right"/>
              <w:spacing w:after="0" w:line="202" w:lineRule="exact"/>
              <w:rPr>
                <w:sz w:val="20"/>
                <w:szCs w:val="20"/>
                <w:color w:val="auto"/>
              </w:rPr>
            </w:pPr>
            <w:r>
              <w:rPr>
                <w:rFonts w:ascii="Arial" w:cs="Arial" w:eastAsia="Arial" w:hAnsi="Arial"/>
                <w:sz w:val="18"/>
                <w:szCs w:val="18"/>
                <w:color w:val="auto"/>
              </w:rPr>
              <w:t>146</w:t>
            </w:r>
          </w:p>
        </w:tc>
        <w:tc>
          <w:tcPr>
            <w:tcW w:w="120" w:type="dxa"/>
            <w:vAlign w:val="bottom"/>
            <w:shd w:val="clear" w:color="auto" w:fill="EBEBEC"/>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8040" w:type="dxa"/>
            <w:vAlign w:val="bottom"/>
            <w:shd w:val="clear" w:color="auto" w:fill="EBEBEC"/>
          </w:tcPr>
          <w:p>
            <w:pPr>
              <w:ind w:left="260"/>
              <w:spacing w:after="0" w:line="202" w:lineRule="exact"/>
              <w:rPr>
                <w:sz w:val="20"/>
                <w:szCs w:val="20"/>
                <w:color w:val="auto"/>
              </w:rPr>
            </w:pPr>
            <w:r>
              <w:rPr>
                <w:rFonts w:ascii="Arial" w:cs="Arial" w:eastAsia="Arial" w:hAnsi="Arial"/>
                <w:sz w:val="18"/>
                <w:szCs w:val="18"/>
                <w:color w:val="auto"/>
              </w:rPr>
              <w:t>Interest income</w:t>
            </w:r>
          </w:p>
        </w:tc>
        <w:tc>
          <w:tcPr>
            <w:tcW w:w="240" w:type="dxa"/>
            <w:vAlign w:val="bottom"/>
            <w:shd w:val="clear" w:color="auto" w:fill="EBEBEC"/>
          </w:tcPr>
          <w:p>
            <w:pPr>
              <w:spacing w:after="0"/>
              <w:rPr>
                <w:sz w:val="17"/>
                <w:szCs w:val="17"/>
                <w:color w:val="auto"/>
              </w:rPr>
            </w:pPr>
          </w:p>
        </w:tc>
        <w:tc>
          <w:tcPr>
            <w:tcW w:w="120" w:type="dxa"/>
            <w:vAlign w:val="bottom"/>
            <w:shd w:val="clear" w:color="auto" w:fill="EBEBEC"/>
          </w:tcPr>
          <w:p>
            <w:pPr>
              <w:spacing w:after="0"/>
              <w:rPr>
                <w:sz w:val="17"/>
                <w:szCs w:val="17"/>
                <w:color w:val="auto"/>
              </w:rPr>
            </w:pPr>
          </w:p>
        </w:tc>
        <w:tc>
          <w:tcPr>
            <w:tcW w:w="960" w:type="dxa"/>
            <w:vAlign w:val="bottom"/>
            <w:shd w:val="clear" w:color="auto" w:fill="EBEBEC"/>
          </w:tcPr>
          <w:p>
            <w:pPr>
              <w:jc w:val="right"/>
              <w:spacing w:after="0" w:line="202" w:lineRule="exact"/>
              <w:rPr>
                <w:sz w:val="20"/>
                <w:szCs w:val="20"/>
                <w:color w:val="auto"/>
              </w:rPr>
            </w:pPr>
            <w:r>
              <w:rPr>
                <w:rFonts w:ascii="Arial" w:cs="Arial" w:eastAsia="Arial" w:hAnsi="Arial"/>
                <w:sz w:val="18"/>
                <w:szCs w:val="18"/>
                <w:color w:val="auto"/>
              </w:rPr>
              <w:t>(14</w:t>
            </w:r>
          </w:p>
        </w:tc>
        <w:tc>
          <w:tcPr>
            <w:tcW w:w="100" w:type="dxa"/>
            <w:vAlign w:val="bottom"/>
            <w:shd w:val="clear" w:color="auto" w:fill="EBEBEC"/>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EBEBEC"/>
          </w:tcPr>
          <w:p>
            <w:pPr>
              <w:spacing w:after="0"/>
              <w:rPr>
                <w:sz w:val="17"/>
                <w:szCs w:val="17"/>
                <w:color w:val="auto"/>
              </w:rPr>
            </w:pPr>
          </w:p>
        </w:tc>
        <w:tc>
          <w:tcPr>
            <w:tcW w:w="140" w:type="dxa"/>
            <w:vAlign w:val="bottom"/>
            <w:shd w:val="clear" w:color="auto" w:fill="EBEBEC"/>
          </w:tcPr>
          <w:p>
            <w:pPr>
              <w:spacing w:after="0"/>
              <w:rPr>
                <w:sz w:val="17"/>
                <w:szCs w:val="17"/>
                <w:color w:val="auto"/>
              </w:rPr>
            </w:pPr>
          </w:p>
        </w:tc>
        <w:tc>
          <w:tcPr>
            <w:tcW w:w="1060" w:type="dxa"/>
            <w:vAlign w:val="bottom"/>
            <w:gridSpan w:val="2"/>
            <w:shd w:val="clear" w:color="auto" w:fill="EBEBEC"/>
          </w:tcPr>
          <w:p>
            <w:pPr>
              <w:jc w:val="right"/>
              <w:spacing w:after="0" w:line="202" w:lineRule="exact"/>
              <w:rPr>
                <w:sz w:val="20"/>
                <w:szCs w:val="20"/>
                <w:color w:val="auto"/>
              </w:rPr>
            </w:pPr>
            <w:r>
              <w:rPr>
                <w:rFonts w:ascii="Arial" w:cs="Arial" w:eastAsia="Arial" w:hAnsi="Arial"/>
                <w:sz w:val="18"/>
                <w:szCs w:val="18"/>
                <w:color w:val="auto"/>
              </w:rPr>
              <w:t>(5 )</w:t>
            </w:r>
          </w:p>
        </w:tc>
        <w:tc>
          <w:tcPr>
            <w:tcW w:w="240" w:type="dxa"/>
            <w:vAlign w:val="bottom"/>
          </w:tcPr>
          <w:p>
            <w:pPr>
              <w:spacing w:after="0"/>
              <w:rPr>
                <w:sz w:val="17"/>
                <w:szCs w:val="17"/>
                <w:color w:val="auto"/>
              </w:rPr>
            </w:pPr>
          </w:p>
        </w:tc>
      </w:tr>
      <w:tr>
        <w:trPr>
          <w:trHeight w:val="203"/>
        </w:trPr>
        <w:tc>
          <w:tcPr>
            <w:tcW w:w="8040" w:type="dxa"/>
            <w:vAlign w:val="bottom"/>
            <w:shd w:val="clear" w:color="auto" w:fill="EBEBEC"/>
          </w:tcPr>
          <w:p>
            <w:pPr>
              <w:ind w:left="260"/>
              <w:spacing w:after="0" w:line="202" w:lineRule="exact"/>
              <w:rPr>
                <w:sz w:val="20"/>
                <w:szCs w:val="20"/>
                <w:color w:val="auto"/>
              </w:rPr>
            </w:pPr>
            <w:r>
              <w:rPr>
                <w:rFonts w:ascii="Arial" w:cs="Arial" w:eastAsia="Arial" w:hAnsi="Arial"/>
                <w:sz w:val="18"/>
                <w:szCs w:val="18"/>
                <w:color w:val="auto"/>
              </w:rPr>
              <w:t>Depreciation, depletion and amortization</w:t>
            </w:r>
          </w:p>
        </w:tc>
        <w:tc>
          <w:tcPr>
            <w:tcW w:w="240" w:type="dxa"/>
            <w:vAlign w:val="bottom"/>
            <w:shd w:val="clear" w:color="auto" w:fill="EBEBEC"/>
          </w:tcPr>
          <w:p>
            <w:pPr>
              <w:spacing w:after="0"/>
              <w:rPr>
                <w:sz w:val="17"/>
                <w:szCs w:val="17"/>
                <w:color w:val="auto"/>
              </w:rPr>
            </w:pPr>
          </w:p>
        </w:tc>
        <w:tc>
          <w:tcPr>
            <w:tcW w:w="120" w:type="dxa"/>
            <w:vAlign w:val="bottom"/>
            <w:shd w:val="clear" w:color="auto" w:fill="EBEBEC"/>
          </w:tcPr>
          <w:p>
            <w:pPr>
              <w:spacing w:after="0"/>
              <w:rPr>
                <w:sz w:val="17"/>
                <w:szCs w:val="17"/>
                <w:color w:val="auto"/>
              </w:rPr>
            </w:pPr>
          </w:p>
        </w:tc>
        <w:tc>
          <w:tcPr>
            <w:tcW w:w="960" w:type="dxa"/>
            <w:vAlign w:val="bottom"/>
            <w:shd w:val="clear" w:color="auto" w:fill="EBEBEC"/>
          </w:tcPr>
          <w:p>
            <w:pPr>
              <w:jc w:val="right"/>
              <w:spacing w:after="0" w:line="202" w:lineRule="exact"/>
              <w:rPr>
                <w:sz w:val="20"/>
                <w:szCs w:val="20"/>
                <w:color w:val="auto"/>
              </w:rPr>
            </w:pPr>
            <w:r>
              <w:rPr>
                <w:rFonts w:ascii="Arial" w:cs="Arial" w:eastAsia="Arial" w:hAnsi="Arial"/>
                <w:sz w:val="18"/>
                <w:szCs w:val="18"/>
                <w:color w:val="auto"/>
              </w:rPr>
              <w:t>106</w:t>
            </w:r>
          </w:p>
        </w:tc>
        <w:tc>
          <w:tcPr>
            <w:tcW w:w="100" w:type="dxa"/>
            <w:vAlign w:val="bottom"/>
            <w:shd w:val="clear" w:color="auto" w:fill="EBEBEC"/>
          </w:tcPr>
          <w:p>
            <w:pPr>
              <w:spacing w:after="0"/>
              <w:rPr>
                <w:sz w:val="17"/>
                <w:szCs w:val="17"/>
                <w:color w:val="auto"/>
              </w:rPr>
            </w:pPr>
          </w:p>
        </w:tc>
        <w:tc>
          <w:tcPr>
            <w:tcW w:w="220" w:type="dxa"/>
            <w:vAlign w:val="bottom"/>
            <w:shd w:val="clear" w:color="auto" w:fill="EBEBEC"/>
          </w:tcPr>
          <w:p>
            <w:pPr>
              <w:spacing w:after="0"/>
              <w:rPr>
                <w:sz w:val="17"/>
                <w:szCs w:val="17"/>
                <w:color w:val="auto"/>
              </w:rPr>
            </w:pPr>
          </w:p>
        </w:tc>
        <w:tc>
          <w:tcPr>
            <w:tcW w:w="140" w:type="dxa"/>
            <w:vAlign w:val="bottom"/>
            <w:shd w:val="clear" w:color="auto" w:fill="EBEBEC"/>
          </w:tcPr>
          <w:p>
            <w:pPr>
              <w:spacing w:after="0"/>
              <w:rPr>
                <w:sz w:val="17"/>
                <w:szCs w:val="17"/>
                <w:color w:val="auto"/>
              </w:rPr>
            </w:pPr>
          </w:p>
        </w:tc>
        <w:tc>
          <w:tcPr>
            <w:tcW w:w="940" w:type="dxa"/>
            <w:vAlign w:val="bottom"/>
            <w:shd w:val="clear" w:color="auto" w:fill="EBEBEC"/>
          </w:tcPr>
          <w:p>
            <w:pPr>
              <w:jc w:val="right"/>
              <w:spacing w:after="0" w:line="202" w:lineRule="exact"/>
              <w:rPr>
                <w:sz w:val="20"/>
                <w:szCs w:val="20"/>
                <w:color w:val="auto"/>
              </w:rPr>
            </w:pPr>
            <w:r>
              <w:rPr>
                <w:rFonts w:ascii="Arial" w:cs="Arial" w:eastAsia="Arial" w:hAnsi="Arial"/>
                <w:sz w:val="18"/>
                <w:szCs w:val="18"/>
                <w:color w:val="auto"/>
              </w:rPr>
              <w:t>282</w:t>
            </w:r>
          </w:p>
        </w:tc>
        <w:tc>
          <w:tcPr>
            <w:tcW w:w="120" w:type="dxa"/>
            <w:vAlign w:val="bottom"/>
            <w:shd w:val="clear" w:color="auto" w:fill="EBEBEC"/>
          </w:tcPr>
          <w:p>
            <w:pPr>
              <w:spacing w:after="0"/>
              <w:rPr>
                <w:sz w:val="17"/>
                <w:szCs w:val="17"/>
                <w:color w:val="auto"/>
              </w:rPr>
            </w:pPr>
          </w:p>
        </w:tc>
        <w:tc>
          <w:tcPr>
            <w:tcW w:w="240" w:type="dxa"/>
            <w:vAlign w:val="bottom"/>
          </w:tcPr>
          <w:p>
            <w:pPr>
              <w:spacing w:after="0"/>
              <w:rPr>
                <w:sz w:val="17"/>
                <w:szCs w:val="17"/>
                <w:color w:val="auto"/>
              </w:rPr>
            </w:pPr>
          </w:p>
        </w:tc>
      </w:tr>
      <w:tr>
        <w:trPr>
          <w:trHeight w:val="181"/>
        </w:trPr>
        <w:tc>
          <w:tcPr>
            <w:tcW w:w="8040" w:type="dxa"/>
            <w:vAlign w:val="bottom"/>
            <w:shd w:val="clear" w:color="auto" w:fill="EBEBEC"/>
          </w:tcPr>
          <w:p>
            <w:pPr>
              <w:ind w:left="260"/>
              <w:spacing w:after="0" w:line="182" w:lineRule="exact"/>
              <w:rPr>
                <w:sz w:val="20"/>
                <w:szCs w:val="20"/>
                <w:color w:val="auto"/>
              </w:rPr>
            </w:pPr>
            <w:r>
              <w:rPr>
                <w:rFonts w:ascii="Arial" w:cs="Arial" w:eastAsia="Arial" w:hAnsi="Arial"/>
                <w:sz w:val="18"/>
                <w:szCs w:val="18"/>
                <w:color w:val="auto"/>
              </w:rPr>
              <w:t>Exploration expense</w:t>
            </w:r>
          </w:p>
        </w:tc>
        <w:tc>
          <w:tcPr>
            <w:tcW w:w="240" w:type="dxa"/>
            <w:vAlign w:val="bottom"/>
            <w:shd w:val="clear" w:color="auto" w:fill="EBEBEC"/>
          </w:tcPr>
          <w:p>
            <w:pPr>
              <w:spacing w:after="0"/>
              <w:rPr>
                <w:sz w:val="15"/>
                <w:szCs w:val="15"/>
                <w:color w:val="auto"/>
              </w:rPr>
            </w:pPr>
          </w:p>
        </w:tc>
        <w:tc>
          <w:tcPr>
            <w:tcW w:w="120" w:type="dxa"/>
            <w:vAlign w:val="bottom"/>
            <w:shd w:val="clear" w:color="auto" w:fill="EBEBEC"/>
          </w:tcPr>
          <w:p>
            <w:pPr>
              <w:spacing w:after="0"/>
              <w:rPr>
                <w:sz w:val="15"/>
                <w:szCs w:val="15"/>
                <w:color w:val="auto"/>
              </w:rPr>
            </w:pPr>
          </w:p>
        </w:tc>
        <w:tc>
          <w:tcPr>
            <w:tcW w:w="960" w:type="dxa"/>
            <w:vAlign w:val="bottom"/>
            <w:shd w:val="clear" w:color="auto" w:fill="EBEBEC"/>
          </w:tcPr>
          <w:p>
            <w:pPr>
              <w:jc w:val="right"/>
              <w:spacing w:after="0" w:line="182" w:lineRule="exact"/>
              <w:rPr>
                <w:sz w:val="20"/>
                <w:szCs w:val="20"/>
                <w:color w:val="auto"/>
              </w:rPr>
            </w:pPr>
            <w:r>
              <w:rPr>
                <w:rFonts w:ascii="Arial" w:cs="Arial" w:eastAsia="Arial" w:hAnsi="Arial"/>
                <w:sz w:val="18"/>
                <w:szCs w:val="18"/>
                <w:color w:val="auto"/>
              </w:rPr>
              <w:t>1</w:t>
            </w:r>
          </w:p>
        </w:tc>
        <w:tc>
          <w:tcPr>
            <w:tcW w:w="100" w:type="dxa"/>
            <w:vAlign w:val="bottom"/>
            <w:shd w:val="clear" w:color="auto" w:fill="EBEBEC"/>
          </w:tcPr>
          <w:p>
            <w:pPr>
              <w:spacing w:after="0"/>
              <w:rPr>
                <w:sz w:val="15"/>
                <w:szCs w:val="15"/>
                <w:color w:val="auto"/>
              </w:rPr>
            </w:pPr>
          </w:p>
        </w:tc>
        <w:tc>
          <w:tcPr>
            <w:tcW w:w="220" w:type="dxa"/>
            <w:vAlign w:val="bottom"/>
            <w:shd w:val="clear" w:color="auto" w:fill="EBEBEC"/>
          </w:tcPr>
          <w:p>
            <w:pPr>
              <w:spacing w:after="0"/>
              <w:rPr>
                <w:sz w:val="15"/>
                <w:szCs w:val="15"/>
                <w:color w:val="auto"/>
              </w:rPr>
            </w:pPr>
          </w:p>
        </w:tc>
        <w:tc>
          <w:tcPr>
            <w:tcW w:w="140" w:type="dxa"/>
            <w:vAlign w:val="bottom"/>
            <w:shd w:val="clear" w:color="auto" w:fill="EBEBEC"/>
          </w:tcPr>
          <w:p>
            <w:pPr>
              <w:spacing w:after="0"/>
              <w:rPr>
                <w:sz w:val="15"/>
                <w:szCs w:val="15"/>
                <w:color w:val="auto"/>
              </w:rPr>
            </w:pPr>
          </w:p>
        </w:tc>
        <w:tc>
          <w:tcPr>
            <w:tcW w:w="940" w:type="dxa"/>
            <w:vAlign w:val="bottom"/>
            <w:shd w:val="clear" w:color="auto" w:fill="EBEBEC"/>
          </w:tcPr>
          <w:p>
            <w:pPr>
              <w:jc w:val="right"/>
              <w:spacing w:after="0" w:line="182" w:lineRule="exact"/>
              <w:rPr>
                <w:sz w:val="20"/>
                <w:szCs w:val="20"/>
                <w:color w:val="auto"/>
              </w:rPr>
            </w:pPr>
            <w:r>
              <w:rPr>
                <w:rFonts w:ascii="Arial" w:cs="Arial" w:eastAsia="Arial" w:hAnsi="Arial"/>
                <w:sz w:val="18"/>
                <w:szCs w:val="18"/>
                <w:color w:val="auto"/>
              </w:rPr>
              <w:t>1</w:t>
            </w:r>
          </w:p>
        </w:tc>
        <w:tc>
          <w:tcPr>
            <w:tcW w:w="120" w:type="dxa"/>
            <w:vAlign w:val="bottom"/>
            <w:shd w:val="clear" w:color="auto" w:fill="EBEBEC"/>
          </w:tcPr>
          <w:p>
            <w:pPr>
              <w:spacing w:after="0"/>
              <w:rPr>
                <w:sz w:val="15"/>
                <w:szCs w:val="15"/>
                <w:color w:val="auto"/>
              </w:rPr>
            </w:pPr>
          </w:p>
        </w:tc>
        <w:tc>
          <w:tcPr>
            <w:tcW w:w="240" w:type="dxa"/>
            <w:vAlign w:val="bottom"/>
          </w:tcPr>
          <w:p>
            <w:pPr>
              <w:spacing w:after="0"/>
              <w:rPr>
                <w:sz w:val="15"/>
                <w:szCs w:val="15"/>
                <w:color w:val="auto"/>
              </w:rPr>
            </w:pPr>
          </w:p>
        </w:tc>
      </w:tr>
      <w:tr>
        <w:trPr>
          <w:trHeight w:val="224"/>
        </w:trPr>
        <w:tc>
          <w:tcPr>
            <w:tcW w:w="8040" w:type="dxa"/>
            <w:vAlign w:val="bottom"/>
            <w:shd w:val="clear" w:color="auto" w:fill="EBEBEC"/>
          </w:tcPr>
          <w:p>
            <w:pPr>
              <w:ind w:left="260"/>
              <w:spacing w:after="0" w:line="224" w:lineRule="exact"/>
              <w:rPr>
                <w:sz w:val="20"/>
                <w:szCs w:val="20"/>
                <w:color w:val="auto"/>
              </w:rPr>
            </w:pPr>
            <w:r>
              <w:rPr>
                <w:rFonts w:ascii="Arial" w:cs="Arial" w:eastAsia="Arial" w:hAnsi="Arial"/>
                <w:sz w:val="18"/>
                <w:szCs w:val="18"/>
                <w:color w:val="auto"/>
              </w:rPr>
              <w:t>Unusual, infrequent and other items</w:t>
            </w:r>
            <w:r>
              <w:rPr>
                <w:rFonts w:ascii="Arial" w:cs="Arial" w:eastAsia="Arial" w:hAnsi="Arial"/>
                <w:sz w:val="24"/>
                <w:szCs w:val="24"/>
                <w:color w:val="auto"/>
                <w:vertAlign w:val="superscript"/>
              </w:rPr>
              <w:t>(1)</w:t>
            </w:r>
          </w:p>
        </w:tc>
        <w:tc>
          <w:tcPr>
            <w:tcW w:w="240" w:type="dxa"/>
            <w:vAlign w:val="bottom"/>
            <w:shd w:val="clear" w:color="auto" w:fill="EBEBEC"/>
          </w:tcPr>
          <w:p>
            <w:pPr>
              <w:spacing w:after="0"/>
              <w:rPr>
                <w:sz w:val="19"/>
                <w:szCs w:val="19"/>
                <w:color w:val="auto"/>
              </w:rPr>
            </w:pPr>
          </w:p>
        </w:tc>
        <w:tc>
          <w:tcPr>
            <w:tcW w:w="120" w:type="dxa"/>
            <w:vAlign w:val="bottom"/>
            <w:shd w:val="clear" w:color="auto" w:fill="EBEBEC"/>
          </w:tcPr>
          <w:p>
            <w:pPr>
              <w:spacing w:after="0"/>
              <w:rPr>
                <w:sz w:val="19"/>
                <w:szCs w:val="19"/>
                <w:color w:val="auto"/>
              </w:rPr>
            </w:pPr>
          </w:p>
        </w:tc>
        <w:tc>
          <w:tcPr>
            <w:tcW w:w="960" w:type="dxa"/>
            <w:vAlign w:val="bottom"/>
            <w:shd w:val="clear" w:color="auto" w:fill="EBEBEC"/>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EBEBEC"/>
          </w:tcPr>
          <w:p>
            <w:pPr>
              <w:spacing w:after="0"/>
              <w:rPr>
                <w:sz w:val="19"/>
                <w:szCs w:val="19"/>
                <w:color w:val="auto"/>
              </w:rPr>
            </w:pPr>
          </w:p>
        </w:tc>
        <w:tc>
          <w:tcPr>
            <w:tcW w:w="220" w:type="dxa"/>
            <w:vAlign w:val="bottom"/>
            <w:shd w:val="clear" w:color="auto" w:fill="EBEBEC"/>
          </w:tcPr>
          <w:p>
            <w:pPr>
              <w:spacing w:after="0"/>
              <w:rPr>
                <w:sz w:val="19"/>
                <w:szCs w:val="19"/>
                <w:color w:val="auto"/>
              </w:rPr>
            </w:pPr>
          </w:p>
        </w:tc>
        <w:tc>
          <w:tcPr>
            <w:tcW w:w="140" w:type="dxa"/>
            <w:vAlign w:val="bottom"/>
            <w:shd w:val="clear" w:color="auto" w:fill="EBEBEC"/>
          </w:tcPr>
          <w:p>
            <w:pPr>
              <w:spacing w:after="0"/>
              <w:rPr>
                <w:sz w:val="19"/>
                <w:szCs w:val="19"/>
                <w:color w:val="auto"/>
              </w:rPr>
            </w:pPr>
          </w:p>
        </w:tc>
        <w:tc>
          <w:tcPr>
            <w:tcW w:w="1060" w:type="dxa"/>
            <w:vAlign w:val="bottom"/>
            <w:gridSpan w:val="2"/>
            <w:shd w:val="clear" w:color="auto" w:fill="EBEBEC"/>
          </w:tcPr>
          <w:p>
            <w:pPr>
              <w:jc w:val="right"/>
              <w:spacing w:after="0"/>
              <w:rPr>
                <w:sz w:val="20"/>
                <w:szCs w:val="20"/>
                <w:color w:val="auto"/>
              </w:rPr>
            </w:pPr>
            <w:r>
              <w:rPr>
                <w:rFonts w:ascii="Arial" w:cs="Arial" w:eastAsia="Arial" w:hAnsi="Arial"/>
                <w:sz w:val="18"/>
                <w:szCs w:val="18"/>
                <w:color w:val="auto"/>
              </w:rPr>
              <w:t>(227 )</w:t>
            </w:r>
          </w:p>
        </w:tc>
        <w:tc>
          <w:tcPr>
            <w:tcW w:w="240" w:type="dxa"/>
            <w:vAlign w:val="bottom"/>
          </w:tcPr>
          <w:p>
            <w:pPr>
              <w:spacing w:after="0"/>
              <w:rPr>
                <w:sz w:val="19"/>
                <w:szCs w:val="19"/>
                <w:color w:val="auto"/>
              </w:rPr>
            </w:pPr>
          </w:p>
        </w:tc>
      </w:tr>
      <w:tr>
        <w:trPr>
          <w:trHeight w:val="221"/>
        </w:trPr>
        <w:tc>
          <w:tcPr>
            <w:tcW w:w="8040" w:type="dxa"/>
            <w:vAlign w:val="bottom"/>
            <w:tcBorders>
              <w:bottom w:val="single" w:sz="8" w:color="EBEBEC"/>
            </w:tcBorders>
            <w:shd w:val="clear" w:color="auto" w:fill="EBEBEC"/>
          </w:tcPr>
          <w:p>
            <w:pPr>
              <w:ind w:left="260"/>
              <w:spacing w:after="0"/>
              <w:rPr>
                <w:sz w:val="20"/>
                <w:szCs w:val="20"/>
                <w:color w:val="auto"/>
              </w:rPr>
            </w:pPr>
            <w:r>
              <w:rPr>
                <w:rFonts w:ascii="Arial" w:cs="Arial" w:eastAsia="Arial" w:hAnsi="Arial"/>
                <w:sz w:val="18"/>
                <w:szCs w:val="18"/>
                <w:color w:val="auto"/>
              </w:rPr>
              <w:t>Other non-cash items</w:t>
            </w:r>
          </w:p>
        </w:tc>
        <w:tc>
          <w:tcPr>
            <w:tcW w:w="240" w:type="dxa"/>
            <w:vAlign w:val="bottom"/>
            <w:tcBorders>
              <w:bottom w:val="single" w:sz="8" w:color="EBEBEC"/>
            </w:tcBorders>
            <w:shd w:val="clear" w:color="auto" w:fill="EBEBEC"/>
          </w:tcPr>
          <w:p>
            <w:pPr>
              <w:spacing w:after="0"/>
              <w:rPr>
                <w:sz w:val="19"/>
                <w:szCs w:val="19"/>
                <w:color w:val="auto"/>
              </w:rPr>
            </w:pPr>
          </w:p>
        </w:tc>
        <w:tc>
          <w:tcPr>
            <w:tcW w:w="120" w:type="dxa"/>
            <w:vAlign w:val="bottom"/>
            <w:tcBorders>
              <w:bottom w:val="single" w:sz="8" w:color="auto"/>
            </w:tcBorders>
            <w:shd w:val="clear" w:color="auto" w:fill="EBEBEC"/>
          </w:tcPr>
          <w:p>
            <w:pPr>
              <w:spacing w:after="0"/>
              <w:rPr>
                <w:sz w:val="19"/>
                <w:szCs w:val="19"/>
                <w:color w:val="auto"/>
              </w:rPr>
            </w:pPr>
          </w:p>
        </w:tc>
        <w:tc>
          <w:tcPr>
            <w:tcW w:w="960" w:type="dxa"/>
            <w:vAlign w:val="bottom"/>
            <w:tcBorders>
              <w:bottom w:val="single" w:sz="8" w:color="auto"/>
            </w:tcBorders>
            <w:shd w:val="clear" w:color="auto" w:fill="EBEBEC"/>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auto"/>
            </w:tcBorders>
            <w:shd w:val="clear" w:color="auto" w:fill="EBEBEC"/>
          </w:tcPr>
          <w:p>
            <w:pPr>
              <w:spacing w:after="0"/>
              <w:rPr>
                <w:sz w:val="19"/>
                <w:szCs w:val="19"/>
                <w:color w:val="auto"/>
              </w:rPr>
            </w:pPr>
          </w:p>
        </w:tc>
        <w:tc>
          <w:tcPr>
            <w:tcW w:w="220" w:type="dxa"/>
            <w:vAlign w:val="bottom"/>
            <w:tcBorders>
              <w:bottom w:val="single" w:sz="8" w:color="EBEBEC"/>
            </w:tcBorders>
            <w:shd w:val="clear" w:color="auto" w:fill="EBEBEC"/>
          </w:tcPr>
          <w:p>
            <w:pPr>
              <w:spacing w:after="0"/>
              <w:rPr>
                <w:sz w:val="19"/>
                <w:szCs w:val="19"/>
                <w:color w:val="auto"/>
              </w:rPr>
            </w:pPr>
          </w:p>
        </w:tc>
        <w:tc>
          <w:tcPr>
            <w:tcW w:w="140" w:type="dxa"/>
            <w:vAlign w:val="bottom"/>
            <w:tcBorders>
              <w:bottom w:val="single" w:sz="8" w:color="auto"/>
            </w:tcBorders>
            <w:shd w:val="clear" w:color="auto" w:fill="EBEBEC"/>
          </w:tcPr>
          <w:p>
            <w:pPr>
              <w:spacing w:after="0"/>
              <w:rPr>
                <w:sz w:val="19"/>
                <w:szCs w:val="19"/>
                <w:color w:val="auto"/>
              </w:rPr>
            </w:pPr>
          </w:p>
        </w:tc>
        <w:tc>
          <w:tcPr>
            <w:tcW w:w="940" w:type="dxa"/>
            <w:vAlign w:val="bottom"/>
            <w:tcBorders>
              <w:bottom w:val="single" w:sz="8" w:color="auto"/>
            </w:tcBorders>
            <w:shd w:val="clear" w:color="auto" w:fill="EBEBEC"/>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auto"/>
            </w:tcBorders>
            <w:shd w:val="clear" w:color="auto" w:fill="EBEBEC"/>
          </w:tcPr>
          <w:p>
            <w:pPr>
              <w:spacing w:after="0"/>
              <w:rPr>
                <w:sz w:val="19"/>
                <w:szCs w:val="19"/>
                <w:color w:val="auto"/>
              </w:rPr>
            </w:pPr>
          </w:p>
        </w:tc>
        <w:tc>
          <w:tcPr>
            <w:tcW w:w="240" w:type="dxa"/>
            <w:vAlign w:val="bottom"/>
          </w:tcPr>
          <w:p>
            <w:pPr>
              <w:spacing w:after="0"/>
              <w:rPr>
                <w:sz w:val="19"/>
                <w:szCs w:val="19"/>
                <w:color w:val="auto"/>
              </w:rPr>
            </w:pPr>
          </w:p>
        </w:tc>
      </w:tr>
      <w:tr>
        <w:trPr>
          <w:trHeight w:val="177"/>
        </w:trPr>
        <w:tc>
          <w:tcPr>
            <w:tcW w:w="8040" w:type="dxa"/>
            <w:vAlign w:val="bottom"/>
            <w:shd w:val="clear" w:color="auto" w:fill="EBEBEC"/>
          </w:tcPr>
          <w:p>
            <w:pPr>
              <w:spacing w:after="0" w:line="177" w:lineRule="exact"/>
              <w:rPr>
                <w:sz w:val="20"/>
                <w:szCs w:val="20"/>
                <w:color w:val="auto"/>
              </w:rPr>
            </w:pPr>
            <w:r>
              <w:rPr>
                <w:rFonts w:ascii="Arial" w:cs="Arial" w:eastAsia="Arial" w:hAnsi="Arial"/>
                <w:sz w:val="18"/>
                <w:szCs w:val="18"/>
                <w:color w:val="auto"/>
              </w:rPr>
              <w:t>Adjusted EBITDAX</w:t>
            </w:r>
          </w:p>
        </w:tc>
        <w:tc>
          <w:tcPr>
            <w:tcW w:w="240" w:type="dxa"/>
            <w:vAlign w:val="bottom"/>
            <w:shd w:val="clear" w:color="auto" w:fill="EBEBEC"/>
          </w:tcPr>
          <w:p>
            <w:pPr>
              <w:spacing w:after="0"/>
              <w:rPr>
                <w:sz w:val="15"/>
                <w:szCs w:val="15"/>
                <w:color w:val="auto"/>
              </w:rPr>
            </w:pPr>
          </w:p>
        </w:tc>
        <w:tc>
          <w:tcPr>
            <w:tcW w:w="120" w:type="dxa"/>
            <w:vAlign w:val="bottom"/>
            <w:shd w:val="clear" w:color="auto" w:fill="EBEBEC"/>
          </w:tcPr>
          <w:p>
            <w:pPr>
              <w:spacing w:after="0"/>
              <w:rPr>
                <w:sz w:val="15"/>
                <w:szCs w:val="15"/>
                <w:color w:val="auto"/>
              </w:rPr>
            </w:pPr>
          </w:p>
        </w:tc>
        <w:tc>
          <w:tcPr>
            <w:tcW w:w="960" w:type="dxa"/>
            <w:vAlign w:val="bottom"/>
            <w:shd w:val="clear" w:color="auto" w:fill="EBEBEC"/>
          </w:tcPr>
          <w:p>
            <w:pPr>
              <w:jc w:val="right"/>
              <w:spacing w:after="0" w:line="177" w:lineRule="exact"/>
              <w:rPr>
                <w:sz w:val="20"/>
                <w:szCs w:val="20"/>
                <w:color w:val="auto"/>
              </w:rPr>
            </w:pPr>
            <w:r>
              <w:rPr>
                <w:rFonts w:ascii="Arial" w:cs="Arial" w:eastAsia="Arial" w:hAnsi="Arial"/>
                <w:sz w:val="18"/>
                <w:szCs w:val="18"/>
                <w:color w:val="auto"/>
              </w:rPr>
              <w:t>288</w:t>
            </w:r>
          </w:p>
        </w:tc>
        <w:tc>
          <w:tcPr>
            <w:tcW w:w="100" w:type="dxa"/>
            <w:vAlign w:val="bottom"/>
            <w:shd w:val="clear" w:color="auto" w:fill="EBEBEC"/>
          </w:tcPr>
          <w:p>
            <w:pPr>
              <w:spacing w:after="0"/>
              <w:rPr>
                <w:sz w:val="15"/>
                <w:szCs w:val="15"/>
                <w:color w:val="auto"/>
              </w:rPr>
            </w:pPr>
          </w:p>
        </w:tc>
        <w:tc>
          <w:tcPr>
            <w:tcW w:w="220" w:type="dxa"/>
            <w:vAlign w:val="bottom"/>
            <w:shd w:val="clear" w:color="auto" w:fill="EBEBEC"/>
          </w:tcPr>
          <w:p>
            <w:pPr>
              <w:spacing w:after="0"/>
              <w:rPr>
                <w:sz w:val="15"/>
                <w:szCs w:val="15"/>
                <w:color w:val="auto"/>
              </w:rPr>
            </w:pPr>
          </w:p>
        </w:tc>
        <w:tc>
          <w:tcPr>
            <w:tcW w:w="140" w:type="dxa"/>
            <w:vAlign w:val="bottom"/>
            <w:shd w:val="clear" w:color="auto" w:fill="EBEBEC"/>
          </w:tcPr>
          <w:p>
            <w:pPr>
              <w:spacing w:after="0"/>
              <w:rPr>
                <w:sz w:val="15"/>
                <w:szCs w:val="15"/>
                <w:color w:val="auto"/>
              </w:rPr>
            </w:pPr>
          </w:p>
        </w:tc>
        <w:tc>
          <w:tcPr>
            <w:tcW w:w="940" w:type="dxa"/>
            <w:vAlign w:val="bottom"/>
            <w:shd w:val="clear" w:color="auto" w:fill="EBEBEC"/>
          </w:tcPr>
          <w:p>
            <w:pPr>
              <w:jc w:val="right"/>
              <w:spacing w:after="0" w:line="177" w:lineRule="exact"/>
              <w:rPr>
                <w:sz w:val="20"/>
                <w:szCs w:val="20"/>
                <w:color w:val="auto"/>
              </w:rPr>
            </w:pPr>
            <w:r>
              <w:rPr>
                <w:rFonts w:ascii="Arial" w:cs="Arial" w:eastAsia="Arial" w:hAnsi="Arial"/>
                <w:sz w:val="18"/>
                <w:szCs w:val="18"/>
                <w:color w:val="auto"/>
              </w:rPr>
              <w:t>718</w:t>
            </w:r>
          </w:p>
        </w:tc>
        <w:tc>
          <w:tcPr>
            <w:tcW w:w="120" w:type="dxa"/>
            <w:vAlign w:val="bottom"/>
            <w:shd w:val="clear" w:color="auto" w:fill="EBEBEC"/>
          </w:tcPr>
          <w:p>
            <w:pPr>
              <w:spacing w:after="0"/>
              <w:rPr>
                <w:sz w:val="15"/>
                <w:szCs w:val="15"/>
                <w:color w:val="auto"/>
              </w:rPr>
            </w:pPr>
          </w:p>
        </w:tc>
        <w:tc>
          <w:tcPr>
            <w:tcW w:w="240" w:type="dxa"/>
            <w:vAlign w:val="bottom"/>
          </w:tcPr>
          <w:p>
            <w:pPr>
              <w:spacing w:after="0"/>
              <w:rPr>
                <w:sz w:val="15"/>
                <w:szCs w:val="15"/>
                <w:color w:val="auto"/>
              </w:rPr>
            </w:pPr>
          </w:p>
        </w:tc>
      </w:tr>
      <w:tr>
        <w:trPr>
          <w:trHeight w:val="221"/>
        </w:trPr>
        <w:tc>
          <w:tcPr>
            <w:tcW w:w="8040" w:type="dxa"/>
            <w:vAlign w:val="bottom"/>
            <w:tcBorders>
              <w:bottom w:val="single" w:sz="8" w:color="EBEBEC"/>
            </w:tcBorders>
            <w:shd w:val="clear" w:color="auto" w:fill="EBEBEC"/>
          </w:tcPr>
          <w:p>
            <w:pPr>
              <w:ind w:left="260"/>
              <w:spacing w:after="0"/>
              <w:rPr>
                <w:sz w:val="20"/>
                <w:szCs w:val="20"/>
                <w:color w:val="auto"/>
              </w:rPr>
            </w:pPr>
            <w:r>
              <w:rPr>
                <w:rFonts w:ascii="Arial" w:cs="Arial" w:eastAsia="Arial" w:hAnsi="Arial"/>
                <w:sz w:val="18"/>
                <w:szCs w:val="18"/>
                <w:color w:val="auto"/>
              </w:rPr>
              <w:t>Incentive Compensation Adjustments (baseline)</w:t>
            </w:r>
          </w:p>
        </w:tc>
        <w:tc>
          <w:tcPr>
            <w:tcW w:w="240" w:type="dxa"/>
            <w:vAlign w:val="bottom"/>
            <w:tcBorders>
              <w:bottom w:val="single" w:sz="8" w:color="EBEBEC"/>
            </w:tcBorders>
            <w:shd w:val="clear" w:color="auto" w:fill="EBEBEC"/>
          </w:tcPr>
          <w:p>
            <w:pPr>
              <w:spacing w:after="0"/>
              <w:rPr>
                <w:sz w:val="19"/>
                <w:szCs w:val="19"/>
                <w:color w:val="auto"/>
              </w:rPr>
            </w:pPr>
          </w:p>
        </w:tc>
        <w:tc>
          <w:tcPr>
            <w:tcW w:w="120" w:type="dxa"/>
            <w:vAlign w:val="bottom"/>
            <w:tcBorders>
              <w:bottom w:val="single" w:sz="8" w:color="auto"/>
            </w:tcBorders>
            <w:shd w:val="clear" w:color="auto" w:fill="EBEBEC"/>
          </w:tcPr>
          <w:p>
            <w:pPr>
              <w:spacing w:after="0"/>
              <w:rPr>
                <w:sz w:val="19"/>
                <w:szCs w:val="19"/>
                <w:color w:val="auto"/>
              </w:rPr>
            </w:pPr>
          </w:p>
        </w:tc>
        <w:tc>
          <w:tcPr>
            <w:tcW w:w="960" w:type="dxa"/>
            <w:vAlign w:val="bottom"/>
            <w:tcBorders>
              <w:bottom w:val="single" w:sz="8" w:color="auto"/>
            </w:tcBorders>
            <w:shd w:val="clear" w:color="auto" w:fill="EBEBE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shd w:val="clear" w:color="auto" w:fill="EBEBEC"/>
          </w:tcPr>
          <w:p>
            <w:pPr>
              <w:spacing w:after="0"/>
              <w:rPr>
                <w:sz w:val="19"/>
                <w:szCs w:val="19"/>
                <w:color w:val="auto"/>
              </w:rPr>
            </w:pPr>
          </w:p>
        </w:tc>
        <w:tc>
          <w:tcPr>
            <w:tcW w:w="220" w:type="dxa"/>
            <w:vAlign w:val="bottom"/>
            <w:tcBorders>
              <w:bottom w:val="single" w:sz="8" w:color="EBEBEC"/>
            </w:tcBorders>
            <w:shd w:val="clear" w:color="auto" w:fill="EBEBEC"/>
          </w:tcPr>
          <w:p>
            <w:pPr>
              <w:spacing w:after="0"/>
              <w:rPr>
                <w:sz w:val="19"/>
                <w:szCs w:val="19"/>
                <w:color w:val="auto"/>
              </w:rPr>
            </w:pPr>
          </w:p>
        </w:tc>
        <w:tc>
          <w:tcPr>
            <w:tcW w:w="140" w:type="dxa"/>
            <w:vAlign w:val="bottom"/>
            <w:tcBorders>
              <w:bottom w:val="single" w:sz="8" w:color="auto"/>
            </w:tcBorders>
            <w:shd w:val="clear" w:color="auto" w:fill="EBEBEC"/>
          </w:tcPr>
          <w:p>
            <w:pPr>
              <w:spacing w:after="0"/>
              <w:rPr>
                <w:sz w:val="19"/>
                <w:szCs w:val="19"/>
                <w:color w:val="auto"/>
              </w:rPr>
            </w:pPr>
          </w:p>
        </w:tc>
        <w:tc>
          <w:tcPr>
            <w:tcW w:w="940" w:type="dxa"/>
            <w:vAlign w:val="bottom"/>
            <w:tcBorders>
              <w:bottom w:val="single" w:sz="8" w:color="auto"/>
            </w:tcBorders>
            <w:shd w:val="clear" w:color="auto" w:fill="EBEBE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auto"/>
            </w:tcBorders>
            <w:shd w:val="clear" w:color="auto" w:fill="EBEBEC"/>
          </w:tcPr>
          <w:p>
            <w:pPr>
              <w:spacing w:after="0"/>
              <w:rPr>
                <w:sz w:val="19"/>
                <w:szCs w:val="19"/>
                <w:color w:val="auto"/>
              </w:rPr>
            </w:pPr>
          </w:p>
        </w:tc>
        <w:tc>
          <w:tcPr>
            <w:tcW w:w="240" w:type="dxa"/>
            <w:vAlign w:val="bottom"/>
          </w:tcPr>
          <w:p>
            <w:pPr>
              <w:spacing w:after="0"/>
              <w:rPr>
                <w:sz w:val="19"/>
                <w:szCs w:val="19"/>
                <w:color w:val="auto"/>
              </w:rPr>
            </w:pPr>
          </w:p>
        </w:tc>
      </w:tr>
      <w:tr>
        <w:trPr>
          <w:trHeight w:val="236"/>
        </w:trPr>
        <w:tc>
          <w:tcPr>
            <w:tcW w:w="8040" w:type="dxa"/>
            <w:vAlign w:val="bottom"/>
            <w:tcBorders>
              <w:bottom w:val="single" w:sz="8" w:color="EBEBEC"/>
            </w:tcBorders>
            <w:shd w:val="clear" w:color="auto" w:fill="EBEBEC"/>
          </w:tcPr>
          <w:p>
            <w:pPr>
              <w:spacing w:after="0" w:line="182" w:lineRule="exact"/>
              <w:rPr>
                <w:sz w:val="20"/>
                <w:szCs w:val="20"/>
                <w:color w:val="auto"/>
              </w:rPr>
            </w:pPr>
            <w:r>
              <w:rPr>
                <w:rFonts w:ascii="Arial" w:cs="Arial" w:eastAsia="Arial" w:hAnsi="Arial"/>
                <w:sz w:val="18"/>
                <w:szCs w:val="18"/>
                <w:color w:val="auto"/>
              </w:rPr>
              <w:t>Adjusted EBITDAX, AIP</w:t>
            </w:r>
          </w:p>
        </w:tc>
        <w:tc>
          <w:tcPr>
            <w:tcW w:w="240" w:type="dxa"/>
            <w:vAlign w:val="bottom"/>
            <w:tcBorders>
              <w:bottom w:val="single" w:sz="8" w:color="EBEBEC"/>
            </w:tcBorders>
            <w:shd w:val="clear" w:color="auto" w:fill="EBEBEC"/>
          </w:tcPr>
          <w:p>
            <w:pPr>
              <w:spacing w:after="0"/>
              <w:rPr>
                <w:sz w:val="20"/>
                <w:szCs w:val="20"/>
                <w:color w:val="auto"/>
              </w:rPr>
            </w:pPr>
          </w:p>
        </w:tc>
        <w:tc>
          <w:tcPr>
            <w:tcW w:w="120" w:type="dxa"/>
            <w:vAlign w:val="bottom"/>
            <w:tcBorders>
              <w:bottom w:val="single" w:sz="8" w:color="auto"/>
            </w:tcBorders>
            <w:shd w:val="clear" w:color="auto" w:fill="EBEBEC"/>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EBEBEC"/>
          </w:tcPr>
          <w:p>
            <w:pPr>
              <w:jc w:val="right"/>
              <w:spacing w:after="0" w:line="182" w:lineRule="exact"/>
              <w:rPr>
                <w:sz w:val="20"/>
                <w:szCs w:val="20"/>
                <w:color w:val="auto"/>
              </w:rPr>
            </w:pPr>
            <w:r>
              <w:rPr>
                <w:rFonts w:ascii="Arial" w:cs="Arial" w:eastAsia="Arial" w:hAnsi="Arial"/>
                <w:sz w:val="18"/>
                <w:szCs w:val="18"/>
                <w:color w:val="auto"/>
              </w:rPr>
              <w:t>292</w:t>
            </w:r>
          </w:p>
        </w:tc>
        <w:tc>
          <w:tcPr>
            <w:tcW w:w="100" w:type="dxa"/>
            <w:vAlign w:val="bottom"/>
            <w:tcBorders>
              <w:bottom w:val="single" w:sz="8" w:color="auto"/>
            </w:tcBorders>
            <w:shd w:val="clear" w:color="auto" w:fill="EBEBEC"/>
          </w:tcPr>
          <w:p>
            <w:pPr>
              <w:spacing w:after="0"/>
              <w:rPr>
                <w:sz w:val="20"/>
                <w:szCs w:val="20"/>
                <w:color w:val="auto"/>
              </w:rPr>
            </w:pPr>
          </w:p>
        </w:tc>
        <w:tc>
          <w:tcPr>
            <w:tcW w:w="220" w:type="dxa"/>
            <w:vAlign w:val="bottom"/>
            <w:tcBorders>
              <w:bottom w:val="single" w:sz="8" w:color="EBEBEC"/>
            </w:tcBorders>
            <w:shd w:val="clear" w:color="auto" w:fill="EBEBEC"/>
          </w:tcPr>
          <w:p>
            <w:pPr>
              <w:spacing w:after="0"/>
              <w:rPr>
                <w:sz w:val="20"/>
                <w:szCs w:val="20"/>
                <w:color w:val="auto"/>
              </w:rPr>
            </w:pPr>
          </w:p>
        </w:tc>
        <w:tc>
          <w:tcPr>
            <w:tcW w:w="140" w:type="dxa"/>
            <w:vAlign w:val="bottom"/>
            <w:tcBorders>
              <w:bottom w:val="single" w:sz="8" w:color="auto"/>
            </w:tcBorders>
            <w:shd w:val="clear" w:color="auto" w:fill="EBEBEC"/>
          </w:tcPr>
          <w:p>
            <w:pPr>
              <w:jc w:val="right"/>
              <w:spacing w:after="0" w:line="182"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EBEBEC"/>
          </w:tcPr>
          <w:p>
            <w:pPr>
              <w:jc w:val="right"/>
              <w:spacing w:after="0" w:line="182" w:lineRule="exact"/>
              <w:rPr>
                <w:sz w:val="20"/>
                <w:szCs w:val="20"/>
                <w:color w:val="auto"/>
              </w:rPr>
            </w:pPr>
            <w:r>
              <w:rPr>
                <w:rFonts w:ascii="Arial" w:cs="Arial" w:eastAsia="Arial" w:hAnsi="Arial"/>
                <w:sz w:val="18"/>
                <w:szCs w:val="18"/>
                <w:color w:val="auto"/>
              </w:rPr>
              <w:t>721</w:t>
            </w:r>
          </w:p>
        </w:tc>
        <w:tc>
          <w:tcPr>
            <w:tcW w:w="120" w:type="dxa"/>
            <w:vAlign w:val="bottom"/>
            <w:tcBorders>
              <w:bottom w:val="single" w:sz="8" w:color="auto"/>
            </w:tcBorders>
            <w:shd w:val="clear" w:color="auto" w:fill="EBEBEC"/>
          </w:tcPr>
          <w:p>
            <w:pPr>
              <w:spacing w:after="0"/>
              <w:rPr>
                <w:sz w:val="20"/>
                <w:szCs w:val="20"/>
                <w:color w:val="auto"/>
              </w:rPr>
            </w:pPr>
          </w:p>
        </w:tc>
        <w:tc>
          <w:tcPr>
            <w:tcW w:w="240" w:type="dxa"/>
            <w:vAlign w:val="bottom"/>
          </w:tcPr>
          <w:p>
            <w:pPr>
              <w:spacing w:after="0"/>
              <w:rPr>
                <w:sz w:val="20"/>
                <w:szCs w:val="20"/>
                <w:color w:val="auto"/>
              </w:rPr>
            </w:pPr>
          </w:p>
        </w:tc>
      </w:tr>
      <w:tr>
        <w:trPr>
          <w:trHeight w:val="367"/>
        </w:trPr>
        <w:tc>
          <w:tcPr>
            <w:tcW w:w="8040" w:type="dxa"/>
            <w:vAlign w:val="bottom"/>
            <w:shd w:val="clear" w:color="auto" w:fill="EBEBEC"/>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EBEBEC"/>
          </w:tcPr>
          <w:p>
            <w:pPr>
              <w:spacing w:after="0"/>
              <w:rPr>
                <w:sz w:val="24"/>
                <w:szCs w:val="24"/>
                <w:color w:val="auto"/>
              </w:rPr>
            </w:pPr>
          </w:p>
        </w:tc>
        <w:tc>
          <w:tcPr>
            <w:tcW w:w="120" w:type="dxa"/>
            <w:vAlign w:val="bottom"/>
            <w:shd w:val="clear" w:color="auto" w:fill="EBEBEC"/>
          </w:tcPr>
          <w:p>
            <w:pPr>
              <w:spacing w:after="0"/>
              <w:rPr>
                <w:sz w:val="24"/>
                <w:szCs w:val="24"/>
                <w:color w:val="auto"/>
              </w:rPr>
            </w:pPr>
          </w:p>
        </w:tc>
        <w:tc>
          <w:tcPr>
            <w:tcW w:w="960" w:type="dxa"/>
            <w:vAlign w:val="bottom"/>
            <w:shd w:val="clear" w:color="auto" w:fill="EBEBEC"/>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EBEBEC"/>
          </w:tcPr>
          <w:p>
            <w:pPr>
              <w:spacing w:after="0"/>
              <w:rPr>
                <w:sz w:val="24"/>
                <w:szCs w:val="24"/>
                <w:color w:val="auto"/>
              </w:rPr>
            </w:pPr>
          </w:p>
        </w:tc>
        <w:tc>
          <w:tcPr>
            <w:tcW w:w="220" w:type="dxa"/>
            <w:vAlign w:val="bottom"/>
            <w:shd w:val="clear" w:color="auto" w:fill="EBEBEC"/>
          </w:tcPr>
          <w:p>
            <w:pPr>
              <w:spacing w:after="0"/>
              <w:rPr>
                <w:sz w:val="24"/>
                <w:szCs w:val="24"/>
                <w:color w:val="auto"/>
              </w:rPr>
            </w:pPr>
          </w:p>
        </w:tc>
        <w:tc>
          <w:tcPr>
            <w:tcW w:w="140" w:type="dxa"/>
            <w:vAlign w:val="bottom"/>
            <w:shd w:val="clear" w:color="auto" w:fill="EBEBEC"/>
          </w:tcPr>
          <w:p>
            <w:pPr>
              <w:spacing w:after="0"/>
              <w:rPr>
                <w:sz w:val="24"/>
                <w:szCs w:val="24"/>
                <w:color w:val="auto"/>
              </w:rPr>
            </w:pPr>
          </w:p>
        </w:tc>
        <w:tc>
          <w:tcPr>
            <w:tcW w:w="9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EBEBEC"/>
          </w:tcPr>
          <w:p>
            <w:pPr>
              <w:spacing w:after="0"/>
              <w:rPr>
                <w:sz w:val="24"/>
                <w:szCs w:val="24"/>
                <w:color w:val="auto"/>
              </w:rPr>
            </w:pPr>
          </w:p>
        </w:tc>
        <w:tc>
          <w:tcPr>
            <w:tcW w:w="240" w:type="dxa"/>
            <w:vAlign w:val="bottom"/>
          </w:tcPr>
          <w:p>
            <w:pPr>
              <w:spacing w:after="0"/>
              <w:rPr>
                <w:sz w:val="24"/>
                <w:szCs w:val="24"/>
                <w:color w:val="auto"/>
              </w:rPr>
            </w:pPr>
          </w:p>
        </w:tc>
      </w:tr>
      <w:tr>
        <w:trPr>
          <w:trHeight w:val="203"/>
        </w:trPr>
        <w:tc>
          <w:tcPr>
            <w:tcW w:w="8040" w:type="dxa"/>
            <w:vAlign w:val="bottom"/>
            <w:shd w:val="clear" w:color="auto" w:fill="EBEBEC"/>
          </w:tcPr>
          <w:p>
            <w:pPr>
              <w:spacing w:after="0" w:line="202" w:lineRule="exact"/>
              <w:rPr>
                <w:sz w:val="20"/>
                <w:szCs w:val="20"/>
                <w:color w:val="auto"/>
              </w:rPr>
            </w:pPr>
            <w:r>
              <w:rPr>
                <w:rFonts w:ascii="Arial" w:cs="Arial" w:eastAsia="Arial" w:hAnsi="Arial"/>
                <w:sz w:val="18"/>
                <w:szCs w:val="18"/>
                <w:color w:val="auto"/>
              </w:rPr>
              <w:t>Cash interest payments</w:t>
            </w:r>
          </w:p>
        </w:tc>
        <w:tc>
          <w:tcPr>
            <w:tcW w:w="240" w:type="dxa"/>
            <w:vAlign w:val="bottom"/>
            <w:shd w:val="clear" w:color="auto" w:fill="EBEBEC"/>
          </w:tcPr>
          <w:p>
            <w:pPr>
              <w:spacing w:after="0"/>
              <w:rPr>
                <w:sz w:val="17"/>
                <w:szCs w:val="17"/>
                <w:color w:val="auto"/>
              </w:rPr>
            </w:pPr>
          </w:p>
        </w:tc>
        <w:tc>
          <w:tcPr>
            <w:tcW w:w="120" w:type="dxa"/>
            <w:vAlign w:val="bottom"/>
            <w:shd w:val="clear" w:color="auto" w:fill="EBEBEC"/>
          </w:tcPr>
          <w:p>
            <w:pPr>
              <w:spacing w:after="0"/>
              <w:rPr>
                <w:sz w:val="17"/>
                <w:szCs w:val="17"/>
                <w:color w:val="auto"/>
              </w:rPr>
            </w:pPr>
          </w:p>
        </w:tc>
        <w:tc>
          <w:tcPr>
            <w:tcW w:w="960" w:type="dxa"/>
            <w:vAlign w:val="bottom"/>
            <w:shd w:val="clear" w:color="auto" w:fill="EBEBEC"/>
          </w:tcPr>
          <w:p>
            <w:pPr>
              <w:jc w:val="right"/>
              <w:spacing w:after="0" w:line="202" w:lineRule="exact"/>
              <w:rPr>
                <w:sz w:val="20"/>
                <w:szCs w:val="20"/>
                <w:color w:val="auto"/>
              </w:rPr>
            </w:pPr>
            <w:r>
              <w:rPr>
                <w:rFonts w:ascii="Arial" w:cs="Arial" w:eastAsia="Arial" w:hAnsi="Arial"/>
                <w:sz w:val="18"/>
                <w:szCs w:val="18"/>
                <w:color w:val="auto"/>
              </w:rPr>
              <w:t>22</w:t>
            </w:r>
          </w:p>
        </w:tc>
        <w:tc>
          <w:tcPr>
            <w:tcW w:w="100" w:type="dxa"/>
            <w:vAlign w:val="bottom"/>
            <w:shd w:val="clear" w:color="auto" w:fill="EBEBEC"/>
          </w:tcPr>
          <w:p>
            <w:pPr>
              <w:spacing w:after="0"/>
              <w:rPr>
                <w:sz w:val="17"/>
                <w:szCs w:val="17"/>
                <w:color w:val="auto"/>
              </w:rPr>
            </w:pPr>
          </w:p>
        </w:tc>
        <w:tc>
          <w:tcPr>
            <w:tcW w:w="220" w:type="dxa"/>
            <w:vAlign w:val="bottom"/>
            <w:shd w:val="clear" w:color="auto" w:fill="EBEBEC"/>
          </w:tcPr>
          <w:p>
            <w:pPr>
              <w:spacing w:after="0"/>
              <w:rPr>
                <w:sz w:val="17"/>
                <w:szCs w:val="17"/>
                <w:color w:val="auto"/>
              </w:rPr>
            </w:pPr>
          </w:p>
        </w:tc>
        <w:tc>
          <w:tcPr>
            <w:tcW w:w="140" w:type="dxa"/>
            <w:vAlign w:val="bottom"/>
            <w:shd w:val="clear" w:color="auto" w:fill="EBEBEC"/>
          </w:tcPr>
          <w:p>
            <w:pPr>
              <w:spacing w:after="0"/>
              <w:rPr>
                <w:sz w:val="17"/>
                <w:szCs w:val="17"/>
                <w:color w:val="auto"/>
              </w:rPr>
            </w:pPr>
          </w:p>
        </w:tc>
        <w:tc>
          <w:tcPr>
            <w:tcW w:w="940" w:type="dxa"/>
            <w:vAlign w:val="bottom"/>
            <w:shd w:val="clear" w:color="auto" w:fill="EBEBEC"/>
          </w:tcPr>
          <w:p>
            <w:pPr>
              <w:jc w:val="right"/>
              <w:spacing w:after="0" w:line="202" w:lineRule="exact"/>
              <w:rPr>
                <w:sz w:val="20"/>
                <w:szCs w:val="20"/>
                <w:color w:val="auto"/>
              </w:rPr>
            </w:pPr>
            <w:r>
              <w:rPr>
                <w:rFonts w:ascii="Arial" w:cs="Arial" w:eastAsia="Arial" w:hAnsi="Arial"/>
                <w:sz w:val="18"/>
                <w:szCs w:val="18"/>
                <w:color w:val="auto"/>
              </w:rPr>
              <w:t>66</w:t>
            </w:r>
          </w:p>
        </w:tc>
        <w:tc>
          <w:tcPr>
            <w:tcW w:w="120" w:type="dxa"/>
            <w:vAlign w:val="bottom"/>
            <w:shd w:val="clear" w:color="auto" w:fill="EBEBEC"/>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8040" w:type="dxa"/>
            <w:vAlign w:val="bottom"/>
            <w:shd w:val="clear" w:color="auto" w:fill="EBEBEC"/>
          </w:tcPr>
          <w:p>
            <w:pPr>
              <w:spacing w:after="0" w:line="202" w:lineRule="exact"/>
              <w:rPr>
                <w:sz w:val="20"/>
                <w:szCs w:val="20"/>
                <w:color w:val="auto"/>
              </w:rPr>
            </w:pPr>
            <w:r>
              <w:rPr>
                <w:rFonts w:ascii="Arial" w:cs="Arial" w:eastAsia="Arial" w:hAnsi="Arial"/>
                <w:sz w:val="18"/>
                <w:szCs w:val="18"/>
                <w:color w:val="auto"/>
              </w:rPr>
              <w:t>Cash interest received</w:t>
            </w:r>
          </w:p>
        </w:tc>
        <w:tc>
          <w:tcPr>
            <w:tcW w:w="240" w:type="dxa"/>
            <w:vAlign w:val="bottom"/>
            <w:shd w:val="clear" w:color="auto" w:fill="EBEBEC"/>
          </w:tcPr>
          <w:p>
            <w:pPr>
              <w:spacing w:after="0"/>
              <w:rPr>
                <w:sz w:val="17"/>
                <w:szCs w:val="17"/>
                <w:color w:val="auto"/>
              </w:rPr>
            </w:pPr>
          </w:p>
        </w:tc>
        <w:tc>
          <w:tcPr>
            <w:tcW w:w="120" w:type="dxa"/>
            <w:vAlign w:val="bottom"/>
            <w:shd w:val="clear" w:color="auto" w:fill="EBEBEC"/>
          </w:tcPr>
          <w:p>
            <w:pPr>
              <w:spacing w:after="0"/>
              <w:rPr>
                <w:sz w:val="17"/>
                <w:szCs w:val="17"/>
                <w:color w:val="auto"/>
              </w:rPr>
            </w:pPr>
          </w:p>
        </w:tc>
        <w:tc>
          <w:tcPr>
            <w:tcW w:w="960" w:type="dxa"/>
            <w:vAlign w:val="bottom"/>
            <w:shd w:val="clear" w:color="auto" w:fill="EBEBEC"/>
          </w:tcPr>
          <w:p>
            <w:pPr>
              <w:jc w:val="right"/>
              <w:spacing w:after="0" w:line="202" w:lineRule="exact"/>
              <w:rPr>
                <w:sz w:val="20"/>
                <w:szCs w:val="20"/>
                <w:color w:val="auto"/>
              </w:rPr>
            </w:pPr>
            <w:r>
              <w:rPr>
                <w:rFonts w:ascii="Arial" w:cs="Arial" w:eastAsia="Arial" w:hAnsi="Arial"/>
                <w:sz w:val="18"/>
                <w:szCs w:val="18"/>
                <w:color w:val="auto"/>
              </w:rPr>
              <w:t>(14</w:t>
            </w:r>
          </w:p>
        </w:tc>
        <w:tc>
          <w:tcPr>
            <w:tcW w:w="100" w:type="dxa"/>
            <w:vAlign w:val="bottom"/>
            <w:shd w:val="clear" w:color="auto" w:fill="EBEBEC"/>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EBEBEC"/>
          </w:tcPr>
          <w:p>
            <w:pPr>
              <w:spacing w:after="0"/>
              <w:rPr>
                <w:sz w:val="17"/>
                <w:szCs w:val="17"/>
                <w:color w:val="auto"/>
              </w:rPr>
            </w:pPr>
          </w:p>
        </w:tc>
        <w:tc>
          <w:tcPr>
            <w:tcW w:w="140" w:type="dxa"/>
            <w:vAlign w:val="bottom"/>
            <w:shd w:val="clear" w:color="auto" w:fill="EBEBEC"/>
          </w:tcPr>
          <w:p>
            <w:pPr>
              <w:spacing w:after="0"/>
              <w:rPr>
                <w:sz w:val="17"/>
                <w:szCs w:val="17"/>
                <w:color w:val="auto"/>
              </w:rPr>
            </w:pPr>
          </w:p>
        </w:tc>
        <w:tc>
          <w:tcPr>
            <w:tcW w:w="1060" w:type="dxa"/>
            <w:vAlign w:val="bottom"/>
            <w:gridSpan w:val="2"/>
            <w:shd w:val="clear" w:color="auto" w:fill="EBEBEC"/>
          </w:tcPr>
          <w:p>
            <w:pPr>
              <w:jc w:val="right"/>
              <w:spacing w:after="0" w:line="202" w:lineRule="exact"/>
              <w:rPr>
                <w:sz w:val="20"/>
                <w:szCs w:val="20"/>
                <w:color w:val="auto"/>
              </w:rPr>
            </w:pPr>
            <w:r>
              <w:rPr>
                <w:rFonts w:ascii="Arial" w:cs="Arial" w:eastAsia="Arial" w:hAnsi="Arial"/>
                <w:sz w:val="18"/>
                <w:szCs w:val="18"/>
                <w:color w:val="auto"/>
              </w:rPr>
              <w:t>(5 )</w:t>
            </w:r>
          </w:p>
        </w:tc>
        <w:tc>
          <w:tcPr>
            <w:tcW w:w="240" w:type="dxa"/>
            <w:vAlign w:val="bottom"/>
          </w:tcPr>
          <w:p>
            <w:pPr>
              <w:spacing w:after="0"/>
              <w:rPr>
                <w:sz w:val="17"/>
                <w:szCs w:val="17"/>
                <w:color w:val="auto"/>
              </w:rPr>
            </w:pPr>
          </w:p>
        </w:tc>
      </w:tr>
      <w:tr>
        <w:trPr>
          <w:trHeight w:val="203"/>
        </w:trPr>
        <w:tc>
          <w:tcPr>
            <w:tcW w:w="8040" w:type="dxa"/>
            <w:vAlign w:val="bottom"/>
            <w:shd w:val="clear" w:color="auto" w:fill="EBEBEC"/>
          </w:tcPr>
          <w:p>
            <w:pPr>
              <w:spacing w:after="0" w:line="202" w:lineRule="exact"/>
              <w:rPr>
                <w:sz w:val="20"/>
                <w:szCs w:val="20"/>
                <w:color w:val="auto"/>
              </w:rPr>
            </w:pPr>
            <w:r>
              <w:rPr>
                <w:rFonts w:ascii="Arial" w:cs="Arial" w:eastAsia="Arial" w:hAnsi="Arial"/>
                <w:sz w:val="18"/>
                <w:szCs w:val="18"/>
                <w:color w:val="auto"/>
              </w:rPr>
              <w:t>Cash income taxes</w:t>
            </w:r>
          </w:p>
        </w:tc>
        <w:tc>
          <w:tcPr>
            <w:tcW w:w="240" w:type="dxa"/>
            <w:vAlign w:val="bottom"/>
            <w:shd w:val="clear" w:color="auto" w:fill="EBEBEC"/>
          </w:tcPr>
          <w:p>
            <w:pPr>
              <w:spacing w:after="0"/>
              <w:rPr>
                <w:sz w:val="17"/>
                <w:szCs w:val="17"/>
                <w:color w:val="auto"/>
              </w:rPr>
            </w:pPr>
          </w:p>
        </w:tc>
        <w:tc>
          <w:tcPr>
            <w:tcW w:w="120" w:type="dxa"/>
            <w:vAlign w:val="bottom"/>
            <w:shd w:val="clear" w:color="auto" w:fill="EBEBEC"/>
          </w:tcPr>
          <w:p>
            <w:pPr>
              <w:spacing w:after="0"/>
              <w:rPr>
                <w:sz w:val="17"/>
                <w:szCs w:val="17"/>
                <w:color w:val="auto"/>
              </w:rPr>
            </w:pPr>
          </w:p>
        </w:tc>
        <w:tc>
          <w:tcPr>
            <w:tcW w:w="960" w:type="dxa"/>
            <w:vAlign w:val="bottom"/>
            <w:shd w:val="clear" w:color="auto" w:fill="EBEBEC"/>
          </w:tcPr>
          <w:p>
            <w:pPr>
              <w:jc w:val="right"/>
              <w:spacing w:after="0" w:line="202" w:lineRule="exact"/>
              <w:rPr>
                <w:sz w:val="20"/>
                <w:szCs w:val="20"/>
                <w:color w:val="auto"/>
              </w:rPr>
            </w:pPr>
            <w:r>
              <w:rPr>
                <w:rFonts w:ascii="Arial" w:cs="Arial" w:eastAsia="Arial" w:hAnsi="Arial"/>
                <w:sz w:val="18"/>
                <w:szCs w:val="18"/>
                <w:color w:val="auto"/>
              </w:rPr>
              <w:t>26</w:t>
            </w:r>
          </w:p>
        </w:tc>
        <w:tc>
          <w:tcPr>
            <w:tcW w:w="100" w:type="dxa"/>
            <w:vAlign w:val="bottom"/>
            <w:shd w:val="clear" w:color="auto" w:fill="EBEBEC"/>
          </w:tcPr>
          <w:p>
            <w:pPr>
              <w:spacing w:after="0"/>
              <w:rPr>
                <w:sz w:val="17"/>
                <w:szCs w:val="17"/>
                <w:color w:val="auto"/>
              </w:rPr>
            </w:pPr>
          </w:p>
        </w:tc>
        <w:tc>
          <w:tcPr>
            <w:tcW w:w="220" w:type="dxa"/>
            <w:vAlign w:val="bottom"/>
            <w:shd w:val="clear" w:color="auto" w:fill="EBEBEC"/>
          </w:tcPr>
          <w:p>
            <w:pPr>
              <w:spacing w:after="0"/>
              <w:rPr>
                <w:sz w:val="17"/>
                <w:szCs w:val="17"/>
                <w:color w:val="auto"/>
              </w:rPr>
            </w:pPr>
          </w:p>
        </w:tc>
        <w:tc>
          <w:tcPr>
            <w:tcW w:w="140" w:type="dxa"/>
            <w:vAlign w:val="bottom"/>
            <w:shd w:val="clear" w:color="auto" w:fill="EBEBEC"/>
          </w:tcPr>
          <w:p>
            <w:pPr>
              <w:spacing w:after="0"/>
              <w:rPr>
                <w:sz w:val="17"/>
                <w:szCs w:val="17"/>
                <w:color w:val="auto"/>
              </w:rPr>
            </w:pPr>
          </w:p>
        </w:tc>
        <w:tc>
          <w:tcPr>
            <w:tcW w:w="940" w:type="dxa"/>
            <w:vAlign w:val="bottom"/>
            <w:shd w:val="clear" w:color="auto" w:fill="EBEBEC"/>
          </w:tcPr>
          <w:p>
            <w:pPr>
              <w:jc w:val="right"/>
              <w:spacing w:after="0" w:line="202" w:lineRule="exact"/>
              <w:rPr>
                <w:sz w:val="20"/>
                <w:szCs w:val="20"/>
                <w:color w:val="auto"/>
              </w:rPr>
            </w:pPr>
            <w:r>
              <w:rPr>
                <w:rFonts w:ascii="Arial" w:cs="Arial" w:eastAsia="Arial" w:hAnsi="Arial"/>
                <w:sz w:val="18"/>
                <w:szCs w:val="18"/>
                <w:color w:val="auto"/>
              </w:rPr>
              <w:t>79</w:t>
            </w:r>
          </w:p>
        </w:tc>
        <w:tc>
          <w:tcPr>
            <w:tcW w:w="120" w:type="dxa"/>
            <w:vAlign w:val="bottom"/>
            <w:shd w:val="clear" w:color="auto" w:fill="EBEBEC"/>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8040" w:type="dxa"/>
            <w:vAlign w:val="bottom"/>
            <w:shd w:val="clear" w:color="auto" w:fill="EBEBEC"/>
          </w:tcPr>
          <w:p>
            <w:pPr>
              <w:spacing w:after="0" w:line="202" w:lineRule="exact"/>
              <w:rPr>
                <w:sz w:val="20"/>
                <w:szCs w:val="20"/>
                <w:color w:val="auto"/>
              </w:rPr>
            </w:pPr>
            <w:r>
              <w:rPr>
                <w:rFonts w:ascii="Arial" w:cs="Arial" w:eastAsia="Arial" w:hAnsi="Arial"/>
                <w:sz w:val="18"/>
                <w:szCs w:val="18"/>
                <w:color w:val="auto"/>
              </w:rPr>
              <w:t>Exploration expenditures</w:t>
            </w:r>
          </w:p>
        </w:tc>
        <w:tc>
          <w:tcPr>
            <w:tcW w:w="240" w:type="dxa"/>
            <w:vAlign w:val="bottom"/>
            <w:shd w:val="clear" w:color="auto" w:fill="EBEBEC"/>
          </w:tcPr>
          <w:p>
            <w:pPr>
              <w:spacing w:after="0"/>
              <w:rPr>
                <w:sz w:val="17"/>
                <w:szCs w:val="17"/>
                <w:color w:val="auto"/>
              </w:rPr>
            </w:pPr>
          </w:p>
        </w:tc>
        <w:tc>
          <w:tcPr>
            <w:tcW w:w="120" w:type="dxa"/>
            <w:vAlign w:val="bottom"/>
            <w:shd w:val="clear" w:color="auto" w:fill="EBEBEC"/>
          </w:tcPr>
          <w:p>
            <w:pPr>
              <w:spacing w:after="0"/>
              <w:rPr>
                <w:sz w:val="17"/>
                <w:szCs w:val="17"/>
                <w:color w:val="auto"/>
              </w:rPr>
            </w:pPr>
          </w:p>
        </w:tc>
        <w:tc>
          <w:tcPr>
            <w:tcW w:w="960" w:type="dxa"/>
            <w:vAlign w:val="bottom"/>
            <w:shd w:val="clear" w:color="auto" w:fill="EBEBEC"/>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EBEBEC"/>
          </w:tcPr>
          <w:p>
            <w:pPr>
              <w:spacing w:after="0"/>
              <w:rPr>
                <w:sz w:val="17"/>
                <w:szCs w:val="17"/>
                <w:color w:val="auto"/>
              </w:rPr>
            </w:pPr>
          </w:p>
        </w:tc>
        <w:tc>
          <w:tcPr>
            <w:tcW w:w="220" w:type="dxa"/>
            <w:vAlign w:val="bottom"/>
            <w:shd w:val="clear" w:color="auto" w:fill="EBEBEC"/>
          </w:tcPr>
          <w:p>
            <w:pPr>
              <w:spacing w:after="0"/>
              <w:rPr>
                <w:sz w:val="17"/>
                <w:szCs w:val="17"/>
                <w:color w:val="auto"/>
              </w:rPr>
            </w:pPr>
          </w:p>
        </w:tc>
        <w:tc>
          <w:tcPr>
            <w:tcW w:w="140" w:type="dxa"/>
            <w:vAlign w:val="bottom"/>
            <w:shd w:val="clear" w:color="auto" w:fill="EBEBEC"/>
          </w:tcPr>
          <w:p>
            <w:pPr>
              <w:spacing w:after="0"/>
              <w:rPr>
                <w:sz w:val="17"/>
                <w:szCs w:val="17"/>
                <w:color w:val="auto"/>
              </w:rPr>
            </w:pPr>
          </w:p>
        </w:tc>
        <w:tc>
          <w:tcPr>
            <w:tcW w:w="940" w:type="dxa"/>
            <w:vAlign w:val="bottom"/>
            <w:shd w:val="clear" w:color="auto" w:fill="EBEBEC"/>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EBEBEC"/>
          </w:tcPr>
          <w:p>
            <w:pPr>
              <w:spacing w:after="0"/>
              <w:rPr>
                <w:sz w:val="17"/>
                <w:szCs w:val="17"/>
                <w:color w:val="auto"/>
              </w:rPr>
            </w:pPr>
          </w:p>
        </w:tc>
        <w:tc>
          <w:tcPr>
            <w:tcW w:w="240" w:type="dxa"/>
            <w:vAlign w:val="bottom"/>
          </w:tcPr>
          <w:p>
            <w:pPr>
              <w:spacing w:after="0"/>
              <w:rPr>
                <w:sz w:val="17"/>
                <w:szCs w:val="17"/>
                <w:color w:val="auto"/>
              </w:rPr>
            </w:pPr>
          </w:p>
        </w:tc>
      </w:tr>
      <w:tr>
        <w:trPr>
          <w:trHeight w:val="221"/>
        </w:trPr>
        <w:tc>
          <w:tcPr>
            <w:tcW w:w="8040" w:type="dxa"/>
            <w:vAlign w:val="bottom"/>
            <w:tcBorders>
              <w:bottom w:val="single" w:sz="8" w:color="EBEBEC"/>
            </w:tcBorders>
            <w:shd w:val="clear" w:color="auto" w:fill="EBEBEC"/>
          </w:tcPr>
          <w:p>
            <w:pPr>
              <w:spacing w:after="0"/>
              <w:rPr>
                <w:sz w:val="20"/>
                <w:szCs w:val="20"/>
                <w:color w:val="auto"/>
              </w:rPr>
            </w:pPr>
            <w:r>
              <w:rPr>
                <w:rFonts w:ascii="Arial" w:cs="Arial" w:eastAsia="Arial" w:hAnsi="Arial"/>
                <w:sz w:val="18"/>
                <w:szCs w:val="18"/>
                <w:color w:val="auto"/>
              </w:rPr>
              <w:t>Adjustments to changes in operating assets and liabilities</w:t>
            </w:r>
          </w:p>
        </w:tc>
        <w:tc>
          <w:tcPr>
            <w:tcW w:w="240" w:type="dxa"/>
            <w:vAlign w:val="bottom"/>
            <w:tcBorders>
              <w:bottom w:val="single" w:sz="8" w:color="EBEBEC"/>
            </w:tcBorders>
            <w:shd w:val="clear" w:color="auto" w:fill="EBEBEC"/>
          </w:tcPr>
          <w:p>
            <w:pPr>
              <w:spacing w:after="0"/>
              <w:rPr>
                <w:sz w:val="19"/>
                <w:szCs w:val="19"/>
                <w:color w:val="auto"/>
              </w:rPr>
            </w:pPr>
          </w:p>
        </w:tc>
        <w:tc>
          <w:tcPr>
            <w:tcW w:w="120" w:type="dxa"/>
            <w:vAlign w:val="bottom"/>
            <w:tcBorders>
              <w:bottom w:val="single" w:sz="8" w:color="auto"/>
            </w:tcBorders>
            <w:shd w:val="clear" w:color="auto" w:fill="EBEBEC"/>
          </w:tcPr>
          <w:p>
            <w:pPr>
              <w:spacing w:after="0"/>
              <w:rPr>
                <w:sz w:val="19"/>
                <w:szCs w:val="19"/>
                <w:color w:val="auto"/>
              </w:rPr>
            </w:pPr>
          </w:p>
        </w:tc>
        <w:tc>
          <w:tcPr>
            <w:tcW w:w="960" w:type="dxa"/>
            <w:vAlign w:val="bottom"/>
            <w:tcBorders>
              <w:bottom w:val="single" w:sz="8" w:color="auto"/>
            </w:tcBorders>
            <w:shd w:val="clear" w:color="auto" w:fill="EBEBEC"/>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auto"/>
            </w:tcBorders>
            <w:shd w:val="clear" w:color="auto" w:fill="EBEBEC"/>
          </w:tcPr>
          <w:p>
            <w:pPr>
              <w:spacing w:after="0"/>
              <w:rPr>
                <w:sz w:val="19"/>
                <w:szCs w:val="19"/>
                <w:color w:val="auto"/>
              </w:rPr>
            </w:pPr>
          </w:p>
        </w:tc>
        <w:tc>
          <w:tcPr>
            <w:tcW w:w="220" w:type="dxa"/>
            <w:vAlign w:val="bottom"/>
            <w:tcBorders>
              <w:bottom w:val="single" w:sz="8" w:color="EBEBEC"/>
            </w:tcBorders>
            <w:shd w:val="clear" w:color="auto" w:fill="EBEBEC"/>
          </w:tcPr>
          <w:p>
            <w:pPr>
              <w:spacing w:after="0"/>
              <w:rPr>
                <w:sz w:val="19"/>
                <w:szCs w:val="19"/>
                <w:color w:val="auto"/>
              </w:rPr>
            </w:pPr>
          </w:p>
        </w:tc>
        <w:tc>
          <w:tcPr>
            <w:tcW w:w="140" w:type="dxa"/>
            <w:vAlign w:val="bottom"/>
            <w:tcBorders>
              <w:bottom w:val="single" w:sz="8" w:color="auto"/>
            </w:tcBorders>
            <w:shd w:val="clear" w:color="auto" w:fill="EBEBEC"/>
          </w:tcPr>
          <w:p>
            <w:pPr>
              <w:spacing w:after="0"/>
              <w:rPr>
                <w:sz w:val="19"/>
                <w:szCs w:val="19"/>
                <w:color w:val="auto"/>
              </w:rPr>
            </w:pPr>
          </w:p>
        </w:tc>
        <w:tc>
          <w:tcPr>
            <w:tcW w:w="940" w:type="dxa"/>
            <w:vAlign w:val="bottom"/>
            <w:tcBorders>
              <w:bottom w:val="single" w:sz="8" w:color="auto"/>
            </w:tcBorders>
            <w:shd w:val="clear" w:color="auto" w:fill="EBEBEC"/>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auto"/>
            </w:tcBorders>
            <w:shd w:val="clear" w:color="auto" w:fill="EBEBEC"/>
          </w:tcPr>
          <w:p>
            <w:pPr>
              <w:spacing w:after="0"/>
              <w:rPr>
                <w:sz w:val="19"/>
                <w:szCs w:val="19"/>
                <w:color w:val="auto"/>
              </w:rPr>
            </w:pPr>
          </w:p>
        </w:tc>
        <w:tc>
          <w:tcPr>
            <w:tcW w:w="240" w:type="dxa"/>
            <w:vAlign w:val="bottom"/>
          </w:tcPr>
          <w:p>
            <w:pPr>
              <w:spacing w:after="0"/>
              <w:rPr>
                <w:sz w:val="19"/>
                <w:szCs w:val="19"/>
                <w:color w:val="auto"/>
              </w:rPr>
            </w:pPr>
          </w:p>
        </w:tc>
      </w:tr>
      <w:tr>
        <w:trPr>
          <w:trHeight w:val="177"/>
        </w:trPr>
        <w:tc>
          <w:tcPr>
            <w:tcW w:w="8040" w:type="dxa"/>
            <w:vAlign w:val="bottom"/>
            <w:shd w:val="clear" w:color="auto" w:fill="EBEBEC"/>
          </w:tcPr>
          <w:p>
            <w:pPr>
              <w:spacing w:after="0" w:line="177" w:lineRule="exact"/>
              <w:rPr>
                <w:sz w:val="20"/>
                <w:szCs w:val="20"/>
                <w:color w:val="auto"/>
              </w:rPr>
            </w:pPr>
            <w:r>
              <w:rPr>
                <w:rFonts w:ascii="Arial" w:cs="Arial" w:eastAsia="Arial" w:hAnsi="Arial"/>
                <w:sz w:val="18"/>
                <w:szCs w:val="18"/>
                <w:color w:val="auto"/>
              </w:rPr>
              <w:t>Adjusted EBITDAX</w:t>
            </w:r>
          </w:p>
        </w:tc>
        <w:tc>
          <w:tcPr>
            <w:tcW w:w="240" w:type="dxa"/>
            <w:vAlign w:val="bottom"/>
            <w:shd w:val="clear" w:color="auto" w:fill="EBEBEC"/>
          </w:tcPr>
          <w:p>
            <w:pPr>
              <w:spacing w:after="0"/>
              <w:rPr>
                <w:sz w:val="15"/>
                <w:szCs w:val="15"/>
                <w:color w:val="auto"/>
              </w:rPr>
            </w:pPr>
          </w:p>
        </w:tc>
        <w:tc>
          <w:tcPr>
            <w:tcW w:w="120" w:type="dxa"/>
            <w:vAlign w:val="bottom"/>
            <w:shd w:val="clear" w:color="auto" w:fill="EBEBEC"/>
          </w:tcPr>
          <w:p>
            <w:pPr>
              <w:spacing w:after="0"/>
              <w:rPr>
                <w:sz w:val="15"/>
                <w:szCs w:val="15"/>
                <w:color w:val="auto"/>
              </w:rPr>
            </w:pPr>
          </w:p>
        </w:tc>
        <w:tc>
          <w:tcPr>
            <w:tcW w:w="960" w:type="dxa"/>
            <w:vAlign w:val="bottom"/>
            <w:shd w:val="clear" w:color="auto" w:fill="EBEBEC"/>
          </w:tcPr>
          <w:p>
            <w:pPr>
              <w:jc w:val="right"/>
              <w:spacing w:after="0" w:line="177" w:lineRule="exact"/>
              <w:rPr>
                <w:sz w:val="20"/>
                <w:szCs w:val="20"/>
                <w:color w:val="auto"/>
              </w:rPr>
            </w:pPr>
            <w:r>
              <w:rPr>
                <w:rFonts w:ascii="Arial" w:cs="Arial" w:eastAsia="Arial" w:hAnsi="Arial"/>
                <w:sz w:val="18"/>
                <w:szCs w:val="18"/>
                <w:color w:val="auto"/>
              </w:rPr>
              <w:t>288</w:t>
            </w:r>
          </w:p>
        </w:tc>
        <w:tc>
          <w:tcPr>
            <w:tcW w:w="100" w:type="dxa"/>
            <w:vAlign w:val="bottom"/>
            <w:shd w:val="clear" w:color="auto" w:fill="EBEBEC"/>
          </w:tcPr>
          <w:p>
            <w:pPr>
              <w:spacing w:after="0"/>
              <w:rPr>
                <w:sz w:val="15"/>
                <w:szCs w:val="15"/>
                <w:color w:val="auto"/>
              </w:rPr>
            </w:pPr>
          </w:p>
        </w:tc>
        <w:tc>
          <w:tcPr>
            <w:tcW w:w="220" w:type="dxa"/>
            <w:vAlign w:val="bottom"/>
            <w:shd w:val="clear" w:color="auto" w:fill="EBEBEC"/>
          </w:tcPr>
          <w:p>
            <w:pPr>
              <w:spacing w:after="0"/>
              <w:rPr>
                <w:sz w:val="15"/>
                <w:szCs w:val="15"/>
                <w:color w:val="auto"/>
              </w:rPr>
            </w:pPr>
          </w:p>
        </w:tc>
        <w:tc>
          <w:tcPr>
            <w:tcW w:w="140" w:type="dxa"/>
            <w:vAlign w:val="bottom"/>
            <w:shd w:val="clear" w:color="auto" w:fill="EBEBEC"/>
          </w:tcPr>
          <w:p>
            <w:pPr>
              <w:spacing w:after="0"/>
              <w:rPr>
                <w:sz w:val="15"/>
                <w:szCs w:val="15"/>
                <w:color w:val="auto"/>
              </w:rPr>
            </w:pPr>
          </w:p>
        </w:tc>
        <w:tc>
          <w:tcPr>
            <w:tcW w:w="940" w:type="dxa"/>
            <w:vAlign w:val="bottom"/>
            <w:shd w:val="clear" w:color="auto" w:fill="EBEBEC"/>
          </w:tcPr>
          <w:p>
            <w:pPr>
              <w:jc w:val="right"/>
              <w:spacing w:after="0" w:line="177" w:lineRule="exact"/>
              <w:rPr>
                <w:sz w:val="20"/>
                <w:szCs w:val="20"/>
                <w:color w:val="auto"/>
              </w:rPr>
            </w:pPr>
            <w:r>
              <w:rPr>
                <w:rFonts w:ascii="Arial" w:cs="Arial" w:eastAsia="Arial" w:hAnsi="Arial"/>
                <w:sz w:val="18"/>
                <w:szCs w:val="18"/>
                <w:color w:val="auto"/>
              </w:rPr>
              <w:t>718</w:t>
            </w:r>
          </w:p>
        </w:tc>
        <w:tc>
          <w:tcPr>
            <w:tcW w:w="120" w:type="dxa"/>
            <w:vAlign w:val="bottom"/>
            <w:shd w:val="clear" w:color="auto" w:fill="EBEBEC"/>
          </w:tcPr>
          <w:p>
            <w:pPr>
              <w:spacing w:after="0"/>
              <w:rPr>
                <w:sz w:val="15"/>
                <w:szCs w:val="15"/>
                <w:color w:val="auto"/>
              </w:rPr>
            </w:pPr>
          </w:p>
        </w:tc>
        <w:tc>
          <w:tcPr>
            <w:tcW w:w="240" w:type="dxa"/>
            <w:vAlign w:val="bottom"/>
          </w:tcPr>
          <w:p>
            <w:pPr>
              <w:spacing w:after="0"/>
              <w:rPr>
                <w:sz w:val="15"/>
                <w:szCs w:val="15"/>
                <w:color w:val="auto"/>
              </w:rPr>
            </w:pPr>
          </w:p>
        </w:tc>
      </w:tr>
      <w:tr>
        <w:trPr>
          <w:trHeight w:val="221"/>
        </w:trPr>
        <w:tc>
          <w:tcPr>
            <w:tcW w:w="8040" w:type="dxa"/>
            <w:vAlign w:val="bottom"/>
            <w:tcBorders>
              <w:bottom w:val="single" w:sz="8" w:color="EBEBEC"/>
            </w:tcBorders>
            <w:shd w:val="clear" w:color="auto" w:fill="EBEBEC"/>
          </w:tcPr>
          <w:p>
            <w:pPr>
              <w:ind w:left="260"/>
              <w:spacing w:after="0"/>
              <w:rPr>
                <w:sz w:val="20"/>
                <w:szCs w:val="20"/>
                <w:color w:val="auto"/>
              </w:rPr>
            </w:pPr>
            <w:r>
              <w:rPr>
                <w:rFonts w:ascii="Arial" w:cs="Arial" w:eastAsia="Arial" w:hAnsi="Arial"/>
                <w:sz w:val="18"/>
                <w:szCs w:val="18"/>
                <w:color w:val="auto"/>
              </w:rPr>
              <w:t>Incentive Compensation Adjustments (baseline)</w:t>
            </w:r>
          </w:p>
        </w:tc>
        <w:tc>
          <w:tcPr>
            <w:tcW w:w="240" w:type="dxa"/>
            <w:vAlign w:val="bottom"/>
            <w:tcBorders>
              <w:bottom w:val="single" w:sz="8" w:color="EBEBEC"/>
            </w:tcBorders>
            <w:shd w:val="clear" w:color="auto" w:fill="EBEBEC"/>
          </w:tcPr>
          <w:p>
            <w:pPr>
              <w:spacing w:after="0"/>
              <w:rPr>
                <w:sz w:val="19"/>
                <w:szCs w:val="19"/>
                <w:color w:val="auto"/>
              </w:rPr>
            </w:pPr>
          </w:p>
        </w:tc>
        <w:tc>
          <w:tcPr>
            <w:tcW w:w="120" w:type="dxa"/>
            <w:vAlign w:val="bottom"/>
            <w:tcBorders>
              <w:bottom w:val="single" w:sz="8" w:color="auto"/>
            </w:tcBorders>
            <w:shd w:val="clear" w:color="auto" w:fill="EBEBEC"/>
          </w:tcPr>
          <w:p>
            <w:pPr>
              <w:spacing w:after="0"/>
              <w:rPr>
                <w:sz w:val="19"/>
                <w:szCs w:val="19"/>
                <w:color w:val="auto"/>
              </w:rPr>
            </w:pPr>
          </w:p>
        </w:tc>
        <w:tc>
          <w:tcPr>
            <w:tcW w:w="960" w:type="dxa"/>
            <w:vAlign w:val="bottom"/>
            <w:tcBorders>
              <w:bottom w:val="single" w:sz="8" w:color="auto"/>
            </w:tcBorders>
            <w:shd w:val="clear" w:color="auto" w:fill="EBEBE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shd w:val="clear" w:color="auto" w:fill="EBEBEC"/>
          </w:tcPr>
          <w:p>
            <w:pPr>
              <w:spacing w:after="0"/>
              <w:rPr>
                <w:sz w:val="19"/>
                <w:szCs w:val="19"/>
                <w:color w:val="auto"/>
              </w:rPr>
            </w:pPr>
          </w:p>
        </w:tc>
        <w:tc>
          <w:tcPr>
            <w:tcW w:w="220" w:type="dxa"/>
            <w:vAlign w:val="bottom"/>
            <w:tcBorders>
              <w:bottom w:val="single" w:sz="8" w:color="EBEBEC"/>
            </w:tcBorders>
            <w:shd w:val="clear" w:color="auto" w:fill="EBEBEC"/>
          </w:tcPr>
          <w:p>
            <w:pPr>
              <w:spacing w:after="0"/>
              <w:rPr>
                <w:sz w:val="19"/>
                <w:szCs w:val="19"/>
                <w:color w:val="auto"/>
              </w:rPr>
            </w:pPr>
          </w:p>
        </w:tc>
        <w:tc>
          <w:tcPr>
            <w:tcW w:w="140" w:type="dxa"/>
            <w:vAlign w:val="bottom"/>
            <w:tcBorders>
              <w:bottom w:val="single" w:sz="8" w:color="auto"/>
            </w:tcBorders>
            <w:shd w:val="clear" w:color="auto" w:fill="EBEBEC"/>
          </w:tcPr>
          <w:p>
            <w:pPr>
              <w:spacing w:after="0"/>
              <w:rPr>
                <w:sz w:val="19"/>
                <w:szCs w:val="19"/>
                <w:color w:val="auto"/>
              </w:rPr>
            </w:pPr>
          </w:p>
        </w:tc>
        <w:tc>
          <w:tcPr>
            <w:tcW w:w="940" w:type="dxa"/>
            <w:vAlign w:val="bottom"/>
            <w:tcBorders>
              <w:bottom w:val="single" w:sz="8" w:color="auto"/>
            </w:tcBorders>
            <w:shd w:val="clear" w:color="auto" w:fill="EBEBE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auto"/>
            </w:tcBorders>
            <w:shd w:val="clear" w:color="auto" w:fill="EBEBEC"/>
          </w:tcPr>
          <w:p>
            <w:pPr>
              <w:spacing w:after="0"/>
              <w:rPr>
                <w:sz w:val="19"/>
                <w:szCs w:val="19"/>
                <w:color w:val="auto"/>
              </w:rPr>
            </w:pPr>
          </w:p>
        </w:tc>
        <w:tc>
          <w:tcPr>
            <w:tcW w:w="240" w:type="dxa"/>
            <w:vAlign w:val="bottom"/>
          </w:tcPr>
          <w:p>
            <w:pPr>
              <w:spacing w:after="0"/>
              <w:rPr>
                <w:sz w:val="19"/>
                <w:szCs w:val="19"/>
                <w:color w:val="auto"/>
              </w:rPr>
            </w:pPr>
          </w:p>
        </w:tc>
      </w:tr>
      <w:tr>
        <w:trPr>
          <w:trHeight w:val="236"/>
        </w:trPr>
        <w:tc>
          <w:tcPr>
            <w:tcW w:w="8040" w:type="dxa"/>
            <w:vAlign w:val="bottom"/>
            <w:tcBorders>
              <w:bottom w:val="single" w:sz="8" w:color="EBEBEC"/>
            </w:tcBorders>
            <w:shd w:val="clear" w:color="auto" w:fill="EBEBEC"/>
          </w:tcPr>
          <w:p>
            <w:pPr>
              <w:spacing w:after="0" w:line="182" w:lineRule="exact"/>
              <w:rPr>
                <w:sz w:val="20"/>
                <w:szCs w:val="20"/>
                <w:color w:val="auto"/>
              </w:rPr>
            </w:pPr>
            <w:r>
              <w:rPr>
                <w:rFonts w:ascii="Arial" w:cs="Arial" w:eastAsia="Arial" w:hAnsi="Arial"/>
                <w:sz w:val="18"/>
                <w:szCs w:val="18"/>
                <w:color w:val="auto"/>
              </w:rPr>
              <w:t>Adjusted EBITDAX, AIP</w:t>
            </w:r>
          </w:p>
        </w:tc>
        <w:tc>
          <w:tcPr>
            <w:tcW w:w="240" w:type="dxa"/>
            <w:vAlign w:val="bottom"/>
            <w:tcBorders>
              <w:bottom w:val="single" w:sz="8" w:color="EBEBEC"/>
            </w:tcBorders>
            <w:shd w:val="clear" w:color="auto" w:fill="EBEBEC"/>
          </w:tcPr>
          <w:p>
            <w:pPr>
              <w:spacing w:after="0"/>
              <w:rPr>
                <w:sz w:val="20"/>
                <w:szCs w:val="20"/>
                <w:color w:val="auto"/>
              </w:rPr>
            </w:pPr>
          </w:p>
        </w:tc>
        <w:tc>
          <w:tcPr>
            <w:tcW w:w="120" w:type="dxa"/>
            <w:vAlign w:val="bottom"/>
            <w:tcBorders>
              <w:bottom w:val="single" w:sz="8" w:color="auto"/>
            </w:tcBorders>
            <w:shd w:val="clear" w:color="auto" w:fill="EBEBEC"/>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EBEBEC"/>
          </w:tcPr>
          <w:p>
            <w:pPr>
              <w:jc w:val="right"/>
              <w:spacing w:after="0" w:line="182" w:lineRule="exact"/>
              <w:rPr>
                <w:sz w:val="20"/>
                <w:szCs w:val="20"/>
                <w:color w:val="auto"/>
              </w:rPr>
            </w:pPr>
            <w:r>
              <w:rPr>
                <w:rFonts w:ascii="Arial" w:cs="Arial" w:eastAsia="Arial" w:hAnsi="Arial"/>
                <w:sz w:val="18"/>
                <w:szCs w:val="18"/>
                <w:color w:val="auto"/>
              </w:rPr>
              <w:t>292</w:t>
            </w:r>
          </w:p>
        </w:tc>
        <w:tc>
          <w:tcPr>
            <w:tcW w:w="100" w:type="dxa"/>
            <w:vAlign w:val="bottom"/>
            <w:tcBorders>
              <w:bottom w:val="single" w:sz="8" w:color="auto"/>
            </w:tcBorders>
            <w:shd w:val="clear" w:color="auto" w:fill="EBEBEC"/>
          </w:tcPr>
          <w:p>
            <w:pPr>
              <w:spacing w:after="0"/>
              <w:rPr>
                <w:sz w:val="20"/>
                <w:szCs w:val="20"/>
                <w:color w:val="auto"/>
              </w:rPr>
            </w:pPr>
          </w:p>
        </w:tc>
        <w:tc>
          <w:tcPr>
            <w:tcW w:w="220" w:type="dxa"/>
            <w:vAlign w:val="bottom"/>
            <w:tcBorders>
              <w:bottom w:val="single" w:sz="8" w:color="EBEBEC"/>
            </w:tcBorders>
            <w:shd w:val="clear" w:color="auto" w:fill="EBEBEC"/>
          </w:tcPr>
          <w:p>
            <w:pPr>
              <w:spacing w:after="0"/>
              <w:rPr>
                <w:sz w:val="20"/>
                <w:szCs w:val="20"/>
                <w:color w:val="auto"/>
              </w:rPr>
            </w:pPr>
          </w:p>
        </w:tc>
        <w:tc>
          <w:tcPr>
            <w:tcW w:w="140" w:type="dxa"/>
            <w:vAlign w:val="bottom"/>
            <w:tcBorders>
              <w:bottom w:val="single" w:sz="8" w:color="auto"/>
            </w:tcBorders>
            <w:shd w:val="clear" w:color="auto" w:fill="EBEBEC"/>
          </w:tcPr>
          <w:p>
            <w:pPr>
              <w:jc w:val="right"/>
              <w:spacing w:after="0" w:line="182"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EBEBEC"/>
          </w:tcPr>
          <w:p>
            <w:pPr>
              <w:jc w:val="right"/>
              <w:spacing w:after="0" w:line="182" w:lineRule="exact"/>
              <w:rPr>
                <w:sz w:val="20"/>
                <w:szCs w:val="20"/>
                <w:color w:val="auto"/>
              </w:rPr>
            </w:pPr>
            <w:r>
              <w:rPr>
                <w:rFonts w:ascii="Arial" w:cs="Arial" w:eastAsia="Arial" w:hAnsi="Arial"/>
                <w:sz w:val="18"/>
                <w:szCs w:val="18"/>
                <w:color w:val="auto"/>
              </w:rPr>
              <w:t>721</w:t>
            </w:r>
          </w:p>
        </w:tc>
        <w:tc>
          <w:tcPr>
            <w:tcW w:w="120" w:type="dxa"/>
            <w:vAlign w:val="bottom"/>
            <w:tcBorders>
              <w:bottom w:val="single" w:sz="8" w:color="auto"/>
            </w:tcBorders>
            <w:shd w:val="clear" w:color="auto" w:fill="EBEBEC"/>
          </w:tcPr>
          <w:p>
            <w:pPr>
              <w:spacing w:after="0"/>
              <w:rPr>
                <w:sz w:val="20"/>
                <w:szCs w:val="20"/>
                <w:color w:val="auto"/>
              </w:rPr>
            </w:pPr>
          </w:p>
        </w:tc>
        <w:tc>
          <w:tcPr>
            <w:tcW w:w="240" w:type="dxa"/>
            <w:vAlign w:val="bottom"/>
          </w:tcPr>
          <w:p>
            <w:pPr>
              <w:spacing w:after="0"/>
              <w:rPr>
                <w:sz w:val="20"/>
                <w:szCs w:val="20"/>
                <w:color w:val="auto"/>
              </w:rPr>
            </w:pPr>
          </w:p>
        </w:tc>
      </w:tr>
      <w:tr>
        <w:trPr>
          <w:trHeight w:val="385"/>
        </w:trPr>
        <w:tc>
          <w:tcPr>
            <w:tcW w:w="8040" w:type="dxa"/>
            <w:vAlign w:val="bottom"/>
          </w:tcPr>
          <w:p>
            <w:pPr>
              <w:spacing w:after="0"/>
              <w:rPr>
                <w:sz w:val="20"/>
                <w:szCs w:val="20"/>
                <w:color w:val="auto"/>
              </w:rPr>
            </w:pPr>
            <w:r>
              <w:rPr>
                <w:rFonts w:ascii="Arial" w:cs="Arial" w:eastAsia="Arial" w:hAnsi="Arial"/>
                <w:sz w:val="14"/>
                <w:szCs w:val="14"/>
                <w:i w:val="1"/>
                <w:iCs w:val="1"/>
                <w:color w:val="0075C9"/>
              </w:rPr>
              <w:t>(1) ($ in millions)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41"/>
              <w:spacing w:after="0"/>
              <w:rPr>
                <w:sz w:val="20"/>
                <w:szCs w:val="20"/>
                <w:color w:val="auto"/>
              </w:rPr>
            </w:pPr>
            <w:r>
              <w:rPr>
                <w:rFonts w:ascii="Arial" w:cs="Arial" w:eastAsia="Arial" w:hAnsi="Arial"/>
                <w:sz w:val="18"/>
                <w:szCs w:val="18"/>
                <w:color w:val="0075C9"/>
              </w:rPr>
              <w:t>1H 2024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8"/>
                <w:szCs w:val="18"/>
                <w:color w:val="0075C9"/>
              </w:rPr>
              <w:t>2H 2024</w:t>
            </w:r>
          </w:p>
        </w:tc>
      </w:tr>
      <w:tr>
        <w:trPr>
          <w:trHeight w:val="177"/>
        </w:trPr>
        <w:tc>
          <w:tcPr>
            <w:tcW w:w="8040" w:type="dxa"/>
            <w:vAlign w:val="bottom"/>
            <w:tcBorders>
              <w:top w:val="single" w:sz="8" w:color="0075C9"/>
            </w:tcBorders>
            <w:shd w:val="clear" w:color="auto" w:fill="EBEBEC"/>
          </w:tcPr>
          <w:p>
            <w:pPr>
              <w:spacing w:after="0" w:line="177" w:lineRule="exact"/>
              <w:rPr>
                <w:sz w:val="20"/>
                <w:szCs w:val="20"/>
                <w:color w:val="auto"/>
              </w:rPr>
            </w:pPr>
            <w:r>
              <w:rPr>
                <w:rFonts w:ascii="Arial" w:cs="Arial" w:eastAsia="Arial" w:hAnsi="Arial"/>
                <w:sz w:val="18"/>
                <w:szCs w:val="18"/>
                <w:i w:val="1"/>
                <w:iCs w:val="1"/>
                <w:color w:val="auto"/>
              </w:rPr>
              <w:t>Unusual, infrequent and other items</w:t>
            </w:r>
          </w:p>
        </w:tc>
        <w:tc>
          <w:tcPr>
            <w:tcW w:w="240" w:type="dxa"/>
            <w:vAlign w:val="bottom"/>
            <w:tcBorders>
              <w:top w:val="single" w:sz="8" w:color="0075C9"/>
            </w:tcBorders>
            <w:shd w:val="clear" w:color="auto" w:fill="EBEBEC"/>
          </w:tcPr>
          <w:p>
            <w:pPr>
              <w:spacing w:after="0"/>
              <w:rPr>
                <w:sz w:val="15"/>
                <w:szCs w:val="15"/>
                <w:color w:val="auto"/>
              </w:rPr>
            </w:pPr>
          </w:p>
        </w:tc>
        <w:tc>
          <w:tcPr>
            <w:tcW w:w="120" w:type="dxa"/>
            <w:vAlign w:val="bottom"/>
            <w:tcBorders>
              <w:top w:val="single" w:sz="8" w:color="0075C9"/>
            </w:tcBorders>
            <w:shd w:val="clear" w:color="auto" w:fill="EBEBEC"/>
          </w:tcPr>
          <w:p>
            <w:pPr>
              <w:spacing w:after="0"/>
              <w:rPr>
                <w:sz w:val="15"/>
                <w:szCs w:val="15"/>
                <w:color w:val="auto"/>
              </w:rPr>
            </w:pPr>
          </w:p>
        </w:tc>
        <w:tc>
          <w:tcPr>
            <w:tcW w:w="960" w:type="dxa"/>
            <w:vAlign w:val="bottom"/>
            <w:tcBorders>
              <w:top w:val="single" w:sz="8" w:color="0075C9"/>
            </w:tcBorders>
            <w:shd w:val="clear" w:color="auto" w:fill="EBEBEC"/>
          </w:tcPr>
          <w:p>
            <w:pPr>
              <w:spacing w:after="0"/>
              <w:rPr>
                <w:sz w:val="15"/>
                <w:szCs w:val="15"/>
                <w:color w:val="auto"/>
              </w:rPr>
            </w:pPr>
          </w:p>
        </w:tc>
        <w:tc>
          <w:tcPr>
            <w:tcW w:w="100" w:type="dxa"/>
            <w:vAlign w:val="bottom"/>
            <w:tcBorders>
              <w:top w:val="single" w:sz="8" w:color="0075C9"/>
            </w:tcBorders>
            <w:shd w:val="clear" w:color="auto" w:fill="EBEBEC"/>
          </w:tcPr>
          <w:p>
            <w:pPr>
              <w:spacing w:after="0"/>
              <w:rPr>
                <w:sz w:val="15"/>
                <w:szCs w:val="15"/>
                <w:color w:val="auto"/>
              </w:rPr>
            </w:pPr>
          </w:p>
        </w:tc>
        <w:tc>
          <w:tcPr>
            <w:tcW w:w="220" w:type="dxa"/>
            <w:vAlign w:val="bottom"/>
            <w:tcBorders>
              <w:top w:val="single" w:sz="8" w:color="0075C9"/>
            </w:tcBorders>
            <w:shd w:val="clear" w:color="auto" w:fill="EBEBEC"/>
          </w:tcPr>
          <w:p>
            <w:pPr>
              <w:spacing w:after="0"/>
              <w:rPr>
                <w:sz w:val="15"/>
                <w:szCs w:val="15"/>
                <w:color w:val="auto"/>
              </w:rPr>
            </w:pPr>
          </w:p>
        </w:tc>
        <w:tc>
          <w:tcPr>
            <w:tcW w:w="140" w:type="dxa"/>
            <w:vAlign w:val="bottom"/>
            <w:tcBorders>
              <w:top w:val="single" w:sz="8" w:color="0075C9"/>
            </w:tcBorders>
            <w:shd w:val="clear" w:color="auto" w:fill="EBEBEC"/>
          </w:tcPr>
          <w:p>
            <w:pPr>
              <w:spacing w:after="0"/>
              <w:rPr>
                <w:sz w:val="15"/>
                <w:szCs w:val="15"/>
                <w:color w:val="auto"/>
              </w:rPr>
            </w:pPr>
          </w:p>
        </w:tc>
        <w:tc>
          <w:tcPr>
            <w:tcW w:w="940" w:type="dxa"/>
            <w:vAlign w:val="bottom"/>
            <w:tcBorders>
              <w:top w:val="single" w:sz="8" w:color="0075C9"/>
            </w:tcBorders>
            <w:shd w:val="clear" w:color="auto" w:fill="EBEBEC"/>
          </w:tcPr>
          <w:p>
            <w:pPr>
              <w:spacing w:after="0"/>
              <w:rPr>
                <w:sz w:val="15"/>
                <w:szCs w:val="15"/>
                <w:color w:val="auto"/>
              </w:rPr>
            </w:pPr>
          </w:p>
        </w:tc>
        <w:tc>
          <w:tcPr>
            <w:tcW w:w="120" w:type="dxa"/>
            <w:vAlign w:val="bottom"/>
            <w:tcBorders>
              <w:top w:val="single" w:sz="8" w:color="0075C9"/>
            </w:tcBorders>
            <w:shd w:val="clear" w:color="auto" w:fill="EBEBEC"/>
          </w:tcPr>
          <w:p>
            <w:pPr>
              <w:spacing w:after="0"/>
              <w:rPr>
                <w:sz w:val="15"/>
                <w:szCs w:val="15"/>
                <w:color w:val="auto"/>
              </w:rPr>
            </w:pPr>
          </w:p>
        </w:tc>
        <w:tc>
          <w:tcPr>
            <w:tcW w:w="240" w:type="dxa"/>
            <w:vAlign w:val="bottom"/>
          </w:tcPr>
          <w:p>
            <w:pPr>
              <w:spacing w:after="0"/>
              <w:rPr>
                <w:sz w:val="15"/>
                <w:szCs w:val="15"/>
                <w:color w:val="auto"/>
              </w:rPr>
            </w:pPr>
          </w:p>
        </w:tc>
      </w:tr>
      <w:tr>
        <w:trPr>
          <w:trHeight w:val="203"/>
        </w:trPr>
        <w:tc>
          <w:tcPr>
            <w:tcW w:w="8040" w:type="dxa"/>
            <w:vAlign w:val="bottom"/>
            <w:shd w:val="clear" w:color="auto" w:fill="EBEBEC"/>
          </w:tcPr>
          <w:p>
            <w:pPr>
              <w:ind w:left="260"/>
              <w:spacing w:after="0" w:line="202" w:lineRule="exact"/>
              <w:rPr>
                <w:sz w:val="20"/>
                <w:szCs w:val="20"/>
                <w:color w:val="auto"/>
              </w:rPr>
            </w:pPr>
            <w:r>
              <w:rPr>
                <w:rFonts w:ascii="Arial" w:cs="Arial" w:eastAsia="Arial" w:hAnsi="Arial"/>
                <w:sz w:val="18"/>
                <w:szCs w:val="18"/>
                <w:color w:val="auto"/>
              </w:rPr>
              <w:t>Non-cash derivative loss (gain) from commodities</w:t>
            </w:r>
          </w:p>
        </w:tc>
        <w:tc>
          <w:tcPr>
            <w:tcW w:w="240" w:type="dxa"/>
            <w:vAlign w:val="bottom"/>
            <w:shd w:val="clear" w:color="auto" w:fill="EBEBEC"/>
          </w:tcPr>
          <w:p>
            <w:pPr>
              <w:spacing w:after="0"/>
              <w:rPr>
                <w:sz w:val="17"/>
                <w:szCs w:val="17"/>
                <w:color w:val="auto"/>
              </w:rPr>
            </w:pPr>
          </w:p>
        </w:tc>
        <w:tc>
          <w:tcPr>
            <w:tcW w:w="120" w:type="dxa"/>
            <w:vAlign w:val="bottom"/>
            <w:shd w:val="clear" w:color="auto" w:fill="EBEBEC"/>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EBEBEC"/>
          </w:tcPr>
          <w:p>
            <w:pPr>
              <w:jc w:val="right"/>
              <w:spacing w:after="0" w:line="202" w:lineRule="exact"/>
              <w:rPr>
                <w:sz w:val="20"/>
                <w:szCs w:val="20"/>
                <w:color w:val="auto"/>
              </w:rPr>
            </w:pPr>
            <w:r>
              <w:rPr>
                <w:rFonts w:ascii="Arial" w:cs="Arial" w:eastAsia="Arial" w:hAnsi="Arial"/>
                <w:sz w:val="18"/>
                <w:szCs w:val="18"/>
                <w:color w:val="auto"/>
              </w:rPr>
              <w:t>48</w:t>
            </w:r>
          </w:p>
        </w:tc>
        <w:tc>
          <w:tcPr>
            <w:tcW w:w="100" w:type="dxa"/>
            <w:vAlign w:val="bottom"/>
            <w:shd w:val="clear" w:color="auto" w:fill="EBEBEC"/>
          </w:tcPr>
          <w:p>
            <w:pPr>
              <w:spacing w:after="0"/>
              <w:rPr>
                <w:sz w:val="17"/>
                <w:szCs w:val="17"/>
                <w:color w:val="auto"/>
              </w:rPr>
            </w:pPr>
          </w:p>
        </w:tc>
        <w:tc>
          <w:tcPr>
            <w:tcW w:w="360" w:type="dxa"/>
            <w:vAlign w:val="bottom"/>
            <w:gridSpan w:val="2"/>
            <w:shd w:val="clear" w:color="auto" w:fill="EBEBEC"/>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BEBEC"/>
          </w:tcPr>
          <w:p>
            <w:pPr>
              <w:jc w:val="right"/>
              <w:spacing w:after="0" w:line="202" w:lineRule="exact"/>
              <w:rPr>
                <w:sz w:val="20"/>
                <w:szCs w:val="20"/>
                <w:color w:val="auto"/>
              </w:rPr>
            </w:pPr>
            <w:r>
              <w:rPr>
                <w:rFonts w:ascii="Arial" w:cs="Arial" w:eastAsia="Arial" w:hAnsi="Arial"/>
                <w:sz w:val="18"/>
                <w:szCs w:val="18"/>
                <w:color w:val="auto"/>
              </w:rPr>
              <w:t>(322 )</w:t>
            </w:r>
          </w:p>
        </w:tc>
        <w:tc>
          <w:tcPr>
            <w:tcW w:w="240" w:type="dxa"/>
            <w:vAlign w:val="bottom"/>
          </w:tcPr>
          <w:p>
            <w:pPr>
              <w:spacing w:after="0"/>
              <w:rPr>
                <w:sz w:val="17"/>
                <w:szCs w:val="17"/>
                <w:color w:val="auto"/>
              </w:rPr>
            </w:pPr>
          </w:p>
        </w:tc>
      </w:tr>
      <w:tr>
        <w:trPr>
          <w:trHeight w:val="203"/>
        </w:trPr>
        <w:tc>
          <w:tcPr>
            <w:tcW w:w="8040" w:type="dxa"/>
            <w:vAlign w:val="bottom"/>
            <w:shd w:val="clear" w:color="auto" w:fill="EBEBEC"/>
          </w:tcPr>
          <w:p>
            <w:pPr>
              <w:ind w:left="260"/>
              <w:spacing w:after="0" w:line="202" w:lineRule="exact"/>
              <w:rPr>
                <w:sz w:val="20"/>
                <w:szCs w:val="20"/>
                <w:color w:val="auto"/>
              </w:rPr>
            </w:pPr>
            <w:r>
              <w:rPr>
                <w:rFonts w:ascii="Arial" w:cs="Arial" w:eastAsia="Arial" w:hAnsi="Arial"/>
                <w:sz w:val="18"/>
                <w:szCs w:val="18"/>
                <w:color w:val="auto"/>
              </w:rPr>
              <w:t>Aera merger transaction / integration fees</w:t>
            </w:r>
          </w:p>
        </w:tc>
        <w:tc>
          <w:tcPr>
            <w:tcW w:w="240" w:type="dxa"/>
            <w:vAlign w:val="bottom"/>
            <w:shd w:val="clear" w:color="auto" w:fill="EBEBEC"/>
          </w:tcPr>
          <w:p>
            <w:pPr>
              <w:spacing w:after="0"/>
              <w:rPr>
                <w:sz w:val="17"/>
                <w:szCs w:val="17"/>
                <w:color w:val="auto"/>
              </w:rPr>
            </w:pPr>
          </w:p>
        </w:tc>
        <w:tc>
          <w:tcPr>
            <w:tcW w:w="120" w:type="dxa"/>
            <w:vAlign w:val="bottom"/>
            <w:shd w:val="clear" w:color="auto" w:fill="EBEBEC"/>
          </w:tcPr>
          <w:p>
            <w:pPr>
              <w:spacing w:after="0"/>
              <w:rPr>
                <w:sz w:val="17"/>
                <w:szCs w:val="17"/>
                <w:color w:val="auto"/>
              </w:rPr>
            </w:pPr>
          </w:p>
        </w:tc>
        <w:tc>
          <w:tcPr>
            <w:tcW w:w="960" w:type="dxa"/>
            <w:vAlign w:val="bottom"/>
            <w:shd w:val="clear" w:color="auto" w:fill="EBEBEC"/>
          </w:tcPr>
          <w:p>
            <w:pPr>
              <w:jc w:val="right"/>
              <w:spacing w:after="0" w:line="202" w:lineRule="exact"/>
              <w:rPr>
                <w:sz w:val="20"/>
                <w:szCs w:val="20"/>
                <w:color w:val="auto"/>
              </w:rPr>
            </w:pPr>
            <w:r>
              <w:rPr>
                <w:rFonts w:ascii="Arial" w:cs="Arial" w:eastAsia="Arial" w:hAnsi="Arial"/>
                <w:sz w:val="18"/>
                <w:szCs w:val="18"/>
                <w:color w:val="auto"/>
              </w:rPr>
              <w:t>26</w:t>
            </w:r>
          </w:p>
        </w:tc>
        <w:tc>
          <w:tcPr>
            <w:tcW w:w="100" w:type="dxa"/>
            <w:vAlign w:val="bottom"/>
            <w:shd w:val="clear" w:color="auto" w:fill="EBEBEC"/>
          </w:tcPr>
          <w:p>
            <w:pPr>
              <w:spacing w:after="0"/>
              <w:rPr>
                <w:sz w:val="17"/>
                <w:szCs w:val="17"/>
                <w:color w:val="auto"/>
              </w:rPr>
            </w:pPr>
          </w:p>
        </w:tc>
        <w:tc>
          <w:tcPr>
            <w:tcW w:w="220" w:type="dxa"/>
            <w:vAlign w:val="bottom"/>
            <w:shd w:val="clear" w:color="auto" w:fill="EBEBEC"/>
          </w:tcPr>
          <w:p>
            <w:pPr>
              <w:spacing w:after="0"/>
              <w:rPr>
                <w:sz w:val="17"/>
                <w:szCs w:val="17"/>
                <w:color w:val="auto"/>
              </w:rPr>
            </w:pPr>
          </w:p>
        </w:tc>
        <w:tc>
          <w:tcPr>
            <w:tcW w:w="140" w:type="dxa"/>
            <w:vAlign w:val="bottom"/>
            <w:shd w:val="clear" w:color="auto" w:fill="EBEBEC"/>
          </w:tcPr>
          <w:p>
            <w:pPr>
              <w:spacing w:after="0"/>
              <w:rPr>
                <w:sz w:val="17"/>
                <w:szCs w:val="17"/>
                <w:color w:val="auto"/>
              </w:rPr>
            </w:pPr>
          </w:p>
        </w:tc>
        <w:tc>
          <w:tcPr>
            <w:tcW w:w="940" w:type="dxa"/>
            <w:vAlign w:val="bottom"/>
            <w:shd w:val="clear" w:color="auto" w:fill="EBEBEC"/>
          </w:tcPr>
          <w:p>
            <w:pPr>
              <w:jc w:val="right"/>
              <w:spacing w:after="0" w:line="202" w:lineRule="exact"/>
              <w:rPr>
                <w:sz w:val="20"/>
                <w:szCs w:val="20"/>
                <w:color w:val="auto"/>
              </w:rPr>
            </w:pPr>
            <w:r>
              <w:rPr>
                <w:rFonts w:ascii="Arial" w:cs="Arial" w:eastAsia="Arial" w:hAnsi="Arial"/>
                <w:sz w:val="18"/>
                <w:szCs w:val="18"/>
                <w:color w:val="auto"/>
              </w:rPr>
              <w:t>31</w:t>
            </w:r>
          </w:p>
        </w:tc>
        <w:tc>
          <w:tcPr>
            <w:tcW w:w="120" w:type="dxa"/>
            <w:vAlign w:val="bottom"/>
            <w:shd w:val="clear" w:color="auto" w:fill="EBEBEC"/>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8040" w:type="dxa"/>
            <w:vAlign w:val="bottom"/>
            <w:shd w:val="clear" w:color="auto" w:fill="EBEBEC"/>
          </w:tcPr>
          <w:p>
            <w:pPr>
              <w:ind w:left="260"/>
              <w:spacing w:after="0" w:line="202" w:lineRule="exact"/>
              <w:rPr>
                <w:sz w:val="20"/>
                <w:szCs w:val="20"/>
                <w:color w:val="auto"/>
              </w:rPr>
            </w:pPr>
            <w:r>
              <w:rPr>
                <w:rFonts w:ascii="Arial" w:cs="Arial" w:eastAsia="Arial" w:hAnsi="Arial"/>
                <w:sz w:val="18"/>
                <w:szCs w:val="18"/>
                <w:color w:val="auto"/>
              </w:rPr>
              <w:t>Severance and termination costs</w:t>
            </w:r>
          </w:p>
        </w:tc>
        <w:tc>
          <w:tcPr>
            <w:tcW w:w="240" w:type="dxa"/>
            <w:vAlign w:val="bottom"/>
            <w:shd w:val="clear" w:color="auto" w:fill="EBEBEC"/>
          </w:tcPr>
          <w:p>
            <w:pPr>
              <w:spacing w:after="0"/>
              <w:rPr>
                <w:sz w:val="17"/>
                <w:szCs w:val="17"/>
                <w:color w:val="auto"/>
              </w:rPr>
            </w:pPr>
          </w:p>
        </w:tc>
        <w:tc>
          <w:tcPr>
            <w:tcW w:w="120" w:type="dxa"/>
            <w:vAlign w:val="bottom"/>
            <w:shd w:val="clear" w:color="auto" w:fill="EBEBEC"/>
          </w:tcPr>
          <w:p>
            <w:pPr>
              <w:spacing w:after="0"/>
              <w:rPr>
                <w:sz w:val="17"/>
                <w:szCs w:val="17"/>
                <w:color w:val="auto"/>
              </w:rPr>
            </w:pPr>
          </w:p>
        </w:tc>
        <w:tc>
          <w:tcPr>
            <w:tcW w:w="960" w:type="dxa"/>
            <w:vAlign w:val="bottom"/>
            <w:shd w:val="clear" w:color="auto" w:fill="EBEBEC"/>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EBEBEC"/>
          </w:tcPr>
          <w:p>
            <w:pPr>
              <w:spacing w:after="0"/>
              <w:rPr>
                <w:sz w:val="17"/>
                <w:szCs w:val="17"/>
                <w:color w:val="auto"/>
              </w:rPr>
            </w:pPr>
          </w:p>
        </w:tc>
        <w:tc>
          <w:tcPr>
            <w:tcW w:w="220" w:type="dxa"/>
            <w:vAlign w:val="bottom"/>
            <w:shd w:val="clear" w:color="auto" w:fill="EBEBEC"/>
          </w:tcPr>
          <w:p>
            <w:pPr>
              <w:spacing w:after="0"/>
              <w:rPr>
                <w:sz w:val="17"/>
                <w:szCs w:val="17"/>
                <w:color w:val="auto"/>
              </w:rPr>
            </w:pPr>
          </w:p>
        </w:tc>
        <w:tc>
          <w:tcPr>
            <w:tcW w:w="140" w:type="dxa"/>
            <w:vAlign w:val="bottom"/>
            <w:shd w:val="clear" w:color="auto" w:fill="EBEBEC"/>
          </w:tcPr>
          <w:p>
            <w:pPr>
              <w:spacing w:after="0"/>
              <w:rPr>
                <w:sz w:val="17"/>
                <w:szCs w:val="17"/>
                <w:color w:val="auto"/>
              </w:rPr>
            </w:pPr>
          </w:p>
        </w:tc>
        <w:tc>
          <w:tcPr>
            <w:tcW w:w="940" w:type="dxa"/>
            <w:vAlign w:val="bottom"/>
            <w:shd w:val="clear" w:color="auto" w:fill="EBEBEC"/>
          </w:tcPr>
          <w:p>
            <w:pPr>
              <w:jc w:val="right"/>
              <w:spacing w:after="0" w:line="202" w:lineRule="exact"/>
              <w:rPr>
                <w:sz w:val="20"/>
                <w:szCs w:val="20"/>
                <w:color w:val="auto"/>
              </w:rPr>
            </w:pPr>
            <w:r>
              <w:rPr>
                <w:rFonts w:ascii="Arial" w:cs="Arial" w:eastAsia="Arial" w:hAnsi="Arial"/>
                <w:sz w:val="18"/>
                <w:szCs w:val="18"/>
                <w:color w:val="auto"/>
              </w:rPr>
              <w:t>29</w:t>
            </w:r>
          </w:p>
        </w:tc>
        <w:tc>
          <w:tcPr>
            <w:tcW w:w="120" w:type="dxa"/>
            <w:vAlign w:val="bottom"/>
            <w:shd w:val="clear" w:color="auto" w:fill="EBEBEC"/>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8040" w:type="dxa"/>
            <w:vAlign w:val="bottom"/>
            <w:shd w:val="clear" w:color="auto" w:fill="EBEBEC"/>
          </w:tcPr>
          <w:p>
            <w:pPr>
              <w:ind w:left="260"/>
              <w:spacing w:after="0" w:line="202" w:lineRule="exact"/>
              <w:rPr>
                <w:sz w:val="20"/>
                <w:szCs w:val="20"/>
                <w:color w:val="auto"/>
              </w:rPr>
            </w:pPr>
            <w:r>
              <w:rPr>
                <w:rFonts w:ascii="Arial" w:cs="Arial" w:eastAsia="Arial" w:hAnsi="Arial"/>
                <w:sz w:val="18"/>
                <w:szCs w:val="18"/>
                <w:color w:val="auto"/>
              </w:rPr>
              <w:t>Net loss on early extinguishment of debt</w:t>
            </w:r>
          </w:p>
        </w:tc>
        <w:tc>
          <w:tcPr>
            <w:tcW w:w="240" w:type="dxa"/>
            <w:vAlign w:val="bottom"/>
            <w:shd w:val="clear" w:color="auto" w:fill="EBEBEC"/>
          </w:tcPr>
          <w:p>
            <w:pPr>
              <w:spacing w:after="0"/>
              <w:rPr>
                <w:sz w:val="17"/>
                <w:szCs w:val="17"/>
                <w:color w:val="auto"/>
              </w:rPr>
            </w:pPr>
          </w:p>
        </w:tc>
        <w:tc>
          <w:tcPr>
            <w:tcW w:w="120" w:type="dxa"/>
            <w:vAlign w:val="bottom"/>
            <w:shd w:val="clear" w:color="auto" w:fill="EBEBEC"/>
          </w:tcPr>
          <w:p>
            <w:pPr>
              <w:spacing w:after="0"/>
              <w:rPr>
                <w:sz w:val="17"/>
                <w:szCs w:val="17"/>
                <w:color w:val="auto"/>
              </w:rPr>
            </w:pPr>
          </w:p>
        </w:tc>
        <w:tc>
          <w:tcPr>
            <w:tcW w:w="960" w:type="dxa"/>
            <w:vAlign w:val="bottom"/>
            <w:shd w:val="clear" w:color="auto" w:fill="EBEBE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BEBEC"/>
          </w:tcPr>
          <w:p>
            <w:pPr>
              <w:spacing w:after="0"/>
              <w:rPr>
                <w:sz w:val="17"/>
                <w:szCs w:val="17"/>
                <w:color w:val="auto"/>
              </w:rPr>
            </w:pPr>
          </w:p>
        </w:tc>
        <w:tc>
          <w:tcPr>
            <w:tcW w:w="220" w:type="dxa"/>
            <w:vAlign w:val="bottom"/>
            <w:shd w:val="clear" w:color="auto" w:fill="EBEBEC"/>
          </w:tcPr>
          <w:p>
            <w:pPr>
              <w:spacing w:after="0"/>
              <w:rPr>
                <w:sz w:val="17"/>
                <w:szCs w:val="17"/>
                <w:color w:val="auto"/>
              </w:rPr>
            </w:pPr>
          </w:p>
        </w:tc>
        <w:tc>
          <w:tcPr>
            <w:tcW w:w="140" w:type="dxa"/>
            <w:vAlign w:val="bottom"/>
            <w:shd w:val="clear" w:color="auto" w:fill="EBEBEC"/>
          </w:tcPr>
          <w:p>
            <w:pPr>
              <w:spacing w:after="0"/>
              <w:rPr>
                <w:sz w:val="17"/>
                <w:szCs w:val="17"/>
                <w:color w:val="auto"/>
              </w:rPr>
            </w:pPr>
          </w:p>
        </w:tc>
        <w:tc>
          <w:tcPr>
            <w:tcW w:w="940" w:type="dxa"/>
            <w:vAlign w:val="bottom"/>
            <w:shd w:val="clear" w:color="auto" w:fill="EBEBEC"/>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shd w:val="clear" w:color="auto" w:fill="EBEBEC"/>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8040" w:type="dxa"/>
            <w:vAlign w:val="bottom"/>
            <w:shd w:val="clear" w:color="auto" w:fill="EBEBEC"/>
          </w:tcPr>
          <w:p>
            <w:pPr>
              <w:ind w:left="260"/>
              <w:spacing w:after="0" w:line="202" w:lineRule="exact"/>
              <w:rPr>
                <w:sz w:val="20"/>
                <w:szCs w:val="20"/>
                <w:color w:val="auto"/>
              </w:rPr>
            </w:pPr>
            <w:r>
              <w:rPr>
                <w:rFonts w:ascii="Arial" w:cs="Arial" w:eastAsia="Arial" w:hAnsi="Arial"/>
                <w:sz w:val="18"/>
                <w:szCs w:val="18"/>
                <w:color w:val="auto"/>
              </w:rPr>
              <w:t>Gains on asset divestitures</w:t>
            </w:r>
          </w:p>
        </w:tc>
        <w:tc>
          <w:tcPr>
            <w:tcW w:w="240" w:type="dxa"/>
            <w:vAlign w:val="bottom"/>
            <w:shd w:val="clear" w:color="auto" w:fill="EBEBEC"/>
          </w:tcPr>
          <w:p>
            <w:pPr>
              <w:spacing w:after="0"/>
              <w:rPr>
                <w:sz w:val="17"/>
                <w:szCs w:val="17"/>
                <w:color w:val="auto"/>
              </w:rPr>
            </w:pPr>
          </w:p>
        </w:tc>
        <w:tc>
          <w:tcPr>
            <w:tcW w:w="120" w:type="dxa"/>
            <w:vAlign w:val="bottom"/>
            <w:shd w:val="clear" w:color="auto" w:fill="EBEBEC"/>
          </w:tcPr>
          <w:p>
            <w:pPr>
              <w:spacing w:after="0"/>
              <w:rPr>
                <w:sz w:val="17"/>
                <w:szCs w:val="17"/>
                <w:color w:val="auto"/>
              </w:rPr>
            </w:pPr>
          </w:p>
        </w:tc>
        <w:tc>
          <w:tcPr>
            <w:tcW w:w="960" w:type="dxa"/>
            <w:vAlign w:val="bottom"/>
            <w:shd w:val="clear" w:color="auto" w:fill="EBEBEC"/>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shd w:val="clear" w:color="auto" w:fill="EBEBEC"/>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EBEBEC"/>
          </w:tcPr>
          <w:p>
            <w:pPr>
              <w:spacing w:after="0"/>
              <w:rPr>
                <w:sz w:val="17"/>
                <w:szCs w:val="17"/>
                <w:color w:val="auto"/>
              </w:rPr>
            </w:pPr>
          </w:p>
        </w:tc>
        <w:tc>
          <w:tcPr>
            <w:tcW w:w="140" w:type="dxa"/>
            <w:vAlign w:val="bottom"/>
            <w:shd w:val="clear" w:color="auto" w:fill="EBEBEC"/>
          </w:tcPr>
          <w:p>
            <w:pPr>
              <w:spacing w:after="0"/>
              <w:rPr>
                <w:sz w:val="17"/>
                <w:szCs w:val="17"/>
                <w:color w:val="auto"/>
              </w:rPr>
            </w:pPr>
          </w:p>
        </w:tc>
        <w:tc>
          <w:tcPr>
            <w:tcW w:w="1060" w:type="dxa"/>
            <w:vAlign w:val="bottom"/>
            <w:gridSpan w:val="2"/>
            <w:shd w:val="clear" w:color="auto" w:fill="EBEBEC"/>
          </w:tcPr>
          <w:p>
            <w:pPr>
              <w:jc w:val="right"/>
              <w:spacing w:after="0" w:line="202" w:lineRule="exact"/>
              <w:rPr>
                <w:sz w:val="20"/>
                <w:szCs w:val="20"/>
                <w:color w:val="auto"/>
              </w:rPr>
            </w:pPr>
            <w:r>
              <w:rPr>
                <w:rFonts w:ascii="Arial" w:cs="Arial" w:eastAsia="Arial" w:hAnsi="Arial"/>
                <w:sz w:val="18"/>
                <w:szCs w:val="18"/>
                <w:color w:val="auto"/>
              </w:rPr>
              <w:t>(4 )</w:t>
            </w:r>
          </w:p>
        </w:tc>
        <w:tc>
          <w:tcPr>
            <w:tcW w:w="240" w:type="dxa"/>
            <w:vAlign w:val="bottom"/>
          </w:tcPr>
          <w:p>
            <w:pPr>
              <w:spacing w:after="0"/>
              <w:rPr>
                <w:sz w:val="17"/>
                <w:szCs w:val="17"/>
                <w:color w:val="auto"/>
              </w:rPr>
            </w:pPr>
          </w:p>
        </w:tc>
      </w:tr>
      <w:tr>
        <w:trPr>
          <w:trHeight w:val="203"/>
        </w:trPr>
        <w:tc>
          <w:tcPr>
            <w:tcW w:w="8040" w:type="dxa"/>
            <w:vAlign w:val="bottom"/>
            <w:shd w:val="clear" w:color="auto" w:fill="EBEBEC"/>
          </w:tcPr>
          <w:p>
            <w:pPr>
              <w:ind w:left="260"/>
              <w:spacing w:after="0" w:line="202" w:lineRule="exact"/>
              <w:rPr>
                <w:sz w:val="20"/>
                <w:szCs w:val="20"/>
                <w:color w:val="auto"/>
              </w:rPr>
            </w:pPr>
            <w:r>
              <w:rPr>
                <w:rFonts w:ascii="Arial" w:cs="Arial" w:eastAsia="Arial" w:hAnsi="Arial"/>
                <w:sz w:val="18"/>
                <w:szCs w:val="18"/>
                <w:color w:val="auto"/>
              </w:rPr>
              <w:t>Increased power and fuel costs due to plant downtime</w:t>
            </w:r>
          </w:p>
        </w:tc>
        <w:tc>
          <w:tcPr>
            <w:tcW w:w="240" w:type="dxa"/>
            <w:vAlign w:val="bottom"/>
            <w:shd w:val="clear" w:color="auto" w:fill="EBEBEC"/>
          </w:tcPr>
          <w:p>
            <w:pPr>
              <w:spacing w:after="0"/>
              <w:rPr>
                <w:sz w:val="17"/>
                <w:szCs w:val="17"/>
                <w:color w:val="auto"/>
              </w:rPr>
            </w:pPr>
          </w:p>
        </w:tc>
        <w:tc>
          <w:tcPr>
            <w:tcW w:w="120" w:type="dxa"/>
            <w:vAlign w:val="bottom"/>
            <w:shd w:val="clear" w:color="auto" w:fill="EBEBEC"/>
          </w:tcPr>
          <w:p>
            <w:pPr>
              <w:spacing w:after="0"/>
              <w:rPr>
                <w:sz w:val="17"/>
                <w:szCs w:val="17"/>
                <w:color w:val="auto"/>
              </w:rPr>
            </w:pPr>
          </w:p>
        </w:tc>
        <w:tc>
          <w:tcPr>
            <w:tcW w:w="960" w:type="dxa"/>
            <w:vAlign w:val="bottom"/>
            <w:shd w:val="clear" w:color="auto" w:fill="EBEBEC"/>
          </w:tcPr>
          <w:p>
            <w:pPr>
              <w:jc w:val="right"/>
              <w:spacing w:after="0" w:line="202" w:lineRule="exact"/>
              <w:rPr>
                <w:sz w:val="20"/>
                <w:szCs w:val="20"/>
                <w:color w:val="auto"/>
              </w:rPr>
            </w:pPr>
            <w:r>
              <w:rPr>
                <w:rFonts w:ascii="Arial" w:cs="Arial" w:eastAsia="Arial" w:hAnsi="Arial"/>
                <w:sz w:val="18"/>
                <w:szCs w:val="18"/>
                <w:color w:val="auto"/>
              </w:rPr>
              <w:t>36</w:t>
            </w:r>
          </w:p>
        </w:tc>
        <w:tc>
          <w:tcPr>
            <w:tcW w:w="100" w:type="dxa"/>
            <w:vAlign w:val="bottom"/>
            <w:shd w:val="clear" w:color="auto" w:fill="EBEBEC"/>
          </w:tcPr>
          <w:p>
            <w:pPr>
              <w:spacing w:after="0"/>
              <w:rPr>
                <w:sz w:val="17"/>
                <w:szCs w:val="17"/>
                <w:color w:val="auto"/>
              </w:rPr>
            </w:pPr>
          </w:p>
        </w:tc>
        <w:tc>
          <w:tcPr>
            <w:tcW w:w="220" w:type="dxa"/>
            <w:vAlign w:val="bottom"/>
            <w:shd w:val="clear" w:color="auto" w:fill="EBEBEC"/>
          </w:tcPr>
          <w:p>
            <w:pPr>
              <w:spacing w:after="0"/>
              <w:rPr>
                <w:sz w:val="17"/>
                <w:szCs w:val="17"/>
                <w:color w:val="auto"/>
              </w:rPr>
            </w:pPr>
          </w:p>
        </w:tc>
        <w:tc>
          <w:tcPr>
            <w:tcW w:w="140" w:type="dxa"/>
            <w:vAlign w:val="bottom"/>
            <w:shd w:val="clear" w:color="auto" w:fill="EBEBEC"/>
          </w:tcPr>
          <w:p>
            <w:pPr>
              <w:spacing w:after="0"/>
              <w:rPr>
                <w:sz w:val="17"/>
                <w:szCs w:val="17"/>
                <w:color w:val="auto"/>
              </w:rPr>
            </w:pPr>
          </w:p>
        </w:tc>
        <w:tc>
          <w:tcPr>
            <w:tcW w:w="940" w:type="dxa"/>
            <w:vAlign w:val="bottom"/>
            <w:shd w:val="clear" w:color="auto" w:fill="EBEBEC"/>
          </w:tcPr>
          <w:p>
            <w:pPr>
              <w:jc w:val="right"/>
              <w:spacing w:after="0" w:line="202" w:lineRule="exact"/>
              <w:rPr>
                <w:sz w:val="20"/>
                <w:szCs w:val="20"/>
                <w:color w:val="auto"/>
              </w:rPr>
            </w:pPr>
            <w:r>
              <w:rPr>
                <w:rFonts w:ascii="Arial" w:cs="Arial" w:eastAsia="Arial" w:hAnsi="Arial"/>
                <w:sz w:val="18"/>
                <w:szCs w:val="18"/>
                <w:color w:val="auto"/>
              </w:rPr>
              <w:t>14</w:t>
            </w:r>
          </w:p>
        </w:tc>
        <w:tc>
          <w:tcPr>
            <w:tcW w:w="120" w:type="dxa"/>
            <w:vAlign w:val="bottom"/>
            <w:shd w:val="clear" w:color="auto" w:fill="EBEBEC"/>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8040" w:type="dxa"/>
            <w:vAlign w:val="bottom"/>
            <w:shd w:val="clear" w:color="auto" w:fill="EBEBEC"/>
          </w:tcPr>
          <w:p>
            <w:pPr>
              <w:ind w:left="260"/>
              <w:spacing w:after="0" w:line="202" w:lineRule="exact"/>
              <w:rPr>
                <w:sz w:val="20"/>
                <w:szCs w:val="20"/>
                <w:color w:val="auto"/>
              </w:rPr>
            </w:pPr>
            <w:r>
              <w:rPr>
                <w:rFonts w:ascii="Arial" w:cs="Arial" w:eastAsia="Arial" w:hAnsi="Arial"/>
                <w:sz w:val="18"/>
                <w:szCs w:val="18"/>
                <w:color w:val="auto"/>
              </w:rPr>
              <w:t>Asset impairments</w:t>
            </w:r>
          </w:p>
        </w:tc>
        <w:tc>
          <w:tcPr>
            <w:tcW w:w="240" w:type="dxa"/>
            <w:vAlign w:val="bottom"/>
            <w:shd w:val="clear" w:color="auto" w:fill="EBEBEC"/>
          </w:tcPr>
          <w:p>
            <w:pPr>
              <w:spacing w:after="0"/>
              <w:rPr>
                <w:sz w:val="17"/>
                <w:szCs w:val="17"/>
                <w:color w:val="auto"/>
              </w:rPr>
            </w:pPr>
          </w:p>
        </w:tc>
        <w:tc>
          <w:tcPr>
            <w:tcW w:w="120" w:type="dxa"/>
            <w:vAlign w:val="bottom"/>
            <w:shd w:val="clear" w:color="auto" w:fill="EBEBEC"/>
          </w:tcPr>
          <w:p>
            <w:pPr>
              <w:spacing w:after="0"/>
              <w:rPr>
                <w:sz w:val="17"/>
                <w:szCs w:val="17"/>
                <w:color w:val="auto"/>
              </w:rPr>
            </w:pPr>
          </w:p>
        </w:tc>
        <w:tc>
          <w:tcPr>
            <w:tcW w:w="960" w:type="dxa"/>
            <w:vAlign w:val="bottom"/>
            <w:shd w:val="clear" w:color="auto" w:fill="EBEBEC"/>
          </w:tcPr>
          <w:p>
            <w:pPr>
              <w:jc w:val="right"/>
              <w:spacing w:after="0" w:line="202" w:lineRule="exact"/>
              <w:rPr>
                <w:sz w:val="20"/>
                <w:szCs w:val="20"/>
                <w:color w:val="auto"/>
              </w:rPr>
            </w:pPr>
            <w:r>
              <w:rPr>
                <w:rFonts w:ascii="Arial" w:cs="Arial" w:eastAsia="Arial" w:hAnsi="Arial"/>
                <w:sz w:val="18"/>
                <w:szCs w:val="18"/>
                <w:color w:val="auto"/>
              </w:rPr>
              <w:t>13</w:t>
            </w:r>
          </w:p>
        </w:tc>
        <w:tc>
          <w:tcPr>
            <w:tcW w:w="100" w:type="dxa"/>
            <w:vAlign w:val="bottom"/>
            <w:shd w:val="clear" w:color="auto" w:fill="EBEBEC"/>
          </w:tcPr>
          <w:p>
            <w:pPr>
              <w:spacing w:after="0"/>
              <w:rPr>
                <w:sz w:val="17"/>
                <w:szCs w:val="17"/>
                <w:color w:val="auto"/>
              </w:rPr>
            </w:pPr>
          </w:p>
        </w:tc>
        <w:tc>
          <w:tcPr>
            <w:tcW w:w="220" w:type="dxa"/>
            <w:vAlign w:val="bottom"/>
            <w:shd w:val="clear" w:color="auto" w:fill="EBEBEC"/>
          </w:tcPr>
          <w:p>
            <w:pPr>
              <w:spacing w:after="0"/>
              <w:rPr>
                <w:sz w:val="17"/>
                <w:szCs w:val="17"/>
                <w:color w:val="auto"/>
              </w:rPr>
            </w:pPr>
          </w:p>
        </w:tc>
        <w:tc>
          <w:tcPr>
            <w:tcW w:w="140" w:type="dxa"/>
            <w:vAlign w:val="bottom"/>
            <w:shd w:val="clear" w:color="auto" w:fill="EBEBEC"/>
          </w:tcPr>
          <w:p>
            <w:pPr>
              <w:spacing w:after="0"/>
              <w:rPr>
                <w:sz w:val="17"/>
                <w:szCs w:val="17"/>
                <w:color w:val="auto"/>
              </w:rPr>
            </w:pPr>
          </w:p>
        </w:tc>
        <w:tc>
          <w:tcPr>
            <w:tcW w:w="940" w:type="dxa"/>
            <w:vAlign w:val="bottom"/>
            <w:shd w:val="clear" w:color="auto" w:fill="EBEBEC"/>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EBEBEC"/>
          </w:tcPr>
          <w:p>
            <w:pPr>
              <w:spacing w:after="0"/>
              <w:rPr>
                <w:sz w:val="17"/>
                <w:szCs w:val="17"/>
                <w:color w:val="auto"/>
              </w:rPr>
            </w:pPr>
          </w:p>
        </w:tc>
        <w:tc>
          <w:tcPr>
            <w:tcW w:w="240" w:type="dxa"/>
            <w:vAlign w:val="bottom"/>
          </w:tcPr>
          <w:p>
            <w:pPr>
              <w:spacing w:after="0"/>
              <w:rPr>
                <w:sz w:val="17"/>
                <w:szCs w:val="17"/>
                <w:color w:val="auto"/>
              </w:rPr>
            </w:pPr>
          </w:p>
        </w:tc>
      </w:tr>
      <w:tr>
        <w:trPr>
          <w:trHeight w:val="221"/>
        </w:trPr>
        <w:tc>
          <w:tcPr>
            <w:tcW w:w="8040" w:type="dxa"/>
            <w:vAlign w:val="bottom"/>
            <w:tcBorders>
              <w:bottom w:val="single" w:sz="8" w:color="EBEBEC"/>
            </w:tcBorders>
            <w:shd w:val="clear" w:color="auto" w:fill="EBEBEC"/>
          </w:tcPr>
          <w:p>
            <w:pPr>
              <w:ind w:left="26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EBEBEC"/>
            </w:tcBorders>
            <w:shd w:val="clear" w:color="auto" w:fill="EBEBEC"/>
          </w:tcPr>
          <w:p>
            <w:pPr>
              <w:spacing w:after="0"/>
              <w:rPr>
                <w:sz w:val="19"/>
                <w:szCs w:val="19"/>
                <w:color w:val="auto"/>
              </w:rPr>
            </w:pPr>
          </w:p>
        </w:tc>
        <w:tc>
          <w:tcPr>
            <w:tcW w:w="120" w:type="dxa"/>
            <w:vAlign w:val="bottom"/>
            <w:tcBorders>
              <w:bottom w:val="single" w:sz="8" w:color="auto"/>
            </w:tcBorders>
            <w:shd w:val="clear" w:color="auto" w:fill="EBEBEC"/>
          </w:tcPr>
          <w:p>
            <w:pPr>
              <w:spacing w:after="0"/>
              <w:rPr>
                <w:sz w:val="19"/>
                <w:szCs w:val="19"/>
                <w:color w:val="auto"/>
              </w:rPr>
            </w:pPr>
          </w:p>
        </w:tc>
        <w:tc>
          <w:tcPr>
            <w:tcW w:w="960" w:type="dxa"/>
            <w:vAlign w:val="bottom"/>
            <w:tcBorders>
              <w:bottom w:val="single" w:sz="8" w:color="auto"/>
            </w:tcBorders>
            <w:shd w:val="clear" w:color="auto" w:fill="EBEBEC"/>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auto"/>
            </w:tcBorders>
            <w:shd w:val="clear" w:color="auto" w:fill="EBEBEC"/>
          </w:tcPr>
          <w:p>
            <w:pPr>
              <w:spacing w:after="0"/>
              <w:rPr>
                <w:sz w:val="19"/>
                <w:szCs w:val="19"/>
                <w:color w:val="auto"/>
              </w:rPr>
            </w:pPr>
          </w:p>
        </w:tc>
        <w:tc>
          <w:tcPr>
            <w:tcW w:w="220" w:type="dxa"/>
            <w:vAlign w:val="bottom"/>
            <w:tcBorders>
              <w:bottom w:val="single" w:sz="8" w:color="EBEBEC"/>
            </w:tcBorders>
            <w:shd w:val="clear" w:color="auto" w:fill="EBEBEC"/>
          </w:tcPr>
          <w:p>
            <w:pPr>
              <w:spacing w:after="0"/>
              <w:rPr>
                <w:sz w:val="19"/>
                <w:szCs w:val="19"/>
                <w:color w:val="auto"/>
              </w:rPr>
            </w:pPr>
          </w:p>
        </w:tc>
        <w:tc>
          <w:tcPr>
            <w:tcW w:w="140" w:type="dxa"/>
            <w:vAlign w:val="bottom"/>
            <w:tcBorders>
              <w:bottom w:val="single" w:sz="8" w:color="auto"/>
            </w:tcBorders>
            <w:shd w:val="clear" w:color="auto" w:fill="EBEBEC"/>
          </w:tcPr>
          <w:p>
            <w:pPr>
              <w:spacing w:after="0"/>
              <w:rPr>
                <w:sz w:val="19"/>
                <w:szCs w:val="19"/>
                <w:color w:val="auto"/>
              </w:rPr>
            </w:pPr>
          </w:p>
        </w:tc>
        <w:tc>
          <w:tcPr>
            <w:tcW w:w="940" w:type="dxa"/>
            <w:vAlign w:val="bottom"/>
            <w:tcBorders>
              <w:bottom w:val="single" w:sz="8" w:color="auto"/>
            </w:tcBorders>
            <w:shd w:val="clear" w:color="auto" w:fill="EBEBEC"/>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auto"/>
            </w:tcBorders>
            <w:shd w:val="clear" w:color="auto" w:fill="EBEBEC"/>
          </w:tcPr>
          <w:p>
            <w:pPr>
              <w:spacing w:after="0"/>
              <w:rPr>
                <w:sz w:val="19"/>
                <w:szCs w:val="19"/>
                <w:color w:val="auto"/>
              </w:rPr>
            </w:pPr>
          </w:p>
        </w:tc>
        <w:tc>
          <w:tcPr>
            <w:tcW w:w="240" w:type="dxa"/>
            <w:vAlign w:val="bottom"/>
          </w:tcPr>
          <w:p>
            <w:pPr>
              <w:spacing w:after="0"/>
              <w:rPr>
                <w:sz w:val="19"/>
                <w:szCs w:val="19"/>
                <w:color w:val="auto"/>
              </w:rPr>
            </w:pPr>
          </w:p>
        </w:tc>
      </w:tr>
      <w:tr>
        <w:trPr>
          <w:trHeight w:val="236"/>
        </w:trPr>
        <w:tc>
          <w:tcPr>
            <w:tcW w:w="8040" w:type="dxa"/>
            <w:vAlign w:val="bottom"/>
            <w:tcBorders>
              <w:bottom w:val="single" w:sz="8" w:color="EBEBEC"/>
            </w:tcBorders>
            <w:shd w:val="clear" w:color="auto" w:fill="EBEBEC"/>
          </w:tcPr>
          <w:p>
            <w:pPr>
              <w:ind w:left="500"/>
              <w:spacing w:after="0" w:line="182" w:lineRule="exact"/>
              <w:rPr>
                <w:sz w:val="20"/>
                <w:szCs w:val="20"/>
                <w:color w:val="auto"/>
              </w:rPr>
            </w:pPr>
            <w:r>
              <w:rPr>
                <w:rFonts w:ascii="Arial" w:cs="Arial" w:eastAsia="Arial" w:hAnsi="Arial"/>
                <w:sz w:val="18"/>
                <w:szCs w:val="18"/>
                <w:color w:val="auto"/>
              </w:rPr>
              <w:t>Total unusual, infrequent and other items</w:t>
            </w:r>
          </w:p>
        </w:tc>
        <w:tc>
          <w:tcPr>
            <w:tcW w:w="240" w:type="dxa"/>
            <w:vAlign w:val="bottom"/>
            <w:tcBorders>
              <w:bottom w:val="single" w:sz="8" w:color="EBEBEC"/>
            </w:tcBorders>
            <w:shd w:val="clear" w:color="auto" w:fill="EBEBEC"/>
          </w:tcPr>
          <w:p>
            <w:pPr>
              <w:spacing w:after="0"/>
              <w:rPr>
                <w:sz w:val="20"/>
                <w:szCs w:val="20"/>
                <w:color w:val="auto"/>
              </w:rPr>
            </w:pPr>
          </w:p>
        </w:tc>
        <w:tc>
          <w:tcPr>
            <w:tcW w:w="120" w:type="dxa"/>
            <w:vAlign w:val="bottom"/>
            <w:tcBorders>
              <w:bottom w:val="single" w:sz="8" w:color="auto"/>
            </w:tcBorders>
            <w:shd w:val="clear" w:color="auto" w:fill="EBEBEC"/>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EBEBEC"/>
          </w:tcPr>
          <w:p>
            <w:pPr>
              <w:jc w:val="right"/>
              <w:spacing w:after="0" w:line="182" w:lineRule="exact"/>
              <w:rPr>
                <w:sz w:val="20"/>
                <w:szCs w:val="20"/>
                <w:color w:val="auto"/>
              </w:rPr>
            </w:pPr>
            <w:r>
              <w:rPr>
                <w:rFonts w:ascii="Arial" w:cs="Arial" w:eastAsia="Arial" w:hAnsi="Arial"/>
                <w:sz w:val="18"/>
                <w:szCs w:val="18"/>
                <w:color w:val="auto"/>
              </w:rPr>
              <w:t>136</w:t>
            </w:r>
          </w:p>
        </w:tc>
        <w:tc>
          <w:tcPr>
            <w:tcW w:w="100" w:type="dxa"/>
            <w:vAlign w:val="bottom"/>
            <w:tcBorders>
              <w:bottom w:val="single" w:sz="8" w:color="auto"/>
            </w:tcBorders>
            <w:shd w:val="clear" w:color="auto" w:fill="EBEBEC"/>
          </w:tcPr>
          <w:p>
            <w:pPr>
              <w:spacing w:after="0"/>
              <w:rPr>
                <w:sz w:val="20"/>
                <w:szCs w:val="20"/>
                <w:color w:val="auto"/>
              </w:rPr>
            </w:pPr>
          </w:p>
        </w:tc>
        <w:tc>
          <w:tcPr>
            <w:tcW w:w="220" w:type="dxa"/>
            <w:vAlign w:val="bottom"/>
            <w:tcBorders>
              <w:bottom w:val="single" w:sz="8" w:color="EBEBEC"/>
            </w:tcBorders>
            <w:shd w:val="clear" w:color="auto" w:fill="EBEBEC"/>
          </w:tcPr>
          <w:p>
            <w:pPr>
              <w:spacing w:after="0"/>
              <w:rPr>
                <w:sz w:val="20"/>
                <w:szCs w:val="20"/>
                <w:color w:val="auto"/>
              </w:rPr>
            </w:pPr>
          </w:p>
        </w:tc>
        <w:tc>
          <w:tcPr>
            <w:tcW w:w="140" w:type="dxa"/>
            <w:vAlign w:val="bottom"/>
            <w:tcBorders>
              <w:bottom w:val="single" w:sz="8" w:color="auto"/>
            </w:tcBorders>
            <w:shd w:val="clear" w:color="auto" w:fill="EBEBEC"/>
          </w:tcPr>
          <w:p>
            <w:pPr>
              <w:jc w:val="right"/>
              <w:spacing w:after="0" w:line="182"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EBEBEC"/>
          </w:tcPr>
          <w:p>
            <w:pPr>
              <w:jc w:val="right"/>
              <w:spacing w:after="0" w:line="182" w:lineRule="exact"/>
              <w:rPr>
                <w:sz w:val="20"/>
                <w:szCs w:val="20"/>
                <w:color w:val="auto"/>
              </w:rPr>
            </w:pPr>
            <w:r>
              <w:rPr>
                <w:rFonts w:ascii="Arial" w:cs="Arial" w:eastAsia="Arial" w:hAnsi="Arial"/>
                <w:sz w:val="18"/>
                <w:szCs w:val="18"/>
                <w:color w:val="auto"/>
              </w:rPr>
              <w:t>(227</w:t>
            </w:r>
          </w:p>
        </w:tc>
        <w:tc>
          <w:tcPr>
            <w:tcW w:w="120" w:type="dxa"/>
            <w:vAlign w:val="bottom"/>
            <w:tcBorders>
              <w:bottom w:val="single" w:sz="8" w:color="auto"/>
            </w:tcBorders>
            <w:shd w:val="clear" w:color="auto" w:fill="EBEBEC"/>
          </w:tcPr>
          <w:p>
            <w:pPr>
              <w:jc w:val="right"/>
              <w:spacing w:after="0" w:line="182"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-3342640</wp:posOffset>
            </wp:positionV>
            <wp:extent cx="14605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-3076575</wp:posOffset>
            </wp:positionV>
            <wp:extent cx="14605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-2939415</wp:posOffset>
            </wp:positionV>
            <wp:extent cx="14605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-2922270</wp:posOffset>
            </wp:positionV>
            <wp:extent cx="14605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-2014220</wp:posOffset>
            </wp:positionV>
            <wp:extent cx="14605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-1748155</wp:posOffset>
            </wp:positionV>
            <wp:extent cx="14605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-1610995</wp:posOffset>
            </wp:positionV>
            <wp:extent cx="14605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-1593850</wp:posOffset>
            </wp:positionV>
            <wp:extent cx="14605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-162560</wp:posOffset>
            </wp:positionV>
            <wp:extent cx="14605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14605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14605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0075C9"/>
        </w:rPr>
        <w:t>Free Cash Flow, AIP</w:t>
      </w:r>
    </w:p>
    <w:p>
      <w:pPr>
        <w:spacing w:after="0" w:line="214"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The following table presents a reconciliation of free cash flow used as a performance metric in our AIP which is defined for this purpose as Adjusted EBITDAX, AIP plus or minus working capital changes for the period, minus cash paid for asset retirement obligations, cash paid for interest, reduced by capital investments. Free cash flow used as a performance metric is not reduced by income tax payments or increased by interest income.</w:t>
      </w:r>
    </w:p>
    <w:p>
      <w:pPr>
        <w:spacing w:after="0" w:line="160" w:lineRule="exact"/>
        <w:rPr>
          <w:sz w:val="20"/>
          <w:szCs w:val="20"/>
          <w:color w:val="auto"/>
        </w:rPr>
      </w:pPr>
    </w:p>
    <w:tbl>
      <w:tblPr>
        <w:tblLayout w:type="fixed"/>
        <w:tblInd w:w="80" w:type="dxa"/>
        <w:tblCellMar>
          <w:top w:w="0" w:type="dxa"/>
          <w:left w:w="0" w:type="dxa"/>
          <w:bottom w:w="0" w:type="dxa"/>
          <w:right w:w="0" w:type="dxa"/>
        </w:tblCellMar>
      </w:tblPr>
      <w:tr>
        <w:trPr>
          <w:trHeight w:val="221"/>
        </w:trPr>
        <w:tc>
          <w:tcPr>
            <w:tcW w:w="8040" w:type="dxa"/>
            <w:vAlign w:val="bottom"/>
            <w:tcBorders>
              <w:bottom w:val="single" w:sz="8" w:color="0075C9"/>
            </w:tcBorders>
          </w:tcPr>
          <w:p>
            <w:pPr>
              <w:spacing w:after="0"/>
              <w:rPr>
                <w:sz w:val="20"/>
                <w:szCs w:val="20"/>
                <w:color w:val="auto"/>
              </w:rPr>
            </w:pPr>
            <w:r>
              <w:rPr>
                <w:rFonts w:ascii="Arial" w:cs="Arial" w:eastAsia="Arial" w:hAnsi="Arial"/>
                <w:sz w:val="14"/>
                <w:szCs w:val="14"/>
                <w:i w:val="1"/>
                <w:iCs w:val="1"/>
                <w:color w:val="0075C9"/>
              </w:rPr>
              <w:t>($ in millions)</w:t>
            </w:r>
          </w:p>
        </w:tc>
        <w:tc>
          <w:tcPr>
            <w:tcW w:w="240" w:type="dxa"/>
            <w:vAlign w:val="bottom"/>
            <w:tcBorders>
              <w:bottom w:val="single" w:sz="8" w:color="0075C9"/>
            </w:tcBorders>
          </w:tcPr>
          <w:p>
            <w:pPr>
              <w:spacing w:after="0"/>
              <w:rPr>
                <w:sz w:val="19"/>
                <w:szCs w:val="19"/>
                <w:color w:val="auto"/>
              </w:rPr>
            </w:pPr>
          </w:p>
        </w:tc>
        <w:tc>
          <w:tcPr>
            <w:tcW w:w="120" w:type="dxa"/>
            <w:vAlign w:val="bottom"/>
            <w:tcBorders>
              <w:bottom w:val="single" w:sz="8" w:color="0075C9"/>
            </w:tcBorders>
          </w:tcPr>
          <w:p>
            <w:pPr>
              <w:spacing w:after="0"/>
              <w:rPr>
                <w:sz w:val="19"/>
                <w:szCs w:val="19"/>
                <w:color w:val="auto"/>
              </w:rPr>
            </w:pPr>
          </w:p>
        </w:tc>
        <w:tc>
          <w:tcPr>
            <w:tcW w:w="1060" w:type="dxa"/>
            <w:vAlign w:val="bottom"/>
            <w:tcBorders>
              <w:bottom w:val="single" w:sz="8" w:color="0075C9"/>
            </w:tcBorders>
            <w:gridSpan w:val="2"/>
          </w:tcPr>
          <w:p>
            <w:pPr>
              <w:jc w:val="right"/>
              <w:ind w:right="241"/>
              <w:spacing w:after="0"/>
              <w:rPr>
                <w:sz w:val="20"/>
                <w:szCs w:val="20"/>
                <w:color w:val="auto"/>
              </w:rPr>
            </w:pPr>
            <w:r>
              <w:rPr>
                <w:rFonts w:ascii="Arial" w:cs="Arial" w:eastAsia="Arial" w:hAnsi="Arial"/>
                <w:sz w:val="18"/>
                <w:szCs w:val="18"/>
                <w:color w:val="0075C9"/>
              </w:rPr>
              <w:t>1H 2024</w:t>
            </w:r>
          </w:p>
        </w:tc>
        <w:tc>
          <w:tcPr>
            <w:tcW w:w="220" w:type="dxa"/>
            <w:vAlign w:val="bottom"/>
            <w:tcBorders>
              <w:bottom w:val="single" w:sz="8" w:color="0075C9"/>
            </w:tcBorders>
          </w:tcPr>
          <w:p>
            <w:pPr>
              <w:spacing w:after="0"/>
              <w:rPr>
                <w:sz w:val="19"/>
                <w:szCs w:val="19"/>
                <w:color w:val="auto"/>
              </w:rPr>
            </w:pPr>
          </w:p>
        </w:tc>
        <w:tc>
          <w:tcPr>
            <w:tcW w:w="160" w:type="dxa"/>
            <w:vAlign w:val="bottom"/>
            <w:tcBorders>
              <w:bottom w:val="single" w:sz="8" w:color="0075C9"/>
            </w:tcBorders>
          </w:tcPr>
          <w:p>
            <w:pPr>
              <w:spacing w:after="0"/>
              <w:rPr>
                <w:sz w:val="19"/>
                <w:szCs w:val="19"/>
                <w:color w:val="auto"/>
              </w:rPr>
            </w:pPr>
          </w:p>
        </w:tc>
        <w:tc>
          <w:tcPr>
            <w:tcW w:w="1040" w:type="dxa"/>
            <w:vAlign w:val="bottom"/>
            <w:tcBorders>
              <w:bottom w:val="single" w:sz="8" w:color="0075C9"/>
            </w:tcBorders>
          </w:tcPr>
          <w:p>
            <w:pPr>
              <w:jc w:val="right"/>
              <w:ind w:right="230"/>
              <w:spacing w:after="0"/>
              <w:rPr>
                <w:sz w:val="20"/>
                <w:szCs w:val="20"/>
                <w:color w:val="auto"/>
              </w:rPr>
            </w:pPr>
            <w:r>
              <w:rPr>
                <w:rFonts w:ascii="Arial" w:cs="Arial" w:eastAsia="Arial" w:hAnsi="Arial"/>
                <w:sz w:val="18"/>
                <w:szCs w:val="18"/>
                <w:color w:val="0075C9"/>
              </w:rPr>
              <w:t>2H 2024</w:t>
            </w:r>
          </w:p>
        </w:tc>
      </w:tr>
      <w:tr>
        <w:trPr>
          <w:trHeight w:val="177"/>
        </w:trPr>
        <w:tc>
          <w:tcPr>
            <w:tcW w:w="8040" w:type="dxa"/>
            <w:vAlign w:val="bottom"/>
            <w:shd w:val="clear" w:color="auto" w:fill="EBEBEC"/>
          </w:tcPr>
          <w:p>
            <w:pPr>
              <w:spacing w:after="0" w:line="177" w:lineRule="exact"/>
              <w:rPr>
                <w:sz w:val="20"/>
                <w:szCs w:val="20"/>
                <w:color w:val="auto"/>
              </w:rPr>
            </w:pPr>
            <w:r>
              <w:rPr>
                <w:rFonts w:ascii="Arial" w:cs="Arial" w:eastAsia="Arial" w:hAnsi="Arial"/>
                <w:sz w:val="18"/>
                <w:szCs w:val="18"/>
                <w:color w:val="auto"/>
              </w:rPr>
              <w:t>Adjusted EBITDAX, AIP</w:t>
            </w:r>
          </w:p>
        </w:tc>
        <w:tc>
          <w:tcPr>
            <w:tcW w:w="360" w:type="dxa"/>
            <w:vAlign w:val="bottom"/>
            <w:gridSpan w:val="2"/>
            <w:shd w:val="clear" w:color="auto" w:fill="EBEBEC"/>
          </w:tcPr>
          <w:p>
            <w:pPr>
              <w:jc w:val="right"/>
              <w:spacing w:after="0" w:line="177" w:lineRule="exact"/>
              <w:rPr>
                <w:sz w:val="20"/>
                <w:szCs w:val="20"/>
                <w:color w:val="auto"/>
              </w:rPr>
            </w:pPr>
            <w:r>
              <w:rPr>
                <w:rFonts w:ascii="Arial" w:cs="Arial" w:eastAsia="Arial" w:hAnsi="Arial"/>
                <w:sz w:val="18"/>
                <w:szCs w:val="18"/>
                <w:color w:val="auto"/>
              </w:rPr>
              <w:t>$</w:t>
            </w:r>
          </w:p>
        </w:tc>
        <w:tc>
          <w:tcPr>
            <w:tcW w:w="960" w:type="dxa"/>
            <w:vAlign w:val="bottom"/>
            <w:shd w:val="clear" w:color="auto" w:fill="EBEBEC"/>
          </w:tcPr>
          <w:p>
            <w:pPr>
              <w:jc w:val="right"/>
              <w:spacing w:after="0" w:line="177" w:lineRule="exact"/>
              <w:rPr>
                <w:sz w:val="20"/>
                <w:szCs w:val="20"/>
                <w:color w:val="auto"/>
              </w:rPr>
            </w:pPr>
            <w:r>
              <w:rPr>
                <w:rFonts w:ascii="Arial" w:cs="Arial" w:eastAsia="Arial" w:hAnsi="Arial"/>
                <w:sz w:val="18"/>
                <w:szCs w:val="18"/>
                <w:color w:val="auto"/>
              </w:rPr>
              <w:t>292</w:t>
            </w:r>
          </w:p>
        </w:tc>
        <w:tc>
          <w:tcPr>
            <w:tcW w:w="100" w:type="dxa"/>
            <w:vAlign w:val="bottom"/>
            <w:shd w:val="clear" w:color="auto" w:fill="EBEBEC"/>
          </w:tcPr>
          <w:p>
            <w:pPr>
              <w:spacing w:after="0"/>
              <w:rPr>
                <w:sz w:val="15"/>
                <w:szCs w:val="15"/>
                <w:color w:val="auto"/>
              </w:rPr>
            </w:pPr>
          </w:p>
        </w:tc>
        <w:tc>
          <w:tcPr>
            <w:tcW w:w="380" w:type="dxa"/>
            <w:vAlign w:val="bottom"/>
            <w:gridSpan w:val="2"/>
            <w:shd w:val="clear" w:color="auto" w:fill="EBEBEC"/>
          </w:tcPr>
          <w:p>
            <w:pPr>
              <w:jc w:val="right"/>
              <w:spacing w:after="0" w:line="177" w:lineRule="exact"/>
              <w:rPr>
                <w:sz w:val="20"/>
                <w:szCs w:val="20"/>
                <w:color w:val="auto"/>
              </w:rPr>
            </w:pPr>
            <w:r>
              <w:rPr>
                <w:rFonts w:ascii="Arial" w:cs="Arial" w:eastAsia="Arial" w:hAnsi="Arial"/>
                <w:sz w:val="18"/>
                <w:szCs w:val="18"/>
                <w:color w:val="auto"/>
              </w:rPr>
              <w:t>$</w:t>
            </w:r>
          </w:p>
        </w:tc>
        <w:tc>
          <w:tcPr>
            <w:tcW w:w="1040" w:type="dxa"/>
            <w:vAlign w:val="bottom"/>
            <w:shd w:val="clear" w:color="auto" w:fill="EBEBEC"/>
          </w:tcPr>
          <w:p>
            <w:pPr>
              <w:jc w:val="right"/>
              <w:ind w:right="50"/>
              <w:spacing w:after="0" w:line="177" w:lineRule="exact"/>
              <w:rPr>
                <w:sz w:val="20"/>
                <w:szCs w:val="20"/>
                <w:color w:val="auto"/>
              </w:rPr>
            </w:pPr>
            <w:r>
              <w:rPr>
                <w:rFonts w:ascii="Arial" w:cs="Arial" w:eastAsia="Arial" w:hAnsi="Arial"/>
                <w:sz w:val="18"/>
                <w:szCs w:val="18"/>
                <w:color w:val="auto"/>
              </w:rPr>
              <w:t>721</w:t>
            </w:r>
          </w:p>
        </w:tc>
      </w:tr>
      <w:tr>
        <w:trPr>
          <w:trHeight w:val="203"/>
        </w:trPr>
        <w:tc>
          <w:tcPr>
            <w:tcW w:w="8040" w:type="dxa"/>
            <w:vAlign w:val="bottom"/>
            <w:shd w:val="clear" w:color="auto" w:fill="EBEBEC"/>
          </w:tcPr>
          <w:p>
            <w:pPr>
              <w:ind w:left="260"/>
              <w:spacing w:after="0" w:line="202" w:lineRule="exact"/>
              <w:rPr>
                <w:sz w:val="20"/>
                <w:szCs w:val="20"/>
                <w:color w:val="auto"/>
              </w:rPr>
            </w:pPr>
            <w:r>
              <w:rPr>
                <w:rFonts w:ascii="Arial" w:cs="Arial" w:eastAsia="Arial" w:hAnsi="Arial"/>
                <w:sz w:val="18"/>
                <w:szCs w:val="18"/>
                <w:color w:val="auto"/>
              </w:rPr>
              <w:t>Working capital changes</w:t>
            </w:r>
          </w:p>
        </w:tc>
        <w:tc>
          <w:tcPr>
            <w:tcW w:w="240" w:type="dxa"/>
            <w:vAlign w:val="bottom"/>
            <w:shd w:val="clear" w:color="auto" w:fill="EBEBEC"/>
          </w:tcPr>
          <w:p>
            <w:pPr>
              <w:spacing w:after="0"/>
              <w:rPr>
                <w:sz w:val="17"/>
                <w:szCs w:val="17"/>
                <w:color w:val="auto"/>
              </w:rPr>
            </w:pPr>
          </w:p>
        </w:tc>
        <w:tc>
          <w:tcPr>
            <w:tcW w:w="120" w:type="dxa"/>
            <w:vAlign w:val="bottom"/>
            <w:shd w:val="clear" w:color="auto" w:fill="EBEBEC"/>
          </w:tcPr>
          <w:p>
            <w:pPr>
              <w:spacing w:after="0"/>
              <w:rPr>
                <w:sz w:val="17"/>
                <w:szCs w:val="17"/>
                <w:color w:val="auto"/>
              </w:rPr>
            </w:pPr>
          </w:p>
        </w:tc>
        <w:tc>
          <w:tcPr>
            <w:tcW w:w="1060" w:type="dxa"/>
            <w:vAlign w:val="bottom"/>
            <w:gridSpan w:val="2"/>
            <w:shd w:val="clear" w:color="auto" w:fill="EBEBEC"/>
          </w:tcPr>
          <w:p>
            <w:pPr>
              <w:jc w:val="right"/>
              <w:spacing w:after="0" w:line="202" w:lineRule="exact"/>
              <w:rPr>
                <w:sz w:val="20"/>
                <w:szCs w:val="20"/>
                <w:color w:val="auto"/>
              </w:rPr>
            </w:pPr>
            <w:r>
              <w:rPr>
                <w:rFonts w:ascii="Arial" w:cs="Arial" w:eastAsia="Arial" w:hAnsi="Arial"/>
                <w:sz w:val="18"/>
                <w:szCs w:val="18"/>
                <w:color w:val="auto"/>
              </w:rPr>
              <w:t>(16 )</w:t>
            </w:r>
          </w:p>
        </w:tc>
        <w:tc>
          <w:tcPr>
            <w:tcW w:w="220" w:type="dxa"/>
            <w:vAlign w:val="bottom"/>
            <w:shd w:val="clear" w:color="auto" w:fill="EBEBEC"/>
          </w:tcPr>
          <w:p>
            <w:pPr>
              <w:spacing w:after="0"/>
              <w:rPr>
                <w:sz w:val="17"/>
                <w:szCs w:val="17"/>
                <w:color w:val="auto"/>
              </w:rPr>
            </w:pPr>
          </w:p>
        </w:tc>
        <w:tc>
          <w:tcPr>
            <w:tcW w:w="160" w:type="dxa"/>
            <w:vAlign w:val="bottom"/>
            <w:shd w:val="clear" w:color="auto" w:fill="EBEBEC"/>
          </w:tcPr>
          <w:p>
            <w:pPr>
              <w:spacing w:after="0"/>
              <w:rPr>
                <w:sz w:val="17"/>
                <w:szCs w:val="17"/>
                <w:color w:val="auto"/>
              </w:rPr>
            </w:pPr>
          </w:p>
        </w:tc>
        <w:tc>
          <w:tcPr>
            <w:tcW w:w="1040" w:type="dxa"/>
            <w:vAlign w:val="bottom"/>
            <w:shd w:val="clear" w:color="auto" w:fill="EBEBEC"/>
          </w:tcPr>
          <w:p>
            <w:pPr>
              <w:jc w:val="right"/>
              <w:spacing w:after="0" w:line="202" w:lineRule="exact"/>
              <w:rPr>
                <w:sz w:val="20"/>
                <w:szCs w:val="20"/>
                <w:color w:val="auto"/>
              </w:rPr>
            </w:pPr>
            <w:r>
              <w:rPr>
                <w:rFonts w:ascii="Arial" w:cs="Arial" w:eastAsia="Arial" w:hAnsi="Arial"/>
                <w:sz w:val="18"/>
                <w:szCs w:val="18"/>
                <w:color w:val="auto"/>
              </w:rPr>
              <w:t>(81 )</w:t>
            </w:r>
          </w:p>
        </w:tc>
      </w:tr>
      <w:tr>
        <w:trPr>
          <w:trHeight w:val="203"/>
        </w:trPr>
        <w:tc>
          <w:tcPr>
            <w:tcW w:w="8040" w:type="dxa"/>
            <w:vAlign w:val="bottom"/>
            <w:shd w:val="clear" w:color="auto" w:fill="EBEBEC"/>
          </w:tcPr>
          <w:p>
            <w:pPr>
              <w:ind w:left="260"/>
              <w:spacing w:after="0" w:line="202" w:lineRule="exact"/>
              <w:rPr>
                <w:sz w:val="20"/>
                <w:szCs w:val="20"/>
                <w:color w:val="auto"/>
              </w:rPr>
            </w:pPr>
            <w:r>
              <w:rPr>
                <w:rFonts w:ascii="Arial" w:cs="Arial" w:eastAsia="Arial" w:hAnsi="Arial"/>
                <w:sz w:val="18"/>
                <w:szCs w:val="18"/>
                <w:color w:val="auto"/>
              </w:rPr>
              <w:t>Cash interest payments</w:t>
            </w:r>
          </w:p>
        </w:tc>
        <w:tc>
          <w:tcPr>
            <w:tcW w:w="240" w:type="dxa"/>
            <w:vAlign w:val="bottom"/>
            <w:shd w:val="clear" w:color="auto" w:fill="EBEBEC"/>
          </w:tcPr>
          <w:p>
            <w:pPr>
              <w:spacing w:after="0"/>
              <w:rPr>
                <w:sz w:val="17"/>
                <w:szCs w:val="17"/>
                <w:color w:val="auto"/>
              </w:rPr>
            </w:pPr>
          </w:p>
        </w:tc>
        <w:tc>
          <w:tcPr>
            <w:tcW w:w="120" w:type="dxa"/>
            <w:vAlign w:val="bottom"/>
            <w:shd w:val="clear" w:color="auto" w:fill="EBEBEC"/>
          </w:tcPr>
          <w:p>
            <w:pPr>
              <w:spacing w:after="0"/>
              <w:rPr>
                <w:sz w:val="17"/>
                <w:szCs w:val="17"/>
                <w:color w:val="auto"/>
              </w:rPr>
            </w:pPr>
          </w:p>
        </w:tc>
        <w:tc>
          <w:tcPr>
            <w:tcW w:w="1060" w:type="dxa"/>
            <w:vAlign w:val="bottom"/>
            <w:gridSpan w:val="2"/>
            <w:shd w:val="clear" w:color="auto" w:fill="EBEBEC"/>
          </w:tcPr>
          <w:p>
            <w:pPr>
              <w:jc w:val="right"/>
              <w:spacing w:after="0" w:line="202" w:lineRule="exact"/>
              <w:rPr>
                <w:sz w:val="20"/>
                <w:szCs w:val="20"/>
                <w:color w:val="auto"/>
              </w:rPr>
            </w:pPr>
            <w:r>
              <w:rPr>
                <w:rFonts w:ascii="Arial" w:cs="Arial" w:eastAsia="Arial" w:hAnsi="Arial"/>
                <w:sz w:val="18"/>
                <w:szCs w:val="18"/>
                <w:color w:val="auto"/>
              </w:rPr>
              <w:t>(22 )</w:t>
            </w:r>
          </w:p>
        </w:tc>
        <w:tc>
          <w:tcPr>
            <w:tcW w:w="220" w:type="dxa"/>
            <w:vAlign w:val="bottom"/>
            <w:shd w:val="clear" w:color="auto" w:fill="EBEBEC"/>
          </w:tcPr>
          <w:p>
            <w:pPr>
              <w:spacing w:after="0"/>
              <w:rPr>
                <w:sz w:val="17"/>
                <w:szCs w:val="17"/>
                <w:color w:val="auto"/>
              </w:rPr>
            </w:pPr>
          </w:p>
        </w:tc>
        <w:tc>
          <w:tcPr>
            <w:tcW w:w="160" w:type="dxa"/>
            <w:vAlign w:val="bottom"/>
            <w:shd w:val="clear" w:color="auto" w:fill="EBEBEC"/>
          </w:tcPr>
          <w:p>
            <w:pPr>
              <w:spacing w:after="0"/>
              <w:rPr>
                <w:sz w:val="17"/>
                <w:szCs w:val="17"/>
                <w:color w:val="auto"/>
              </w:rPr>
            </w:pPr>
          </w:p>
        </w:tc>
        <w:tc>
          <w:tcPr>
            <w:tcW w:w="1040" w:type="dxa"/>
            <w:vAlign w:val="bottom"/>
            <w:shd w:val="clear" w:color="auto" w:fill="EBEBEC"/>
          </w:tcPr>
          <w:p>
            <w:pPr>
              <w:jc w:val="right"/>
              <w:spacing w:after="0" w:line="202" w:lineRule="exact"/>
              <w:rPr>
                <w:sz w:val="20"/>
                <w:szCs w:val="20"/>
                <w:color w:val="auto"/>
              </w:rPr>
            </w:pPr>
            <w:r>
              <w:rPr>
                <w:rFonts w:ascii="Arial" w:cs="Arial" w:eastAsia="Arial" w:hAnsi="Arial"/>
                <w:sz w:val="18"/>
                <w:szCs w:val="18"/>
                <w:color w:val="auto"/>
              </w:rPr>
              <w:t>(66 )</w:t>
            </w:r>
          </w:p>
        </w:tc>
      </w:tr>
      <w:tr>
        <w:trPr>
          <w:trHeight w:val="203"/>
        </w:trPr>
        <w:tc>
          <w:tcPr>
            <w:tcW w:w="8040" w:type="dxa"/>
            <w:vAlign w:val="bottom"/>
            <w:shd w:val="clear" w:color="auto" w:fill="EBEBEC"/>
          </w:tcPr>
          <w:p>
            <w:pPr>
              <w:ind w:left="260"/>
              <w:spacing w:after="0" w:line="202" w:lineRule="exact"/>
              <w:rPr>
                <w:sz w:val="20"/>
                <w:szCs w:val="20"/>
                <w:color w:val="auto"/>
              </w:rPr>
            </w:pPr>
            <w:r>
              <w:rPr>
                <w:rFonts w:ascii="Arial" w:cs="Arial" w:eastAsia="Arial" w:hAnsi="Arial"/>
                <w:sz w:val="18"/>
                <w:szCs w:val="18"/>
                <w:color w:val="auto"/>
              </w:rPr>
              <w:t>Capital investments</w:t>
            </w:r>
          </w:p>
        </w:tc>
        <w:tc>
          <w:tcPr>
            <w:tcW w:w="240" w:type="dxa"/>
            <w:vAlign w:val="bottom"/>
            <w:shd w:val="clear" w:color="auto" w:fill="EBEBEC"/>
          </w:tcPr>
          <w:p>
            <w:pPr>
              <w:spacing w:after="0"/>
              <w:rPr>
                <w:sz w:val="17"/>
                <w:szCs w:val="17"/>
                <w:color w:val="auto"/>
              </w:rPr>
            </w:pPr>
          </w:p>
        </w:tc>
        <w:tc>
          <w:tcPr>
            <w:tcW w:w="120" w:type="dxa"/>
            <w:vAlign w:val="bottom"/>
            <w:shd w:val="clear" w:color="auto" w:fill="EBEBEC"/>
          </w:tcPr>
          <w:p>
            <w:pPr>
              <w:spacing w:after="0"/>
              <w:rPr>
                <w:sz w:val="17"/>
                <w:szCs w:val="17"/>
                <w:color w:val="auto"/>
              </w:rPr>
            </w:pPr>
          </w:p>
        </w:tc>
        <w:tc>
          <w:tcPr>
            <w:tcW w:w="960" w:type="dxa"/>
            <w:vAlign w:val="bottom"/>
            <w:shd w:val="clear" w:color="auto" w:fill="EBEBEC"/>
          </w:tcPr>
          <w:p>
            <w:pPr>
              <w:jc w:val="right"/>
              <w:spacing w:after="0" w:line="202" w:lineRule="exact"/>
              <w:rPr>
                <w:sz w:val="20"/>
                <w:szCs w:val="20"/>
                <w:color w:val="auto"/>
              </w:rPr>
            </w:pPr>
            <w:r>
              <w:rPr>
                <w:rFonts w:ascii="Arial" w:cs="Arial" w:eastAsia="Arial" w:hAnsi="Arial"/>
                <w:sz w:val="18"/>
                <w:szCs w:val="18"/>
                <w:color w:val="auto"/>
              </w:rPr>
              <w:t>(88</w:t>
            </w:r>
          </w:p>
        </w:tc>
        <w:tc>
          <w:tcPr>
            <w:tcW w:w="100" w:type="dxa"/>
            <w:vAlign w:val="bottom"/>
            <w:shd w:val="clear" w:color="auto" w:fill="EBEBEC"/>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EBEBEC"/>
          </w:tcPr>
          <w:p>
            <w:pPr>
              <w:spacing w:after="0"/>
              <w:rPr>
                <w:sz w:val="17"/>
                <w:szCs w:val="17"/>
                <w:color w:val="auto"/>
              </w:rPr>
            </w:pPr>
          </w:p>
        </w:tc>
        <w:tc>
          <w:tcPr>
            <w:tcW w:w="160" w:type="dxa"/>
            <w:vAlign w:val="bottom"/>
            <w:shd w:val="clear" w:color="auto" w:fill="EBEBEC"/>
          </w:tcPr>
          <w:p>
            <w:pPr>
              <w:spacing w:after="0"/>
              <w:rPr>
                <w:sz w:val="17"/>
                <w:szCs w:val="17"/>
                <w:color w:val="auto"/>
              </w:rPr>
            </w:pPr>
          </w:p>
        </w:tc>
        <w:tc>
          <w:tcPr>
            <w:tcW w:w="1040" w:type="dxa"/>
            <w:vAlign w:val="bottom"/>
            <w:shd w:val="clear" w:color="auto" w:fill="EBEBEC"/>
          </w:tcPr>
          <w:p>
            <w:pPr>
              <w:jc w:val="right"/>
              <w:spacing w:after="0" w:line="202" w:lineRule="exact"/>
              <w:rPr>
                <w:sz w:val="20"/>
                <w:szCs w:val="20"/>
                <w:color w:val="auto"/>
              </w:rPr>
            </w:pPr>
            <w:r>
              <w:rPr>
                <w:rFonts w:ascii="Arial" w:cs="Arial" w:eastAsia="Arial" w:hAnsi="Arial"/>
                <w:sz w:val="18"/>
                <w:szCs w:val="18"/>
                <w:color w:val="auto"/>
              </w:rPr>
              <w:t>(167 )</w:t>
            </w:r>
          </w:p>
        </w:tc>
      </w:tr>
      <w:tr>
        <w:trPr>
          <w:trHeight w:val="221"/>
        </w:trPr>
        <w:tc>
          <w:tcPr>
            <w:tcW w:w="8040" w:type="dxa"/>
            <w:vAlign w:val="bottom"/>
            <w:tcBorders>
              <w:bottom w:val="single" w:sz="8" w:color="EBEBEC"/>
            </w:tcBorders>
            <w:shd w:val="clear" w:color="auto" w:fill="EBEBEC"/>
          </w:tcPr>
          <w:p>
            <w:pPr>
              <w:ind w:left="26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EBEBEC"/>
            </w:tcBorders>
            <w:shd w:val="clear" w:color="auto" w:fill="EBEBEC"/>
          </w:tcPr>
          <w:p>
            <w:pPr>
              <w:spacing w:after="0"/>
              <w:rPr>
                <w:sz w:val="19"/>
                <w:szCs w:val="19"/>
                <w:color w:val="auto"/>
              </w:rPr>
            </w:pPr>
          </w:p>
        </w:tc>
        <w:tc>
          <w:tcPr>
            <w:tcW w:w="120" w:type="dxa"/>
            <w:vAlign w:val="bottom"/>
            <w:tcBorders>
              <w:bottom w:val="single" w:sz="8" w:color="auto"/>
            </w:tcBorders>
            <w:shd w:val="clear" w:color="auto" w:fill="EBEBEC"/>
          </w:tcPr>
          <w:p>
            <w:pPr>
              <w:spacing w:after="0"/>
              <w:rPr>
                <w:sz w:val="19"/>
                <w:szCs w:val="19"/>
                <w:color w:val="auto"/>
              </w:rPr>
            </w:pPr>
          </w:p>
        </w:tc>
        <w:tc>
          <w:tcPr>
            <w:tcW w:w="960" w:type="dxa"/>
            <w:vAlign w:val="bottom"/>
            <w:tcBorders>
              <w:bottom w:val="single" w:sz="8" w:color="auto"/>
            </w:tcBorders>
            <w:shd w:val="clear" w:color="auto" w:fill="EBEBEC"/>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auto"/>
            </w:tcBorders>
            <w:shd w:val="clear" w:color="auto" w:fill="EBEBEC"/>
          </w:tcPr>
          <w:p>
            <w:pPr>
              <w:spacing w:after="0"/>
              <w:rPr>
                <w:sz w:val="19"/>
                <w:szCs w:val="19"/>
                <w:color w:val="auto"/>
              </w:rPr>
            </w:pPr>
          </w:p>
        </w:tc>
        <w:tc>
          <w:tcPr>
            <w:tcW w:w="220" w:type="dxa"/>
            <w:vAlign w:val="bottom"/>
            <w:tcBorders>
              <w:bottom w:val="single" w:sz="8" w:color="EBEBEC"/>
            </w:tcBorders>
            <w:shd w:val="clear" w:color="auto" w:fill="EBEBEC"/>
          </w:tcPr>
          <w:p>
            <w:pPr>
              <w:spacing w:after="0"/>
              <w:rPr>
                <w:sz w:val="19"/>
                <w:szCs w:val="19"/>
                <w:color w:val="auto"/>
              </w:rPr>
            </w:pPr>
          </w:p>
        </w:tc>
        <w:tc>
          <w:tcPr>
            <w:tcW w:w="160" w:type="dxa"/>
            <w:vAlign w:val="bottom"/>
            <w:tcBorders>
              <w:bottom w:val="single" w:sz="8" w:color="auto"/>
            </w:tcBorders>
            <w:shd w:val="clear" w:color="auto" w:fill="EBEBEC"/>
          </w:tcPr>
          <w:p>
            <w:pPr>
              <w:spacing w:after="0"/>
              <w:rPr>
                <w:sz w:val="19"/>
                <w:szCs w:val="19"/>
                <w:color w:val="auto"/>
              </w:rPr>
            </w:pPr>
          </w:p>
        </w:tc>
        <w:tc>
          <w:tcPr>
            <w:tcW w:w="1040" w:type="dxa"/>
            <w:vAlign w:val="bottom"/>
            <w:tcBorders>
              <w:bottom w:val="single" w:sz="8" w:color="auto"/>
            </w:tcBorders>
            <w:shd w:val="clear" w:color="auto" w:fill="EBEBEC"/>
          </w:tcPr>
          <w:p>
            <w:pPr>
              <w:jc w:val="right"/>
              <w:ind w:right="50"/>
              <w:spacing w:after="0"/>
              <w:rPr>
                <w:sz w:val="20"/>
                <w:szCs w:val="20"/>
                <w:color w:val="auto"/>
              </w:rPr>
            </w:pPr>
            <w:r>
              <w:rPr>
                <w:rFonts w:ascii="Arial" w:cs="Arial" w:eastAsia="Arial" w:hAnsi="Arial"/>
                <w:sz w:val="18"/>
                <w:szCs w:val="18"/>
                <w:color w:val="auto"/>
              </w:rPr>
              <w:t>5</w:t>
            </w:r>
          </w:p>
        </w:tc>
      </w:tr>
      <w:tr>
        <w:trPr>
          <w:trHeight w:val="236"/>
        </w:trPr>
        <w:tc>
          <w:tcPr>
            <w:tcW w:w="8040" w:type="dxa"/>
            <w:vAlign w:val="bottom"/>
            <w:tcBorders>
              <w:bottom w:val="single" w:sz="8" w:color="EBEBEC"/>
            </w:tcBorders>
            <w:shd w:val="clear" w:color="auto" w:fill="EBEBEC"/>
          </w:tcPr>
          <w:p>
            <w:pPr>
              <w:spacing w:after="0" w:line="182" w:lineRule="exact"/>
              <w:rPr>
                <w:sz w:val="20"/>
                <w:szCs w:val="20"/>
                <w:color w:val="auto"/>
              </w:rPr>
            </w:pPr>
            <w:r>
              <w:rPr>
                <w:rFonts w:ascii="Arial" w:cs="Arial" w:eastAsia="Arial" w:hAnsi="Arial"/>
                <w:sz w:val="18"/>
                <w:szCs w:val="18"/>
                <w:color w:val="auto"/>
              </w:rPr>
              <w:t>Free Cash Flow, AIP</w:t>
            </w:r>
          </w:p>
        </w:tc>
        <w:tc>
          <w:tcPr>
            <w:tcW w:w="240" w:type="dxa"/>
            <w:vAlign w:val="bottom"/>
            <w:tcBorders>
              <w:bottom w:val="single" w:sz="8" w:color="EBEBEC"/>
            </w:tcBorders>
            <w:shd w:val="clear" w:color="auto" w:fill="EBEBEC"/>
          </w:tcPr>
          <w:p>
            <w:pPr>
              <w:spacing w:after="0"/>
              <w:rPr>
                <w:sz w:val="20"/>
                <w:szCs w:val="20"/>
                <w:color w:val="auto"/>
              </w:rPr>
            </w:pPr>
          </w:p>
        </w:tc>
        <w:tc>
          <w:tcPr>
            <w:tcW w:w="120" w:type="dxa"/>
            <w:vAlign w:val="bottom"/>
            <w:tcBorders>
              <w:bottom w:val="single" w:sz="8" w:color="auto"/>
            </w:tcBorders>
            <w:shd w:val="clear" w:color="auto" w:fill="EBEBEC"/>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EBEBEC"/>
          </w:tcPr>
          <w:p>
            <w:pPr>
              <w:jc w:val="right"/>
              <w:spacing w:after="0" w:line="182" w:lineRule="exact"/>
              <w:rPr>
                <w:sz w:val="20"/>
                <w:szCs w:val="20"/>
                <w:color w:val="auto"/>
              </w:rPr>
            </w:pPr>
            <w:r>
              <w:rPr>
                <w:rFonts w:ascii="Arial" w:cs="Arial" w:eastAsia="Arial" w:hAnsi="Arial"/>
                <w:sz w:val="18"/>
                <w:szCs w:val="18"/>
                <w:color w:val="auto"/>
              </w:rPr>
              <w:t>180</w:t>
            </w:r>
          </w:p>
        </w:tc>
        <w:tc>
          <w:tcPr>
            <w:tcW w:w="100" w:type="dxa"/>
            <w:vAlign w:val="bottom"/>
            <w:tcBorders>
              <w:bottom w:val="single" w:sz="8" w:color="auto"/>
            </w:tcBorders>
            <w:shd w:val="clear" w:color="auto" w:fill="EBEBEC"/>
          </w:tcPr>
          <w:p>
            <w:pPr>
              <w:spacing w:after="0"/>
              <w:rPr>
                <w:sz w:val="20"/>
                <w:szCs w:val="20"/>
                <w:color w:val="auto"/>
              </w:rPr>
            </w:pPr>
          </w:p>
        </w:tc>
        <w:tc>
          <w:tcPr>
            <w:tcW w:w="220" w:type="dxa"/>
            <w:vAlign w:val="bottom"/>
            <w:tcBorders>
              <w:bottom w:val="single" w:sz="8" w:color="EBEBEC"/>
            </w:tcBorders>
            <w:shd w:val="clear" w:color="auto" w:fill="EBEBEC"/>
          </w:tcPr>
          <w:p>
            <w:pPr>
              <w:spacing w:after="0"/>
              <w:rPr>
                <w:sz w:val="20"/>
                <w:szCs w:val="20"/>
                <w:color w:val="auto"/>
              </w:rPr>
            </w:pPr>
          </w:p>
        </w:tc>
        <w:tc>
          <w:tcPr>
            <w:tcW w:w="160" w:type="dxa"/>
            <w:vAlign w:val="bottom"/>
            <w:tcBorders>
              <w:bottom w:val="single" w:sz="8" w:color="auto"/>
            </w:tcBorders>
            <w:shd w:val="clear" w:color="auto" w:fill="EBEBEC"/>
          </w:tcPr>
          <w:p>
            <w:pPr>
              <w:jc w:val="right"/>
              <w:spacing w:after="0" w:line="182"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BEBEC"/>
          </w:tcPr>
          <w:p>
            <w:pPr>
              <w:jc w:val="right"/>
              <w:ind w:right="50"/>
              <w:spacing w:after="0" w:line="182" w:lineRule="exact"/>
              <w:rPr>
                <w:sz w:val="20"/>
                <w:szCs w:val="20"/>
                <w:color w:val="auto"/>
              </w:rPr>
            </w:pPr>
            <w:r>
              <w:rPr>
                <w:rFonts w:ascii="Arial" w:cs="Arial" w:eastAsia="Arial" w:hAnsi="Arial"/>
                <w:sz w:val="18"/>
                <w:szCs w:val="18"/>
                <w:color w:val="auto"/>
              </w:rPr>
              <w:t>412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-161925</wp:posOffset>
            </wp:positionV>
            <wp:extent cx="14605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14605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14605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9291955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988060</wp:posOffset>
            </wp:positionH>
            <wp:positionV relativeFrom="page">
              <wp:posOffset>929005</wp:posOffset>
            </wp:positionV>
            <wp:extent cx="5572125" cy="74663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clrChange>
                        <a:clrFrom>
                          <a:srgbClr val="FFFFFF"/>
                        </a:clrFrom>
                        <a:clrTo>
                          <a:srgbClr val="FFFFFF">
                            <a:alpha val="0"/>
                          </a:srgbClr>
                        </a:clrTo>
                      </a:clrChange>
                      <a:extLst>
                        <a:ext uri="{28A0092B-C50C-407E-A947-70E740481C1C}"/>
                      </a:extLst>
                    </a:blip>
                    <a:srcRect/>
                    <a:stretch>
                      <a:fillRect/>
                    </a:stretch>
                  </pic:blipFill>
                  <pic:spPr bwMode="auto">
                    <a:xfrm>
                      <a:off x="0" y="0"/>
                      <a:ext cx="5572125" cy="746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5"/>
          <w:szCs w:val="5"/>
          <w:color w:val="FFFFFF"/>
        </w:rPr>
        <w:t>A DIFFERENT KIND OF ENERGY COMPANY</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5"/>
          <w:szCs w:val="5"/>
          <w:color w:val="FFFFFF"/>
        </w:rPr>
        <w:t>FSC www.fsc.org MIX Paper | Supporting responsible forestry</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5"/>
          <w:szCs w:val="5"/>
          <w:color w:val="FFFFFF"/>
        </w:rPr>
        <w:t>FSC® C132107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175895</wp:posOffset>
            </wp:positionV>
            <wp:extent cx="5572125" cy="72180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572125" cy="7218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
          <w:szCs w:val="2"/>
          <w:color w:val="FFFFFF"/>
        </w:rPr>
        <w:t xml:space="preserve">CALIFORNIA RESOURCES CORPORATION 1 World Trade Center, Suite 1500 Long Beach, CA 90831 SCAN TO VIEW MATERIALS &amp; VOTE VOTE BY INTERNET </w:t>
      </w:r>
      <w:r>
        <w:rPr>
          <w:rFonts w:ascii="Arial" w:cs="Arial" w:eastAsia="Arial" w:hAnsi="Arial"/>
          <w:sz w:val="2"/>
          <w:szCs w:val="2"/>
          <w:i w:val="1"/>
          <w:iCs w:val="1"/>
          <w:color w:val="FFFFFF"/>
        </w:rPr>
        <w:t>Before The Meeting</w:t>
      </w:r>
      <w:r>
        <w:rPr>
          <w:rFonts w:ascii="Arial" w:cs="Arial" w:eastAsia="Arial" w:hAnsi="Arial"/>
          <w:sz w:val="2"/>
          <w:szCs w:val="2"/>
          <w:color w:val="FFFFFF"/>
        </w:rPr>
        <w:t xml:space="preserve"> – Go to www.proxyvote.com or scan the QR Barcode above 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 </w:t>
      </w:r>
      <w:r>
        <w:rPr>
          <w:rFonts w:ascii="Arial" w:cs="Arial" w:eastAsia="Arial" w:hAnsi="Arial"/>
          <w:sz w:val="2"/>
          <w:szCs w:val="2"/>
          <w:i w:val="1"/>
          <w:iCs w:val="1"/>
          <w:color w:val="FFFFFF"/>
        </w:rPr>
        <w:t>During The Meeting</w:t>
      </w:r>
      <w:r>
        <w:rPr>
          <w:rFonts w:ascii="Arial" w:cs="Arial" w:eastAsia="Arial" w:hAnsi="Arial"/>
          <w:sz w:val="2"/>
          <w:szCs w:val="2"/>
          <w:color w:val="FFFFFF"/>
        </w:rPr>
        <w:t xml:space="preserve"> – Go to www.virtualshareholdermeeting.com/CRC2025 You may attend the meeting via the Internet and</w:t>
      </w:r>
    </w:p>
    <w:p>
      <w:pPr>
        <w:spacing w:after="0" w:line="20" w:lineRule="exact"/>
        <w:rPr>
          <w:sz w:val="20"/>
          <w:szCs w:val="20"/>
          <w:color w:val="auto"/>
        </w:rPr>
      </w:pPr>
    </w:p>
    <w:p>
      <w:pPr>
        <w:ind w:left="900"/>
        <w:spacing w:after="0"/>
        <w:rPr>
          <w:sz w:val="20"/>
          <w:szCs w:val="20"/>
          <w:color w:val="auto"/>
        </w:rPr>
      </w:pPr>
      <w:r>
        <w:rPr>
          <w:rFonts w:ascii="Arial" w:cs="Arial" w:eastAsia="Arial" w:hAnsi="Arial"/>
          <w:sz w:val="2"/>
          <w:szCs w:val="2"/>
          <w:color w:val="FFFFFF"/>
        </w:rPr>
        <w:t>vote during the meeting. Have the information that is printed in the box marked by the arrow available and follow the instructions. VOTE BY PHONE – 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w:t>
      </w:r>
    </w:p>
    <w:p>
      <w:pPr>
        <w:spacing w:after="0" w:line="14" w:lineRule="exact"/>
        <w:rPr>
          <w:sz w:val="20"/>
          <w:szCs w:val="20"/>
          <w:color w:val="auto"/>
        </w:rPr>
      </w:pPr>
    </w:p>
    <w:p>
      <w:pPr>
        <w:spacing w:after="0"/>
        <w:rPr>
          <w:sz w:val="20"/>
          <w:szCs w:val="20"/>
          <w:color w:val="auto"/>
        </w:rPr>
      </w:pPr>
      <w:r>
        <w:rPr>
          <w:rFonts w:ascii="Arial" w:cs="Arial" w:eastAsia="Arial" w:hAnsi="Arial"/>
          <w:sz w:val="4"/>
          <w:szCs w:val="4"/>
          <w:color w:val="FFFFFF"/>
        </w:rPr>
        <w:t>TO VOTE, MARK BLOCKS BELOW IN BLUE OR BLACK INK AS FOLLOWS: V66046-P27435 KEEP THIS PORTION FOR YOU RECORDS DETACH AND RETURN THIS PORTION ONLY 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760730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0" w:right="359" w:bottom="1440" w:gutter="0" w:footer="0" w:header="0"/>
        </w:sectPr>
      </w:pPr>
    </w:p>
    <w:bookmarkStart w:id="83" w:name="page84"/>
    <w:bookmarkEnd w:id="83"/>
    <w:p>
      <w:pPr>
        <w:ind w:left="1040"/>
        <w:spacing w:after="0"/>
        <w:rPr>
          <w:sz w:val="20"/>
          <w:szCs w:val="20"/>
          <w:color w:val="auto"/>
        </w:rPr>
      </w:pPr>
      <w:r>
        <w:rPr>
          <w:rFonts w:ascii="Arial" w:cs="Arial" w:eastAsia="Arial" w:hAnsi="Arial"/>
          <w:sz w:val="2"/>
          <w:szCs w:val="2"/>
          <w:color w:val="FFFFFF"/>
        </w:rPr>
        <w:t>CALIFORNIA RESOURCES CORPORATION The Board of Directors recommends you vote FOR the following: 1. Election of Directors Nominees: 01) Andrew B. Bremner 02) Tiffany (TJ) Thom Cepak 03) James N. Chapman 04) James R. Jackson 05) Christian S. Kendall 06) Francisco J. Leon 07) Mark A. (Mac) McFarland 08) William B. Roby 09) Bobby Saadati 10) Alejandra (Ale) Veltmann For All Withhold All For All Except To withhold authority to vote for any individual nominee(s), mark “For All Except” and write the number(s) of the nominee(s) on the line below. _____</w:t>
      </w:r>
    </w:p>
    <w:p>
      <w:pPr>
        <w:spacing w:after="0" w:line="14" w:lineRule="exact"/>
        <w:rPr>
          <w:sz w:val="20"/>
          <w:szCs w:val="20"/>
          <w:color w:val="auto"/>
        </w:rPr>
      </w:pPr>
    </w:p>
    <w:p>
      <w:pPr>
        <w:ind w:left="4900"/>
        <w:spacing w:after="0"/>
        <w:rPr>
          <w:sz w:val="20"/>
          <w:szCs w:val="20"/>
          <w:color w:val="auto"/>
        </w:rPr>
      </w:pPr>
      <w:r>
        <w:rPr>
          <w:rFonts w:ascii="Arial" w:cs="Arial" w:eastAsia="Arial" w:hAnsi="Arial"/>
          <w:sz w:val="4"/>
          <w:szCs w:val="4"/>
          <w:color w:val="FFFFFF"/>
        </w:rPr>
        <w:t>The Board of Directors recommends you vote FOR proposals 2 and 3: For Against Abstain</w:t>
      </w:r>
    </w:p>
    <w:p>
      <w:pPr>
        <w:ind w:left="3900" w:hanging="46"/>
        <w:spacing w:after="0" w:line="211" w:lineRule="auto"/>
        <w:tabs>
          <w:tab w:leader="none" w:pos="3900" w:val="left"/>
        </w:tabs>
        <w:numPr>
          <w:ilvl w:val="0"/>
          <w:numId w:val="54"/>
        </w:numPr>
        <w:rPr>
          <w:rFonts w:ascii="Arial" w:cs="Arial" w:eastAsia="Arial" w:hAnsi="Arial"/>
          <w:sz w:val="4"/>
          <w:szCs w:val="4"/>
          <w:color w:val="FFFFFF"/>
        </w:rPr>
      </w:pPr>
      <w:r>
        <w:rPr>
          <w:rFonts w:ascii="Arial" w:cs="Arial" w:eastAsia="Arial" w:hAnsi="Arial"/>
          <w:sz w:val="4"/>
          <w:szCs w:val="4"/>
          <w:color w:val="FFFFFF"/>
        </w:rPr>
        <w:t>Ratification of the appointment of KPMG LLP as our independent registered public accounting firm for our fiscal year ending December 31, 2025 3. To approve, by non-binding vote, named executive officer compensation.</w:t>
      </w:r>
    </w:p>
    <w:p>
      <w:pPr>
        <w:spacing w:after="0" w:line="221" w:lineRule="auto"/>
        <w:rPr>
          <w:rFonts w:ascii="Arial" w:cs="Arial" w:eastAsia="Arial" w:hAnsi="Arial"/>
          <w:sz w:val="4"/>
          <w:szCs w:val="4"/>
          <w:color w:val="FFFFFF"/>
        </w:rPr>
      </w:pPr>
      <w:r>
        <w:rPr>
          <w:rFonts w:ascii="Arial" w:cs="Arial" w:eastAsia="Arial" w:hAnsi="Arial"/>
          <w:sz w:val="4"/>
          <w:szCs w:val="4"/>
          <w:color w:val="FFFFFF"/>
        </w:rPr>
        <w:t>Please sign exactly as your name(s) appear(s) hereon. When signing as attorney, executor, administrator, or any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2540</wp:posOffset>
            </wp:positionV>
            <wp:extent cx="5572125" cy="72180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572125" cy="7218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3"/>
          <w:szCs w:val="3"/>
          <w:color w:val="FFFFFF"/>
        </w:rPr>
        <w:t>Important Notice Regarding the Availability of Proxy Materials for the Annual Meeting: The Notice and Proxy Statement and 10K Wrap are available at www.proxyvote.com. V66047-P27435</w:t>
      </w:r>
    </w:p>
    <w:p>
      <w:pPr>
        <w:spacing w:after="0" w:line="187" w:lineRule="auto"/>
        <w:rPr>
          <w:sz w:val="20"/>
          <w:szCs w:val="20"/>
          <w:color w:val="auto"/>
        </w:rPr>
      </w:pPr>
      <w:r>
        <w:rPr>
          <w:rFonts w:ascii="Arial" w:cs="Arial" w:eastAsia="Arial" w:hAnsi="Arial"/>
          <w:sz w:val="3"/>
          <w:szCs w:val="3"/>
          <w:color w:val="FFFFFF"/>
        </w:rPr>
        <w:t>CALIFORNIA RESOURCES CORPORATION Annual Meeting of Shareholders May 2, 2025 11:00 a.m. Pacific Time This proxy is solicited by the Board of Directors The shareholder(s) hereby appoint(s) Francisco J. Leon and Tiffany (TJ) Thom Cepak, as proxies, each with the power to appoint his or her substitute, and hereby authorize(s) him or her to represent and to vote, as designated on the reverse side of this ballot, all of the shares of Common Stock of California Resources Corporation that the shareholder(s) is/are entitled to vote at the Annual Meeting of Shareholders to be held at 11:00 a.m., Pacific Time on Friday, May 2, 2024, virtually at www.virtualshareholdermeeting.com/CRC2025, and any adjournment or postponement thereof.</w:t>
      </w:r>
    </w:p>
    <w:p>
      <w:pPr>
        <w:spacing w:after="0" w:line="226" w:lineRule="auto"/>
        <w:rPr>
          <w:sz w:val="20"/>
          <w:szCs w:val="20"/>
          <w:color w:val="auto"/>
        </w:rPr>
      </w:pPr>
      <w:r>
        <w:rPr>
          <w:rFonts w:ascii="Arial" w:cs="Arial" w:eastAsia="Arial" w:hAnsi="Arial"/>
          <w:sz w:val="3"/>
          <w:szCs w:val="3"/>
          <w:color w:val="FFFFFF"/>
        </w:rPr>
        <w:t>THIS PROXY, WHEN PROPERLY EXECUTED, WILL BE VOTED AS DIRECTED BY THE SHAREHOLDER(S). IF NO SUCH DIRECTIONS ARE MADE, THIS PROXY WILL BE VOTED FOR THE ELECTION OF THE NOMINEES LISTED ON THE REVERSE SIDE FOR THE BOARD OF DIRECTORS AND FOR PROPOSALS 2 AND 3. PLEASE MARK, SIGN, DATE AND RETURN THIS PROXY CARD PROMPTLY USING THE ENCLOSED REPLY ENVELOPE. CONTINUE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753745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20" w:top="1253" w:right="1379" w:bottom="1440" w:gutter="0" w:footer="0" w:header="0"/>
        </w:sectPr>
      </w:pPr>
    </w:p>
    <w:bookmarkStart w:id="84" w:name="page85"/>
    <w:bookmarkEnd w:id="8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1)"/>
      <w:numFmt w:val="decimal"/>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lvl w:ilvl="1">
      <w:lvlJc w:val="left"/>
      <w:lvlText w:val="o"/>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lvl w:ilvl="1">
      <w:lvlJc w:val="left"/>
      <w:lvlText w:val="o"/>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1)"/>
      <w:numFmt w:val="decimal"/>
      <w:start w:val="1"/>
    </w:lvl>
  </w:abstractNum>
  <w:abstractNum w:abstractNumId="27">
    <w:nsid w:val="153EA438"/>
    <w:multiLevelType w:val="hybridMultilevel"/>
    <w:lvl w:ilvl="0">
      <w:lvlJc w:val="left"/>
      <w:lvlText w:val="(%1)"/>
      <w:numFmt w:val="decimal"/>
      <w:start w:val="6"/>
    </w:lvl>
  </w:abstractNum>
  <w:abstractNum w:abstractNumId="28">
    <w:nsid w:val="3855585C"/>
    <w:multiLevelType w:val="hybridMultilevel"/>
    <w:lvl w:ilvl="0">
      <w:lvlJc w:val="left"/>
      <w:lvlText w:val="%1"/>
      <w:numFmt w:val="decimal"/>
      <w:start w:val="1"/>
    </w:lvl>
    <w:lvl w:ilvl="1">
      <w:lvlJc w:val="left"/>
      <w:lvlText w:val="(%2)"/>
      <w:numFmt w:val="lowerLetter"/>
      <w:start w:val="1"/>
    </w:lvl>
  </w:abstractNum>
  <w:abstractNum w:abstractNumId="29">
    <w:nsid w:val="70A64E2A"/>
    <w:multiLevelType w:val="hybridMultilevel"/>
    <w:lvl w:ilvl="0">
      <w:lvlJc w:val="left"/>
      <w:lvlText w:val="(%1)"/>
      <w:numFmt w:val="decimal"/>
      <w:start w:val="7"/>
    </w:lvl>
    <w:lvl w:ilvl="1">
      <w:lvlJc w:val="left"/>
      <w:lvlText w:val="%2"/>
      <w:numFmt w:val="lowerLetter"/>
      <w:start w:val="1"/>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1)"/>
      <w:numFmt w:val="decimal"/>
      <w:start w:val="2"/>
    </w:lvl>
  </w:abstractNum>
  <w:abstractNum w:abstractNumId="32">
    <w:nsid w:val="1D4ED43B"/>
    <w:multiLevelType w:val="hybridMultilevel"/>
    <w:lvl w:ilvl="0">
      <w:lvlJc w:val="left"/>
      <w:lvlText w:val="(%1)"/>
      <w:numFmt w:val="decimal"/>
      <w:start w:val="4"/>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decimal"/>
      <w:start w:val="9"/>
    </w:lvl>
  </w:abstractNum>
  <w:abstractNum w:abstractNumId="35">
    <w:nsid w:val="57E4CCAF"/>
    <w:multiLevelType w:val="hybridMultilevel"/>
    <w:lvl w:ilvl="0">
      <w:lvlJc w:val="left"/>
      <w:lvlText w:val="(%1)"/>
      <w:numFmt w:val="decimal"/>
      <w:start w:val="1"/>
    </w:lvl>
  </w:abstractNum>
  <w:abstractNum w:abstractNumId="36">
    <w:nsid w:val="7A6D8D3C"/>
    <w:multiLevelType w:val="hybridMultilevel"/>
    <w:lvl w:ilvl="0">
      <w:lvlJc w:val="left"/>
      <w:lvlText w:val="(%1)"/>
      <w:numFmt w:val="decimal"/>
      <w:start w:val="1"/>
    </w:lvl>
  </w:abstractNum>
  <w:abstractNum w:abstractNumId="37">
    <w:nsid w:val="4B588F54"/>
    <w:multiLevelType w:val="hybridMultilevel"/>
    <w:lvl w:ilvl="0">
      <w:lvlJc w:val="left"/>
      <w:lvlText w:val="(%1)"/>
      <w:numFmt w:val="decimal"/>
      <w:start w:val="2"/>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1)"/>
      <w:numFmt w:val="decimal"/>
      <w:start w:val="1"/>
    </w:lvl>
    <w:lvl w:ilvl="1">
      <w:lvlJc w:val="left"/>
      <w:lvlText w:val="•"/>
      <w:numFmt w:val="bullet"/>
      <w:start w:val="1"/>
    </w:lvl>
  </w:abstractNum>
  <w:abstractNum w:abstractNumId="44">
    <w:nsid w:val="579478FE"/>
    <w:multiLevelType w:val="hybridMultilevel"/>
    <w:lvl w:ilvl="0">
      <w:lvlJc w:val="left"/>
      <w:lvlText w:val="(%1)"/>
      <w:numFmt w:val="decimal"/>
      <w:start w:val="2"/>
    </w:lvl>
  </w:abstractNum>
  <w:abstractNum w:abstractNumId="45">
    <w:nsid w:val="749ABB43"/>
    <w:multiLevelType w:val="hybridMultilevel"/>
    <w:lvl w:ilvl="0">
      <w:lvlJc w:val="left"/>
      <w:lvlText w:val="(%1)"/>
      <w:numFmt w:val="decimal"/>
      <w:start w:val="3"/>
    </w:lvl>
  </w:abstractNum>
  <w:abstractNum w:abstractNumId="46">
    <w:nsid w:val="3DC240FB"/>
    <w:multiLevelType w:val="hybridMultilevel"/>
    <w:lvl w:ilvl="0">
      <w:lvlJc w:val="left"/>
      <w:lvlText w:val="•"/>
      <w:numFmt w:val="bullet"/>
      <w:start w:val="1"/>
    </w:lvl>
    <w:lvl w:ilvl="1">
      <w:lvlJc w:val="left"/>
      <w:lvlText w:val="•"/>
      <w:numFmt w:val="bullet"/>
      <w:start w:val="1"/>
    </w:lvl>
  </w:abstractNum>
  <w:abstractNum w:abstractNumId="47">
    <w:nsid w:val="1BA026FA"/>
    <w:multiLevelType w:val="hybridMultilevel"/>
    <w:lvl w:ilvl="0">
      <w:lvlJc w:val="left"/>
      <w:lvlText w:val="(%1)"/>
      <w:numFmt w:val="decimal"/>
      <w:start w:val="1"/>
    </w:lvl>
  </w:abstractNum>
  <w:abstractNum w:abstractNumId="48">
    <w:nsid w:val="79A1DEAA"/>
    <w:multiLevelType w:val="hybridMultilevel"/>
    <w:lvl w:ilvl="0">
      <w:lvlJc w:val="left"/>
      <w:lvlText w:val="(%1)"/>
      <w:numFmt w:val="decimal"/>
      <w:start w:val="2"/>
    </w:lvl>
  </w:abstractNum>
  <w:abstractNum w:abstractNumId="49">
    <w:nsid w:val="75C6C33A"/>
    <w:multiLevelType w:val="hybridMultilevel"/>
    <w:lvl w:ilvl="0">
      <w:lvlJc w:val="left"/>
      <w:lvlText w:val="(%1)"/>
      <w:numFmt w:val="decimal"/>
      <w:start w:val="1"/>
    </w:lvl>
  </w:abstractNum>
  <w:abstractNum w:abstractNumId="50">
    <w:nsid w:val="12E685FB"/>
    <w:multiLevelType w:val="hybridMultilevel"/>
    <w:lvl w:ilvl="0">
      <w:lvlJc w:val="left"/>
      <w:lvlText w:val="(%1)"/>
      <w:numFmt w:val="decimal"/>
      <w:start w:val="6"/>
    </w:lvl>
  </w:abstractNum>
  <w:abstractNum w:abstractNumId="51">
    <w:nsid w:val="70C6A529"/>
    <w:multiLevelType w:val="hybridMultilevel"/>
    <w:lvl w:ilvl="0">
      <w:lvlJc w:val="left"/>
      <w:lvlText w:val="(%1)"/>
      <w:numFmt w:val="decimal"/>
      <w:start w:val="1"/>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2025-03-19T16:00:58Z</dcterms:created>
  <dcterms:modified xsi:type="dcterms:W3CDTF">2025-03-19T16:00:58Z</dcterms:modified>
</cp:coreProperties>
</file>