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06/16/2021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192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175,000</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D</w:t>
            </w:r>
          </w:p>
        </w:tc>
        <w:tc>
          <w:tcPr>
            <w:tcW w:w="660" w:type="dxa"/>
            <w:vAlign w:val="bottom"/>
          </w:tcPr>
          <w:p>
            <w:pPr>
              <w:jc w:val="right"/>
              <w:ind w:right="2"/>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32.79</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15,001,592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17"/>
                <w:szCs w:val="17"/>
                <w:color w:val="0000FF"/>
                <w:w w:val="95"/>
              </w:rPr>
              <w:t>See Footnotes</w:t>
            </w:r>
            <w:r>
              <w:rPr>
                <w:rFonts w:ascii="Arial" w:cs="Arial" w:eastAsia="Arial" w:hAnsi="Arial"/>
                <w:sz w:val="22"/>
                <w:szCs w:val="22"/>
                <w:color w:val="008000"/>
                <w:w w:val="95"/>
                <w:vertAlign w:val="superscript"/>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06/17/2021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192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150,000</w:t>
            </w:r>
            <w:r>
              <w:rPr>
                <w:rFonts w:ascii="Arial" w:cs="Arial" w:eastAsia="Arial" w:hAnsi="Arial"/>
                <w:sz w:val="9"/>
                <w:szCs w:val="9"/>
                <w:color w:val="008000"/>
              </w:rPr>
              <w:t>(1)(2)(3)(4)(5)(6)(7)</w:t>
            </w:r>
          </w:p>
        </w:tc>
        <w:tc>
          <w:tcPr>
            <w:tcW w:w="260" w:type="dxa"/>
            <w:vAlign w:val="bottom"/>
          </w:tcPr>
          <w:p>
            <w:pPr>
              <w:ind w:left="40"/>
              <w:spacing w:after="0" w:line="168" w:lineRule="exact"/>
              <w:rPr>
                <w:sz w:val="20"/>
                <w:szCs w:val="20"/>
                <w:color w:val="auto"/>
              </w:rPr>
            </w:pPr>
            <w:r>
              <w:rPr>
                <w:rFonts w:ascii="Arial" w:cs="Arial" w:eastAsia="Arial" w:hAnsi="Arial"/>
                <w:sz w:val="17"/>
                <w:szCs w:val="17"/>
                <w:color w:val="0000FF"/>
              </w:rPr>
              <w:t>D</w:t>
            </w:r>
          </w:p>
        </w:tc>
        <w:tc>
          <w:tcPr>
            <w:tcW w:w="660" w:type="dxa"/>
            <w:vAlign w:val="bottom"/>
          </w:tcPr>
          <w:p>
            <w:pPr>
              <w:jc w:val="right"/>
              <w:ind w:right="2"/>
              <w:spacing w:after="0" w:line="168" w:lineRule="exact"/>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31.34</w:t>
            </w:r>
          </w:p>
        </w:tc>
        <w:tc>
          <w:tcPr>
            <w:tcW w:w="196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FF"/>
                <w:vertAlign w:val="subscript"/>
              </w:rPr>
              <w:t>14,851,592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2"/>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2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AF V Energy IV AIV 1B,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0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V Energy IV AIV 2,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AEOF ECR AIV A-B,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AEOF ECR AIV C,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AF Energy Feeder,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w w:val="98"/>
              </w:rPr>
            </w:pPr>
            <w:hyperlink r:id="rId25">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-8067675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-8067675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-7365365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-7365365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-6713855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-6713855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-6282055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-6282055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-5579745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-5579745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-4928235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-4928235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-4496435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-4496435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-3794125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-3794125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-3142615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-3142615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-2711450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-2711450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-2009140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-2009140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-1357630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-1357630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0"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w w:val="95"/>
              </w:rPr>
            </w:pPr>
            <w:hyperlink r:id="rId56">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gridSpan w:val="3"/>
          </w:tcPr>
          <w:p>
            <w:pPr>
              <w:spacing w:after="0" w:line="221" w:lineRule="exact"/>
              <w:rPr>
                <w:rFonts w:ascii="Arial" w:cs="Arial" w:eastAsia="Arial" w:hAnsi="Arial"/>
                <w:sz w:val="21"/>
                <w:szCs w:val="21"/>
                <w:color w:val="0000EE"/>
              </w:rPr>
            </w:pPr>
            <w:hyperlink r:id="rId57">
              <w:r>
                <w:rPr>
                  <w:rFonts w:ascii="Arial" w:cs="Arial" w:eastAsia="Arial" w:hAnsi="Arial"/>
                  <w:sz w:val="21"/>
                  <w:szCs w:val="21"/>
                  <w:color w:val="0000EE"/>
                </w:rPr>
                <w:t>SSF IV Energy I AIV 2,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752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809240" cy="37528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14,851,592 shares of Common Stock by reason of the direct or indirect beneficial ownership of such shares as follows: (i) ACOF AIV 1A directly holds 699,769 shares of Common Stock, (ii) ACOF AIV 1B directly holds 2,560,797 shares of Common Stock, (iii) ACOF AIV 2 directly holds 2,608,687 shares of Common Stock, (iv) AEOF AIV A-B directly holds 1,894,861 shares of Common Stock, (v) AEOF AIV C directly holds 804,524 shares of Common Stock, (vi) SSF AIV 1A directly holds 139,929 shares of Common Stock, (vii) SSF AIV 1B directly holds 124,754 shares of Common Stock, (viii) SSF AIV 2 directly holds 203,089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140"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8680" w:space="80"/>
            <w:col w:w="2140"/>
          </w:cols>
          <w:pgMar w:left="480" w:top="140"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AF V ENERGY IV AIV 2,</w:t>
      </w:r>
      <w:r>
        <w:rPr>
          <w:sz w:val="20"/>
          <w:szCs w:val="20"/>
          <w:color w:val="auto"/>
        </w:rPr>
        <w:tab/>
      </w: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ectPr>
          <w:pgSz w:w="11900" w:h="16838" w:orient="portrait"/>
          <w:cols w:equalWidth="0" w:num="1">
            <w:col w:w="10900"/>
          </w:cols>
          <w:pgMar w:left="480" w:top="140"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715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8" Type="http://schemas.openxmlformats.org/officeDocument/2006/relationships/hyperlink" Target="http://www.sec.gov/cgi-bin/browse-edgar?action=getcompany&amp;CIK=0001831195" TargetMode="External"/><Relationship Id="rId21" Type="http://schemas.openxmlformats.org/officeDocument/2006/relationships/hyperlink" Target="http://www.sec.gov/cgi-bin/browse-edgar?action=getcompany&amp;CIK=0001831196" TargetMode="External"/><Relationship Id="rId22" Type="http://schemas.openxmlformats.org/officeDocument/2006/relationships/hyperlink" Target="http://www.sec.gov/cgi-bin/browse-edgar?action=getcompany&amp;CIK=0001831200" TargetMode="External"/><Relationship Id="rId23" Type="http://schemas.openxmlformats.org/officeDocument/2006/relationships/hyperlink" Target="http://www.sec.gov/cgi-bin/browse-edgar?action=getcompany&amp;CIK=0001831202" TargetMode="External"/><Relationship Id="rId24" Type="http://schemas.openxmlformats.org/officeDocument/2006/relationships/hyperlink" Target="http://www.sec.gov/cgi-bin/browse-edgar?action=getcompany&amp;CIK=0001831203" TargetMode="External"/><Relationship Id="rId25" Type="http://schemas.openxmlformats.org/officeDocument/2006/relationships/hyperlink" Target="http://www.sec.gov/cgi-bin/browse-edgar?action=getcompany&amp;CIK=0001831197" TargetMode="External"/><Relationship Id="rId56" Type="http://schemas.openxmlformats.org/officeDocument/2006/relationships/hyperlink" Target="http://www.sec.gov/cgi-bin/browse-edgar?action=getcompany&amp;CIK=0001831198" TargetMode="External"/><Relationship Id="rId57"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2021-06-21T15:06:25Z</dcterms:created>
  <dcterms:modified xsi:type="dcterms:W3CDTF">2021-06-21T15:06:25Z</dcterms:modified>
</cp:coreProperties>
</file>