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4" w:before="116" w:after="283"/>
        <w:jc w:val="right"/>
        <w:rPr>
          <w:rFonts w:ascii="Times New Roman;serif" w:hAnsi="Times New Roman;serif"/>
          <w:b w:val="false"/>
          <w:color w:val="000000"/>
          <w:sz w:val="22"/>
        </w:rPr>
      </w:pPr>
      <w:r>
        <w:rPr>
          <w:rFonts w:ascii="Times New Roman;serif" w:hAnsi="Times New Roman;serif"/>
          <w:b w:val="false"/>
          <w:color w:val="000000"/>
          <w:sz w:val="22"/>
        </w:rPr>
        <w:t>Filed by California Resources Corporation</w:t>
      </w:r>
    </w:p>
    <w:p>
      <w:pPr>
        <w:pStyle w:val="TextBody"/>
        <w:bidi w:val="0"/>
        <w:spacing w:lineRule="auto" w:line="264" w:before="0" w:after="0"/>
        <w:jc w:val="right"/>
        <w:rPr>
          <w:rFonts w:ascii="Times New Roman;serif" w:hAnsi="Times New Roman;serif"/>
          <w:b w:val="false"/>
          <w:color w:val="000000"/>
          <w:sz w:val="22"/>
        </w:rPr>
      </w:pPr>
      <w:r>
        <w:rPr>
          <w:rFonts w:ascii="Times New Roman;serif" w:hAnsi="Times New Roman;serif"/>
          <w:b w:val="false"/>
          <w:color w:val="000000"/>
          <w:sz w:val="22"/>
        </w:rPr>
        <w:t>Pursuant to Rule 425 under the Securities Act of 1933</w:t>
      </w:r>
    </w:p>
    <w:p>
      <w:pPr>
        <w:pStyle w:val="TextBody"/>
        <w:bidi w:val="0"/>
        <w:spacing w:lineRule="auto" w:line="264" w:before="0" w:after="0"/>
        <w:jc w:val="right"/>
        <w:rPr>
          <w:rFonts w:ascii="Times New Roman;serif" w:hAnsi="Times New Roman;serif"/>
          <w:b w:val="false"/>
          <w:color w:val="000000"/>
          <w:sz w:val="22"/>
        </w:rPr>
      </w:pPr>
      <w:r>
        <w:rPr>
          <w:rFonts w:ascii="Times New Roman;serif" w:hAnsi="Times New Roman;serif"/>
          <w:b w:val="false"/>
          <w:color w:val="000000"/>
          <w:sz w:val="22"/>
        </w:rPr>
        <w:t>and deemed filed pursuant to Rule 14a-12</w:t>
      </w:r>
    </w:p>
    <w:p>
      <w:pPr>
        <w:pStyle w:val="TextBody"/>
        <w:bidi w:val="0"/>
        <w:spacing w:lineRule="auto" w:line="264" w:before="0" w:after="0"/>
        <w:jc w:val="right"/>
        <w:rPr>
          <w:rFonts w:ascii="Times New Roman;serif" w:hAnsi="Times New Roman;serif"/>
          <w:b w:val="false"/>
          <w:color w:val="000000"/>
          <w:sz w:val="22"/>
        </w:rPr>
      </w:pPr>
      <w:r>
        <w:rPr>
          <w:rFonts w:ascii="Times New Roman;serif" w:hAnsi="Times New Roman;serif"/>
          <w:b w:val="false"/>
          <w:color w:val="000000"/>
          <w:sz w:val="22"/>
        </w:rPr>
        <w:t>under the Securities Exchange Act of 1934, as amended</w:t>
      </w:r>
    </w:p>
    <w:p>
      <w:pPr>
        <w:pStyle w:val="TextBody"/>
        <w:bidi w:val="0"/>
        <w:spacing w:lineRule="auto" w:line="264" w:before="0" w:after="0"/>
        <w:jc w:val="right"/>
        <w:rPr>
          <w:rFonts w:ascii="Times New Roman;serif" w:hAnsi="Times New Roman;serif"/>
          <w:b w:val="false"/>
          <w:color w:val="000000"/>
          <w:sz w:val="22"/>
        </w:rPr>
      </w:pPr>
      <w:r>
        <w:rPr>
          <w:rFonts w:ascii="Times New Roman;serif" w:hAnsi="Times New Roman;serif"/>
          <w:b w:val="false"/>
          <w:color w:val="000000"/>
          <w:sz w:val="22"/>
        </w:rPr>
        <w:t>Subject Company: Berry Corporation</w:t>
      </w:r>
    </w:p>
    <w:p>
      <w:pPr>
        <w:pStyle w:val="TextBody"/>
        <w:bidi w:val="0"/>
        <w:spacing w:lineRule="auto" w:line="264" w:before="0" w:after="0"/>
        <w:jc w:val="right"/>
        <w:rPr>
          <w:rFonts w:ascii="Times New Roman;serif" w:hAnsi="Times New Roman;serif"/>
          <w:b w:val="false"/>
          <w:color w:val="000000"/>
          <w:sz w:val="22"/>
        </w:rPr>
      </w:pPr>
      <w:r>
        <w:rPr>
          <w:rFonts w:ascii="Times New Roman;serif" w:hAnsi="Times New Roman;serif"/>
          <w:b w:val="false"/>
          <w:color w:val="000000"/>
          <w:sz w:val="22"/>
        </w:rPr>
        <w:t>Commission File No. 001-38606</w:t>
      </w:r>
    </w:p>
    <w:p>
      <w:pPr>
        <w:pStyle w:val="TextBody"/>
        <w:bidi w:val="0"/>
        <w:spacing w:lineRule="auto" w:line="264" w:before="0" w:after="240"/>
        <w:jc w:val="right"/>
        <w:rPr>
          <w:rFonts w:ascii="Times New Roman;serif" w:hAnsi="Times New Roman;serif"/>
          <w:b w:val="false"/>
          <w:color w:val="000000"/>
          <w:sz w:val="22"/>
        </w:rPr>
      </w:pPr>
      <w:r>
        <w:rPr>
          <w:rFonts w:ascii="Times New Roman;serif" w:hAnsi="Times New Roman;serif"/>
          <w:b w:val="false"/>
          <w:color w:val="000000"/>
          <w:sz w:val="22"/>
        </w:rPr>
        <w:t>Date: September 17, 2025</w:t>
      </w:r>
    </w:p>
    <w:tbl>
      <w:tblPr>
        <w:tblW w:w="7615" w:type="dxa"/>
        <w:jc w:val="left"/>
        <w:tblInd w:w="0" w:type="dxa"/>
        <w:tblLayout w:type="fixed"/>
        <w:tblCellMar>
          <w:top w:w="28" w:type="dxa"/>
          <w:left w:w="28" w:type="dxa"/>
          <w:bottom w:w="28" w:type="dxa"/>
          <w:right w:w="28" w:type="dxa"/>
        </w:tblCellMar>
      </w:tblPr>
      <w:tblGrid>
        <w:gridCol w:w="1602"/>
        <w:gridCol w:w="1409"/>
        <w:gridCol w:w="1410"/>
        <w:gridCol w:w="935"/>
        <w:gridCol w:w="935"/>
        <w:gridCol w:w="1324"/>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432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23875"/>
                          </a:xfrm>
                          <a:prstGeom prst="rect">
                            <a:avLst/>
                          </a:prstGeom>
                        </pic:spPr>
                      </pic:pic>
                    </a:graphicData>
                  </a:graphic>
                </wp:inline>
              </w:drawing>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WORLD TRADE CENTER, SUITE 1500</w:t>
              <w:br/>
              <w:t>LONG BEACH, CALIFORNIA 90831</w:t>
            </w:r>
          </w:p>
        </w:tc>
      </w:tr>
    </w:tbl>
    <w:p>
      <w:pPr>
        <w:pStyle w:val="TextBody"/>
        <w:bidi w:val="0"/>
        <w:spacing w:lineRule="auto" w:line="264" w:before="480" w:after="283"/>
        <w:jc w:val="left"/>
        <w:rPr>
          <w:rFonts w:ascii="Arial;sans-serif" w:hAnsi="Arial;sans-serif"/>
          <w:b w:val="false"/>
          <w:color w:val="000000"/>
          <w:sz w:val="22"/>
        </w:rPr>
      </w:pPr>
      <w:r>
        <w:rPr>
          <w:rFonts w:ascii="Arial;sans-serif" w:hAnsi="Arial;sans-serif"/>
          <w:b w:val="false"/>
          <w:color w:val="000000"/>
          <w:sz w:val="22"/>
        </w:rPr>
        <w:t>Dear Berry Team,</w:t>
      </w:r>
    </w:p>
    <w:p>
      <w:pPr>
        <w:pStyle w:val="TextBody"/>
        <w:bidi w:val="0"/>
        <w:spacing w:lineRule="auto" w:line="264" w:before="240" w:after="283"/>
        <w:jc w:val="left"/>
        <w:rPr>
          <w:rFonts w:ascii="Arial;sans-serif" w:hAnsi="Arial;sans-serif"/>
          <w:b w:val="false"/>
          <w:color w:val="000000"/>
          <w:sz w:val="22"/>
        </w:rPr>
      </w:pPr>
      <w:r>
        <w:rPr>
          <w:rFonts w:ascii="Arial;sans-serif" w:hAnsi="Arial;sans-serif"/>
          <w:b w:val="false"/>
          <w:color w:val="000000"/>
          <w:sz w:val="22"/>
        </w:rPr>
        <w:t>As you are aware, CRC has signed a definitive agreement to combine with Berry. I want to reach out personally to share how excited I am about what this means for the future of both of our organizations, and I appreciate Fernando sharing this message with you.</w:t>
      </w:r>
    </w:p>
    <w:p>
      <w:pPr>
        <w:pStyle w:val="TextBody"/>
        <w:bidi w:val="0"/>
        <w:spacing w:lineRule="auto" w:line="264" w:before="240" w:after="283"/>
        <w:jc w:val="left"/>
        <w:rPr>
          <w:rFonts w:ascii="Arial;sans-serif" w:hAnsi="Arial;sans-serif"/>
          <w:b w:val="false"/>
          <w:color w:val="000000"/>
          <w:sz w:val="22"/>
        </w:rPr>
      </w:pPr>
      <w:r>
        <w:rPr>
          <w:rFonts w:ascii="Arial;sans-serif" w:hAnsi="Arial;sans-serif"/>
          <w:b w:val="false"/>
          <w:color w:val="000000"/>
          <w:sz w:val="22"/>
        </w:rPr>
        <w:t>First, let me acknowledge the tremendous accomplishments of the Berry team. Your hard work, innovation, and entrepreneurial mindset are why so many people admire what you’ve built and are some of the many reasons we are eager to combine.</w:t>
      </w:r>
    </w:p>
    <w:p>
      <w:pPr>
        <w:pStyle w:val="TextBody"/>
        <w:bidi w:val="0"/>
        <w:spacing w:lineRule="auto" w:line="264" w:before="240" w:after="283"/>
        <w:jc w:val="left"/>
        <w:rPr>
          <w:rFonts w:ascii="Arial;sans-serif" w:hAnsi="Arial;sans-serif"/>
          <w:b w:val="false"/>
          <w:color w:val="000000"/>
          <w:sz w:val="22"/>
        </w:rPr>
      </w:pPr>
      <w:r>
        <w:rPr>
          <w:rFonts w:ascii="Arial;sans-serif" w:hAnsi="Arial;sans-serif"/>
          <w:b w:val="false"/>
          <w:color w:val="000000"/>
          <w:sz w:val="22"/>
        </w:rPr>
        <w:t>While this week’s news is an important milestone, it’s just the beginning. Until the transaction formally closes, our companies will continue to operate as separate businesses. That said, this announcement marks the start of a journey that I believe will create extraordinary opportunities—for our teams, our shareholders, and the communities we serve.</w:t>
      </w:r>
    </w:p>
    <w:p>
      <w:pPr>
        <w:pStyle w:val="TextBody"/>
        <w:bidi w:val="0"/>
        <w:spacing w:lineRule="auto" w:line="264" w:before="240" w:after="283"/>
        <w:jc w:val="left"/>
        <w:rPr>
          <w:rFonts w:ascii="Arial;sans-serif" w:hAnsi="Arial;sans-serif"/>
          <w:b w:val="false"/>
          <w:color w:val="000000"/>
          <w:sz w:val="22"/>
        </w:rPr>
      </w:pPr>
      <w:r>
        <w:rPr>
          <w:rFonts w:ascii="Arial;sans-serif" w:hAnsi="Arial;sans-serif"/>
          <w:b w:val="false"/>
          <w:color w:val="000000"/>
          <w:sz w:val="22"/>
        </w:rPr>
        <w:t>Over the coming weeks and months, we’ll be working together to plan for post-closing integration with transparency, respect, and care for the people at the center of both companies. We know you’ll have questions, and while not all answers are available yet, we are committed to sharing updates as decisions are made and to listening to your perspectives along the way.</w:t>
      </w:r>
    </w:p>
    <w:p>
      <w:pPr>
        <w:pStyle w:val="TextBody"/>
        <w:bidi w:val="0"/>
        <w:spacing w:lineRule="auto" w:line="264" w:before="240" w:after="283"/>
        <w:jc w:val="left"/>
        <w:rPr>
          <w:rFonts w:ascii="Arial;sans-serif" w:hAnsi="Arial;sans-serif"/>
          <w:b w:val="false"/>
          <w:color w:val="000000"/>
          <w:sz w:val="22"/>
        </w:rPr>
      </w:pPr>
      <w:r>
        <w:rPr>
          <w:rFonts w:ascii="Arial;sans-serif" w:hAnsi="Arial;sans-serif"/>
          <w:b w:val="false"/>
          <w:color w:val="000000"/>
          <w:sz w:val="22"/>
        </w:rPr>
        <w:t>I want you to know how enthusiastic we are about this combination. We see immense potential in bringing together our two organizations, and I look forward to the opportunity to meet you.</w:t>
      </w:r>
    </w:p>
    <w:p>
      <w:pPr>
        <w:pStyle w:val="TextBody"/>
        <w:bidi w:val="0"/>
        <w:spacing w:lineRule="auto" w:line="264" w:before="240" w:after="283"/>
        <w:jc w:val="left"/>
        <w:rPr>
          <w:rFonts w:ascii="Arial;sans-serif" w:hAnsi="Arial;sans-serif"/>
          <w:b w:val="false"/>
          <w:color w:val="000000"/>
          <w:sz w:val="22"/>
        </w:rPr>
      </w:pPr>
      <w:r>
        <w:rPr>
          <w:rFonts w:ascii="Arial;sans-serif" w:hAnsi="Arial;sans-serif"/>
          <w:b w:val="false"/>
          <w:color w:val="000000"/>
          <w:sz w:val="22"/>
        </w:rPr>
        <w:t>This is an exciting moment, and I’m confident it’s the beginning of a tremendous new chapter.</w:t>
      </w:r>
    </w:p>
    <w:p>
      <w:pPr>
        <w:pStyle w:val="TextBody"/>
        <w:bidi w:val="0"/>
        <w:spacing w:lineRule="auto" w:line="264" w:before="240" w:after="283"/>
        <w:jc w:val="left"/>
        <w:rPr>
          <w:rFonts w:ascii="Arial;sans-serif" w:hAnsi="Arial;sans-serif"/>
          <w:b w:val="false"/>
          <w:color w:val="000000"/>
          <w:sz w:val="22"/>
        </w:rPr>
      </w:pPr>
      <w:r>
        <w:rPr>
          <w:rFonts w:ascii="Arial;sans-serif" w:hAnsi="Arial;sans-serif"/>
          <w:b w:val="false"/>
          <w:color w:val="000000"/>
          <w:sz w:val="22"/>
        </w:rPr>
        <w:t>Francisco Leon</w:t>
      </w:r>
    </w:p>
    <w:p>
      <w:pPr>
        <w:pStyle w:val="TextBody"/>
        <w:bidi w:val="0"/>
        <w:spacing w:lineRule="auto" w:line="264" w:before="0" w:after="0"/>
        <w:jc w:val="left"/>
        <w:rPr>
          <w:rFonts w:ascii="Arial;sans-serif" w:hAnsi="Arial;sans-serif"/>
          <w:b w:val="false"/>
          <w:color w:val="000000"/>
          <w:sz w:val="22"/>
        </w:rPr>
      </w:pPr>
      <w:r>
        <w:rPr>
          <w:rFonts w:ascii="Arial;sans-serif" w:hAnsi="Arial;sans-serif"/>
          <w:b w:val="false"/>
          <w:color w:val="000000"/>
          <w:sz w:val="22"/>
        </w:rPr>
        <w:t>President &amp; CEO, CRC</w:t>
      </w:r>
    </w:p>
    <w:p>
      <w:pPr>
        <w:pStyle w:val="TextBody"/>
        <w:bidi w:val="0"/>
        <w:spacing w:lineRule="auto" w:line="264" w:before="1080" w:after="283"/>
        <w:jc w:val="left"/>
        <w:rPr>
          <w:rFonts w:ascii="Arial;sans-serif" w:hAnsi="Arial;sans-serif"/>
          <w:b/>
          <w:color w:val="404040"/>
          <w:sz w:val="16"/>
        </w:rPr>
      </w:pPr>
      <w:r>
        <w:rPr>
          <w:rFonts w:ascii="Arial;sans-serif" w:hAnsi="Arial;sans-serif"/>
          <w:b/>
          <w:color w:val="404040"/>
          <w:sz w:val="16"/>
        </w:rPr>
        <w:t>FORWARD-LOOKING STATEMENTS AND INFORMATION</w:t>
      </w:r>
    </w:p>
    <w:p>
      <w:pPr>
        <w:pStyle w:val="TextBody"/>
        <w:bidi w:val="0"/>
        <w:spacing w:lineRule="auto" w:line="264"/>
        <w:jc w:val="left"/>
        <w:rPr/>
      </w:pPr>
      <w:r>
        <w:rPr>
          <w:rFonts w:ascii="Arial;sans-serif" w:hAnsi="Arial;sans-serif"/>
          <w:b w:val="false"/>
          <w:color w:val="404040"/>
          <w:sz w:val="16"/>
        </w:rPr>
        <w:t>Information set forth in this communication, including financial estimates and statements as to the effects of the proposed transaction,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proposed transaction, future financial position and operating results of California Resources Corporation (“</w:t>
      </w:r>
      <w:r>
        <w:rPr>
          <w:rFonts w:ascii="Arial;sans-serif" w:hAnsi="Arial;sans-serif"/>
          <w:b w:val="false"/>
          <w:color w:val="404040"/>
          <w:sz w:val="16"/>
          <w:u w:val="single"/>
        </w:rPr>
        <w:t>CRC</w:t>
      </w:r>
      <w:r>
        <w:rPr>
          <w:color w:val="404040"/>
        </w:rPr>
        <w:t>”</w:t>
      </w:r>
      <w:r>
        <w:rPr>
          <w:rFonts w:ascii="Arial;sans-serif" w:hAnsi="Arial;sans-serif"/>
          <w:b w:val="false"/>
          <w:color w:val="404040"/>
          <w:sz w:val="16"/>
        </w:rPr>
        <w:t>) and Berry Corporation (“</w:t>
      </w:r>
      <w:r>
        <w:rPr>
          <w:rFonts w:ascii="Arial;sans-serif" w:hAnsi="Arial;sans-serif"/>
          <w:b w:val="false"/>
          <w:color w:val="404040"/>
          <w:sz w:val="16"/>
          <w:u w:val="single"/>
        </w:rPr>
        <w:t>Berry</w:t>
      </w:r>
      <w:r>
        <w:rPr>
          <w:color w:val="404040"/>
        </w:rPr>
        <w:t>”</w:t>
      </w:r>
      <w:r>
        <w:rPr>
          <w:rFonts w:ascii="Arial;sans-serif" w:hAnsi="Arial;sans-serif"/>
          <w:b w:val="false"/>
          <w:color w:val="404040"/>
          <w:sz w:val="16"/>
        </w:rPr>
        <w:t>),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pPr>
      <w:r>
        <w:rPr>
          <w:rFonts w:ascii="Arial;sans-serif" w:hAnsi="Arial;sans-serif"/>
          <w:b w:val="false"/>
          <w:color w:val="404040"/>
          <w:sz w:val="16"/>
        </w:rPr>
        <w:t>generally intended to identify forward-looking statements. Such forward-looking statements are based upon the current beliefs and expectations of the management of CRC and Berry and are subject to risks and uncertainties that could cause actual results to differ materially from those expressed in, projected in, or implied by, such statements. Although CRC and Berry believe the expectations and forecasts reflected in its respective forward-looking statements are reasonable, they are inherently subject to numerous risks and uncertainties, most of which are difficult to predict and many of which are beyond CRC’s and Berry’s control. No assurance can be given that such forward-looking statements will be correct or achieved or that the assumptions are accurate or will not change over time. Particular uncertainties that could cause CRC’s and/or Berry’s actual results to be materially different from those described in the forward-looking statements include: (i) transaction costs, (ii) unknown liabilities, (iii) the risk that any announcements relating to the proposed transaction could have adverse effects on the market price of CRC’s common stock or Berry’s common stock, (iv) the ability to successfully integrate the businesses, (v) the ability to achieve projected operational and capital synergies or it may take longer than expected to achieve those synergies, (vi) risks related to financial community and rating agency perceptions of each of CRC and Berry or its respective business, operations, financial condition and the industry in which it operates, (vii) risks related to the potential impact of general economic, political and market factors on CRC or Berry or the proposed transaction, (viii) the occurrence of any event, change or other circumstance that could give rise to the termination of the proposed transaction, (ix) the risk that stockholders of Berry may not approve the proposed transaction, (x) risks related to disruption of management time from ongoing business operations due to the proposed transaction, (xi) effects of the announcement, pendency or completion of the proposed transaction on the ability of CRC and Berry to retain customers and retain and hire key personnel and maintain relationships with their respective suppliers and customers, (xii) the risk that all necessary regulatory approvals may not be obtained or may be obtained subject to conditions that are not anticipated, (xiii) risks that any of the other closing conditions to the proposed transaction may not be satisfied in a timely manner, (xiv) those expressed in CRC’s other forward-looking statements including those factors discussed in Part I, Item 1A – Risk Factors in CRC’s Annual Report on Form 10-K and its other SEC filings available at</w:t>
      </w:r>
      <w:r>
        <w:rPr>
          <w:color w:val="0000FF"/>
          <w:u w:val="single"/>
        </w:rPr>
        <w:t xml:space="preserve"> </w:t>
      </w:r>
      <w:r>
        <w:rPr>
          <w:rFonts w:ascii="Arial;sans-serif" w:hAnsi="Arial;sans-serif"/>
          <w:b w:val="false"/>
          <w:color w:val="0000FF"/>
          <w:sz w:val="16"/>
          <w:u w:val="single"/>
        </w:rPr>
        <w:t xml:space="preserve">www.crc.com </w:t>
      </w:r>
      <w:r>
        <w:rPr>
          <w:rFonts w:ascii="Arial;sans-serif" w:hAnsi="Arial;sans-serif"/>
          <w:b w:val="false"/>
          <w:color w:val="404040"/>
          <w:sz w:val="16"/>
        </w:rPr>
        <w:t>and (xv) those expressed in Berry’s other forward-looking statements including those factors discussed in Part I, Item 1A – Risk Factors in Berry’s Annual Report on Form 10-K and its other SEC filings available at</w:t>
      </w:r>
      <w:r>
        <w:rPr>
          <w:color w:val="0000FF"/>
          <w:u w:val="single"/>
        </w:rPr>
        <w:t xml:space="preserve"> </w:t>
      </w:r>
      <w:r>
        <w:rPr>
          <w:rFonts w:ascii="Arial;sans-serif" w:hAnsi="Arial;sans-serif"/>
          <w:b w:val="false"/>
          <w:color w:val="0000FF"/>
          <w:sz w:val="16"/>
          <w:u w:val="single"/>
        </w:rPr>
        <w:t>https://ir.bry.com/.</w:t>
      </w:r>
      <w:r>
        <w:rPr>
          <w:color w:val="404040"/>
        </w:rPr>
        <w:t xml:space="preserve"> </w:t>
      </w:r>
      <w:r>
        <w:rPr>
          <w:rFonts w:ascii="Arial;sans-serif" w:hAnsi="Arial;sans-serif"/>
          <w:b w:val="false"/>
          <w:color w:val="404040"/>
          <w:sz w:val="16"/>
        </w:rPr>
        <w:t>The foregoing list of factors is not exhaustive. You should carefully consider the foregoing factors and the other risks and uncertainties described in the “Risk Factors” section of CRC’s registration statement on Form S-4 that will contain a proxy statement/prospectus discussed below, when it becomes available, and other documents filed by CRC or Berry from time to time with the U.S. Securities and Exchange Commission (the “</w:t>
      </w:r>
      <w:r>
        <w:rPr>
          <w:rFonts w:ascii="Arial;sans-serif" w:hAnsi="Arial;sans-serif"/>
          <w:b w:val="false"/>
          <w:color w:val="404040"/>
          <w:sz w:val="16"/>
          <w:u w:val="single"/>
        </w:rPr>
        <w:t>SEC</w:t>
      </w:r>
      <w:r>
        <w:rPr>
          <w:color w:val="404040"/>
        </w:rPr>
        <w:t>”</w:t>
      </w:r>
      <w:r>
        <w:rPr>
          <w:rFonts w:ascii="Arial;sans-serif" w:hAnsi="Arial;sans-serif"/>
          <w:b w:val="false"/>
          <w:color w:val="404040"/>
          <w:sz w:val="16"/>
        </w:rPr>
        <w:t>).</w:t>
      </w:r>
    </w:p>
    <w:p>
      <w:pPr>
        <w:pStyle w:val="TextBody"/>
        <w:bidi w:val="0"/>
        <w:spacing w:lineRule="auto" w:line="264" w:before="0" w:after="0"/>
        <w:jc w:val="left"/>
        <w:rPr>
          <w:rFonts w:ascii="Arial;sans-serif" w:hAnsi="Arial;sans-serif"/>
          <w:b w:val="false"/>
          <w:color w:val="404040"/>
          <w:sz w:val="16"/>
        </w:rPr>
      </w:pPr>
      <w:r>
        <w:rPr>
          <w:rFonts w:ascii="Arial;sans-serif" w:hAnsi="Arial;sans-serif"/>
          <w:b w:val="false"/>
          <w:color w:val="404040"/>
          <w:sz w:val="16"/>
        </w:rPr>
        <w:t>CRC and Berry each cautions you not to place undue reliance on forward-looking statements contained in this communication, which speak only as of the date hereof, and each of CRC and Berry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each of CRC and Berry has not independently verified them and do not warrant the accuracy or completeness of such third-party information.</w:t>
      </w:r>
    </w:p>
    <w:p>
      <w:pPr>
        <w:pStyle w:val="TextBody"/>
        <w:bidi w:val="0"/>
        <w:spacing w:lineRule="auto" w:line="264" w:before="220" w:after="283"/>
        <w:jc w:val="left"/>
        <w:rPr>
          <w:rFonts w:ascii="Arial;sans-serif" w:hAnsi="Arial;sans-serif"/>
          <w:b/>
          <w:color w:val="404040"/>
          <w:sz w:val="16"/>
        </w:rPr>
      </w:pPr>
      <w:r>
        <w:rPr>
          <w:rFonts w:ascii="Arial;sans-serif" w:hAnsi="Arial;sans-serif"/>
          <w:b/>
          <w:color w:val="404040"/>
          <w:sz w:val="16"/>
        </w:rPr>
        <w:t>ADDITIONAL INFORMATION AND WHERE TO FIND IT</w:t>
      </w:r>
    </w:p>
    <w:p>
      <w:pPr>
        <w:pStyle w:val="TextBody"/>
        <w:bidi w:val="0"/>
        <w:spacing w:lineRule="auto" w:line="264" w:before="0" w:after="0"/>
        <w:jc w:val="left"/>
        <w:rPr/>
      </w:pPr>
      <w:r>
        <w:rPr>
          <w:rFonts w:ascii="Arial;sans-serif" w:hAnsi="Arial;sans-serif"/>
          <w:b w:val="false"/>
          <w:color w:val="404040"/>
          <w:sz w:val="16"/>
        </w:rPr>
        <w:t>In connection with the proposed transaction, CRC will file with the SEC a registration statement on Form S-4 (the “</w:t>
      </w:r>
      <w:r>
        <w:rPr>
          <w:rFonts w:ascii="Arial;sans-serif" w:hAnsi="Arial;sans-serif"/>
          <w:b w:val="false"/>
          <w:color w:val="404040"/>
          <w:sz w:val="16"/>
          <w:u w:val="single"/>
        </w:rPr>
        <w:t>registration statement</w:t>
      </w:r>
      <w:r>
        <w:rPr>
          <w:color w:val="404040"/>
        </w:rPr>
        <w:t>”</w:t>
      </w:r>
      <w:r>
        <w:rPr>
          <w:rFonts w:ascii="Arial;sans-serif" w:hAnsi="Arial;sans-serif"/>
          <w:b w:val="false"/>
          <w:color w:val="404040"/>
          <w:sz w:val="16"/>
        </w:rPr>
        <w:t xml:space="preserve">), which will include a proxy statement of Berry that also constitutes a prospectus of CRC, and any other documents in connection with the proposed transaction. The definitive proxy statement/prospectus will be sent to the holders of common stock of Berry. </w:t>
      </w:r>
      <w:r>
        <w:rPr>
          <w:rFonts w:ascii="Arial;sans-serif" w:hAnsi="Arial;sans-serif"/>
          <w:b/>
          <w:color w:val="404040"/>
          <w:sz w:val="16"/>
        </w:rPr>
        <w:t xml:space="preserve">Investors and stockholders of Berry and CRC are urged to read the proxy statement/prospectus and any other documents filed or to be filed with the SEC in connection with the proposed transaction when they become available, as they will contain important information about Berry, CRC, the proposed transaction and related matters. </w:t>
      </w:r>
      <w:r>
        <w:rPr>
          <w:rFonts w:ascii="Arial;sans-serif" w:hAnsi="Arial;sans-serif"/>
          <w:b w:val="false"/>
          <w:color w:val="404040"/>
          <w:sz w:val="16"/>
        </w:rPr>
        <w:t xml:space="preserve">The registration statement and proxy statement/prospectus and other documents filed by CRC or Berry with the SEC, when filed, will be available free of charge at the SEC’s website at </w:t>
      </w:r>
      <w:r>
        <w:rPr>
          <w:rFonts w:ascii="Arial;sans-serif" w:hAnsi="Arial;sans-serif"/>
          <w:b w:val="false"/>
          <w:color w:val="0000FF"/>
          <w:sz w:val="16"/>
          <w:u w:val="single"/>
        </w:rPr>
        <w:t>https://www.sec.gov.</w:t>
      </w:r>
      <w:r>
        <w:rPr>
          <w:color w:val="404040"/>
        </w:rPr>
        <w:t xml:space="preserve"> </w:t>
      </w:r>
      <w:r>
        <w:rPr>
          <w:rFonts w:ascii="Arial;sans-serif" w:hAnsi="Arial;sans-serif"/>
          <w:b w:val="false"/>
          <w:color w:val="404040"/>
          <w:sz w:val="16"/>
        </w:rPr>
        <w:t>Alternatively, investors and stockholders may obtain free copies of documents that are filed or will be filed with the SEC by CRC, including the registration statement and the proxy statement/prospectus, on CRC’s website at</w:t>
      </w:r>
      <w:r>
        <w:rPr>
          <w:color w:val="0000FF"/>
          <w:u w:val="single"/>
        </w:rPr>
        <w:t xml:space="preserve"> </w:t>
      </w:r>
      <w:r>
        <w:rPr>
          <w:rFonts w:ascii="Arial;sans-serif" w:hAnsi="Arial;sans-serif"/>
          <w:b w:val="false"/>
          <w:color w:val="0000FF"/>
          <w:sz w:val="16"/>
          <w:u w:val="single"/>
        </w:rPr>
        <w:t>https://www.crc.com/investor-relations,</w:t>
      </w:r>
      <w:r>
        <w:rPr>
          <w:color w:val="404040"/>
        </w:rPr>
        <w:t xml:space="preserve"> </w:t>
      </w:r>
      <w:r>
        <w:rPr>
          <w:rFonts w:ascii="Arial;sans-serif" w:hAnsi="Arial;sans-serif"/>
          <w:b w:val="false"/>
          <w:color w:val="404040"/>
          <w:sz w:val="16"/>
        </w:rPr>
        <w:t>and may obtain free copies of documents that are filed or will be filed with the SEC by Berry, including the proxy statement/prospectus, on Berry’s website at</w:t>
      </w:r>
      <w:r>
        <w:rPr>
          <w:color w:val="0000FF"/>
          <w:u w:val="single"/>
        </w:rPr>
        <w:t xml:space="preserve"> </w:t>
      </w:r>
      <w:r>
        <w:rPr>
          <w:rFonts w:ascii="Arial;sans-serif" w:hAnsi="Arial;sans-serif"/>
          <w:b w:val="false"/>
          <w:color w:val="0000FF"/>
          <w:sz w:val="16"/>
          <w:u w:val="single"/>
        </w:rPr>
        <w:t>https://ir.bry.com/reports-resources.</w:t>
      </w:r>
      <w:r>
        <w:rPr>
          <w:color w:val="404040"/>
        </w:rPr>
        <w:t xml:space="preserve"> </w:t>
      </w:r>
      <w:r>
        <w:rPr>
          <w:rFonts w:ascii="Arial;sans-serif" w:hAnsi="Arial;sans-serif"/>
          <w:b w:val="false"/>
          <w:color w:val="404040"/>
          <w:sz w:val="16"/>
        </w:rPr>
        <w:t>The information included on, or accessible through, CRC’s or Berry’s website is not incorporated by reference into this communication.</w:t>
      </w:r>
    </w:p>
    <w:p>
      <w:pPr>
        <w:pStyle w:val="TextBody"/>
        <w:bidi w:val="0"/>
        <w:spacing w:lineRule="auto" w:line="264" w:before="220" w:after="283"/>
        <w:jc w:val="left"/>
        <w:rPr>
          <w:rFonts w:ascii="Arial;sans-serif" w:hAnsi="Arial;sans-serif"/>
          <w:b/>
          <w:color w:val="404040"/>
          <w:sz w:val="16"/>
        </w:rPr>
      </w:pPr>
      <w:r>
        <w:rPr>
          <w:rFonts w:ascii="Arial;sans-serif" w:hAnsi="Arial;sans-serif"/>
          <w:b/>
          <w:color w:val="404040"/>
          <w:sz w:val="16"/>
        </w:rPr>
        <w:t>NO OFFER OR SOLICITATION</w:t>
      </w:r>
    </w:p>
    <w:p>
      <w:pPr>
        <w:pStyle w:val="TextBody"/>
        <w:bidi w:val="0"/>
        <w:spacing w:lineRule="auto" w:line="264" w:before="0" w:after="0"/>
        <w:jc w:val="left"/>
        <w:rPr>
          <w:rFonts w:ascii="Arial;sans-serif" w:hAnsi="Arial;sans-serif"/>
          <w:b w:val="false"/>
          <w:color w:val="404040"/>
          <w:sz w:val="16"/>
        </w:rPr>
      </w:pPr>
      <w:r>
        <w:rPr>
          <w:rFonts w:ascii="Arial;sans-serif" w:hAnsi="Arial;sans-serif"/>
          <w:b w:val="false"/>
          <w:color w:val="404040"/>
          <w:sz w:val="16"/>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shall be made except by means of a prospectus meeting the requirements of Section 10 of the Securities Act of 1933, as amended.</w:t>
      </w:r>
    </w:p>
    <w:p>
      <w:pPr>
        <w:pStyle w:val="TextBody"/>
        <w:bidi w:val="0"/>
        <w:spacing w:lineRule="auto" w:line="264" w:before="220" w:after="283"/>
        <w:jc w:val="left"/>
        <w:rPr>
          <w:rFonts w:ascii="Arial;sans-serif" w:hAnsi="Arial;sans-serif"/>
          <w:b/>
          <w:color w:val="404040"/>
          <w:sz w:val="16"/>
        </w:rPr>
      </w:pPr>
      <w:r>
        <w:rPr>
          <w:rFonts w:ascii="Arial;sans-serif" w:hAnsi="Arial;sans-serif"/>
          <w:b/>
          <w:color w:val="404040"/>
          <w:sz w:val="16"/>
        </w:rPr>
        <w:t>PARTICIPANTS IN THE SOLICITATION OF PROXIES</w:t>
      </w:r>
    </w:p>
    <w:p>
      <w:pPr>
        <w:pStyle w:val="TextBody"/>
        <w:bidi w:val="0"/>
        <w:spacing w:lineRule="auto" w:line="264" w:before="0" w:after="0"/>
        <w:jc w:val="left"/>
        <w:rPr>
          <w:rFonts w:ascii="Arial;sans-serif" w:hAnsi="Arial;sans-serif"/>
          <w:b w:val="false"/>
          <w:color w:val="404040"/>
          <w:sz w:val="16"/>
        </w:rPr>
      </w:pPr>
      <w:r>
        <w:rPr>
          <w:rFonts w:ascii="Arial;sans-serif" w:hAnsi="Arial;sans-serif"/>
          <w:b w:val="false"/>
          <w:color w:val="404040"/>
          <w:sz w:val="16"/>
        </w:rPr>
        <w:t>CRC and certain of its directors, executive officers and other employees, and Berry and its directors and certain of Berry’s executive officers and other employees, may be deemed to be participants in the solicitation of proxies from Berry’s stockholders in connection with the proposed transaction. A description of participants’ direct or indirect interests, by security holdings or otherwise, will be included in the proxy statement/prospectus relating to the proposed transaction when it is filed with the SEC. Information regarding CRC’s directors and executive officers is contained in the “Board of</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jc w:val="left"/>
        <w:rPr/>
      </w:pPr>
      <w:r>
        <w:rPr>
          <w:rFonts w:ascii="Arial;sans-serif" w:hAnsi="Arial;sans-serif"/>
          <w:b w:val="false"/>
          <w:color w:val="404040"/>
          <w:sz w:val="16"/>
        </w:rPr>
        <w:t>Directors and Corporate Governance,” “Compensation Discussion and Analysis,” “Executive Compensation Tables,” “Director Compensation,” “Stock Ownership Information,” and “Proposals Requiring Your Vote – Proposal 1: Election of Directors” sections of CRC’s definitive proxy statement for its 2025 annual meeting of stockholders, filed with the SEC on March 19, 2025; under the heading “Directors, Executive Officers and Corporate Governance” in Part III, Item 10 of CRC’s Annual Report on Form 10-K for the fiscal year ended December 31, 2024, filed with the SEC on March 3, 2025; in Item 5.07 of CRC’s Current Report on Form 8-K filed with the SEC on May 6, 2025; in CRC’s Current Reports on Form 8-K filed with the SEC on June 23, 2025 and November 25, 2024; and under “Our Team” accessed through the “Our Business” link on CRC’s website at</w:t>
      </w:r>
      <w:r>
        <w:rPr>
          <w:color w:val="0000FF"/>
          <w:u w:val="single"/>
        </w:rPr>
        <w:t xml:space="preserve"> </w:t>
      </w:r>
      <w:r>
        <w:rPr>
          <w:rFonts w:ascii="Arial;sans-serif" w:hAnsi="Arial;sans-serif"/>
          <w:b w:val="false"/>
          <w:color w:val="0000FF"/>
          <w:sz w:val="16"/>
          <w:u w:val="single"/>
        </w:rPr>
        <w:t>https://www.crc.com/our-business/our-team.</w:t>
      </w:r>
      <w:r>
        <w:rPr>
          <w:color w:val="404040"/>
        </w:rPr>
        <w:t xml:space="preserve"> </w:t>
      </w:r>
      <w:r>
        <w:rPr>
          <w:rFonts w:ascii="Arial;sans-serif" w:hAnsi="Arial;sans-serif"/>
          <w:b w:val="false"/>
          <w:color w:val="404040"/>
          <w:sz w:val="16"/>
        </w:rPr>
        <w:t xml:space="preserve">Information regarding Berry’s directors and executive officers is contained in the “Proposal No. 1—Election of Directors,” “Corporate Governance,” “Executive Officers,” “Executive Compensation – Compensation Discussion and Analysis,” “Director Compensation,” “Security Ownership of Certain Beneficial Owners and Management,” and “Certain Relationships and Related Party Transactions” sections of Berry’s definitive proxy statement for its 2025 annual meeting of stockholders, filed with the SEC on April 7, 2025; under the heading “Directors, Executive Officers and Corporate Governance” in Part III, Item 10 of Berry’s Annual Report on Form 10-K for the fiscal year ended December 31, 2024, filed with the SEC on March 13, 2025; in Item 5.07 of Berry’s Current Report on Form 8-K filed with the SEC on May 22, 2025; in Berry’s Current Reports on Form 8-K filed with the SEC on January 22, 2025 and October 25, 2024; and under “Leadership” accessed through the “About” link on Berry’s website at </w:t>
      </w:r>
      <w:r>
        <w:rPr>
          <w:rFonts w:ascii="Arial;sans-serif" w:hAnsi="Arial;sans-serif"/>
          <w:b w:val="false"/>
          <w:color w:val="0000FF"/>
          <w:sz w:val="16"/>
          <w:u w:val="single"/>
        </w:rPr>
        <w:t>https://bry.com/about/management/.</w:t>
      </w:r>
      <w:r>
        <w:rPr>
          <w:color w:val="404040"/>
        </w:rPr>
        <w:t xml:space="preserve"> </w:t>
      </w:r>
      <w:r>
        <w:rPr>
          <w:rFonts w:ascii="Arial;sans-serif" w:hAnsi="Arial;sans-serif"/>
          <w:b w:val="false"/>
          <w:color w:val="404040"/>
          <w:sz w:val="16"/>
        </w:rPr>
        <w:t>Additional information regarding ownership of Berry’s securities by its directors and executive officers and of CRC’s securities by its directors and executive officers is included in such persons’ SEC filings on Forms 3, 4 or 5, which are available at</w:t>
      </w:r>
      <w:r>
        <w:rPr>
          <w:color w:val="0000FF"/>
          <w:u w:val="single"/>
        </w:rPr>
        <w:t xml:space="preserve"> </w:t>
      </w:r>
      <w:r>
        <w:rPr>
          <w:rFonts w:ascii="Arial;sans-serif" w:hAnsi="Arial;sans-serif"/>
          <w:b w:val="false"/>
          <w:color w:val="0000FF"/>
          <w:sz w:val="16"/>
          <w:u w:val="single"/>
        </w:rPr>
        <w:t xml:space="preserve">https://www.sec.gov/cgi-bin/own-disp?action=getissuer&amp;CIK=0001705873 </w:t>
      </w:r>
      <w:r>
        <w:rPr>
          <w:rFonts w:ascii="Arial;sans-serif" w:hAnsi="Arial;sans-serif"/>
          <w:b w:val="false"/>
          <w:color w:val="404040"/>
          <w:sz w:val="16"/>
        </w:rPr>
        <w:t>and</w:t>
      </w:r>
      <w:r>
        <w:rPr>
          <w:color w:val="0000FF"/>
          <w:u w:val="single"/>
        </w:rPr>
        <w:t xml:space="preserve"> </w:t>
      </w:r>
      <w:r>
        <w:rPr>
          <w:rFonts w:ascii="Arial;sans-serif" w:hAnsi="Arial;sans-serif"/>
          <w:b w:val="false"/>
          <w:color w:val="0000FF"/>
          <w:sz w:val="16"/>
          <w:u w:val="single"/>
        </w:rPr>
        <w:t>https://www.sec.gov/cgi-bin/own-disp?action=getissuer&amp;CIK=0001609253,</w:t>
      </w:r>
      <w:r>
        <w:rPr>
          <w:color w:val="0000FF"/>
        </w:rPr>
        <w:t xml:space="preserve"> </w:t>
      </w:r>
      <w:r>
        <w:rPr>
          <w:rFonts w:ascii="Arial;sans-serif" w:hAnsi="Arial;sans-serif"/>
          <w:b w:val="false"/>
          <w:color w:val="404040"/>
          <w:sz w:val="16"/>
        </w:rPr>
        <w:t>respectively. These documents and the other SEC filings described in this paragraph may be obtained free of charge as described above under the heading “Additional Information and Where to Find It.”</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1841</Words>
  <Characters>10441</Characters>
  <CharactersWithSpaces>12256</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