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 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Form 10-K </w:t>
      </w:r>
    </w:p>
    <w:p>
      <w:pPr>
        <w:pStyle w:val="TextBody"/>
        <w:bidi w:val="0"/>
        <w:spacing w:before="0" w:after="0"/>
        <w:jc w:val="center"/>
        <w:rPr/>
      </w:pPr>
      <w:r>
        <w:rPr/>
      </w:r>
    </w:p>
    <w:p>
      <w:pPr>
        <w:pStyle w:val="TextBody"/>
        <w:bidi w:val="0"/>
        <w:spacing w:lineRule="auto" w:line="288" w:before="0" w:after="0"/>
        <w:ind w:left="0" w:right="0" w:hanging="720"/>
        <w:jc w:val="left"/>
        <w:rPr/>
      </w:pPr>
      <w:r>
        <w:rPr>
          <w:color w:val="000000"/>
        </w:rPr>
        <w:t>☑    </w:t>
      </w:r>
      <w:r>
        <w:rPr>
          <w:rFonts w:ascii="Arial;sans-serif" w:hAnsi="Arial;sans-serif"/>
          <w:b/>
          <w:color w:val="000000"/>
          <w:sz w:val="18"/>
        </w:rPr>
        <w:t>ANNUAL REPORT PURSUANT TO SECTION 13 OR 15(d) OF THE SECURITIES EXCHANGE ACT OF 1934</w:t>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 xml:space="preserve">For the fiscal year ended December 31, 2023 </w:t>
      </w:r>
    </w:p>
    <w:p>
      <w:pPr>
        <w:pStyle w:val="TextBody"/>
        <w:bidi w:val="0"/>
        <w:spacing w:lineRule="auto" w:line="288" w:before="0" w:after="0"/>
        <w:ind w:left="0" w:right="0" w:hanging="720"/>
        <w:jc w:val="left"/>
        <w:rPr/>
      </w:pPr>
      <w:r>
        <w:rPr>
          <w:color w:val="000000"/>
        </w:rPr>
        <w:t>☐    </w:t>
      </w:r>
      <w:r>
        <w:rPr>
          <w:rFonts w:ascii="Arial;sans-serif" w:hAnsi="Arial;sans-serif"/>
          <w:b/>
          <w:color w:val="000000"/>
          <w:sz w:val="18"/>
        </w:rPr>
        <w:t>TRANSITION REPORT PURSUANT TO SECTION 13 OR 15(d) OF THE SECURITIES EXCHANGE ACT OF 1934</w:t>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 xml:space="preserve">For the transition period from         to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001-36478</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California Resources Corporation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4435" w:type="dxa"/>
        <w:jc w:val="center"/>
        <w:tblInd w:w="0" w:type="dxa"/>
        <w:tblLayout w:type="fixed"/>
        <w:tblCellMar>
          <w:top w:w="28" w:type="dxa"/>
          <w:left w:w="28" w:type="dxa"/>
          <w:bottom w:w="28" w:type="dxa"/>
          <w:right w:w="28" w:type="dxa"/>
        </w:tblCellMar>
      </w:tblPr>
      <w:tblGrid>
        <w:gridCol w:w="916"/>
        <w:gridCol w:w="806"/>
        <w:gridCol w:w="812"/>
        <w:gridCol w:w="109"/>
        <w:gridCol w:w="109"/>
        <w:gridCol w:w="109"/>
        <w:gridCol w:w="459"/>
        <w:gridCol w:w="459"/>
        <w:gridCol w:w="656"/>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46-5670947</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(I.R.S. Employer </w:t>
              <w:br/>
              <w:t>Identification No.)</w:t>
            </w:r>
          </w:p>
        </w:tc>
      </w:tr>
    </w:tbl>
    <w:p>
      <w:pPr>
        <w:pStyle w:val="TextBody"/>
        <w:bidi w:val="0"/>
        <w:spacing w:lineRule="auto" w:line="288" w:before="0" w:after="0"/>
        <w:jc w:val="center"/>
        <w:rPr/>
      </w:pPr>
      <w:r>
        <w:rPr>
          <w:rFonts w:ascii="Arial;sans-serif" w:hAnsi="Arial;sans-serif"/>
          <w:b/>
          <w:color w:val="000000"/>
          <w:sz w:val="20"/>
        </w:rPr>
        <w:t>1 World Trade Center, Suite 150</w:t>
      </w:r>
      <w:r>
        <w:rPr>
          <w:rFonts w:ascii="Times New Roman;sans-serif" w:hAnsi="Times New Roman;sans-serif"/>
          <w:b/>
          <w:color w:val="000000"/>
          <w:sz w:val="22"/>
        </w:rPr>
        <w:t>0</w:t>
      </w:r>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Long Beach, California 90831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(888) 848-4754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092" w:type="dxa"/>
        <w:jc w:val="center"/>
        <w:tblInd w:w="0" w:type="dxa"/>
        <w:tblLayout w:type="fixed"/>
        <w:tblCellMar>
          <w:top w:w="28" w:type="dxa"/>
          <w:left w:w="28" w:type="dxa"/>
          <w:bottom w:w="28" w:type="dxa"/>
          <w:right w:w="28" w:type="dxa"/>
        </w:tblCellMar>
      </w:tblPr>
      <w:tblGrid>
        <w:gridCol w:w="619"/>
        <w:gridCol w:w="544"/>
        <w:gridCol w:w="547"/>
        <w:gridCol w:w="109"/>
        <w:gridCol w:w="109"/>
        <w:gridCol w:w="109"/>
        <w:gridCol w:w="554"/>
        <w:gridCol w:w="554"/>
        <w:gridCol w:w="556"/>
        <w:gridCol w:w="109"/>
        <w:gridCol w:w="109"/>
        <w:gridCol w:w="109"/>
        <w:gridCol w:w="1190"/>
        <w:gridCol w:w="1190"/>
        <w:gridCol w:w="168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Securities registered pursuant to Section 12(g) of the Act: None</w:t>
      </w:r>
    </w:p>
    <w:p>
      <w:pPr>
        <w:pStyle w:val="TextBody"/>
        <w:bidi w:val="0"/>
        <w:spacing w:lineRule="auto" w:line="288" w:before="60" w:after="283"/>
        <w:jc w:val="both"/>
        <w:rPr/>
      </w:pPr>
      <w:r>
        <w:rPr>
          <w:rFonts w:ascii="Arial;sans-serif" w:hAnsi="Arial;sans-serif"/>
          <w:b w:val="false"/>
          <w:color w:val="000000"/>
          <w:sz w:val="17"/>
        </w:rPr>
        <w:t xml:space="preserve">Indicate by check mark if the registrant is a well-known seasoned issuer, as defined in Rule 405 of the Securities Act.    Yes </w:t>
      </w:r>
      <w:r>
        <w:rPr>
          <w:color w:val="000000"/>
        </w:rPr>
        <w:t xml:space="preserve">☑ </w:t>
      </w:r>
      <w:r>
        <w:rPr>
          <w:rFonts w:ascii="Arial;sans-serif" w:hAnsi="Arial;sans-serif"/>
          <w:b w:val="false"/>
          <w:color w:val="000000"/>
          <w:sz w:val="17"/>
        </w:rPr>
        <w:t xml:space="preserve">No </w:t>
      </w:r>
      <w:r>
        <w:rPr>
          <w:color w:val="000000"/>
        </w:rPr>
        <w:t>☐</w:t>
      </w:r>
    </w:p>
    <w:p>
      <w:pPr>
        <w:pStyle w:val="TextBody"/>
        <w:bidi w:val="0"/>
        <w:spacing w:lineRule="auto" w:line="288" w:before="60" w:after="283"/>
        <w:jc w:val="left"/>
        <w:rPr/>
      </w:pPr>
      <w:r>
        <w:rPr>
          <w:rFonts w:ascii="Arial;sans-serif" w:hAnsi="Arial;sans-serif"/>
          <w:b w:val="false"/>
          <w:color w:val="000000"/>
          <w:sz w:val="17"/>
        </w:rPr>
        <w:t xml:space="preserve">Indicate by check mark if the registrant is not required to file reports pursuant to Section 13 or Section 15(d) of the Act.    Yes </w:t>
      </w:r>
      <w:r>
        <w:rPr>
          <w:color w:val="000000"/>
        </w:rPr>
        <w:t xml:space="preserve">☐ </w:t>
      </w:r>
      <w:r>
        <w:rPr>
          <w:rFonts w:ascii="Arial;sans-serif" w:hAnsi="Arial;sans-serif"/>
          <w:b w:val="false"/>
          <w:color w:val="000000"/>
          <w:sz w:val="17"/>
        </w:rPr>
        <w:t>No </w:t>
      </w:r>
      <w:r>
        <w:rPr>
          <w:color w:val="000000"/>
        </w:rPr>
        <w:t>☑</w:t>
      </w:r>
    </w:p>
    <w:p>
      <w:pPr>
        <w:pStyle w:val="TextBody"/>
        <w:bidi w:val="0"/>
        <w:spacing w:lineRule="auto" w:line="288" w:before="60" w:after="60"/>
        <w:jc w:val="both"/>
        <w:rPr/>
      </w:pPr>
      <w:r>
        <w:rPr>
          <w:rFonts w:ascii="Arial;sans-serif" w:hAnsi="Arial;sans-serif"/>
          <w:b w:val="false"/>
          <w:color w:val="000000"/>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7"/>
        </w:rPr>
        <w:t xml:space="preserve">No </w:t>
      </w:r>
      <w:r>
        <w:rPr>
          <w:color w:val="000000"/>
        </w:rPr>
        <w:t>☐</w:t>
      </w:r>
    </w:p>
    <w:p>
      <w:pPr>
        <w:pStyle w:val="TextBody"/>
        <w:bidi w:val="0"/>
        <w:spacing w:lineRule="auto" w:line="276" w:before="60" w:after="60"/>
        <w:jc w:val="left"/>
        <w:rPr/>
      </w:pPr>
      <w:r>
        <w:rPr>
          <w:rFonts w:ascii="Arial;sans-serif" w:hAnsi="Arial;sans-serif"/>
          <w:b w:val="false"/>
          <w:color w:val="000000"/>
          <w:sz w:val="17"/>
        </w:rPr>
        <w:t xml:space="preserve">Indicate by check mark whether the registrant has submitted electronically every Interactive Date File required to be submitted pursuant to Rule 405 of Regulation S-T (§232.405 of this chapter) during the preceding 12 months (or such shorter period as the registrant was required to submit such files).      Yes </w:t>
      </w:r>
      <w:r>
        <w:rPr>
          <w:color w:val="000000"/>
        </w:rPr>
        <w:t xml:space="preserve">☑ </w:t>
      </w:r>
      <w:r>
        <w:rPr>
          <w:rFonts w:ascii="Arial;sans-serif" w:hAnsi="Arial;sans-serif"/>
          <w:b w:val="false"/>
          <w:color w:val="000000"/>
          <w:sz w:val="17"/>
        </w:rPr>
        <w:t xml:space="preserve">No </w:t>
      </w:r>
      <w:r>
        <w:rPr>
          <w:color w:val="000000"/>
        </w:rPr>
        <w:t>☐</w:t>
      </w:r>
    </w:p>
    <w:p>
      <w:pPr>
        <w:pStyle w:val="TextBody"/>
        <w:bidi w:val="0"/>
        <w:spacing w:lineRule="auto" w:line="288" w:before="60" w:after="60"/>
        <w:jc w:val="both"/>
        <w:rPr>
          <w:rFonts w:ascii="Arial;sans-serif" w:hAnsi="Arial;sans-serif"/>
          <w:b w:val="false"/>
          <w:color w:val="000000"/>
          <w:sz w:val="17"/>
        </w:rPr>
      </w:pPr>
      <w:r>
        <w:rPr>
          <w:rFonts w:ascii="Arial;sans-serif" w:hAnsi="Arial;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009" w:type="dxa"/>
        <w:jc w:val="center"/>
        <w:tblInd w:w="0" w:type="dxa"/>
        <w:tblLayout w:type="fixed"/>
        <w:tblCellMar>
          <w:top w:w="28" w:type="dxa"/>
          <w:left w:w="28" w:type="dxa"/>
          <w:bottom w:w="28" w:type="dxa"/>
          <w:right w:w="28" w:type="dxa"/>
        </w:tblCellMar>
      </w:tblPr>
      <w:tblGrid>
        <w:gridCol w:w="782"/>
        <w:gridCol w:w="687"/>
        <w:gridCol w:w="690"/>
        <w:gridCol w:w="109"/>
        <w:gridCol w:w="109"/>
        <w:gridCol w:w="109"/>
        <w:gridCol w:w="709"/>
        <w:gridCol w:w="709"/>
        <w:gridCol w:w="712"/>
        <w:gridCol w:w="109"/>
        <w:gridCol w:w="109"/>
        <w:gridCol w:w="109"/>
        <w:gridCol w:w="564"/>
        <w:gridCol w:w="564"/>
        <w:gridCol w:w="566"/>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pPr>
      <w:r>
        <w:rPr>
          <w:rFonts w:ascii="Arial;sans-serif" w:hAnsi="Arial;sans-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100"/>
        <w:jc w:val="both"/>
        <w:rPr/>
      </w:pPr>
      <w:r>
        <w:rPr>
          <w:rFonts w:ascii="Arial;sans-serif" w:hAnsi="Arial;sans-serif"/>
          <w:b w:val="false"/>
          <w:color w:val="000000"/>
          <w:sz w:val="17"/>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w:t>
      </w:r>
    </w:p>
    <w:p>
      <w:pPr>
        <w:pStyle w:val="TextBody"/>
        <w:bidi w:val="0"/>
        <w:spacing w:lineRule="auto" w:line="288" w:before="100" w:after="100"/>
        <w:jc w:val="both"/>
        <w:rPr/>
      </w:pPr>
      <w:r>
        <w:rPr>
          <w:rFonts w:ascii="Arial;sans-serif" w:hAnsi="Arial;sans-serif"/>
          <w:b w:val="false"/>
          <w:color w:val="000000"/>
          <w:sz w:val="17"/>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bidi w:val="0"/>
        <w:spacing w:lineRule="auto" w:line="288" w:before="100" w:after="100"/>
        <w:jc w:val="both"/>
        <w:rPr/>
      </w:pPr>
      <w:r>
        <w:rPr>
          <w:rFonts w:ascii="Arial;sans-serif" w:hAnsi="Arial;sans-serif"/>
          <w:b w:val="false"/>
          <w:color w:val="000000"/>
          <w:sz w:val="17"/>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w:t>
      </w:r>
    </w:p>
    <w:p>
      <w:pPr>
        <w:pStyle w:val="TextBody"/>
        <w:bidi w:val="0"/>
        <w:spacing w:lineRule="auto" w:line="288" w:before="60" w:after="283"/>
        <w:jc w:val="both"/>
        <w:rPr/>
      </w:pPr>
      <w:r>
        <w:rPr>
          <w:rFonts w:ascii="Arial;sans-serif" w:hAnsi="Arial;sans-serif"/>
          <w:b w:val="false"/>
          <w:color w:val="000000"/>
          <w:sz w:val="17"/>
        </w:rPr>
        <w:t xml:space="preserve">Indicate by check mark whether the registrant is a shell company (as defined in Rule 12b-2 of the Act).     Yes </w:t>
      </w:r>
      <w:r>
        <w:rPr>
          <w:color w:val="000000"/>
        </w:rPr>
        <w:t>☐   </w:t>
      </w:r>
      <w:r>
        <w:rPr>
          <w:rFonts w:ascii="Arial;sans-serif" w:hAnsi="Arial;sans-serif"/>
          <w:b w:val="false"/>
          <w:color w:val="000000"/>
          <w:sz w:val="17"/>
        </w:rPr>
        <w:t>No  </w:t>
      </w:r>
      <w:r>
        <w:rPr>
          <w:color w:val="000000"/>
        </w:rPr>
        <w:t>☑</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17"/>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Common Stock aggregate market value held by non-affiliates as of June 30, 2023:</w:t>
      </w:r>
      <w:r>
        <w:rPr>
          <w:color w:val="000000"/>
        </w:rPr>
        <w:t xml:space="preserve"> </w:t>
      </w:r>
      <w:r>
        <w:rPr>
          <w:rFonts w:ascii="Arial;sans-serif" w:hAnsi="Arial;sans-serif"/>
          <w:b w:val="false"/>
          <w:color w:val="000000"/>
          <w:sz w:val="17"/>
        </w:rPr>
        <w:t>$3,121,405,912.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17"/>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color w:val="000000"/>
        </w:rPr>
        <w:t xml:space="preserve">☑ </w:t>
      </w:r>
      <w:r>
        <w:rPr>
          <w:rFonts w:ascii="Arial;sans-serif" w:hAnsi="Arial;sans-serif"/>
          <w:b w:val="false"/>
          <w:color w:val="000000"/>
          <w:sz w:val="17"/>
        </w:rPr>
        <w:t xml:space="preserve">No </w:t>
      </w:r>
      <w:r>
        <w:rPr>
          <w:color w:val="000000"/>
        </w:rPr>
        <w:t>☐</w:t>
      </w:r>
    </w:p>
    <w:p>
      <w:pPr>
        <w:pStyle w:val="TextBody"/>
        <w:bidi w:val="0"/>
        <w:spacing w:before="0" w:after="0"/>
        <w:ind w:left="0" w:right="0" w:firstLine="180"/>
        <w:jc w:val="left"/>
        <w:rPr/>
      </w:pPr>
      <w:r>
        <w:rPr/>
      </w:r>
    </w:p>
    <w:p>
      <w:pPr>
        <w:pStyle w:val="TextBody"/>
        <w:bidi w:val="0"/>
        <w:spacing w:lineRule="auto" w:line="288" w:before="100" w:after="100"/>
        <w:jc w:val="left"/>
        <w:rPr>
          <w:rFonts w:ascii="Arial;sans-serif" w:hAnsi="Arial;sans-serif"/>
          <w:b w:val="false"/>
          <w:color w:val="000000"/>
          <w:sz w:val="17"/>
        </w:rPr>
      </w:pPr>
      <w:r>
        <w:rPr>
          <w:rFonts w:ascii="Arial;sans-serif" w:hAnsi="Arial;sans-serif"/>
          <w:b w:val="false"/>
          <w:color w:val="000000"/>
          <w:sz w:val="17"/>
        </w:rPr>
        <w:t>At January 31, 2024, there were 69,274,418 shares of Common Stock outstanding.</w:t>
      </w:r>
    </w:p>
    <w:p>
      <w:pPr>
        <w:pStyle w:val="TextBody"/>
        <w:bidi w:val="0"/>
        <w:spacing w:before="60" w:after="283"/>
        <w:jc w:val="center"/>
        <w:rPr/>
      </w:pPr>
      <w:r>
        <w:rPr/>
      </w:r>
    </w:p>
    <w:p>
      <w:pPr>
        <w:pStyle w:val="TextBody"/>
        <w:bidi w:val="0"/>
        <w:spacing w:lineRule="auto" w:line="288" w:before="60" w:after="283"/>
        <w:jc w:val="center"/>
        <w:rPr>
          <w:rFonts w:ascii="Arial;sans-serif" w:hAnsi="Arial;sans-serif"/>
          <w:b w:val="false"/>
          <w:color w:val="000000"/>
          <w:sz w:val="17"/>
        </w:rPr>
      </w:pPr>
      <w:r>
        <w:rPr>
          <w:rFonts w:ascii="Arial;sans-serif" w:hAnsi="Arial;sans-serif"/>
          <w:b w:val="false"/>
          <w:color w:val="000000"/>
          <w:sz w:val="17"/>
        </w:rPr>
        <w:t>DOCUMENTS INCORPORATED BY REFERENCE</w:t>
      </w:r>
    </w:p>
    <w:p>
      <w:pPr>
        <w:pStyle w:val="TextBody"/>
        <w:bidi w:val="0"/>
        <w:spacing w:lineRule="auto" w:line="288" w:before="60" w:after="283"/>
        <w:ind w:left="0" w:right="0" w:firstLine="180"/>
        <w:jc w:val="both"/>
        <w:rPr>
          <w:rFonts w:ascii="Arial;sans-serif" w:hAnsi="Arial;sans-serif"/>
          <w:b w:val="false"/>
          <w:color w:val="000000"/>
          <w:sz w:val="17"/>
        </w:rPr>
      </w:pPr>
      <w:r>
        <w:rPr>
          <w:rFonts w:ascii="Arial;sans-serif" w:hAnsi="Arial;sans-serif"/>
          <w:b w:val="false"/>
          <w:color w:val="000000"/>
          <w:sz w:val="17"/>
        </w:rPr>
        <w:t>Portions of the Definitive Proxy Statement to be filed within 120 days after December 31, 2023 with the Securities and Exchange Commission in connection with the registrant's 2024 Annual Meeting of Stockholders are incorporated by reference into Part III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34"/>
        <w:gridCol w:w="293"/>
        <w:gridCol w:w="297"/>
        <w:gridCol w:w="3034"/>
        <w:gridCol w:w="2826"/>
        <w:gridCol w:w="2832"/>
        <w:gridCol w:w="171"/>
        <w:gridCol w:w="171"/>
        <w:gridCol w:w="247"/>
      </w:tblGrid>
      <w:tr>
        <w:trPr/>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Page</w:t>
            </w:r>
          </w:p>
        </w:tc>
      </w:tr>
      <w:tr>
        <w:trPr/>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w:t>
            </w:r>
          </w:p>
        </w:tc>
        <w:tc>
          <w:tcPr>
            <w:tcW w:w="8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Items 1 &amp; 2</w:t>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BUSINESS AND PROPERTIES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3">
              <w:r>
                <w:rPr>
                  <w:rStyle w:val="InternetLink"/>
                  <w:rFonts w:ascii="Arial;sans-serif" w:hAnsi="Arial;sans-serif"/>
                  <w:b/>
                  <w:strike w:val="false"/>
                  <w:dstrike w:val="false"/>
                  <w:color w:val="000000"/>
                  <w:sz w:val="18"/>
                  <w:u w:val="none"/>
                  <w:effect w:val="none"/>
                </w:rPr>
                <w:t>7</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Business Overview and History </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6">
              <w:r>
                <w:rPr>
                  <w:rStyle w:val="InternetLink"/>
                  <w:rFonts w:ascii="Arial;sans-serif" w:hAnsi="Arial;sans-serif"/>
                  <w:b/>
                  <w:strike w:val="false"/>
                  <w:dstrike w:val="false"/>
                  <w:color w:val="000000"/>
                  <w:sz w:val="18"/>
                  <w:u w:val="none"/>
                  <w:effect w:val="none"/>
                </w:rPr>
                <w:t>7</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Recent Developments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924">
              <w:r>
                <w:rPr>
                  <w:rStyle w:val="InternetLink"/>
                  <w:rFonts w:ascii="Arial;sans-serif" w:hAnsi="Arial;sans-serif"/>
                  <w:b/>
                  <w:strike w:val="false"/>
                  <w:dstrike w:val="false"/>
                  <w:color w:val="000000"/>
                  <w:sz w:val="18"/>
                  <w:u w:val="none"/>
                  <w:effect w:val="none"/>
                </w:rPr>
                <w:t>7</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Oil and Natural Gas Operations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2">
              <w:r>
                <w:rPr>
                  <w:rStyle w:val="InternetLink"/>
                  <w:rFonts w:ascii="Arial;sans-serif" w:hAnsi="Arial;sans-serif"/>
                  <w:b/>
                  <w:strike w:val="false"/>
                  <w:dstrike w:val="false"/>
                  <w:color w:val="000000"/>
                  <w:sz w:val="18"/>
                  <w:u w:val="none"/>
                  <w:effect w:val="none"/>
                </w:rPr>
                <w:t>8</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Mineral Acreage</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5">
              <w:r>
                <w:rPr>
                  <w:rStyle w:val="InternetLink"/>
                  <w:rFonts w:ascii="Arial;sans-serif" w:hAnsi="Arial;sans-serif"/>
                  <w:b/>
                  <w:strike w:val="false"/>
                  <w:dstrike w:val="false"/>
                  <w:color w:val="000000"/>
                  <w:sz w:val="18"/>
                  <w:u w:val="none"/>
                  <w:effect w:val="none"/>
                </w:rPr>
                <w:t>10</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Production, Price and Cost History</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8">
              <w:r>
                <w:rPr>
                  <w:rStyle w:val="InternetLink"/>
                  <w:rFonts w:ascii="Arial;sans-serif" w:hAnsi="Arial;sans-serif"/>
                  <w:b/>
                  <w:strike w:val="false"/>
                  <w:dstrike w:val="false"/>
                  <w:color w:val="000000"/>
                  <w:sz w:val="18"/>
                  <w:u w:val="none"/>
                  <w:effect w:val="none"/>
                </w:rPr>
                <w:t>11</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Estimated Proved Reserves and Future Net Cash Flows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31">
              <w:r>
                <w:rPr>
                  <w:rStyle w:val="InternetLink"/>
                  <w:rFonts w:ascii="Arial;sans-serif" w:hAnsi="Arial;sans-serif"/>
                  <w:b/>
                  <w:strike w:val="false"/>
                  <w:dstrike w:val="false"/>
                  <w:color w:val="000000"/>
                  <w:sz w:val="18"/>
                  <w:u w:val="none"/>
                  <w:effect w:val="none"/>
                </w:rPr>
                <w:t>12</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Drilling Statistics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34">
              <w:r>
                <w:rPr>
                  <w:rStyle w:val="InternetLink"/>
                  <w:rFonts w:ascii="Arial;sans-serif" w:hAnsi="Arial;sans-serif"/>
                  <w:b/>
                  <w:strike w:val="false"/>
                  <w:dstrike w:val="false"/>
                  <w:color w:val="000000"/>
                  <w:sz w:val="18"/>
                  <w:u w:val="none"/>
                  <w:effect w:val="none"/>
                </w:rPr>
                <w:t>18</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Productive Wells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37">
              <w:r>
                <w:rPr>
                  <w:rStyle w:val="InternetLink"/>
                  <w:rFonts w:ascii="Arial;sans-serif" w:hAnsi="Arial;sans-serif"/>
                  <w:b/>
                  <w:strike w:val="false"/>
                  <w:dstrike w:val="false"/>
                  <w:color w:val="000000"/>
                  <w:sz w:val="18"/>
                  <w:u w:val="none"/>
                  <w:effect w:val="none"/>
                </w:rPr>
                <w:t>18</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Exploration Inventory</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40">
              <w:r>
                <w:rPr>
                  <w:rStyle w:val="InternetLink"/>
                  <w:rFonts w:ascii="Arial;sans-serif" w:hAnsi="Arial;sans-serif"/>
                  <w:b/>
                  <w:strike w:val="false"/>
                  <w:dstrike w:val="false"/>
                  <w:color w:val="000000"/>
                  <w:sz w:val="18"/>
                  <w:u w:val="none"/>
                  <w:effect w:val="none"/>
                </w:rPr>
                <w:t>19</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Marketing Arrangements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43">
              <w:r>
                <w:rPr>
                  <w:rStyle w:val="InternetLink"/>
                  <w:rFonts w:ascii="Arial;sans-serif" w:hAnsi="Arial;sans-serif"/>
                  <w:b/>
                  <w:strike w:val="false"/>
                  <w:dstrike w:val="false"/>
                  <w:color w:val="000000"/>
                  <w:sz w:val="18"/>
                  <w:u w:val="none"/>
                  <w:effect w:val="none"/>
                </w:rPr>
                <w:t>19</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Infrastructure</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46">
              <w:r>
                <w:rPr>
                  <w:rStyle w:val="InternetLink"/>
                  <w:rFonts w:ascii="Arial;sans-serif" w:hAnsi="Arial;sans-serif"/>
                  <w:b/>
                  <w:strike w:val="false"/>
                  <w:dstrike w:val="false"/>
                  <w:color w:val="000000"/>
                  <w:sz w:val="18"/>
                  <w:u w:val="none"/>
                  <w:effect w:val="none"/>
                </w:rPr>
                <w:t>21</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Carbon Management Business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49">
              <w:r>
                <w:rPr>
                  <w:rStyle w:val="InternetLink"/>
                  <w:rFonts w:ascii="Arial;sans-serif" w:hAnsi="Arial;sans-serif"/>
                  <w:b/>
                  <w:strike w:val="false"/>
                  <w:dstrike w:val="false"/>
                  <w:color w:val="000000"/>
                  <w:sz w:val="18"/>
                  <w:u w:val="none"/>
                  <w:effect w:val="none"/>
                </w:rPr>
                <w:t>22</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Human Capital Management</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52">
              <w:r>
                <w:rPr>
                  <w:rStyle w:val="InternetLink"/>
                  <w:rFonts w:ascii="Arial;sans-serif" w:hAnsi="Arial;sans-serif"/>
                  <w:b/>
                  <w:strike w:val="false"/>
                  <w:dstrike w:val="false"/>
                  <w:color w:val="000000"/>
                  <w:sz w:val="18"/>
                  <w:u w:val="none"/>
                  <w:effect w:val="none"/>
                </w:rPr>
                <w:t>23</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Regulation of the Industries in Which We Operate</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55">
              <w:r>
                <w:rPr>
                  <w:rStyle w:val="InternetLink"/>
                  <w:rFonts w:ascii="Arial;sans-serif" w:hAnsi="Arial;sans-serif"/>
                  <w:b/>
                  <w:strike w:val="false"/>
                  <w:dstrike w:val="false"/>
                  <w:color w:val="000000"/>
                  <w:sz w:val="18"/>
                  <w:u w:val="none"/>
                  <w:effect w:val="none"/>
                </w:rPr>
                <w:t>24</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Available Information</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58">
              <w:r>
                <w:rPr>
                  <w:rStyle w:val="InternetLink"/>
                  <w:rFonts w:ascii="Arial;sans-serif" w:hAnsi="Arial;sans-serif"/>
                  <w:b/>
                  <w:strike w:val="false"/>
                  <w:dstrike w:val="false"/>
                  <w:color w:val="000000"/>
                  <w:sz w:val="18"/>
                  <w:u w:val="none"/>
                  <w:effect w:val="none"/>
                </w:rPr>
                <w:t>34</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1A</w:t>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RISK FACTORS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61">
              <w:r>
                <w:rPr>
                  <w:rStyle w:val="InternetLink"/>
                  <w:rFonts w:ascii="Arial;sans-serif" w:hAnsi="Arial;sans-serif"/>
                  <w:b/>
                  <w:strike w:val="false"/>
                  <w:dstrike w:val="false"/>
                  <w:color w:val="000000"/>
                  <w:sz w:val="18"/>
                  <w:u w:val="none"/>
                  <w:effect w:val="none"/>
                </w:rPr>
                <w:t>35</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1B</w:t>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UNRESOLVED STAFF COMMENTS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64">
              <w:r>
                <w:rPr>
                  <w:rStyle w:val="InternetLink"/>
                  <w:rFonts w:ascii="Arial;sans-serif" w:hAnsi="Arial;sans-serif"/>
                  <w:b/>
                  <w:strike w:val="false"/>
                  <w:dstrike w:val="false"/>
                  <w:color w:val="000000"/>
                  <w:sz w:val="18"/>
                  <w:u w:val="none"/>
                  <w:effect w:val="none"/>
                </w:rPr>
                <w:t>57</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Item 1C</w:t>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260"/>
              <w:jc w:val="left"/>
              <w:rPr>
                <w:rFonts w:ascii="Arial;sans-serif" w:hAnsi="Arial;sans-serif"/>
                <w:b w:val="false"/>
                <w:color w:val="000000"/>
                <w:sz w:val="18"/>
              </w:rPr>
            </w:pPr>
            <w:r>
              <w:rPr>
                <w:rFonts w:ascii="Arial;sans-serif" w:hAnsi="Arial;sans-serif"/>
                <w:b w:val="false"/>
                <w:color w:val="000000"/>
                <w:sz w:val="18"/>
              </w:rPr>
              <w:t>CYBERSECURITY</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888">
              <w:r>
                <w:rPr>
                  <w:rStyle w:val="InternetLink"/>
                  <w:rFonts w:ascii="Arial;sans-serif" w:hAnsi="Arial;sans-serif"/>
                  <w:b/>
                  <w:strike w:val="false"/>
                  <w:dstrike w:val="false"/>
                  <w:color w:val="000000"/>
                  <w:sz w:val="18"/>
                  <w:u w:val="none"/>
                  <w:effect w:val="none"/>
                </w:rPr>
                <w:t>57</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3</w:t>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LEGAL PROCEEDINGS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67">
              <w:r>
                <w:rPr>
                  <w:rStyle w:val="InternetLink"/>
                  <w:rFonts w:ascii="Arial;sans-serif" w:hAnsi="Arial;sans-serif"/>
                  <w:b/>
                  <w:strike w:val="false"/>
                  <w:dstrike w:val="false"/>
                  <w:color w:val="000000"/>
                  <w:sz w:val="18"/>
                  <w:u w:val="none"/>
                  <w:effect w:val="none"/>
                </w:rPr>
                <w:t>57</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4</w:t>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MINE SAFETY DISCLOSURES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70">
              <w:r>
                <w:rPr>
                  <w:rStyle w:val="InternetLink"/>
                  <w:rFonts w:ascii="Arial;sans-serif" w:hAnsi="Arial;sans-serif"/>
                  <w:b/>
                  <w:strike w:val="false"/>
                  <w:dstrike w:val="false"/>
                  <w:color w:val="000000"/>
                  <w:sz w:val="18"/>
                  <w:u w:val="none"/>
                  <w:effect w:val="none"/>
                </w:rPr>
                <w:t>58</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w:t>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5</w:t>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MARKET FOR REGISTRANT'S COMMON EQUITY, RELATED STOCKHOLDER MATTERS AND ISSUER PURCHASES OF EQUITY SECURITIES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73">
              <w:r>
                <w:rPr>
                  <w:rStyle w:val="InternetLink"/>
                  <w:rFonts w:ascii="Arial;sans-serif" w:hAnsi="Arial;sans-serif"/>
                  <w:b/>
                  <w:strike w:val="false"/>
                  <w:dstrike w:val="false"/>
                  <w:color w:val="000000"/>
                  <w:sz w:val="18"/>
                  <w:u w:val="none"/>
                  <w:effect w:val="none"/>
                </w:rPr>
                <w:t>59</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6</w:t>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RESERVED</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76">
              <w:r>
                <w:rPr>
                  <w:rStyle w:val="InternetLink"/>
                  <w:rFonts w:ascii="Arial;sans-serif" w:hAnsi="Arial;sans-serif"/>
                  <w:b/>
                  <w:strike w:val="false"/>
                  <w:dstrike w:val="false"/>
                  <w:color w:val="000000"/>
                  <w:sz w:val="18"/>
                  <w:u w:val="none"/>
                  <w:effect w:val="none"/>
                </w:rPr>
                <w:t>62</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7</w:t>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MANAGEMENT'S DISCUSSION AND ANALYSIS OF FINANCIAL CONDITION AND RESULTS OF OPERATIONS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79">
              <w:r>
                <w:rPr>
                  <w:rStyle w:val="InternetLink"/>
                  <w:rFonts w:ascii="Arial;sans-serif" w:hAnsi="Arial;sans-serif"/>
                  <w:b/>
                  <w:strike w:val="false"/>
                  <w:dstrike w:val="false"/>
                  <w:color w:val="000000"/>
                  <w:sz w:val="18"/>
                  <w:u w:val="none"/>
                  <w:effect w:val="none"/>
                </w:rPr>
                <w:t>63</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Basis of Presentation</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82">
              <w:r>
                <w:rPr>
                  <w:rStyle w:val="InternetLink"/>
                  <w:rFonts w:ascii="Arial;sans-serif" w:hAnsi="Arial;sans-serif"/>
                  <w:b/>
                  <w:strike w:val="false"/>
                  <w:dstrike w:val="false"/>
                  <w:color w:val="000000"/>
                  <w:sz w:val="18"/>
                  <w:u w:val="none"/>
                  <w:effect w:val="none"/>
                </w:rPr>
                <w:t>63</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Production, Prices and Realizations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88">
              <w:r>
                <w:rPr>
                  <w:rStyle w:val="InternetLink"/>
                  <w:rFonts w:ascii="Arial;sans-serif" w:hAnsi="Arial;sans-serif"/>
                  <w:b/>
                  <w:strike w:val="false"/>
                  <w:dstrike w:val="false"/>
                  <w:color w:val="000000"/>
                  <w:sz w:val="18"/>
                  <w:u w:val="none"/>
                  <w:effect w:val="none"/>
                </w:rPr>
                <w:t>64</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Divestitures and Acquisitions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91">
              <w:r>
                <w:rPr>
                  <w:rStyle w:val="InternetLink"/>
                  <w:rFonts w:ascii="Arial;sans-serif" w:hAnsi="Arial;sans-serif"/>
                  <w:b/>
                  <w:strike w:val="false"/>
                  <w:dstrike w:val="false"/>
                  <w:color w:val="000000"/>
                  <w:sz w:val="18"/>
                  <w:u w:val="none"/>
                  <w:effect w:val="none"/>
                </w:rPr>
                <w:t>66</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Carbon TerraVault Joint Venture</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94">
              <w:r>
                <w:rPr>
                  <w:rStyle w:val="InternetLink"/>
                  <w:rFonts w:ascii="Arial;sans-serif" w:hAnsi="Arial;sans-serif"/>
                  <w:b/>
                  <w:strike w:val="false"/>
                  <w:dstrike w:val="false"/>
                  <w:color w:val="000000"/>
                  <w:sz w:val="18"/>
                  <w:u w:val="none"/>
                  <w:effect w:val="none"/>
                </w:rPr>
                <w:t>66</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 Policy</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97">
              <w:r>
                <w:rPr>
                  <w:rStyle w:val="InternetLink"/>
                  <w:rFonts w:ascii="Arial;sans-serif" w:hAnsi="Arial;sans-serif"/>
                  <w:b/>
                  <w:strike w:val="false"/>
                  <w:dstrike w:val="false"/>
                  <w:color w:val="000000"/>
                  <w:sz w:val="18"/>
                  <w:u w:val="none"/>
                  <w:effect w:val="none"/>
                </w:rPr>
                <w:t>73</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Share Repurchase Program</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00">
              <w:r>
                <w:rPr>
                  <w:rStyle w:val="InternetLink"/>
                  <w:rFonts w:ascii="Arial;sans-serif" w:hAnsi="Arial;sans-serif"/>
                  <w:b/>
                  <w:strike w:val="false"/>
                  <w:dstrike w:val="false"/>
                  <w:color w:val="000000"/>
                  <w:sz w:val="18"/>
                  <w:u w:val="none"/>
                  <w:effect w:val="none"/>
                </w:rPr>
                <w:t>74</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Supply Chain and Inflation</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943">
              <w:r>
                <w:rPr>
                  <w:rStyle w:val="InternetLink"/>
                  <w:rFonts w:ascii="Arial;sans-serif" w:hAnsi="Arial;sans-serif"/>
                  <w:b/>
                  <w:strike w:val="false"/>
                  <w:dstrike w:val="false"/>
                  <w:color w:val="000000"/>
                  <w:sz w:val="18"/>
                  <w:u w:val="none"/>
                  <w:effect w:val="none"/>
                </w:rPr>
                <w:t>66</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Seasonality</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03">
              <w:r>
                <w:rPr>
                  <w:rStyle w:val="InternetLink"/>
                  <w:rFonts w:ascii="Arial;sans-serif" w:hAnsi="Arial;sans-serif"/>
                  <w:b/>
                  <w:strike w:val="false"/>
                  <w:dstrike w:val="false"/>
                  <w:color w:val="000000"/>
                  <w:sz w:val="18"/>
                  <w:u w:val="none"/>
                  <w:effect w:val="none"/>
                </w:rPr>
                <w:t>66</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Taxes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06">
              <w:r>
                <w:rPr>
                  <w:rStyle w:val="InternetLink"/>
                  <w:rFonts w:ascii="Arial;sans-serif" w:hAnsi="Arial;sans-serif"/>
                  <w:b/>
                  <w:strike w:val="false"/>
                  <w:dstrike w:val="false"/>
                  <w:color w:val="000000"/>
                  <w:sz w:val="18"/>
                  <w:u w:val="none"/>
                  <w:effect w:val="none"/>
                </w:rPr>
                <w:t>66</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Statement of Operations Analysis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09">
              <w:r>
                <w:rPr>
                  <w:rStyle w:val="InternetLink"/>
                  <w:rFonts w:ascii="Arial;sans-serif" w:hAnsi="Arial;sans-serif"/>
                  <w:b/>
                  <w:strike w:val="false"/>
                  <w:dstrike w:val="false"/>
                  <w:color w:val="000000"/>
                  <w:sz w:val="18"/>
                  <w:u w:val="none"/>
                  <w:effect w:val="none"/>
                </w:rPr>
                <w:t>67</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Liquidity and Capital Resources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12">
              <w:r>
                <w:rPr>
                  <w:rStyle w:val="InternetLink"/>
                  <w:rFonts w:ascii="Arial;sans-serif" w:hAnsi="Arial;sans-serif"/>
                  <w:b/>
                  <w:strike w:val="false"/>
                  <w:dstrike w:val="false"/>
                  <w:color w:val="000000"/>
                  <w:sz w:val="18"/>
                  <w:u w:val="none"/>
                  <w:effect w:val="none"/>
                </w:rPr>
                <w:t>72</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Uses of Cash</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15">
              <w:r>
                <w:rPr>
                  <w:rStyle w:val="InternetLink"/>
                  <w:rFonts w:ascii="Arial;sans-serif" w:hAnsi="Arial;sans-serif"/>
                  <w:b/>
                  <w:strike w:val="false"/>
                  <w:dstrike w:val="false"/>
                  <w:color w:val="000000"/>
                  <w:sz w:val="18"/>
                  <w:u w:val="none"/>
                  <w:effect w:val="none"/>
                </w:rPr>
                <w:t>74</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Lawsuits, Claims, Commitments and Contingencies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18">
              <w:r>
                <w:rPr>
                  <w:rStyle w:val="InternetLink"/>
                  <w:rFonts w:ascii="Arial;sans-serif" w:hAnsi="Arial;sans-serif"/>
                  <w:b/>
                  <w:strike w:val="false"/>
                  <w:dstrike w:val="false"/>
                  <w:color w:val="000000"/>
                  <w:sz w:val="18"/>
                  <w:u w:val="none"/>
                  <w:effect w:val="none"/>
                </w:rPr>
                <w:t>77</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Critical Accounting Estimates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21">
              <w:r>
                <w:rPr>
                  <w:rStyle w:val="InternetLink"/>
                  <w:rFonts w:ascii="Arial;sans-serif" w:hAnsi="Arial;sans-serif"/>
                  <w:b/>
                  <w:strike w:val="false"/>
                  <w:dstrike w:val="false"/>
                  <w:color w:val="000000"/>
                  <w:sz w:val="18"/>
                  <w:u w:val="none"/>
                  <w:effect w:val="none"/>
                </w:rPr>
                <w:t>77</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FORWARD-LOOKING STATEMENTS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24">
              <w:r>
                <w:rPr>
                  <w:rStyle w:val="InternetLink"/>
                  <w:rFonts w:ascii="Arial;sans-serif" w:hAnsi="Arial;sans-serif"/>
                  <w:b/>
                  <w:strike w:val="false"/>
                  <w:dstrike w:val="false"/>
                  <w:color w:val="000000"/>
                  <w:sz w:val="18"/>
                  <w:u w:val="none"/>
                  <w:effect w:val="none"/>
                </w:rPr>
                <w:t>80</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7A</w:t>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QUANTITATIVE AND QUALITATIVE DISCLOSURES ABOUT MARKET RISK</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27">
              <w:r>
                <w:rPr>
                  <w:rStyle w:val="InternetLink"/>
                  <w:rFonts w:ascii="Arial;sans-serif" w:hAnsi="Arial;sans-serif"/>
                  <w:b/>
                  <w:strike w:val="false"/>
                  <w:dstrike w:val="false"/>
                  <w:color w:val="000000"/>
                  <w:sz w:val="18"/>
                  <w:u w:val="none"/>
                  <w:effect w:val="none"/>
                </w:rPr>
                <w:t>82</w:t>
              </w:r>
            </w:hyperlink>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8</w:t>
            </w:r>
          </w:p>
        </w:tc>
        <w:tc>
          <w:tcPr>
            <w:tcW w:w="8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FINANCIAL STATEMENTS AND SUPPLEMENTARY DATA</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30">
              <w:r>
                <w:rPr>
                  <w:rStyle w:val="InternetLink"/>
                  <w:rFonts w:ascii="Arial;sans-serif" w:hAnsi="Arial;sans-serif"/>
                  <w:b/>
                  <w:strike w:val="false"/>
                  <w:dstrike w:val="false"/>
                  <w:color w:val="000000"/>
                  <w:sz w:val="18"/>
                  <w:u w:val="none"/>
                  <w:effect w:val="none"/>
                </w:rPr>
                <w:t>83</w:t>
              </w:r>
            </w:hyperlink>
          </w:p>
        </w:tc>
      </w:tr>
      <w:tr>
        <w:trPr/>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 of Independent Registered Public Accounting Firm</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33">
              <w:r>
                <w:rPr>
                  <w:rStyle w:val="InternetLink"/>
                  <w:rFonts w:ascii="Arial;sans-serif" w:hAnsi="Arial;sans-serif"/>
                  <w:b/>
                  <w:strike w:val="false"/>
                  <w:dstrike w:val="false"/>
                  <w:color w:val="000000"/>
                  <w:sz w:val="18"/>
                  <w:u w:val="none"/>
                  <w:effect w:val="none"/>
                </w:rPr>
                <w:t>83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1"/>
        <w:gridCol w:w="230"/>
        <w:gridCol w:w="232"/>
        <w:gridCol w:w="3022"/>
        <w:gridCol w:w="2931"/>
        <w:gridCol w:w="2940"/>
        <w:gridCol w:w="171"/>
        <w:gridCol w:w="171"/>
        <w:gridCol w:w="247"/>
      </w:tblGrid>
      <w:tr>
        <w:trPr/>
        <w:tc>
          <w:tcPr>
            <w:tcW w:w="2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Page</w:t>
            </w:r>
          </w:p>
        </w:tc>
      </w:tr>
      <w:tr>
        <w:trPr/>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Balance Sheets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36">
              <w:r>
                <w:rPr>
                  <w:rStyle w:val="InternetLink"/>
                  <w:rFonts w:ascii="Arial;sans-serif" w:hAnsi="Arial;sans-serif"/>
                  <w:b/>
                  <w:strike w:val="false"/>
                  <w:dstrike w:val="false"/>
                  <w:color w:val="000000"/>
                  <w:sz w:val="18"/>
                  <w:u w:val="none"/>
                  <w:effect w:val="none"/>
                </w:rPr>
                <w:t>86</w:t>
              </w:r>
            </w:hyperlink>
          </w:p>
        </w:tc>
      </w:tr>
      <w:tr>
        <w:trPr/>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Operations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39">
              <w:r>
                <w:rPr>
                  <w:rStyle w:val="InternetLink"/>
                  <w:rFonts w:ascii="Arial;sans-serif" w:hAnsi="Arial;sans-serif"/>
                  <w:b/>
                  <w:strike w:val="false"/>
                  <w:dstrike w:val="false"/>
                  <w:color w:val="000000"/>
                  <w:sz w:val="18"/>
                  <w:u w:val="none"/>
                  <w:effect w:val="none"/>
                </w:rPr>
                <w:t>87</w:t>
              </w:r>
            </w:hyperlink>
          </w:p>
        </w:tc>
      </w:tr>
      <w:tr>
        <w:trPr/>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Comprehensive Income (Loss)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42">
              <w:r>
                <w:rPr>
                  <w:rStyle w:val="InternetLink"/>
                  <w:rFonts w:ascii="Arial;sans-serif" w:hAnsi="Arial;sans-serif"/>
                  <w:b/>
                  <w:strike w:val="false"/>
                  <w:dstrike w:val="false"/>
                  <w:color w:val="000000"/>
                  <w:sz w:val="18"/>
                  <w:u w:val="none"/>
                  <w:effect w:val="none"/>
                </w:rPr>
                <w:t>88</w:t>
              </w:r>
            </w:hyperlink>
          </w:p>
        </w:tc>
      </w:tr>
      <w:tr>
        <w:trPr/>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Changes in Stockholders' Equity (Deficit)</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45">
              <w:r>
                <w:rPr>
                  <w:rStyle w:val="InternetLink"/>
                  <w:rFonts w:ascii="Arial;sans-serif" w:hAnsi="Arial;sans-serif"/>
                  <w:b/>
                  <w:strike w:val="false"/>
                  <w:dstrike w:val="false"/>
                  <w:color w:val="000000"/>
                  <w:sz w:val="18"/>
                  <w:u w:val="none"/>
                  <w:effect w:val="none"/>
                </w:rPr>
                <w:t>89</w:t>
              </w:r>
            </w:hyperlink>
          </w:p>
        </w:tc>
      </w:tr>
      <w:tr>
        <w:trPr/>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Cash Flows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48">
              <w:r>
                <w:rPr>
                  <w:rStyle w:val="InternetLink"/>
                  <w:rFonts w:ascii="Arial;sans-serif" w:hAnsi="Arial;sans-serif"/>
                  <w:b/>
                  <w:strike w:val="false"/>
                  <w:dstrike w:val="false"/>
                  <w:color w:val="000000"/>
                  <w:sz w:val="18"/>
                  <w:u w:val="none"/>
                  <w:effect w:val="none"/>
                </w:rPr>
                <w:t>90</w:t>
              </w:r>
            </w:hyperlink>
          </w:p>
        </w:tc>
      </w:tr>
      <w:tr>
        <w:trPr/>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Notes to Consolidated Financial Statements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151">
              <w:r>
                <w:rPr>
                  <w:rStyle w:val="InternetLink"/>
                  <w:rFonts w:ascii="Arial;sans-serif" w:hAnsi="Arial;sans-serif"/>
                  <w:b/>
                  <w:strike w:val="false"/>
                  <w:dstrike w:val="false"/>
                  <w:color w:val="000000"/>
                  <w:sz w:val="18"/>
                  <w:u w:val="none"/>
                  <w:effect w:val="none"/>
                </w:rPr>
                <w:t>91</w:t>
              </w:r>
            </w:hyperlink>
          </w:p>
        </w:tc>
      </w:tr>
      <w:tr>
        <w:trPr/>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Supplemental Oil and Gas Information (Unaudited) </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20">
              <w:r>
                <w:rPr>
                  <w:rStyle w:val="InternetLink"/>
                  <w:rFonts w:ascii="Arial;sans-serif" w:hAnsi="Arial;sans-serif"/>
                  <w:b/>
                  <w:strike w:val="false"/>
                  <w:dstrike w:val="false"/>
                  <w:color w:val="000000"/>
                  <w:sz w:val="18"/>
                  <w:u w:val="none"/>
                  <w:effect w:val="none"/>
                </w:rPr>
                <w:t>130</w:t>
              </w:r>
            </w:hyperlink>
          </w:p>
        </w:tc>
      </w:tr>
      <w:tr>
        <w:trPr/>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SCHEDULE II - VALUATION AND QUALIFYING ACCOUNTS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23">
              <w:r>
                <w:rPr>
                  <w:rStyle w:val="InternetLink"/>
                  <w:rFonts w:ascii="Arial;sans-serif" w:hAnsi="Arial;sans-serif"/>
                  <w:b/>
                  <w:strike w:val="false"/>
                  <w:dstrike w:val="false"/>
                  <w:color w:val="000000"/>
                  <w:sz w:val="18"/>
                  <w:u w:val="none"/>
                  <w:effect w:val="none"/>
                </w:rPr>
                <w:t>135</w:t>
              </w:r>
            </w:hyperlink>
          </w:p>
        </w:tc>
      </w:tr>
      <w:tr>
        <w:trPr/>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9</w:t>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CHANGES IN AND DISAGREEMENTS WITH ACCOUNTANTS ON ACCOUNTING AND FINANCIAL DISCLOSURE</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26">
              <w:r>
                <w:rPr>
                  <w:rStyle w:val="InternetLink"/>
                  <w:rFonts w:ascii="Arial;sans-serif" w:hAnsi="Arial;sans-serif"/>
                  <w:b/>
                  <w:strike w:val="false"/>
                  <w:dstrike w:val="false"/>
                  <w:color w:val="000000"/>
                  <w:sz w:val="18"/>
                  <w:u w:val="none"/>
                  <w:effect w:val="none"/>
                </w:rPr>
                <w:t>136</w:t>
              </w:r>
            </w:hyperlink>
          </w:p>
        </w:tc>
      </w:tr>
      <w:tr>
        <w:trPr/>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9A</w:t>
            </w:r>
          </w:p>
        </w:tc>
        <w:tc>
          <w:tcPr>
            <w:tcW w:w="8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CONTROLS AND PROCEDURES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29">
              <w:r>
                <w:rPr>
                  <w:rStyle w:val="InternetLink"/>
                  <w:rFonts w:ascii="Arial;sans-serif" w:hAnsi="Arial;sans-serif"/>
                  <w:b/>
                  <w:strike w:val="false"/>
                  <w:dstrike w:val="false"/>
                  <w:color w:val="000000"/>
                  <w:sz w:val="18"/>
                  <w:u w:val="none"/>
                  <w:effect w:val="none"/>
                </w:rPr>
                <w:t>136</w:t>
              </w:r>
            </w:hyperlink>
          </w:p>
        </w:tc>
      </w:tr>
      <w:tr>
        <w:trPr/>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9B</w:t>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INFORMATION</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32">
              <w:r>
                <w:rPr>
                  <w:rStyle w:val="InternetLink"/>
                  <w:rFonts w:ascii="Arial;sans-serif" w:hAnsi="Arial;sans-serif"/>
                  <w:b/>
                  <w:strike w:val="false"/>
                  <w:dstrike w:val="false"/>
                  <w:color w:val="000000"/>
                  <w:sz w:val="18"/>
                  <w:u w:val="none"/>
                  <w:effect w:val="none"/>
                </w:rPr>
                <w:t>137</w:t>
              </w:r>
            </w:hyperlink>
          </w:p>
        </w:tc>
      </w:tr>
      <w:tr>
        <w:trPr/>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9C</w:t>
            </w:r>
          </w:p>
        </w:tc>
        <w:tc>
          <w:tcPr>
            <w:tcW w:w="8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DISCLOSURE REGARDING FOREIGN JURISDICTIONS THAT PREVENT INSPECTIONS</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35">
              <w:r>
                <w:rPr>
                  <w:rStyle w:val="InternetLink"/>
                  <w:rFonts w:ascii="Arial;sans-serif" w:hAnsi="Arial;sans-serif"/>
                  <w:b/>
                  <w:strike w:val="false"/>
                  <w:dstrike w:val="false"/>
                  <w:color w:val="000000"/>
                  <w:sz w:val="18"/>
                  <w:u w:val="none"/>
                  <w:effect w:val="none"/>
                </w:rPr>
                <w:t>137</w:t>
              </w:r>
            </w:hyperlink>
          </w:p>
        </w:tc>
      </w:tr>
      <w:tr>
        <w:trPr/>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III</w:t>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10</w:t>
            </w:r>
          </w:p>
        </w:tc>
        <w:tc>
          <w:tcPr>
            <w:tcW w:w="8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DIRECTORS, EXECUTIVE OFFICERS AND CORPORATE GOVERNANCE</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41">
              <w:r>
                <w:rPr>
                  <w:rStyle w:val="InternetLink"/>
                  <w:rFonts w:ascii="Arial;sans-serif" w:hAnsi="Arial;sans-serif"/>
                  <w:b/>
                  <w:strike w:val="false"/>
                  <w:dstrike w:val="false"/>
                  <w:color w:val="000000"/>
                  <w:sz w:val="18"/>
                  <w:u w:val="none"/>
                  <w:effect w:val="none"/>
                </w:rPr>
                <w:t>138</w:t>
              </w:r>
            </w:hyperlink>
          </w:p>
        </w:tc>
      </w:tr>
      <w:tr>
        <w:trPr/>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OFFICERS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44">
              <w:r>
                <w:rPr>
                  <w:rStyle w:val="InternetLink"/>
                  <w:rFonts w:ascii="Arial;sans-serif" w:hAnsi="Arial;sans-serif"/>
                  <w:b/>
                  <w:strike w:val="false"/>
                  <w:dstrike w:val="false"/>
                  <w:color w:val="000000"/>
                  <w:sz w:val="18"/>
                  <w:u w:val="none"/>
                  <w:effect w:val="none"/>
                </w:rPr>
                <w:t>138</w:t>
              </w:r>
            </w:hyperlink>
          </w:p>
        </w:tc>
      </w:tr>
      <w:tr>
        <w:trPr/>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11</w:t>
            </w:r>
          </w:p>
        </w:tc>
        <w:tc>
          <w:tcPr>
            <w:tcW w:w="8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COMPENSATION</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47">
              <w:r>
                <w:rPr>
                  <w:rStyle w:val="InternetLink"/>
                  <w:rFonts w:ascii="Arial;sans-serif" w:hAnsi="Arial;sans-serif"/>
                  <w:b/>
                  <w:strike w:val="false"/>
                  <w:dstrike w:val="false"/>
                  <w:color w:val="000000"/>
                  <w:sz w:val="18"/>
                  <w:u w:val="none"/>
                  <w:effect w:val="none"/>
                </w:rPr>
                <w:t>139</w:t>
              </w:r>
            </w:hyperlink>
          </w:p>
        </w:tc>
      </w:tr>
      <w:tr>
        <w:trPr/>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12</w:t>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SECURITY OWNERSHIP OF CERTAIN BENEFICIAL OWNERS AND MANAGEMENT AND RELATED STOCKHOLDER MATTERS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50">
              <w:r>
                <w:rPr>
                  <w:rStyle w:val="InternetLink"/>
                  <w:rFonts w:ascii="Arial;sans-serif" w:hAnsi="Arial;sans-serif"/>
                  <w:b/>
                  <w:strike w:val="false"/>
                  <w:dstrike w:val="false"/>
                  <w:color w:val="000000"/>
                  <w:sz w:val="18"/>
                  <w:u w:val="none"/>
                  <w:effect w:val="none"/>
                </w:rPr>
                <w:t>139</w:t>
              </w:r>
            </w:hyperlink>
          </w:p>
        </w:tc>
      </w:tr>
      <w:tr>
        <w:trPr/>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13</w:t>
            </w:r>
          </w:p>
        </w:tc>
        <w:tc>
          <w:tcPr>
            <w:tcW w:w="8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CERTAIN RELATIONSHIPS AND RELATED TRANSACTIONS AND DIRECTOR INDEPENDENCE</w:t>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53">
              <w:r>
                <w:rPr>
                  <w:rStyle w:val="InternetLink"/>
                  <w:rFonts w:ascii="Arial;sans-serif" w:hAnsi="Arial;sans-serif"/>
                  <w:b/>
                  <w:strike w:val="false"/>
                  <w:dstrike w:val="false"/>
                  <w:color w:val="000000"/>
                  <w:sz w:val="18"/>
                  <w:u w:val="none"/>
                  <w:effect w:val="none"/>
                </w:rPr>
                <w:t>139</w:t>
              </w:r>
            </w:hyperlink>
          </w:p>
        </w:tc>
      </w:tr>
      <w:tr>
        <w:trPr/>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14</w:t>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PRINCIPAL ACCOUNTANT FEES AND SERVICES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56">
              <w:r>
                <w:rPr>
                  <w:rStyle w:val="InternetLink"/>
                  <w:rFonts w:ascii="Arial;sans-serif" w:hAnsi="Arial;sans-serif"/>
                  <w:b/>
                  <w:strike w:val="false"/>
                  <w:dstrike w:val="false"/>
                  <w:color w:val="000000"/>
                  <w:sz w:val="18"/>
                  <w:u w:val="none"/>
                  <w:effect w:val="none"/>
                </w:rPr>
                <w:t>139</w:t>
              </w:r>
            </w:hyperlink>
          </w:p>
        </w:tc>
      </w:tr>
      <w:tr>
        <w:trPr/>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IV</w:t>
            </w:r>
          </w:p>
        </w:tc>
        <w:tc>
          <w:tcPr>
            <w:tcW w:w="8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15</w:t>
            </w:r>
          </w:p>
        </w:tc>
        <w:tc>
          <w:tcPr>
            <w:tcW w:w="8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EXHIBITS</w:t>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a833a190fa482bbbd1db22dffa9fa0_262">
              <w:r>
                <w:rPr>
                  <w:rStyle w:val="InternetLink"/>
                  <w:rFonts w:ascii="Arial;sans-serif" w:hAnsi="Arial;sans-serif"/>
                  <w:b/>
                  <w:strike w:val="false"/>
                  <w:dstrike w:val="false"/>
                  <w:color w:val="000000"/>
                  <w:sz w:val="18"/>
                  <w:u w:val="none"/>
                  <w:effect w:val="none"/>
                </w:rPr>
                <w:t>140</w:t>
              </w:r>
            </w:hyperlink>
          </w:p>
        </w:tc>
      </w:tr>
    </w:tbl>
    <w:p>
      <w:pPr>
        <w:pStyle w:val="TextBody"/>
        <w:bidi w:val="0"/>
        <w:spacing w:before="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GLOSSARY AND SELECTED ABBREVIATIONS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abbreviations and definitions of certain terms used within this Form 10-K: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ABR</w:t>
      </w:r>
      <w:r>
        <w:rPr>
          <w:color w:val="000000"/>
        </w:rPr>
        <w:t xml:space="preserve"> </w:t>
      </w:r>
      <w:r>
        <w:rPr>
          <w:rFonts w:ascii="Arial;sans-serif" w:hAnsi="Arial;sans-serif"/>
          <w:b w:val="false"/>
          <w:color w:val="000000"/>
          <w:sz w:val="20"/>
        </w:rPr>
        <w:t>- Alternate base rate.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ASC</w:t>
      </w:r>
      <w:r>
        <w:rPr>
          <w:color w:val="000000"/>
        </w:rPr>
        <w:t xml:space="preserve"> </w:t>
      </w:r>
      <w:r>
        <w:rPr>
          <w:rFonts w:ascii="Arial;sans-serif" w:hAnsi="Arial;sans-serif"/>
          <w:b w:val="false"/>
          <w:color w:val="000000"/>
          <w:sz w:val="20"/>
        </w:rPr>
        <w:t>- Accounting Standards Codification.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ARO</w:t>
      </w:r>
      <w:r>
        <w:rPr>
          <w:color w:val="000000"/>
        </w:rPr>
        <w:t xml:space="preserve"> </w:t>
      </w:r>
      <w:r>
        <w:rPr>
          <w:rFonts w:ascii="Arial;sans-serif" w:hAnsi="Arial;sans-serif"/>
          <w:b w:val="false"/>
          <w:color w:val="000000"/>
          <w:sz w:val="20"/>
        </w:rPr>
        <w:t xml:space="preserve">- Asset retirement obligation.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w:t>
      </w:r>
      <w:r>
        <w:rPr>
          <w:color w:val="000000"/>
        </w:rPr>
        <w:t xml:space="preserve"> </w:t>
      </w:r>
      <w:r>
        <w:rPr>
          <w:rFonts w:ascii="Arial;sans-serif" w:hAnsi="Arial;sans-serif"/>
          <w:b w:val="false"/>
          <w:color w:val="000000"/>
          <w:sz w:val="20"/>
        </w:rPr>
        <w:t>- Barrel.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Bbl/d</w:t>
      </w:r>
      <w:r>
        <w:rPr>
          <w:color w:val="000000"/>
        </w:rPr>
        <w:t xml:space="preserve"> </w:t>
      </w:r>
      <w:r>
        <w:rPr>
          <w:rFonts w:ascii="Arial;sans-serif" w:hAnsi="Arial;sans-serif"/>
          <w:b w:val="false"/>
          <w:color w:val="000000"/>
          <w:sz w:val="20"/>
        </w:rPr>
        <w:t>-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w:t>
      </w:r>
      <w:r>
        <w:rPr>
          <w:color w:val="000000"/>
        </w:rPr>
        <w:t xml:space="preserve"> </w:t>
      </w:r>
      <w:r>
        <w:rPr>
          <w:rFonts w:ascii="Arial;sans-serif" w:hAnsi="Arial;sans-serif"/>
          <w:b w:val="false"/>
          <w:color w:val="000000"/>
          <w:sz w:val="20"/>
        </w:rPr>
        <w:t>- Billion cubic feet.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Bcfe</w:t>
      </w:r>
      <w:r>
        <w:rPr>
          <w:color w:val="000000"/>
        </w:rPr>
        <w:t xml:space="preserve"> </w:t>
      </w:r>
      <w:r>
        <w:rPr>
          <w:rFonts w:ascii="Arial;sans-serif" w:hAnsi="Arial;sans-serif"/>
          <w:b w:val="false"/>
          <w:color w:val="000000"/>
          <w:sz w:val="20"/>
        </w:rPr>
        <w:t>- Billion cubic feet of natural gas equivalent using the ratio of one barrel of oil, condensate, or NGLs converted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w:t>
      </w:r>
      <w:r>
        <w:rPr>
          <w:color w:val="000000"/>
        </w:rPr>
        <w:t xml:space="preserve"> </w:t>
      </w:r>
      <w:r>
        <w:rPr>
          <w:rFonts w:ascii="Arial;sans-serif" w:hAnsi="Arial;sans-serif"/>
          <w:b w:val="false"/>
          <w:color w:val="000000"/>
          <w:sz w:val="20"/>
        </w:rPr>
        <w:t xml:space="preserve">- We convert natural gas volumes to crude oil equivalents using a ratio of six thousand cubic feet (Mcf) to one barrel of crude oil equivalent based on energy content. This is a widely used conversion method in the oil and natural gas industry.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Boe/d</w:t>
      </w:r>
      <w:r>
        <w:rPr>
          <w:color w:val="000000"/>
        </w:rPr>
        <w:t xml:space="preserve"> </w:t>
      </w:r>
      <w:r>
        <w:rPr>
          <w:rFonts w:ascii="Arial;sans-serif" w:hAnsi="Arial;sans-serif"/>
          <w:b w:val="false"/>
          <w:color w:val="000000"/>
          <w:sz w:val="20"/>
        </w:rPr>
        <w:t>- Barrel of oil equivalent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Btu</w:t>
      </w:r>
      <w:r>
        <w:rPr>
          <w:color w:val="000000"/>
        </w:rPr>
        <w:t xml:space="preserve"> </w:t>
      </w:r>
      <w:r>
        <w:rPr>
          <w:rFonts w:ascii="Arial;sans-serif" w:hAnsi="Arial;sans-serif"/>
          <w:b w:val="false"/>
          <w:color w:val="000000"/>
          <w:sz w:val="20"/>
        </w:rPr>
        <w:t>- British thermal unit.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CalGEM</w:t>
      </w:r>
      <w:r>
        <w:rPr>
          <w:color w:val="000000"/>
        </w:rPr>
        <w:t xml:space="preserve"> </w:t>
      </w:r>
      <w:r>
        <w:rPr>
          <w:rFonts w:ascii="Arial;sans-serif" w:hAnsi="Arial;sans-serif"/>
          <w:b w:val="false"/>
          <w:color w:val="000000"/>
          <w:sz w:val="20"/>
        </w:rPr>
        <w:t>- California Geologic Energy Management Division.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CCS</w:t>
      </w:r>
      <w:r>
        <w:rPr>
          <w:color w:val="000000"/>
        </w:rPr>
        <w:t xml:space="preserve"> </w:t>
      </w:r>
      <w:r>
        <w:rPr>
          <w:rFonts w:ascii="Arial;sans-serif" w:hAnsi="Arial;sans-serif"/>
          <w:b w:val="false"/>
          <w:color w:val="000000"/>
          <w:sz w:val="20"/>
        </w:rPr>
        <w:t>- Carbon capture and storage.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CDMA</w:t>
      </w:r>
      <w:r>
        <w:rPr>
          <w:color w:val="000000"/>
        </w:rPr>
        <w:t xml:space="preserve"> </w:t>
      </w:r>
      <w:r>
        <w:rPr>
          <w:rFonts w:ascii="Arial;sans-serif" w:hAnsi="Arial;sans-serif"/>
          <w:b w:val="false"/>
          <w:color w:val="000000"/>
          <w:sz w:val="20"/>
        </w:rPr>
        <w:t>- Carbon Dioxide Management Agreement.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CO</w:t>
      </w:r>
      <w:r>
        <w:rPr>
          <w:rFonts w:ascii="Arial;sans-serif" w:hAnsi="Arial;sans-serif"/>
          <w:b/>
          <w:i/>
          <w:color w:val="000000"/>
          <w:sz w:val="13"/>
        </w:rPr>
        <w:t>2</w:t>
      </w:r>
      <w:r>
        <w:rPr>
          <w:color w:val="000000"/>
        </w:rPr>
        <w:t xml:space="preserve"> </w:t>
      </w:r>
      <w:r>
        <w:rPr>
          <w:rFonts w:ascii="Arial;sans-serif" w:hAnsi="Arial;sans-serif"/>
          <w:b w:val="false"/>
          <w:color w:val="000000"/>
          <w:sz w:val="20"/>
        </w:rPr>
        <w:t>- Carbon dioxide.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DD&amp;A</w:t>
      </w:r>
      <w:r>
        <w:rPr>
          <w:color w:val="000000"/>
        </w:rPr>
        <w:t xml:space="preserve"> </w:t>
      </w:r>
      <w:r>
        <w:rPr>
          <w:rFonts w:ascii="Arial;sans-serif" w:hAnsi="Arial;sans-serif"/>
          <w:b w:val="false"/>
          <w:color w:val="000000"/>
          <w:sz w:val="20"/>
        </w:rPr>
        <w:t>- Depletion, depreciation, and amortization.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EOR</w:t>
      </w:r>
      <w:r>
        <w:rPr>
          <w:color w:val="000000"/>
        </w:rPr>
        <w:t xml:space="preserve"> </w:t>
      </w:r>
      <w:r>
        <w:rPr>
          <w:rFonts w:ascii="Arial;sans-serif" w:hAnsi="Arial;sans-serif"/>
          <w:b w:val="false"/>
          <w:color w:val="000000"/>
          <w:sz w:val="20"/>
        </w:rPr>
        <w:t>- Enhanced oil recovery.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EPA</w:t>
      </w:r>
      <w:r>
        <w:rPr>
          <w:color w:val="000000"/>
        </w:rPr>
        <w:t xml:space="preserve"> </w:t>
      </w:r>
      <w:r>
        <w:rPr>
          <w:rFonts w:ascii="Arial;sans-serif" w:hAnsi="Arial;sans-serif"/>
          <w:b w:val="false"/>
          <w:color w:val="000000"/>
          <w:sz w:val="20"/>
        </w:rPr>
        <w:t xml:space="preserve">- United States Environmental Protection Agency.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ESG</w:t>
      </w:r>
      <w:r>
        <w:rPr>
          <w:color w:val="000000"/>
        </w:rPr>
        <w:t xml:space="preserve"> </w:t>
      </w:r>
      <w:r>
        <w:rPr>
          <w:rFonts w:ascii="Arial;sans-serif" w:hAnsi="Arial;sans-serif"/>
          <w:b w:val="false"/>
          <w:color w:val="000000"/>
          <w:sz w:val="20"/>
        </w:rPr>
        <w:t xml:space="preserve">- Environmental, social and governance.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E&amp;P</w:t>
      </w:r>
      <w:r>
        <w:rPr>
          <w:color w:val="000000"/>
        </w:rPr>
        <w:t xml:space="preserve"> </w:t>
      </w:r>
      <w:r>
        <w:rPr>
          <w:rFonts w:ascii="Arial;sans-serif" w:hAnsi="Arial;sans-serif"/>
          <w:b w:val="false"/>
          <w:color w:val="000000"/>
          <w:sz w:val="20"/>
        </w:rPr>
        <w:t>- Exploration and production.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Full-Scope Net Zero </w:t>
      </w:r>
      <w:r>
        <w:rPr>
          <w:rFonts w:ascii="Arial;sans-serif" w:hAnsi="Arial;sans-serif"/>
          <w:b w:val="false"/>
          <w:color w:val="000000"/>
          <w:sz w:val="20"/>
        </w:rPr>
        <w:t>- Achieving permanent storage of captured or removed carbon emissions in a volume equal to all of our scope 1, 2 and 3 emissions by 2045.</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GAAP</w:t>
      </w:r>
      <w:r>
        <w:rPr>
          <w:color w:val="000000"/>
        </w:rPr>
        <w:t xml:space="preserve"> </w:t>
      </w:r>
      <w:r>
        <w:rPr>
          <w:rFonts w:ascii="Arial;sans-serif" w:hAnsi="Arial;sans-serif"/>
          <w:b w:val="false"/>
          <w:color w:val="000000"/>
          <w:sz w:val="20"/>
        </w:rPr>
        <w:t>- United States Generally Accepted Accounting Principles.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G&amp;A</w:t>
      </w:r>
      <w:r>
        <w:rPr>
          <w:color w:val="000000"/>
        </w:rPr>
        <w:t xml:space="preserve"> </w:t>
      </w:r>
      <w:r>
        <w:rPr>
          <w:rFonts w:ascii="Arial;sans-serif" w:hAnsi="Arial;sans-serif"/>
          <w:b w:val="false"/>
          <w:color w:val="000000"/>
          <w:sz w:val="20"/>
        </w:rPr>
        <w:t>- General and administrative expenses.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GHG</w:t>
      </w:r>
      <w:r>
        <w:rPr>
          <w:color w:val="000000"/>
        </w:rPr>
        <w:t xml:space="preserve"> </w:t>
      </w:r>
      <w:r>
        <w:rPr>
          <w:rFonts w:ascii="Arial;sans-serif" w:hAnsi="Arial;sans-serif"/>
          <w:b w:val="false"/>
          <w:color w:val="000000"/>
          <w:sz w:val="20"/>
        </w:rPr>
        <w:t>- Greenhouse gases.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JV</w:t>
      </w:r>
      <w:r>
        <w:rPr>
          <w:color w:val="000000"/>
        </w:rPr>
        <w:t xml:space="preserve"> </w:t>
      </w:r>
      <w:r>
        <w:rPr>
          <w:rFonts w:ascii="Arial;sans-serif" w:hAnsi="Arial;sans-serif"/>
          <w:b w:val="false"/>
          <w:color w:val="000000"/>
          <w:sz w:val="20"/>
        </w:rPr>
        <w:t>- Joint venture.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LCFS</w:t>
      </w:r>
      <w:r>
        <w:rPr>
          <w:color w:val="000000"/>
        </w:rPr>
        <w:t xml:space="preserve"> </w:t>
      </w:r>
      <w:r>
        <w:rPr>
          <w:rFonts w:ascii="Arial;sans-serif" w:hAnsi="Arial;sans-serif"/>
          <w:b w:val="false"/>
          <w:color w:val="000000"/>
          <w:sz w:val="20"/>
        </w:rPr>
        <w:t xml:space="preserve">- Low Carbon Fuel Standard.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MBbl</w:t>
      </w:r>
      <w:r>
        <w:rPr>
          <w:color w:val="000000"/>
        </w:rPr>
        <w:t xml:space="preserve"> </w:t>
      </w:r>
      <w:r>
        <w:rPr>
          <w:rFonts w:ascii="Arial;sans-serif" w:hAnsi="Arial;sans-serif"/>
          <w:b w:val="false"/>
          <w:color w:val="000000"/>
          <w:sz w:val="20"/>
        </w:rPr>
        <w:t>- One thousand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MBbl/d</w:t>
      </w:r>
      <w:r>
        <w:rPr>
          <w:color w:val="000000"/>
        </w:rPr>
        <w:t xml:space="preserve"> </w:t>
      </w:r>
      <w:r>
        <w:rPr>
          <w:rFonts w:ascii="Arial;sans-serif" w:hAnsi="Arial;sans-serif"/>
          <w:b w:val="false"/>
          <w:color w:val="000000"/>
          <w:sz w:val="20"/>
        </w:rPr>
        <w:t>- One thousand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MBoe/d</w:t>
      </w:r>
      <w:r>
        <w:rPr>
          <w:color w:val="000000"/>
        </w:rPr>
        <w:t xml:space="preserve"> </w:t>
      </w:r>
      <w:r>
        <w:rPr>
          <w:rFonts w:ascii="Arial;sans-serif" w:hAnsi="Arial;sans-serif"/>
          <w:b w:val="false"/>
          <w:color w:val="000000"/>
          <w:sz w:val="20"/>
        </w:rPr>
        <w:t>- One thousand barrels of oil equivalent per day.</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MBw/d</w:t>
      </w:r>
      <w:r>
        <w:rPr>
          <w:color w:val="000000"/>
        </w:rPr>
        <w:t xml:space="preserve"> </w:t>
      </w:r>
      <w:r>
        <w:rPr>
          <w:rFonts w:ascii="Arial;sans-serif" w:hAnsi="Arial;sans-serif"/>
          <w:b w:val="false"/>
          <w:color w:val="000000"/>
          <w:sz w:val="20"/>
        </w:rPr>
        <w:t>- One thousand barrels of water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Mcf</w:t>
      </w:r>
      <w:r>
        <w:rPr>
          <w:color w:val="000000"/>
        </w:rPr>
        <w:t xml:space="preserve"> </w:t>
      </w:r>
      <w:r>
        <w:rPr>
          <w:rFonts w:ascii="Arial;sans-serif" w:hAnsi="Arial;sans-serif"/>
          <w:b w:val="false"/>
          <w:color w:val="000000"/>
          <w:sz w:val="20"/>
        </w:rPr>
        <w:t>- One thousand cubic feet of natural gas equivalent, with liquids converted to an equivalent volume of natural gas using the ratio of one barrel of oil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MHp </w:t>
      </w:r>
      <w:r>
        <w:rPr>
          <w:rFonts w:ascii="Arial;sans-serif" w:hAnsi="Arial;sans-serif"/>
          <w:b w:val="false"/>
          <w:color w:val="000000"/>
          <w:sz w:val="20"/>
        </w:rPr>
        <w:t>- One thousand horsepower.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MMBbl</w:t>
      </w:r>
      <w:r>
        <w:rPr>
          <w:color w:val="000000"/>
        </w:rPr>
        <w:t xml:space="preserve"> </w:t>
      </w:r>
      <w:r>
        <w:rPr>
          <w:rFonts w:ascii="Arial;sans-serif" w:hAnsi="Arial;sans-serif"/>
          <w:b w:val="false"/>
          <w:color w:val="000000"/>
          <w:sz w:val="20"/>
        </w:rPr>
        <w:t>- One million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MMBoe</w:t>
      </w:r>
      <w:r>
        <w:rPr>
          <w:color w:val="000000"/>
        </w:rPr>
        <w:t xml:space="preserve"> </w:t>
      </w:r>
      <w:r>
        <w:rPr>
          <w:rFonts w:ascii="Arial;sans-serif" w:hAnsi="Arial;sans-serif"/>
          <w:b w:val="false"/>
          <w:color w:val="000000"/>
          <w:sz w:val="20"/>
        </w:rPr>
        <w:t>- One million barrels of oil equivalent.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MMBtu</w:t>
      </w:r>
      <w:r>
        <w:rPr>
          <w:color w:val="000000"/>
        </w:rPr>
        <w:t xml:space="preserve"> </w:t>
      </w:r>
      <w:r>
        <w:rPr>
          <w:rFonts w:ascii="Arial;sans-serif" w:hAnsi="Arial;sans-serif"/>
          <w:b w:val="false"/>
          <w:color w:val="000000"/>
          <w:sz w:val="20"/>
        </w:rPr>
        <w:t>- One million British thermal units.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MMcf/d</w:t>
      </w:r>
      <w:r>
        <w:rPr>
          <w:color w:val="000000"/>
        </w:rPr>
        <w:t xml:space="preserve"> </w:t>
      </w:r>
      <w:r>
        <w:rPr>
          <w:rFonts w:ascii="Arial;sans-serif" w:hAnsi="Arial;sans-serif"/>
          <w:b w:val="false"/>
          <w:color w:val="000000"/>
          <w:sz w:val="20"/>
        </w:rPr>
        <w:t>- One million cubic feet of natural gas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w:t>
      </w:r>
      <w:r>
        <w:rPr>
          <w:color w:val="000000"/>
        </w:rPr>
        <w:t xml:space="preserve"> </w:t>
      </w:r>
      <w:r>
        <w:rPr>
          <w:rFonts w:ascii="Arial;sans-serif" w:hAnsi="Arial;sans-serif"/>
          <w:b w:val="false"/>
          <w:color w:val="000000"/>
          <w:sz w:val="20"/>
        </w:rPr>
        <w:t>- Million metric tons.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MMTPA</w:t>
      </w:r>
      <w:r>
        <w:rPr>
          <w:color w:val="000000"/>
        </w:rPr>
        <w:t xml:space="preserve"> </w:t>
      </w:r>
      <w:r>
        <w:rPr>
          <w:rFonts w:ascii="Arial;sans-serif" w:hAnsi="Arial;sans-serif"/>
          <w:b w:val="false"/>
          <w:color w:val="000000"/>
          <w:sz w:val="20"/>
        </w:rPr>
        <w:t xml:space="preserve">- Million metric tons per annum.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MW</w:t>
      </w:r>
      <w:r>
        <w:rPr>
          <w:color w:val="000000"/>
        </w:rPr>
        <w:t xml:space="preserve"> </w:t>
      </w:r>
      <w:r>
        <w:rPr>
          <w:rFonts w:ascii="Arial;sans-serif" w:hAnsi="Arial;sans-serif"/>
          <w:b w:val="false"/>
          <w:color w:val="000000"/>
          <w:sz w:val="20"/>
        </w:rPr>
        <w:t>- Megawatts of 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NGLs</w:t>
      </w:r>
      <w:r>
        <w:rPr>
          <w:color w:val="000000"/>
        </w:rPr>
        <w:t xml:space="preserve"> </w:t>
      </w:r>
      <w:r>
        <w:rPr>
          <w:rFonts w:ascii="Arial;sans-serif" w:hAnsi="Arial;sans-serif"/>
          <w:b w:val="false"/>
          <w:color w:val="000000"/>
          <w:sz w:val="20"/>
        </w:rPr>
        <w:t>- Natural gas liquids. Hydrocarbons found in natural gas that may be extracted as purity products such as ethane, propane, isobutane and normal butane, and natural gasoline.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NYMEX</w:t>
      </w:r>
      <w:r>
        <w:rPr>
          <w:color w:val="000000"/>
        </w:rPr>
        <w:t xml:space="preserve"> </w:t>
      </w:r>
      <w:r>
        <w:rPr>
          <w:rFonts w:ascii="Arial;sans-serif" w:hAnsi="Arial;sans-serif"/>
          <w:b w:val="false"/>
          <w:color w:val="000000"/>
          <w:sz w:val="20"/>
        </w:rPr>
        <w:t>- The New York Mercantile Exchange.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OCTG</w:t>
      </w:r>
      <w:r>
        <w:rPr>
          <w:color w:val="000000"/>
        </w:rPr>
        <w:t xml:space="preserve"> </w:t>
      </w:r>
      <w:r>
        <w:rPr>
          <w:rFonts w:ascii="Arial;sans-serif" w:hAnsi="Arial;sans-serif"/>
          <w:b w:val="false"/>
          <w:color w:val="000000"/>
          <w:sz w:val="20"/>
        </w:rPr>
        <w:t>- Oil country tubular goods.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Oil spill prevention rate</w:t>
      </w:r>
      <w:r>
        <w:rPr>
          <w:color w:val="000000"/>
        </w:rPr>
        <w:t xml:space="preserve"> </w:t>
      </w:r>
      <w:r>
        <w:rPr>
          <w:rFonts w:ascii="Arial;sans-serif" w:hAnsi="Arial;sans-serif"/>
          <w:b w:val="false"/>
          <w:color w:val="000000"/>
          <w:sz w:val="20"/>
        </w:rPr>
        <w:t xml:space="preserve">- Calculated as total Boe less net barrels lost divided by total Boe.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OPEC</w:t>
      </w:r>
      <w:r>
        <w:rPr>
          <w:color w:val="000000"/>
        </w:rPr>
        <w:t xml:space="preserve"> </w:t>
      </w:r>
      <w:r>
        <w:rPr>
          <w:rFonts w:ascii="Arial;sans-serif" w:hAnsi="Arial;sans-serif"/>
          <w:b w:val="false"/>
          <w:color w:val="000000"/>
          <w:sz w:val="20"/>
        </w:rPr>
        <w:t>- Organization of the Petroleum Exporting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OPEC+ </w:t>
      </w:r>
      <w:r>
        <w:rPr>
          <w:rFonts w:ascii="Arial;sans-serif" w:hAnsi="Arial;sans-serif"/>
          <w:b w:val="false"/>
          <w:color w:val="000000"/>
          <w:sz w:val="20"/>
        </w:rPr>
        <w:t>- OPEC together with Russia and certain other producing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PHMSA</w:t>
      </w:r>
      <w:r>
        <w:rPr>
          <w:color w:val="000000"/>
        </w:rPr>
        <w:t xml:space="preserve"> </w:t>
      </w:r>
      <w:r>
        <w:rPr>
          <w:rFonts w:ascii="Arial;sans-serif" w:hAnsi="Arial;sans-serif"/>
          <w:b w:val="false"/>
          <w:color w:val="000000"/>
          <w:sz w:val="20"/>
        </w:rPr>
        <w:t>- Pipeline and Hazardous Materials Safety Administration.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developed reserves</w:t>
      </w:r>
      <w:r>
        <w:rPr>
          <w:color w:val="000000"/>
        </w:rPr>
        <w:t xml:space="preserve"> </w:t>
      </w:r>
      <w:r>
        <w:rPr>
          <w:rFonts w:ascii="Arial;sans-serif" w:hAnsi="Arial;sans-serif"/>
          <w:b w:val="false"/>
          <w:color w:val="000000"/>
          <w:sz w:val="20"/>
        </w:rPr>
        <w:t>- Reserves that can be expected to be recovered through existing wells with existing equipment and operating methods.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reserves</w:t>
      </w:r>
      <w:r>
        <w:rPr>
          <w:color w:val="000000"/>
        </w:rPr>
        <w:t xml:space="preserve"> </w:t>
      </w:r>
      <w:r>
        <w:rPr>
          <w:rFonts w:ascii="Arial;sans-serif" w:hAnsi="Arial;sans-serif"/>
          <w:b w:val="false"/>
          <w:color w:val="000000"/>
          <w:sz w:val="20"/>
        </w:rPr>
        <w:t>- The estimated quantities of natural gas, NGLs, and oil that geological and engineering data demonstrate with reasonable certainty to be commercially recoverable in future years from known reservoirs under existing economic conditions, operating methods and government regulations.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undeveloped reserves</w:t>
      </w:r>
      <w:r>
        <w:rPr>
          <w:color w:val="000000"/>
        </w:rPr>
        <w:t xml:space="preserve"> </w:t>
      </w:r>
      <w:r>
        <w:rPr>
          <w:rFonts w:ascii="Arial;sans-serif" w:hAnsi="Arial;sans-serif"/>
          <w:b w:val="false"/>
          <w:color w:val="000000"/>
          <w:sz w:val="20"/>
        </w:rPr>
        <w:t>- Proved reserves that are expected to be recovered from new wells on undrilled acreage that are reasonably certain of production when drilled or from existing wells where a relatively major expenditure is required for recompletion.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PSCs</w:t>
      </w:r>
      <w:r>
        <w:rPr>
          <w:color w:val="000000"/>
        </w:rPr>
        <w:t xml:space="preserve"> </w:t>
      </w:r>
      <w:r>
        <w:rPr>
          <w:rFonts w:ascii="Arial;sans-serif" w:hAnsi="Arial;sans-serif"/>
          <w:b w:val="false"/>
          <w:color w:val="000000"/>
          <w:sz w:val="20"/>
        </w:rPr>
        <w:t>- Production-sharing contracts.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PV-10</w:t>
      </w:r>
      <w:r>
        <w:rPr>
          <w:color w:val="000000"/>
        </w:rPr>
        <w:t xml:space="preserve"> </w:t>
      </w:r>
      <w:r>
        <w:rPr>
          <w:rFonts w:ascii="Arial;sans-serif" w:hAnsi="Arial;sans-serif"/>
          <w:b w:val="false"/>
          <w:color w:val="000000"/>
          <w:sz w:val="20"/>
        </w:rPr>
        <w:t xml:space="preserve">- Non-GAAP financial measure and represents the year-end present value of estimated future cash flows from proved oil and natural gas reserves, less future development and operating costs, discounted at 10% per annum and using SEC Prices. PV-10 facilitates the comparisons to other companies as it is not dependent on the tax-paying status of the entity.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1 emissions</w:t>
      </w:r>
      <w:r>
        <w:rPr>
          <w:color w:val="000000"/>
        </w:rPr>
        <w:t xml:space="preserve"> </w:t>
      </w:r>
      <w:r>
        <w:rPr>
          <w:rFonts w:ascii="Arial;sans-serif" w:hAnsi="Arial;sans-serif"/>
          <w:b w:val="false"/>
          <w:color w:val="000000"/>
          <w:sz w:val="20"/>
        </w:rPr>
        <w:t>- Our direct emissions.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2 emissions</w:t>
      </w:r>
      <w:r>
        <w:rPr>
          <w:color w:val="000000"/>
        </w:rPr>
        <w:t xml:space="preserve"> </w:t>
      </w:r>
      <w:r>
        <w:rPr>
          <w:rFonts w:ascii="Arial;sans-serif" w:hAnsi="Arial;sans-serif"/>
          <w:b w:val="false"/>
          <w:color w:val="000000"/>
          <w:sz w:val="20"/>
        </w:rPr>
        <w:t>- Indirect emissions from energy that we use (</w:t>
      </w:r>
      <w:r>
        <w:rPr>
          <w:rFonts w:ascii="Arial;sans-serif" w:hAnsi="Arial;sans-serif"/>
          <w:b w:val="false"/>
          <w:i/>
          <w:color w:val="000000"/>
          <w:sz w:val="20"/>
        </w:rPr>
        <w:t>e.g.</w:t>
      </w:r>
      <w:r>
        <w:rPr>
          <w:rFonts w:ascii="Arial;sans-serif" w:hAnsi="Arial;sans-serif"/>
          <w:b w:val="false"/>
          <w:color w:val="000000"/>
          <w:sz w:val="20"/>
        </w:rPr>
        <w:t xml:space="preserve">, electricity, heat, steam, cooling) that is produced by others.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3 emissions</w:t>
      </w:r>
      <w:r>
        <w:rPr>
          <w:color w:val="000000"/>
        </w:rPr>
        <w:t xml:space="preserve"> </w:t>
      </w:r>
      <w:r>
        <w:rPr>
          <w:rFonts w:ascii="Arial;sans-serif" w:hAnsi="Arial;sans-serif"/>
          <w:b w:val="false"/>
          <w:color w:val="000000"/>
          <w:sz w:val="20"/>
        </w:rPr>
        <w:t>- Indirect emissions from upstream and downstream processing and use of our products.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SDWA</w:t>
      </w:r>
      <w:r>
        <w:rPr>
          <w:color w:val="000000"/>
        </w:rPr>
        <w:t xml:space="preserve"> </w:t>
      </w:r>
      <w:r>
        <w:rPr>
          <w:rFonts w:ascii="Arial;sans-serif" w:hAnsi="Arial;sans-serif"/>
          <w:b w:val="false"/>
          <w:color w:val="000000"/>
          <w:sz w:val="20"/>
        </w:rPr>
        <w:t>- Safe Drinking Water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w:t>
      </w:r>
      <w:r>
        <w:rPr>
          <w:color w:val="000000"/>
        </w:rPr>
        <w:t xml:space="preserve"> </w:t>
      </w:r>
      <w:r>
        <w:rPr>
          <w:rFonts w:ascii="Arial;sans-serif" w:hAnsi="Arial;sans-serif"/>
          <w:b w:val="false"/>
          <w:color w:val="000000"/>
          <w:sz w:val="20"/>
        </w:rPr>
        <w:t xml:space="preserve">- United States Securities and Exchange Commission.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 Prices</w:t>
      </w:r>
      <w:r>
        <w:rPr>
          <w:color w:val="000000"/>
        </w:rPr>
        <w:t xml:space="preserve"> </w:t>
      </w:r>
      <w:r>
        <w:rPr>
          <w:rFonts w:ascii="Arial;sans-serif" w:hAnsi="Arial;sans-serif"/>
          <w:b w:val="false"/>
          <w:color w:val="000000"/>
          <w:sz w:val="20"/>
        </w:rPr>
        <w:t xml:space="preserve">- The unweighted arithmetic average of the first day-of-the-month price for each month within the year used to determine estimated volumes and cash flows for our proved reserves.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SOFR</w:t>
      </w:r>
      <w:r>
        <w:rPr>
          <w:color w:val="000000"/>
        </w:rPr>
        <w:t xml:space="preserve"> </w:t>
      </w:r>
      <w:r>
        <w:rPr>
          <w:rFonts w:ascii="Arial;sans-serif" w:hAnsi="Arial;sans-serif"/>
          <w:b w:val="false"/>
          <w:color w:val="000000"/>
          <w:sz w:val="20"/>
        </w:rPr>
        <w:t xml:space="preserve">- Secured overnight financing rate as administered by the Federal Reserve Bank of New York.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Standardized measure</w:t>
      </w:r>
      <w:r>
        <w:rPr>
          <w:color w:val="000000"/>
        </w:rPr>
        <w:t xml:space="preserve"> </w:t>
      </w:r>
      <w:r>
        <w:rPr>
          <w:rFonts w:ascii="Arial;sans-serif" w:hAnsi="Arial;sans-serif"/>
          <w:b w:val="false"/>
          <w:color w:val="000000"/>
          <w:sz w:val="20"/>
        </w:rPr>
        <w:t>- The year-end present value of after-tax estimated future cash flows 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TRIR</w:t>
      </w:r>
      <w:r>
        <w:rPr>
          <w:color w:val="000000"/>
        </w:rPr>
        <w:t xml:space="preserve"> </w:t>
      </w:r>
      <w:r>
        <w:rPr>
          <w:rFonts w:ascii="Arial;sans-serif" w:hAnsi="Arial;sans-serif"/>
          <w:b w:val="false"/>
          <w:color w:val="000000"/>
          <w:sz w:val="20"/>
        </w:rPr>
        <w:t xml:space="preserve">- Total Recordable Incident Rate calculated as recordable incidents per 200,000 hours for all workers (employees and contractors).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Working interest</w:t>
      </w:r>
      <w:r>
        <w:rPr>
          <w:color w:val="000000"/>
        </w:rPr>
        <w:t xml:space="preserve"> </w:t>
      </w:r>
      <w:r>
        <w:rPr>
          <w:rFonts w:ascii="Arial;sans-serif" w:hAnsi="Arial;sans-serif"/>
          <w:b w:val="false"/>
          <w:color w:val="000000"/>
          <w:sz w:val="20"/>
        </w:rPr>
        <w:t xml:space="preserve">- The right granted to a lessee of a property to explore for and to produce and own oil, natural gas or other minerals in-place. A working interest owner bears the cost of development and operations of the property.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WTI</w:t>
      </w:r>
      <w:r>
        <w:rPr>
          <w:color w:val="000000"/>
        </w:rPr>
        <w:t xml:space="preserve"> </w:t>
      </w:r>
      <w:r>
        <w:rPr>
          <w:rFonts w:ascii="Arial;sans-serif" w:hAnsi="Arial;sans-serif"/>
          <w:b w:val="false"/>
          <w:color w:val="000000"/>
          <w:sz w:val="20"/>
        </w:rPr>
        <w:t>- West Texas Intermediate.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w:t>
      </w:r>
    </w:p>
    <w:p>
      <w:pPr>
        <w:pStyle w:val="TextBody"/>
        <w:bidi w:val="0"/>
        <w:spacing w:before="0" w:after="0"/>
        <w:jc w:val="left"/>
        <w:rPr/>
      </w:pPr>
      <w:r>
        <w:rPr/>
      </w:r>
    </w:p>
    <w:p>
      <w:pPr>
        <w:pStyle w:val="TextBody"/>
        <w:bidi w:val="0"/>
        <w:spacing w:lineRule="auto" w:line="288" w:before="0" w:after="0"/>
        <w:ind w:left="0" w:right="0" w:hanging="1260"/>
        <w:jc w:val="left"/>
        <w:rPr>
          <w:rFonts w:ascii="Arial;sans-serif" w:hAnsi="Arial;sans-serif"/>
          <w:b/>
          <w:color w:val="000000"/>
          <w:sz w:val="20"/>
        </w:rPr>
      </w:pPr>
      <w:r>
        <w:rPr>
          <w:rFonts w:ascii="Arial;sans-serif" w:hAnsi="Arial;sans-serif"/>
          <w:b/>
          <w:color w:val="000000"/>
          <w:sz w:val="20"/>
        </w:rPr>
        <w:t>ITEMS 1 &amp; 2    BUSINESS AND PROPERTIES</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Business Overview and History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are an independent oil and natural gas exploration and production and carbon management company operating properties exclusively within California. We are committed to energy transition and have some of the lowest carbon intensity production in the United States. We are in the early stages of developing several carbon capture and storage projects in California. Our carbon management business, that we refer to as Carbon TerraVault, is expected to build, install, operate and maintain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capture equipment, transportation assets and storage facilities in California.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Except when the context otherwise requires or where otherwise indicated, all references to ‘‘CRC,’’ the ‘‘Company,’’ ‘‘we,’’ ‘‘us’’ and ‘‘our’’ refer to California Resources Corporation and its consolidated subsidiaries.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Recent Developments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Pending Aera Merger</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7, 2024, we entered into a definitive agreement and plan of merger (Merger Agreement) to combine with Aera Energy, LLC (Aera) in an all-stock transaction (Aera Merger) with an effective date of January 1, 2024. Aera is a leading operator of mature fields in California, primarily in the San Joaquin and Ventura basins, with high oil-weighted production.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the Merger Agreement, we have agreed to issue 21,170,357 shares of common stock (subject to customary adjustments in the event of stock splits, dividend paid in stock and similar items) plus an additional number of shares determined by reference to the dividends declared by us having a record date between the effective date and closing as more fully described in the Merger Agreement. Under the terms of the Merger Agreement, we have also agreed to assume Aera’s outstanding long-term indebtedness of $950 million at closing. We expect to repay a significant portion of this indebtedness with cash on hand and borrowings under our Revolving Credit Facility. We intend to refinance the balance through one or more debt capital markets transactions and, only to the extent necessary, borrowings under a bridge loan facility provided by Citigroup Global Markets, Inc. (the Bank). Under the terms of our debt commitment letter with the Bank, it has committed, subject to satisfaction of customary conditions, to provide us with an unsecured 364-day bridge loan facility in an aggregate principal amount of $500 million (Bridge Loan Facility).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Closing of the Aera Merger is subject to certain conditions, including, among others, approval of the stock issuance by our stockholders, expiration of the applicable waiting period under the Hart-Scott-Rodino Antitrust Improvements Act of 1976, as amended, prior authorization by the Federal Energy Regulatory Commission under Section 203 of the Federal Power Act and other customary closing conditions.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Upon completion of the transaction, we currently expect our existing stockholders to own approximately 77.1% of the combined company and the existing Aera owners to own approximately 22.9% of the combined company, on a fully diluted basis. The Aera Merger is expected to close in the second half of 2024. Post closing of the Aera Merger, and subject to Board approval, we expect to increase our quarterly dividend.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Amendment to our Revolving Credit Facility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the Merger Agreement, on February 9, 2024, we entered into a second amendment to our Revolving Credit Facility to permit us to incur indebtedness under the Bridge Loan Facility.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Sale of Fort Apache in Huntington Beach</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February 2024, we entered into an agreement to sell our 0.9-acre Fort Apache real estate property in Huntington Beach, California for approximately $10 million.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Oil and Natural Gas Operations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December 31, 2023, our proved reserves totaled an estimated 377 MMBoe, of which 256 MMBbl were crude oil and condensate reserves, 35 MMBbl were NGL reserves and 518 BcF, or 86 MMBoe, were natural gas reserves.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December 31, 2023, we held approximately 1.7 million net mineral acres, the largest privately owned mineral acreage position in California. Our operated asset base spans 97 distinct fields with approximately 9,000 net operated wells. We had average net production of approximately 86 MBoe/d (60% oil) for the year ended December 31,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highlights key information about our operations as of and for the year ended December 31, 2023:</w:t>
      </w:r>
    </w:p>
    <w:tbl>
      <w:tblPr>
        <w:tblW w:w="10205" w:type="dxa"/>
        <w:jc w:val="center"/>
        <w:tblInd w:w="0" w:type="dxa"/>
        <w:tblLayout w:type="fixed"/>
        <w:tblCellMar>
          <w:top w:w="28" w:type="dxa"/>
          <w:left w:w="28" w:type="dxa"/>
          <w:bottom w:w="28" w:type="dxa"/>
          <w:right w:w="28" w:type="dxa"/>
        </w:tblCellMar>
      </w:tblPr>
      <w:tblGrid>
        <w:gridCol w:w="726"/>
        <w:gridCol w:w="511"/>
        <w:gridCol w:w="515"/>
        <w:gridCol w:w="377"/>
        <w:gridCol w:w="275"/>
        <w:gridCol w:w="566"/>
        <w:gridCol w:w="109"/>
        <w:gridCol w:w="109"/>
        <w:gridCol w:w="109"/>
        <w:gridCol w:w="343"/>
        <w:gridCol w:w="232"/>
        <w:gridCol w:w="582"/>
        <w:gridCol w:w="109"/>
        <w:gridCol w:w="109"/>
        <w:gridCol w:w="109"/>
        <w:gridCol w:w="257"/>
        <w:gridCol w:w="214"/>
        <w:gridCol w:w="533"/>
        <w:gridCol w:w="109"/>
        <w:gridCol w:w="109"/>
        <w:gridCol w:w="109"/>
        <w:gridCol w:w="288"/>
        <w:gridCol w:w="288"/>
        <w:gridCol w:w="720"/>
        <w:gridCol w:w="109"/>
        <w:gridCol w:w="109"/>
        <w:gridCol w:w="109"/>
        <w:gridCol w:w="233"/>
        <w:gridCol w:w="233"/>
        <w:gridCol w:w="326"/>
        <w:gridCol w:w="109"/>
        <w:gridCol w:w="109"/>
        <w:gridCol w:w="109"/>
        <w:gridCol w:w="317"/>
        <w:gridCol w:w="303"/>
        <w:gridCol w:w="731"/>
      </w:tblGrid>
      <w:tr>
        <w:trPr/>
        <w:tc>
          <w:tcPr>
            <w:tcW w:w="7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Ventura Basin</w:t>
            </w:r>
            <w:r>
              <w:rPr>
                <w:rFonts w:ascii="Arial;sans-serif" w:hAnsi="Arial;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Operations</w:t>
            </w:r>
          </w:p>
        </w:tc>
      </w:tr>
      <w:tr>
        <w:trPr/>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Mineral Acreage</w:t>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mineral acreage</w:t>
            </w:r>
            <w:r>
              <w:rPr>
                <w:color w:val="000000"/>
              </w:rPr>
              <w:t xml:space="preserve"> </w:t>
            </w:r>
            <w:r>
              <w:rPr>
                <w:rFonts w:ascii="Arial;sans-serif" w:hAnsi="Arial;sans-serif"/>
                <w:b w:val="false"/>
                <w:color w:val="000000"/>
                <w:sz w:val="18"/>
              </w:rPr>
              <w:t>(thousands)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1,692 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net mineral acreage held in fee (%)</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Number of producing fields we operate</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Average drilling rigs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wells drilled and completed</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Proved reserves</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(MMBbl)</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NGLs (MMBbl)</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(Bcf)</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(MMBoe)</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percentage of proved reserves</w:t>
            </w:r>
          </w:p>
        </w:tc>
        <w:tc>
          <w:tcPr>
            <w:tcW w:w="6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5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5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7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Production</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production (MMBoe)</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daily net production (MBoe/d)</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 xml:space="preserve">(a)Reflects one non-operated field in the Ventura basin included in assets held for sale. See </w:t>
      </w:r>
      <w:r>
        <w:rPr>
          <w:rFonts w:ascii="Arial;sans-serif" w:hAnsi="Arial;sans-serif"/>
          <w:b w:val="false"/>
          <w:i/>
          <w:color w:val="000000"/>
          <w:sz w:val="16"/>
        </w:rPr>
        <w:t xml:space="preserve">Part II, Item 8 – Financial Statements and Supplementary Data, Note 8 Divestitures and Acquisitions </w:t>
      </w:r>
      <w:r>
        <w:rPr>
          <w:rFonts w:ascii="Arial;sans-serif" w:hAnsi="Arial;sans-serif"/>
          <w:b w:val="false"/>
          <w:color w:val="000000"/>
          <w:sz w:val="16"/>
        </w:rPr>
        <w:t xml:space="preserve">for more information on our Ventura Basin divestiture.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a discussion of the regulatory issues affecting the development of our oil and natural gas properties, see </w:t>
      </w:r>
      <w:r>
        <w:rPr>
          <w:rFonts w:ascii="Arial;sans-serif" w:hAnsi="Arial;sans-serif"/>
          <w:b w:val="false"/>
          <w:i/>
          <w:color w:val="000000"/>
          <w:sz w:val="20"/>
        </w:rPr>
        <w:t>Regulation of the Industries in Which We Operate, Regulation of Exploration and Production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San Joaquin Basin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Commercial petroleum development in the San Joaquin basin began in the 1800s. The basin contains multiple stacked formations throughout its areal extent, and we believe that this basin provides appealing opportunities for re-development of existing wells, as well as new discoveries and unconventional play potential. The geology of the San Joaquin basin continues to yield stratigraphic and structural trap discoveries.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hold substantially all the working, surface and mineral interests in the Elk Hills field, which is our largest producing asset in the San Joaquin basin and have a large ownership interest in several other oil fields located in the San Joaquin basin including Buena Vista and Coles Levee. We have also been successfully developing steamfloods in our Kern Front operations.</w:t>
      </w:r>
      <w:r>
        <w:rPr>
          <w:color w:val="000000"/>
        </w:rPr>
        <w:t xml:space="preserv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Elk Hills we operate efficient natural gas processing facilities, including a cryogenic gas plant, with a combined gas processing capacity of 330 MMcf/d. Additionally, our Elk Hills power plant generates electricity to power our oil and gas operations at the Elk Hills field, and offers excess power to the California Independent System Operator (CAISO) wholesale energy marketplace. We also market power plant capacity in excess of our internal needs to the CAISO Resource Adequacy (RA) marketplace. Our operations at Elk Hills also include an advanced central control facility and remote automation control on over 95% of the producing wells.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believe our extensive 3D seismic library, which covers over 800,000 acres in the San Joaquin basin, or over 50% of our gross mineral acreage in this basin, gives us a competitive advantage in field development. </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Los Angeles Basin</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This basin is a northwest-trending plain about 50 miles long and 20 miles wide. Most of the significant discoveries in the Los Angeles basin date back to the 1920s. The Los Angeles basin has one of the highest concentrations per acre of crude oil in the world. Large active oil fields in this basin include the Wilmington and Huntington Beach fields, where we have significant operations. Most of our Wilmington production is subject to a set of contracts similar to production-sharing contracts (PSCs) under which we first recover the capital and operating costs we incur on behalf of the state and the city of Long Beach and then receive our share of profits. See </w:t>
      </w:r>
      <w:r>
        <w:rPr>
          <w:rFonts w:ascii="Arial;sans-serif" w:hAnsi="Arial;sans-serif"/>
          <w:b w:val="false"/>
          <w:i/>
          <w:color w:val="000000"/>
          <w:sz w:val="20"/>
        </w:rPr>
        <w:t>Production, Price and Cost History</w:t>
      </w:r>
      <w:r>
        <w:rPr>
          <w:color w:val="000000"/>
        </w:rPr>
        <w:t xml:space="preserve"> </w:t>
      </w:r>
      <w:r>
        <w:rPr>
          <w:rFonts w:ascii="Arial;sans-serif" w:hAnsi="Arial;sans-serif"/>
          <w:b w:val="false"/>
          <w:color w:val="000000"/>
          <w:sz w:val="20"/>
        </w:rPr>
        <w:t xml:space="preserve">below for more information on our PSCs.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are pursuing the potential divestiture of our 90-acre Huntington Beach field, which is currently a producing oil field with average daily net production of 3 MBoe/d. At our Huntington Beach field we have begun the plugging and abandonment work of approximately 50 wells in 2024. We are working towards the longer-term remediation of this property to provide flexibility for real estate sales in the future. Refer to </w:t>
      </w:r>
      <w:r>
        <w:rPr>
          <w:rFonts w:ascii="Arial;sans-serif" w:hAnsi="Arial;sans-serif"/>
          <w:b w:val="false"/>
          <w:i/>
          <w:color w:val="000000"/>
          <w:sz w:val="20"/>
        </w:rPr>
        <w:t>Recent Developments</w:t>
      </w:r>
      <w:r>
        <w:rPr>
          <w:color w:val="000000"/>
        </w:rPr>
        <w:t xml:space="preserve"> </w:t>
      </w:r>
      <w:r>
        <w:rPr>
          <w:rFonts w:ascii="Arial;sans-serif" w:hAnsi="Arial;sans-serif"/>
          <w:b w:val="false"/>
          <w:color w:val="000000"/>
          <w:sz w:val="20"/>
        </w:rPr>
        <w:t xml:space="preserve">above for information on an agreement to sell a one-acre parcel of land in Huntington Beach. </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Sacramento Basin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Sacramento basin is a deep, thick sequence of sedimentary deposits of natural gas within an elongated northwest-trending structural feature covering about 7.7 million acres. Exploration and development in the basin began in 1918. We are in the process of pursuing permits to facilitate production growth and develop this resource, leveraging the existing infrastructure already in place. </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Ventura Basin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divested a vast majority of our assets in the Ventura basin other than a de minimis non-operated asset, during the fourth quarter of 2021 and the first quarter of 2022. We expect the sale of our remaining Ventura basin asset could occur in 2024. </w:t>
      </w:r>
    </w:p>
    <w:p>
      <w:pPr>
        <w:pStyle w:val="TextBody"/>
        <w:bidi w:val="0"/>
        <w:spacing w:before="0" w:after="0"/>
        <w:ind w:left="0" w:right="0" w:firstLine="36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Other than the basins described above, we also have mineral interests in undeveloped acreage throughout California including in the Salinas basin and the Santa Maria basin.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Mineral Acreage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gross and net developed and undeveloped mineral acreage as of December 31, 2023. </w:t>
      </w:r>
    </w:p>
    <w:tbl>
      <w:tblPr>
        <w:tblW w:w="10205" w:type="dxa"/>
        <w:jc w:val="left"/>
        <w:tblInd w:w="0" w:type="dxa"/>
        <w:tblLayout w:type="fixed"/>
        <w:tblCellMar>
          <w:top w:w="28" w:type="dxa"/>
          <w:left w:w="28" w:type="dxa"/>
          <w:bottom w:w="28" w:type="dxa"/>
          <w:right w:w="28" w:type="dxa"/>
        </w:tblCellMar>
      </w:tblPr>
      <w:tblGrid>
        <w:gridCol w:w="490"/>
        <w:gridCol w:w="431"/>
        <w:gridCol w:w="436"/>
        <w:gridCol w:w="508"/>
        <w:gridCol w:w="475"/>
        <w:gridCol w:w="477"/>
        <w:gridCol w:w="109"/>
        <w:gridCol w:w="109"/>
        <w:gridCol w:w="109"/>
        <w:gridCol w:w="473"/>
        <w:gridCol w:w="473"/>
        <w:gridCol w:w="474"/>
        <w:gridCol w:w="109"/>
        <w:gridCol w:w="109"/>
        <w:gridCol w:w="109"/>
        <w:gridCol w:w="385"/>
        <w:gridCol w:w="385"/>
        <w:gridCol w:w="387"/>
        <w:gridCol w:w="109"/>
        <w:gridCol w:w="109"/>
        <w:gridCol w:w="109"/>
        <w:gridCol w:w="515"/>
        <w:gridCol w:w="515"/>
        <w:gridCol w:w="517"/>
        <w:gridCol w:w="109"/>
        <w:gridCol w:w="109"/>
        <w:gridCol w:w="109"/>
        <w:gridCol w:w="244"/>
        <w:gridCol w:w="241"/>
        <w:gridCol w:w="233"/>
        <w:gridCol w:w="109"/>
        <w:gridCol w:w="109"/>
        <w:gridCol w:w="109"/>
        <w:gridCol w:w="322"/>
        <w:gridCol w:w="324"/>
        <w:gridCol w:w="265"/>
      </w:tblGrid>
      <w:tr>
        <w:trPr/>
        <w:tc>
          <w:tcPr>
            <w:tcW w:w="49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Ventura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Other</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4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thousands)</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Developed</w:t>
            </w:r>
            <w:r>
              <w:rPr>
                <w:rFonts w:ascii="Arial;sans-serif" w:hAnsi="Arial;sans-serif"/>
                <w:b w:val="false"/>
                <w:color w:val="000000"/>
                <w:sz w:val="13"/>
              </w:rPr>
              <w:t>(b)</w:t>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Gross</w:t>
            </w:r>
            <w:r>
              <w:rPr>
                <w:rFonts w:ascii="Arial;sans-serif" w:hAnsi="Arial;sans-serif"/>
                <w:b w:val="false"/>
                <w:color w:val="000000"/>
                <w:sz w:val="13"/>
              </w:rPr>
              <w:t>(c)</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w:t>
            </w:r>
            <w:r>
              <w:rPr>
                <w:rFonts w:ascii="Arial;sans-serif" w:hAnsi="Arial;sans-serif"/>
                <w:b w:val="false"/>
                <w:color w:val="000000"/>
                <w:sz w:val="13"/>
              </w:rPr>
              <w:t>(d)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Undeveloped</w:t>
            </w:r>
            <w:r>
              <w:rPr>
                <w:rFonts w:ascii="Arial;sans-serif" w:hAnsi="Arial;sans-serif"/>
                <w:b w:val="false"/>
                <w:color w:val="000000"/>
                <w:sz w:val="13"/>
              </w:rPr>
              <w:t>(e)</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Gross</w:t>
            </w:r>
            <w:r>
              <w:rPr>
                <w:rFonts w:ascii="Arial;sans-serif" w:hAnsi="Arial;sans-serif"/>
                <w:b w:val="false"/>
                <w:color w:val="000000"/>
                <w:sz w:val="13"/>
              </w:rPr>
              <w:t>(c)</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w:t>
            </w:r>
            <w:r>
              <w:rPr>
                <w:rFonts w:ascii="Arial;sans-serif" w:hAnsi="Arial;sans-serif"/>
                <w:b w:val="false"/>
                <w:color w:val="000000"/>
                <w:sz w:val="13"/>
              </w:rPr>
              <w:t>(d)</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Gross</w:t>
            </w:r>
            <w:r>
              <w:rPr>
                <w:rFonts w:ascii="Arial;sans-serif" w:hAnsi="Arial;sans-serif"/>
                <w:b w:val="false"/>
                <w:color w:val="000000"/>
                <w:sz w:val="13"/>
              </w:rPr>
              <w:t>(c)</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w:t>
            </w:r>
            <w:r>
              <w:rPr>
                <w:rFonts w:ascii="Arial;sans-serif" w:hAnsi="Arial;sans-serif"/>
                <w:b w:val="false"/>
                <w:color w:val="000000"/>
                <w:sz w:val="13"/>
              </w:rPr>
              <w:t>(d)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 xml:space="preserve">(a)Reflects remaining mineral acreage retained in the Ventura Basin and nearby areas. See </w:t>
      </w:r>
      <w:r>
        <w:rPr>
          <w:rFonts w:ascii="Arial;sans-serif" w:hAnsi="Arial;sans-serif"/>
          <w:b w:val="false"/>
          <w:i/>
          <w:color w:val="000000"/>
          <w:sz w:val="16"/>
        </w:rPr>
        <w:t xml:space="preserve">Part II, Item 8 – Financial Statements and Supplementary Data, Note 8 Divestitures and Acquisitions </w:t>
      </w:r>
      <w:r>
        <w:rPr>
          <w:rFonts w:ascii="Arial;sans-serif" w:hAnsi="Arial;sans-serif"/>
          <w:b w:val="false"/>
          <w:color w:val="000000"/>
          <w:sz w:val="16"/>
        </w:rPr>
        <w:t xml:space="preserve">for more information on our Ventura Basin divestiture.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(b)Mineral acres spaced or assigned to productive wells.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(c)Total number of mineral acres in which interests are owned.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(d)Net mineral acreage includes acreage reduced to our fractional ownership interest and interests under our PSCs.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(e)Mineral acres on which wells have not been drilled or completed to a point that would permit the production of commercial quantities of oil and natural gas, regardless of whether the mineral acreage contains proved reserves.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December 31, 2023, 77% of our total net mineral interest position was held in fee and the remainder was leased. Of our leased acreage, approximately 87% is held by production and the remainder is subject to lease expiration if initial wells are not drilled within a specified period of time. The primary terms of our leases range from one to twenty years. The terms of these leases are typically extended upon achieving commercial production for so long as such production is maintained. Work programs are designed to ensure that the economic potential of any leased property is evaluated before expiration. In some instances, we may relinquish leased acreage in advance of the contractual expiration date if the evaluation process is complete and there is no longer a commercial reason for leasing that acreage. In cases where we determine we want to take the additional time required to fully evaluate undeveloped acreage, we have generally been successful in obtaining extensions.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If we are not able to establish production or otherwise extend lease terms, approximately 2,000 net mineral acres will expire in 2024, 21,000 net mineral acres will expire in 2025 and 14,000 net mineral acres will expire in 2026. These leases represent 4% of our total net undeveloped acreage and 2% of our total net acreage as of December 31, 2023 and these expirations, should they occur, would not have a material adverse impact on us. Historically, we have not dedicated any significant portion of our capital program to prevent lease expirations and do not expect to do so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Production, Price and Cost History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following table sets forth information regarding our production volumes, average realized and benchmark prices and operating costs per Boe for the periods presented. See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7 – Management's Discussion and Analysis of Financial Condition and Results of Operations </w:t>
      </w:r>
      <w:r>
        <w:rPr>
          <w:rFonts w:ascii="Arial;sans-serif" w:hAnsi="Arial;sans-serif"/>
          <w:b w:val="false"/>
          <w:color w:val="000000"/>
          <w:sz w:val="20"/>
        </w:rPr>
        <w:t>for more information on our production activity as well as the impact of commodity price increases and inflation on our operating costs per Boe, among other factors.</w:t>
      </w:r>
    </w:p>
    <w:p>
      <w:pPr>
        <w:pStyle w:val="TextBody"/>
        <w:bidi w:val="0"/>
        <w:spacing w:before="0" w:after="0"/>
        <w:ind w:left="0" w:right="0" w:firstLine="360"/>
        <w:jc w:val="left"/>
        <w:rPr/>
      </w:pPr>
      <w:r>
        <w:rPr/>
      </w:r>
    </w:p>
    <w:tbl>
      <w:tblPr>
        <w:tblW w:w="8607" w:type="dxa"/>
        <w:jc w:val="left"/>
        <w:tblInd w:w="0" w:type="dxa"/>
        <w:tblLayout w:type="fixed"/>
        <w:tblCellMar>
          <w:top w:w="28" w:type="dxa"/>
          <w:left w:w="28" w:type="dxa"/>
          <w:bottom w:w="28" w:type="dxa"/>
          <w:right w:w="28" w:type="dxa"/>
        </w:tblCellMar>
      </w:tblPr>
      <w:tblGrid>
        <w:gridCol w:w="1814"/>
        <w:gridCol w:w="1594"/>
        <w:gridCol w:w="1602"/>
        <w:gridCol w:w="211"/>
        <w:gridCol w:w="646"/>
        <w:gridCol w:w="109"/>
        <w:gridCol w:w="109"/>
        <w:gridCol w:w="109"/>
        <w:gridCol w:w="109"/>
        <w:gridCol w:w="211"/>
        <w:gridCol w:w="646"/>
        <w:gridCol w:w="109"/>
        <w:gridCol w:w="109"/>
        <w:gridCol w:w="109"/>
        <w:gridCol w:w="109"/>
        <w:gridCol w:w="211"/>
        <w:gridCol w:w="646"/>
        <w:gridCol w:w="154"/>
      </w:tblGrid>
      <w:tr>
        <w:trPr/>
        <w:tc>
          <w:tcPr>
            <w:tcW w:w="181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Average daily net production</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(MBbl/d)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NGLs (MBbl/d)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(MMcf/d)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daily net production (MBoe/d)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production (MMBoe)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Average realized prices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with hedge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without hedge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NGLs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without hedge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Average benchmark prices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 oil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 oil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NYMEX gas ($/MMBtu) - Average Monthly Settled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costs per Boe</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Oil, natural gas and NGL production for our two largest fields are presented in the table below:</w:t>
      </w:r>
    </w:p>
    <w:tbl>
      <w:tblPr>
        <w:tblW w:w="8022" w:type="dxa"/>
        <w:jc w:val="left"/>
        <w:tblInd w:w="0" w:type="dxa"/>
        <w:tblLayout w:type="fixed"/>
        <w:tblCellMar>
          <w:top w:w="28" w:type="dxa"/>
          <w:left w:w="28" w:type="dxa"/>
          <w:bottom w:w="28" w:type="dxa"/>
          <w:right w:w="28" w:type="dxa"/>
        </w:tblCellMar>
      </w:tblPr>
      <w:tblGrid>
        <w:gridCol w:w="1075"/>
        <w:gridCol w:w="946"/>
        <w:gridCol w:w="948"/>
        <w:gridCol w:w="180"/>
        <w:gridCol w:w="181"/>
        <w:gridCol w:w="176"/>
        <w:gridCol w:w="109"/>
        <w:gridCol w:w="109"/>
        <w:gridCol w:w="109"/>
        <w:gridCol w:w="180"/>
        <w:gridCol w:w="181"/>
        <w:gridCol w:w="176"/>
        <w:gridCol w:w="109"/>
        <w:gridCol w:w="109"/>
        <w:gridCol w:w="109"/>
        <w:gridCol w:w="180"/>
        <w:gridCol w:w="181"/>
        <w:gridCol w:w="176"/>
        <w:gridCol w:w="109"/>
        <w:gridCol w:w="109"/>
        <w:gridCol w:w="109"/>
        <w:gridCol w:w="202"/>
        <w:gridCol w:w="204"/>
        <w:gridCol w:w="176"/>
        <w:gridCol w:w="109"/>
        <w:gridCol w:w="109"/>
        <w:gridCol w:w="109"/>
        <w:gridCol w:w="202"/>
        <w:gridCol w:w="204"/>
        <w:gridCol w:w="176"/>
        <w:gridCol w:w="109"/>
        <w:gridCol w:w="109"/>
        <w:gridCol w:w="109"/>
        <w:gridCol w:w="202"/>
        <w:gridCol w:w="204"/>
        <w:gridCol w:w="237"/>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Elk Hills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Wilmington</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Average daily net production</w:t>
            </w:r>
          </w:p>
        </w:tc>
        <w:tc>
          <w:tcPr>
            <w:tcW w:w="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(MBbl/d)</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NGLs (MBbl/d)</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(MMcf/d)</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daily net production (MBoe/d)</w:t>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operating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We can quickly scale our operating costs in response to prevailing market conditions. We believe that a significant portion of our operating costs are variable over the lifecycle of our fields.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share of production and reserves from operations in the Wilmington field in the Los Angeles basin is subject to contractual arrangements similar to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18% of our total production for the year ended December 31, 2023.</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line with industry practice for reporting PSCs, we report 100% of operating costs under such contracts in operating costs on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operating costs after adjustment for excess costs attributable to PSCs for the periods presented:</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15"/>
        <w:gridCol w:w="942"/>
        <w:gridCol w:w="946"/>
        <w:gridCol w:w="230"/>
        <w:gridCol w:w="525"/>
        <w:gridCol w:w="118"/>
        <w:gridCol w:w="109"/>
        <w:gridCol w:w="109"/>
        <w:gridCol w:w="109"/>
        <w:gridCol w:w="211"/>
        <w:gridCol w:w="646"/>
        <w:gridCol w:w="109"/>
        <w:gridCol w:w="109"/>
        <w:gridCol w:w="109"/>
        <w:gridCol w:w="109"/>
        <w:gridCol w:w="230"/>
        <w:gridCol w:w="525"/>
        <w:gridCol w:w="118"/>
        <w:gridCol w:w="109"/>
        <w:gridCol w:w="109"/>
        <w:gridCol w:w="109"/>
        <w:gridCol w:w="211"/>
        <w:gridCol w:w="646"/>
        <w:gridCol w:w="109"/>
        <w:gridCol w:w="109"/>
        <w:gridCol w:w="109"/>
        <w:gridCol w:w="109"/>
        <w:gridCol w:w="230"/>
        <w:gridCol w:w="525"/>
        <w:gridCol w:w="118"/>
        <w:gridCol w:w="109"/>
        <w:gridCol w:w="109"/>
        <w:gridCol w:w="109"/>
        <w:gridCol w:w="211"/>
        <w:gridCol w:w="646"/>
        <w:gridCol w:w="159"/>
      </w:tblGrid>
      <w:tr>
        <w:trPr/>
        <w:tc>
          <w:tcPr>
            <w:tcW w:w="111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costs attributable to PSCs</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Operating costs, excluding effects of PSCs</w:t>
            </w:r>
            <w:r>
              <w:rPr>
                <w:rFonts w:ascii="Arial;sans-serif" w:hAnsi="Arial;sans-serif"/>
                <w:b w:val="false"/>
                <w:color w:val="000000"/>
                <w:sz w:val="13"/>
              </w:rPr>
              <w:t>(a)</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(a)Operating costs, excluding effects of PSCs is a non-GAAP measure. As described above, the reporting of our PSCs creates a difference between reported operating costs, which are for the full field, and reported volumes, which are only our net share, inflating the per barrel operating costs. These amounts represent our operating costs after adjusting for this difference.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reconciles our average net production to our average gross production (which includes production from the fields we operate and our share of production for fields operated by others) for the periods presented:</w:t>
      </w:r>
    </w:p>
    <w:tbl>
      <w:tblPr>
        <w:tblW w:w="6410" w:type="dxa"/>
        <w:jc w:val="left"/>
        <w:tblInd w:w="0" w:type="dxa"/>
        <w:tblLayout w:type="fixed"/>
        <w:tblCellMar>
          <w:top w:w="28" w:type="dxa"/>
          <w:left w:w="28" w:type="dxa"/>
          <w:bottom w:w="28" w:type="dxa"/>
          <w:right w:w="28" w:type="dxa"/>
        </w:tblCellMar>
      </w:tblPr>
      <w:tblGrid>
        <w:gridCol w:w="1377"/>
        <w:gridCol w:w="1206"/>
        <w:gridCol w:w="1226"/>
        <w:gridCol w:w="175"/>
        <w:gridCol w:w="175"/>
        <w:gridCol w:w="176"/>
        <w:gridCol w:w="163"/>
        <w:gridCol w:w="163"/>
        <w:gridCol w:w="163"/>
        <w:gridCol w:w="175"/>
        <w:gridCol w:w="175"/>
        <w:gridCol w:w="176"/>
        <w:gridCol w:w="163"/>
        <w:gridCol w:w="163"/>
        <w:gridCol w:w="163"/>
        <w:gridCol w:w="167"/>
        <w:gridCol w:w="167"/>
        <w:gridCol w:w="237"/>
      </w:tblGrid>
      <w:tr>
        <w:trPr/>
        <w:tc>
          <w:tcPr>
            <w:tcW w:w="137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(MBoe/d)</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Average Daily Net Production</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Partners' share under PSC-type contracts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Working interest and royalty holders' share</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Average Daily Gross Production</w:t>
            </w:r>
          </w:p>
        </w:tc>
        <w:tc>
          <w:tcPr>
            <w:tcW w:w="5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Estimated Proved Reserves and Future Net Cash Flows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information with respect to our estimated reserves presented below has been prepared in accordance with the rules and regulations of the SEC.</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summarize our estimated proved oil (including condensate), NGLs and natural gas reserves and PV-10 as of December 31, 2023. Our estimated volumes and cash flows were calculated using the unweighted arithmetic average of the first-day-of-the-month price for each month within the year (SEC Prices), unless prices were defined by contractual arrangements. For oil volumes, the average Brent spot price of $82.84 per barrel was adjusted for gravity, quality and transportation costs. For natural gas volumes, the average NYMEX gas price of $2.64 per MMBtu was adjusted for energy content, transportation fees and market differentials. All prices are held constant throughout the lives of the properties. The average realized prices for estimating our proved reserves as of December 31, 2023 were $80.97 per barrel for oil, $50.00 per barrel for NGLs and $4.57 per Mcf for natural gas.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pPr>
      <w:r>
        <w:rPr>
          <w:rFonts w:ascii="Arial;sans-serif" w:hAnsi="Arial;sans-serif"/>
          <w:b w:val="false"/>
          <w:color w:val="000000"/>
          <w:sz w:val="20"/>
        </w:rPr>
        <w:t xml:space="preserve">Estimated reserves include our economic interests under PSCs in our Long Beach operations in the Wilmington field. Refer to </w:t>
      </w:r>
      <w:r>
        <w:rPr>
          <w:rFonts w:ascii="Arial;sans-serif" w:hAnsi="Arial;sans-serif"/>
          <w:b w:val="false"/>
          <w:i/>
          <w:color w:val="000000"/>
          <w:sz w:val="20"/>
        </w:rPr>
        <w:t xml:space="preserve">Part II, Item 8 – Financial Statements, Supplemental Oil and Gas Information </w:t>
      </w:r>
      <w:r>
        <w:rPr>
          <w:rFonts w:ascii="Arial;sans-serif" w:hAnsi="Arial;sans-serif"/>
          <w:b w:val="false"/>
          <w:color w:val="000000"/>
          <w:sz w:val="20"/>
        </w:rPr>
        <w:t xml:space="preserve">for additional information on our proved reserves. </w:t>
      </w:r>
    </w:p>
    <w:tbl>
      <w:tblPr>
        <w:tblW w:w="10205" w:type="dxa"/>
        <w:jc w:val="left"/>
        <w:tblInd w:w="0" w:type="dxa"/>
        <w:tblLayout w:type="fixed"/>
        <w:tblCellMar>
          <w:top w:w="28" w:type="dxa"/>
          <w:left w:w="28" w:type="dxa"/>
          <w:bottom w:w="28" w:type="dxa"/>
          <w:right w:w="28" w:type="dxa"/>
        </w:tblCellMar>
      </w:tblPr>
      <w:tblGrid>
        <w:gridCol w:w="1074"/>
        <w:gridCol w:w="901"/>
        <w:gridCol w:w="907"/>
        <w:gridCol w:w="463"/>
        <w:gridCol w:w="463"/>
        <w:gridCol w:w="465"/>
        <w:gridCol w:w="109"/>
        <w:gridCol w:w="109"/>
        <w:gridCol w:w="109"/>
        <w:gridCol w:w="463"/>
        <w:gridCol w:w="463"/>
        <w:gridCol w:w="465"/>
        <w:gridCol w:w="109"/>
        <w:gridCol w:w="109"/>
        <w:gridCol w:w="109"/>
        <w:gridCol w:w="365"/>
        <w:gridCol w:w="365"/>
        <w:gridCol w:w="367"/>
        <w:gridCol w:w="109"/>
        <w:gridCol w:w="109"/>
        <w:gridCol w:w="109"/>
        <w:gridCol w:w="475"/>
        <w:gridCol w:w="475"/>
        <w:gridCol w:w="477"/>
        <w:gridCol w:w="109"/>
        <w:gridCol w:w="109"/>
        <w:gridCol w:w="109"/>
        <w:gridCol w:w="233"/>
        <w:gridCol w:w="233"/>
        <w:gridCol w:w="243"/>
      </w:tblGrid>
      <w:tr>
        <w:trPr/>
        <w:tc>
          <w:tcPr>
            <w:tcW w:w="107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2023</w:t>
            </w:r>
          </w:p>
        </w:tc>
      </w:tr>
      <w:tr>
        <w:trPr/>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San Joaquin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 Angeles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Ventura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Sacramento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Proved developed reserves</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(MMBbl)</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NGLs (MMBbl)</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(Bcf)</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(MMBoe)</w:t>
            </w:r>
            <w:r>
              <w:rPr>
                <w:rFonts w:ascii="Arial;sans-serif" w:hAnsi="Arial;sans-serif"/>
                <w:b w:val="false"/>
                <w:color w:val="000000"/>
                <w:sz w:val="12"/>
              </w:rPr>
              <w:t>(a)</w:t>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Proved undeveloped reserves</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(MMBbl)</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NGLs (MMBbl)</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(Bcf)</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(MMBoe)</w:t>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proved reserves</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(MMBbl)</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NGLs (MMBbl)</w:t>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(Bcf)</w:t>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(MMBoe)</w:t>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Reserves to production ratio (years)</w:t>
            </w:r>
            <w:r>
              <w:rPr>
                <w:rFonts w:ascii="Arial;sans-serif" w:hAnsi="Arial;sans-serif"/>
                <w:b/>
                <w:color w:val="000000"/>
                <w:sz w:val="12"/>
              </w:rPr>
              <w:t>(b)</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(a)As of December 31, 2023, approximately 18% of proved developed oil reserves, 7% of proved developed NGLs reserves, 10% of proved developed natural gas reserves and, overall, 15% of total proved developed reserves are non-producing. A majority of our non-producing reserves relate to steamfloods and waterfloods where full production response has not yet occurred due to the nature of such projects.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(b)Calculated as total proved reserves as of December 31, 2023 divided by total production for the year ended December 31, 2023.</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Changes to Proved Reserves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components of the changes to our proved reserves during the year ended December 31, 2023 were as follows: </w:t>
      </w:r>
    </w:p>
    <w:tbl>
      <w:tblPr>
        <w:tblW w:w="10205" w:type="dxa"/>
        <w:jc w:val="center"/>
        <w:tblInd w:w="0" w:type="dxa"/>
        <w:tblLayout w:type="fixed"/>
        <w:tblCellMar>
          <w:top w:w="28" w:type="dxa"/>
          <w:left w:w="28" w:type="dxa"/>
          <w:bottom w:w="28" w:type="dxa"/>
          <w:right w:w="28" w:type="dxa"/>
        </w:tblCellMar>
      </w:tblPr>
      <w:tblGrid>
        <w:gridCol w:w="1141"/>
        <w:gridCol w:w="1003"/>
        <w:gridCol w:w="1006"/>
        <w:gridCol w:w="412"/>
        <w:gridCol w:w="412"/>
        <w:gridCol w:w="414"/>
        <w:gridCol w:w="109"/>
        <w:gridCol w:w="109"/>
        <w:gridCol w:w="109"/>
        <w:gridCol w:w="431"/>
        <w:gridCol w:w="431"/>
        <w:gridCol w:w="433"/>
        <w:gridCol w:w="109"/>
        <w:gridCol w:w="109"/>
        <w:gridCol w:w="109"/>
        <w:gridCol w:w="349"/>
        <w:gridCol w:w="349"/>
        <w:gridCol w:w="350"/>
        <w:gridCol w:w="109"/>
        <w:gridCol w:w="109"/>
        <w:gridCol w:w="109"/>
        <w:gridCol w:w="479"/>
        <w:gridCol w:w="479"/>
        <w:gridCol w:w="480"/>
        <w:gridCol w:w="109"/>
        <w:gridCol w:w="109"/>
        <w:gridCol w:w="109"/>
        <w:gridCol w:w="233"/>
        <w:gridCol w:w="233"/>
        <w:gridCol w:w="262"/>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Los Angeles Basin</w:t>
            </w:r>
            <w:r>
              <w:rPr>
                <w:rFonts w:ascii="Arial;sans-serif" w:hAnsi="Arial;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Ventura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MMBoe)</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2022</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Revisions related to price</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Revisions related to performance</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Revisions due to California regulatory changes and court challenges</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Extensions</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Improved recovery</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Divestitures</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2023</w:t>
            </w:r>
          </w:p>
        </w:tc>
        <w:tc>
          <w:tcPr>
            <w:tcW w:w="8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(a)Includes proved reserves related to PSCs of 76 MMBoe and 92 MMBoe at December 31, 2023 and 2022,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Revisions related to price </w:t>
      </w:r>
      <w:r>
        <w:rPr>
          <w:color w:val="000000"/>
        </w:rPr>
        <w:t xml:space="preserve">– </w:t>
      </w:r>
      <w:r>
        <w:rPr>
          <w:rFonts w:ascii="Arial;sans-serif" w:hAnsi="Arial;sans-serif"/>
          <w:b w:val="false"/>
          <w:color w:val="000000"/>
          <w:sz w:val="20"/>
        </w:rPr>
        <w:t xml:space="preserve">We had net negative price-related revisions of 13 MMBoe primarily resulting from a lower commodity price environment in 2023 compared to 2022. Negative price-related revisions of 22 MMBoe were partially offset by 9 MMBoe of positive revisions from operating cost efficiencies.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Revisions related to performance </w:t>
      </w:r>
      <w:r>
        <w:rPr>
          <w:color w:val="000000"/>
        </w:rPr>
        <w:t xml:space="preserve">– </w:t>
      </w:r>
      <w:r>
        <w:rPr>
          <w:rFonts w:ascii="Arial;sans-serif" w:hAnsi="Arial;sans-serif"/>
          <w:b w:val="false"/>
          <w:color w:val="000000"/>
          <w:sz w:val="20"/>
        </w:rPr>
        <w:t xml:space="preserve">We had 23 MMBoe of net positive performance-related revisions which included positive performance-related revisions of 38 MMBoe and negative performance-related revisions of 15 MMBoe. Our positive performance-related revisions primarily related to better-than-expected well performance. Our negative performance-related revisions primarily were due to wells and incremental waterflood response that underperformed forecasts and removal of proved undeveloped locations due to unsuccessful drilling results in certain areas. The majority of these revisions were located in the San Joaquin basin.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Revisions due to California regulatory changes and court challenges</w:t>
      </w:r>
      <w:r>
        <w:rPr>
          <w:color w:val="000000"/>
        </w:rPr>
        <w:t xml:space="preserve"> – </w:t>
      </w:r>
      <w:r>
        <w:rPr>
          <w:rFonts w:ascii="Arial;sans-serif" w:hAnsi="Arial;sans-serif"/>
          <w:b w:val="false"/>
          <w:color w:val="000000"/>
          <w:sz w:val="20"/>
        </w:rPr>
        <w:t xml:space="preserve">We had 12 MMBoe of negative revisions to our proved reserves due to the uncertainty of the outcome of the referendum and potential impact of Senate Bill No. 1137. The majority of these volumes are in the Los Angeles Basin. See </w:t>
      </w:r>
      <w:r>
        <w:rPr>
          <w:rFonts w:ascii="Arial;sans-serif" w:hAnsi="Arial;sans-serif"/>
          <w:b w:val="false"/>
          <w:i/>
          <w:color w:val="000000"/>
          <w:sz w:val="20"/>
        </w:rPr>
        <w:t>Regulation of the Industries in Which We Operate, Regulation of Exploration and Production Activities</w:t>
      </w:r>
      <w:r>
        <w:rPr>
          <w:rFonts w:ascii="Arial;sans-serif" w:hAnsi="Arial;sans-serif"/>
          <w:b w:val="false"/>
          <w:color w:val="000000"/>
          <w:sz w:val="2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Extensions </w:t>
      </w:r>
      <w:r>
        <w:rPr>
          <w:color w:val="000000"/>
        </w:rPr>
        <w:t xml:space="preserve">– </w:t>
      </w:r>
      <w:r>
        <w:rPr>
          <w:rFonts w:ascii="Arial;sans-serif" w:hAnsi="Arial;sans-serif"/>
          <w:b w:val="false"/>
          <w:color w:val="000000"/>
          <w:sz w:val="20"/>
        </w:rPr>
        <w:t xml:space="preserve">We added 5 MMBoe from extensions resulting from successful drilling and workovers in the San Joaquin, Los Angeles and Sacramento basins.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Divestitures</w:t>
      </w:r>
      <w:r>
        <w:rPr>
          <w:color w:val="000000"/>
        </w:rPr>
        <w:t xml:space="preserve"> – </w:t>
      </w:r>
      <w:r>
        <w:rPr>
          <w:rFonts w:ascii="Arial;sans-serif" w:hAnsi="Arial;sans-serif"/>
          <w:b w:val="false"/>
          <w:color w:val="000000"/>
          <w:sz w:val="20"/>
        </w:rPr>
        <w:t xml:space="preserve">We had a reduction of 12 MMBoe which related to our Round Mountain Unit divestiture. See </w:t>
      </w:r>
      <w:r>
        <w:rPr>
          <w:rFonts w:ascii="Arial;sans-serif" w:hAnsi="Arial;sans-serif"/>
          <w:b w:val="false"/>
          <w:i/>
          <w:color w:val="000000"/>
          <w:sz w:val="20"/>
        </w:rPr>
        <w:t>Part II, Item 8 – Financial Statements and Supplementary Data, Note 8 Divestitures and Acquisitions</w:t>
      </w:r>
      <w:r>
        <w:rPr>
          <w:color w:val="000000"/>
        </w:rPr>
        <w:t xml:space="preserve"> </w:t>
      </w:r>
      <w:r>
        <w:rPr>
          <w:rFonts w:ascii="Arial;sans-serif" w:hAnsi="Arial;sans-serif"/>
          <w:b w:val="false"/>
          <w:color w:val="000000"/>
          <w:sz w:val="20"/>
        </w:rPr>
        <w:t xml:space="preserve">for more information on this transaction.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Proved Undeveloped Reserves</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total changes to our proved undeveloped reserves during the year ended December 31, 2023 were as follows:</w:t>
      </w:r>
    </w:p>
    <w:tbl>
      <w:tblPr>
        <w:tblW w:w="10205" w:type="dxa"/>
        <w:jc w:val="left"/>
        <w:tblInd w:w="0" w:type="dxa"/>
        <w:tblLayout w:type="fixed"/>
        <w:tblCellMar>
          <w:top w:w="28" w:type="dxa"/>
          <w:left w:w="28" w:type="dxa"/>
          <w:bottom w:w="28" w:type="dxa"/>
          <w:right w:w="28" w:type="dxa"/>
        </w:tblCellMar>
      </w:tblPr>
      <w:tblGrid>
        <w:gridCol w:w="1169"/>
        <w:gridCol w:w="1027"/>
        <w:gridCol w:w="1031"/>
        <w:gridCol w:w="418"/>
        <w:gridCol w:w="418"/>
        <w:gridCol w:w="419"/>
        <w:gridCol w:w="109"/>
        <w:gridCol w:w="109"/>
        <w:gridCol w:w="109"/>
        <w:gridCol w:w="416"/>
        <w:gridCol w:w="416"/>
        <w:gridCol w:w="417"/>
        <w:gridCol w:w="109"/>
        <w:gridCol w:w="109"/>
        <w:gridCol w:w="109"/>
        <w:gridCol w:w="352"/>
        <w:gridCol w:w="352"/>
        <w:gridCol w:w="353"/>
        <w:gridCol w:w="109"/>
        <w:gridCol w:w="109"/>
        <w:gridCol w:w="109"/>
        <w:gridCol w:w="482"/>
        <w:gridCol w:w="482"/>
        <w:gridCol w:w="483"/>
        <w:gridCol w:w="109"/>
        <w:gridCol w:w="109"/>
        <w:gridCol w:w="109"/>
        <w:gridCol w:w="198"/>
        <w:gridCol w:w="200"/>
        <w:gridCol w:w="264"/>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Ventura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MMBoe)</w:t>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2022</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Revisions related to price</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Revisions related to performance </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Revisions due to California regulatory changes and court challenges</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Extensions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Improved recovery</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32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r>
      <w:tr>
        <w:trPr/>
        <w:tc>
          <w:tcPr>
            <w:tcW w:w="3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Transfers to proved developed reserves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2023</w:t>
            </w:r>
          </w:p>
        </w:tc>
        <w:tc>
          <w:tcPr>
            <w:tcW w:w="8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Revisions related to price </w:t>
      </w:r>
      <w:r>
        <w:rPr>
          <w:color w:val="000000"/>
        </w:rPr>
        <w:t xml:space="preserve">– </w:t>
      </w:r>
      <w:r>
        <w:rPr>
          <w:rFonts w:ascii="Arial;sans-serif" w:hAnsi="Arial;sans-serif"/>
          <w:b w:val="false"/>
          <w:color w:val="000000"/>
          <w:sz w:val="20"/>
        </w:rPr>
        <w:t xml:space="preserve">We had 1 MMBoe of net negative price-related revisions. Negative price-related revisions of 3 MMBoe were offset by 2 MMBoe of positive cost recovery barrels under our PSCs.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Revisions related to performance </w:t>
      </w:r>
      <w:r>
        <w:rPr>
          <w:color w:val="000000"/>
        </w:rPr>
        <w:t xml:space="preserve">– </w:t>
      </w:r>
      <w:r>
        <w:rPr>
          <w:rFonts w:ascii="Arial;sans-serif" w:hAnsi="Arial;sans-serif"/>
          <w:b w:val="false"/>
          <w:color w:val="000000"/>
          <w:sz w:val="20"/>
        </w:rPr>
        <w:t xml:space="preserve">We had 4 MMBoe of net positive performance-related revision, which included positive revisions of 9 MMBoe, partially offset by negative revisions of 5 MMBoe. Our positive performance-related revisions of 9 MMBoe primarily related to proved undeveloped reserves which were added to our five-year development plan in 2023. The majority of these revisions were located in the San Joaquin basin.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Revisions due to California regulatory changes and court challenges</w:t>
      </w:r>
      <w:r>
        <w:rPr>
          <w:color w:val="000000"/>
        </w:rPr>
        <w:t xml:space="preserve"> – </w:t>
      </w:r>
      <w:r>
        <w:rPr>
          <w:rFonts w:ascii="Arial;sans-serif" w:hAnsi="Arial;sans-serif"/>
          <w:b w:val="false"/>
          <w:color w:val="000000"/>
          <w:sz w:val="20"/>
        </w:rPr>
        <w:t xml:space="preserve">We removed 12 MMBoe from proved undeveloped reserves due to the uncertainty of the outcome of the referendum and potential impact of Senate Bill No. 1137 as discussed above. The majority of these revisions were located in the Los Angeles basin. See </w:t>
      </w:r>
      <w:r>
        <w:rPr>
          <w:rFonts w:ascii="Arial;sans-serif" w:hAnsi="Arial;sans-serif"/>
          <w:b w:val="false"/>
          <w:i/>
          <w:color w:val="000000"/>
          <w:sz w:val="20"/>
        </w:rPr>
        <w:t>Regulation of the Industries in Which We Operate, Regulations of Exploration and Production Activities</w:t>
      </w:r>
      <w:r>
        <w:rPr>
          <w:rFonts w:ascii="Arial;sans-serif" w:hAnsi="Arial;sans-serif"/>
          <w:b w:val="false"/>
          <w:color w:val="000000"/>
          <w:sz w:val="2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Extensions </w:t>
      </w:r>
      <w:r>
        <w:rPr>
          <w:color w:val="000000"/>
        </w:rPr>
        <w:t xml:space="preserve">– </w:t>
      </w:r>
      <w:r>
        <w:rPr>
          <w:rFonts w:ascii="Arial;sans-serif" w:hAnsi="Arial;sans-serif"/>
          <w:b w:val="false"/>
          <w:color w:val="000000"/>
          <w:sz w:val="20"/>
        </w:rPr>
        <w:t xml:space="preserve">We added 3 MMBoe of proved undeveloped reserves through extensions as a result of successful drilling and workover programs in the San Joaquin, Los Angeles and Sacramento basins.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Transfers to proved developed reserves </w:t>
      </w:r>
      <w:r>
        <w:rPr>
          <w:color w:val="000000"/>
        </w:rPr>
        <w:t xml:space="preserve">– </w:t>
      </w:r>
      <w:r>
        <w:rPr>
          <w:rFonts w:ascii="Arial;sans-serif" w:hAnsi="Arial;sans-serif"/>
          <w:b w:val="false"/>
          <w:color w:val="000000"/>
          <w:sz w:val="20"/>
        </w:rPr>
        <w:t xml:space="preserve">We converted 3 MMBoe of proved undeveloped reserves to proved developed reserves in the Los Angeles basin. This resulted in a conversion rate of approximately 6% of our beginning-of-year proved undeveloped reserves, with an investment of approximately $65 million of drilling and completion capital. We plan to increase our active rig count in the second half of 2024 assuming the resumption of permitting of new wells and sidetracks. We believe we will have sufficient capital to develop all year end 2023 proved undeveloped reserves within five years of their original booking date. For more information on the 2024 Capital Program, see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Item 7 – Management's Discussion and Analysis of Financial Condition and Results of Operations, Liquidity and Capital Resources</w:t>
      </w:r>
      <w:r>
        <w:rPr>
          <w:color w:val="000000"/>
        </w:rPr>
        <w:t xml:space="preserve"> </w:t>
      </w:r>
      <w:r>
        <w:rPr>
          <w:rFonts w:ascii="Arial;sans-serif" w:hAnsi="Arial;sans-serif"/>
          <w:b w:val="false"/>
          <w:color w:val="000000"/>
          <w:sz w:val="20"/>
        </w:rPr>
        <w:t xml:space="preserve">and for more information on permitting, refer to </w:t>
      </w:r>
      <w:r>
        <w:rPr>
          <w:rFonts w:ascii="Arial;sans-serif" w:hAnsi="Arial;sans-serif"/>
          <w:b w:val="false"/>
          <w:i/>
          <w:color w:val="000000"/>
          <w:sz w:val="20"/>
        </w:rPr>
        <w:t>Regulation of the Industries in Which We Operate, Regulations of Exploration and Production Activities</w:t>
      </w:r>
      <w:r>
        <w:rPr>
          <w:rFonts w:ascii="Arial;sans-serif" w:hAnsi="Arial;sans-serif"/>
          <w:b w:val="false"/>
          <w:color w:val="000000"/>
          <w:sz w:val="20"/>
        </w:rPr>
        <w:t xml:space="preserv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PV-10 and Standardized Measure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PV-10 of cash flows is a non-GAAP financial measure and represents the year-end present value of estimated future cash inflows from proved oil and natural gas reserves, less future development and operating costs, discounted at 10% per annum to reflect the timing of future cash flows and using SEC Prices. Calculation of PV-10 does not give effect to derivative transactions. Our PV-10 is computed on the same basis as our standardized measures of future net cash flows, the most comparable measure under GAAP, but does not include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 </w:t>
      </w:r>
    </w:p>
    <w:tbl>
      <w:tblPr>
        <w:tblW w:w="7603" w:type="dxa"/>
        <w:jc w:val="left"/>
        <w:tblInd w:w="0" w:type="dxa"/>
        <w:tblLayout w:type="fixed"/>
        <w:tblCellMar>
          <w:top w:w="28" w:type="dxa"/>
          <w:left w:w="28" w:type="dxa"/>
          <w:bottom w:w="28" w:type="dxa"/>
          <w:right w:w="28" w:type="dxa"/>
        </w:tblCellMar>
      </w:tblPr>
      <w:tblGrid>
        <w:gridCol w:w="1875"/>
        <w:gridCol w:w="1645"/>
        <w:gridCol w:w="1654"/>
        <w:gridCol w:w="505"/>
        <w:gridCol w:w="1551"/>
        <w:gridCol w:w="373"/>
      </w:tblGrid>
      <w:tr>
        <w:trPr/>
        <w:tc>
          <w:tcPr>
            <w:tcW w:w="187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 2023</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Standardized measure of discounted future net cash flows</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4,069 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future income taxes discounted at 10%</w:t>
            </w:r>
          </w:p>
        </w:tc>
        <w:tc>
          <w:tcPr>
            <w:tcW w:w="2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PV-10 of cash flows</w:t>
            </w:r>
            <w:r>
              <w:rPr>
                <w:rFonts w:ascii="Arial;sans-serif" w:hAnsi="Arial;sans-serif"/>
                <w:b w:val="false"/>
                <w:color w:val="000000"/>
                <w:sz w:val="13"/>
              </w:rPr>
              <w:t>(a)</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5,533 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(a)The average realized prices for estimating our PV-10 of cash flow as of December 31, 2023 were $80.97 per barrel for oil, $50.00 per barrel for NGLs and $4.57 per Mcf for natural gas.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Reserves Evaluation and Review Process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estimates of proved reserves and related discounted future net cash flows as of December 31, 2023 were made by our technical personnel, comprised of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Operating and capital costs are forecast using the current cost environment applied to expectations of future operating and development activities related to the proved reserves. See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Item 7 –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 xml:space="preserve">for further discussion of uncertainties inherent in the reserve estimates.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Proved developed reserves are those volumes that are expected to be recovered through existing wells with existing equipment and operating methods, for which the incremental cost of any additional required investment is relatively minor. Proved undeveloped reserves are those volumes that are expected to be recovered from new wells on undrilled acreage, or from existing wells where a relatively major expenditure is required.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Director of Reserves is the technical person who is primarily responsible for overseeing the preparation of our reserves estimates. He has over 15 years of experience in the upstream oil and gas industry, with projects ranging from appraisal of primary production reservoirs to enhanced oil recovery floods. He holds a Bachelor of Science degree in Petroleum Engineering from the Colorado School of Mines.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an Oil and Gas Reserves Review Committee (Reserves Committee), consisting of senior corporate officers, which reviewed and approved our oil and natural gas reserves for 2023. The Reserves Committee annually reports its findings to the Audit Committee.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Audits of Reserves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Netherland, Sewell &amp; Associates, Inc. (NSAI) was engaged to provide independent audits of our reserves estimates for our fields. For the year ended December 31, 2023, NSAI audited 88% of our total proved reserves.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independent reserve engineers examined the assumptions underlying our reserves estimates, adequacy and quality of our work product and estimates of future production rates. They also examined the appropriateness of the methodologies employed to estimate our reserves as well as their categorization, using the definitions set forth by the SEC, and found them to be appropriate. As part of their process, they developed their own independent estimates of reserves for those fields that they audited. When compared on a field-by-field basis, some of our estimates were greater and some were less than the estimates of our independent reserve engineers. Given the inherent uncertainties and judgments in estimating proved reserves, differences between our estimates and those of our independent reserve engineers are to be expected. The aggregate difference between our estimates and those of the independent reserve engineers was less than 10%, which was within the Society of Petroleum Engineers (SPE) acceptable tolerance.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the conduct of the reserves audits, our independent reserve engineers did not independently verify the accuracy and completeness of information and data furnished by us with respect to ownership interests, crude oil and natural gas production, well test data, historical costs of operation and development, product prices, or any agreements relating to current and future operations of the fields and sales of production. However, if anything came to the attention of our independent auditors that brought into question the validity or sufficiency of any such information or data, they would not rely on such information or data until it had resolved its questions relating thereto or had independently verified such information or data. Our independent reserve engineers determined that our estimates of reserves have been prepared in accordance with the definitions and regulations of the SEC as well as the Standards Pertaining to the Estimating and Auditing of Oil and Gas Reserves Information promulgated by the SPE, including the criteria of “reasonable certainty,” as it pertains to expectations about the recoverability of reserves in future years, under existing economic and operating conditions. Our independent reserve engineers issued an unqualified audit opinion on the applicable portions of our proved reserves as of December 31, 2023, which is attached as Exhibit 99.1 to this Form 10-K and incorporated herein by reference.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NSAI qualifications</w:t>
      </w:r>
      <w:r>
        <w:rPr>
          <w:color w:val="000000"/>
        </w:rPr>
        <w:t xml:space="preserve"> – </w:t>
      </w:r>
      <w:r>
        <w:rPr>
          <w:rFonts w:ascii="Arial;sans-serif" w:hAnsi="Arial;sans-serif"/>
          <w:b w:val="false"/>
          <w:color w:val="000000"/>
          <w:sz w:val="20"/>
        </w:rPr>
        <w:t xml:space="preserve">The primary technical engineer responsible for our audit has more than 22 years of petroleum engineering experience, with the majority spent evaluating California properties, and is a registered Professional Engineer in the state of Texas. The primary geoscientist for the audit has more than 25 years of experience practicing petroleum geoscience and is a Licensed Professional Geoscientist in the state of Texas.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Drilling Statistics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information on our net exploration and development wells drilled and completed during the periods indicated, regardless of when drilling was initiated. The information should not be considered indicative of future performance, nor should it be assumed that there is necessarily any correlation among the number of productive wells drilled, quantities of reserves found or economic value. We refer to gross wells as the total number of wells in which interests are owned, including outside operated wells. Net wells represent wells reduced to our fractional interest.</w:t>
      </w:r>
    </w:p>
    <w:tbl>
      <w:tblPr>
        <w:tblW w:w="9839" w:type="dxa"/>
        <w:jc w:val="left"/>
        <w:tblInd w:w="0" w:type="dxa"/>
        <w:tblLayout w:type="fixed"/>
        <w:tblCellMar>
          <w:top w:w="28" w:type="dxa"/>
          <w:left w:w="28" w:type="dxa"/>
          <w:bottom w:w="28" w:type="dxa"/>
          <w:right w:w="28" w:type="dxa"/>
        </w:tblCellMar>
      </w:tblPr>
      <w:tblGrid>
        <w:gridCol w:w="455"/>
        <w:gridCol w:w="400"/>
        <w:gridCol w:w="406"/>
        <w:gridCol w:w="529"/>
        <w:gridCol w:w="529"/>
        <w:gridCol w:w="531"/>
        <w:gridCol w:w="109"/>
        <w:gridCol w:w="109"/>
        <w:gridCol w:w="109"/>
        <w:gridCol w:w="529"/>
        <w:gridCol w:w="529"/>
        <w:gridCol w:w="531"/>
        <w:gridCol w:w="109"/>
        <w:gridCol w:w="109"/>
        <w:gridCol w:w="109"/>
        <w:gridCol w:w="404"/>
        <w:gridCol w:w="404"/>
        <w:gridCol w:w="406"/>
        <w:gridCol w:w="109"/>
        <w:gridCol w:w="109"/>
        <w:gridCol w:w="109"/>
        <w:gridCol w:w="514"/>
        <w:gridCol w:w="514"/>
        <w:gridCol w:w="516"/>
        <w:gridCol w:w="109"/>
        <w:gridCol w:w="109"/>
        <w:gridCol w:w="109"/>
        <w:gridCol w:w="390"/>
        <w:gridCol w:w="390"/>
        <w:gridCol w:w="554"/>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Ventura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Net Wells</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w:t>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Productive</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Exploratory</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Dry</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Exploratory</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2022</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Productive</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Exploratory</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Dry</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Exploratory</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2021</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Productive</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Exploratory</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Dry</w:t>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Exploratory</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Development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sets forth information on our development wells where drilling was either in progress or pending completion as of December 31, 2023. </w:t>
      </w:r>
    </w:p>
    <w:p>
      <w:pPr>
        <w:pStyle w:val="TextBody"/>
        <w:bidi w:val="0"/>
        <w:spacing w:before="0" w:after="0"/>
        <w:jc w:val="left"/>
        <w:rPr/>
      </w:pPr>
      <w:r>
        <w:rPr/>
      </w:r>
    </w:p>
    <w:tbl>
      <w:tblPr>
        <w:tblW w:w="9224" w:type="dxa"/>
        <w:jc w:val="left"/>
        <w:tblInd w:w="0" w:type="dxa"/>
        <w:tblLayout w:type="fixed"/>
        <w:tblCellMar>
          <w:top w:w="28" w:type="dxa"/>
          <w:left w:w="28" w:type="dxa"/>
          <w:bottom w:w="28" w:type="dxa"/>
          <w:right w:w="28" w:type="dxa"/>
        </w:tblCellMar>
      </w:tblPr>
      <w:tblGrid>
        <w:gridCol w:w="234"/>
        <w:gridCol w:w="205"/>
        <w:gridCol w:w="207"/>
        <w:gridCol w:w="529"/>
        <w:gridCol w:w="529"/>
        <w:gridCol w:w="531"/>
        <w:gridCol w:w="109"/>
        <w:gridCol w:w="109"/>
        <w:gridCol w:w="109"/>
        <w:gridCol w:w="529"/>
        <w:gridCol w:w="529"/>
        <w:gridCol w:w="531"/>
        <w:gridCol w:w="109"/>
        <w:gridCol w:w="109"/>
        <w:gridCol w:w="109"/>
        <w:gridCol w:w="404"/>
        <w:gridCol w:w="404"/>
        <w:gridCol w:w="406"/>
        <w:gridCol w:w="109"/>
        <w:gridCol w:w="109"/>
        <w:gridCol w:w="109"/>
        <w:gridCol w:w="514"/>
        <w:gridCol w:w="514"/>
        <w:gridCol w:w="516"/>
        <w:gridCol w:w="109"/>
        <w:gridCol w:w="109"/>
        <w:gridCol w:w="109"/>
        <w:gridCol w:w="390"/>
        <w:gridCol w:w="390"/>
        <w:gridCol w:w="5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Ventura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Net Wells</w:t>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color w:val="000000"/>
          <w:sz w:val="20"/>
        </w:rPr>
        <w:t>Productive Wells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Productive wells are those that produce, or are capable of producing, commercial quantities of hydrocarbons, regardless of whether they produce at a reasonable rate of return. Our average working interest in our producing wells was 96% as of December 31, 2023. Wells are categorized based on the primary product they produce. </w:t>
      </w:r>
    </w:p>
    <w:p>
      <w:pPr>
        <w:pStyle w:val="TextBody"/>
        <w:bidi w:val="0"/>
        <w:spacing w:before="0" w:after="6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our productive oil and natural gas wells (both producing and capable of production) as of December 31, 2023, excluding wells that have been idle for more than five years:</w:t>
      </w:r>
    </w:p>
    <w:tbl>
      <w:tblPr>
        <w:tblW w:w="10138" w:type="dxa"/>
        <w:jc w:val="left"/>
        <w:tblInd w:w="0" w:type="dxa"/>
        <w:tblLayout w:type="fixed"/>
        <w:tblCellMar>
          <w:top w:w="28" w:type="dxa"/>
          <w:left w:w="28" w:type="dxa"/>
          <w:bottom w:w="28" w:type="dxa"/>
          <w:right w:w="28" w:type="dxa"/>
        </w:tblCellMar>
      </w:tblPr>
      <w:tblGrid>
        <w:gridCol w:w="1677"/>
        <w:gridCol w:w="1474"/>
        <w:gridCol w:w="1484"/>
        <w:gridCol w:w="323"/>
        <w:gridCol w:w="323"/>
        <w:gridCol w:w="276"/>
        <w:gridCol w:w="166"/>
        <w:gridCol w:w="166"/>
        <w:gridCol w:w="166"/>
        <w:gridCol w:w="330"/>
        <w:gridCol w:w="316"/>
        <w:gridCol w:w="194"/>
        <w:gridCol w:w="113"/>
        <w:gridCol w:w="113"/>
        <w:gridCol w:w="113"/>
        <w:gridCol w:w="334"/>
        <w:gridCol w:w="312"/>
        <w:gridCol w:w="302"/>
        <w:gridCol w:w="302"/>
        <w:gridCol w:w="302"/>
        <w:gridCol w:w="302"/>
        <w:gridCol w:w="302"/>
        <w:gridCol w:w="302"/>
        <w:gridCol w:w="446"/>
      </w:tblGrid>
      <w:tr>
        <w:trPr/>
        <w:tc>
          <w:tcPr>
            <w:tcW w:w="167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December 31, 2023</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Productive Oil </w:t>
              <w:br/>
              <w:t>Wells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Productive Natural Gas Wells</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Gross</w:t>
            </w:r>
            <w:r>
              <w:rPr>
                <w:rFonts w:ascii="Arial;sans-serif" w:hAnsi="Arial;sans-serif"/>
                <w:b/>
                <w:color w:val="000000"/>
                <w:sz w:val="13"/>
              </w:rPr>
              <w:t>(a)</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Net</w:t>
            </w:r>
            <w:r>
              <w:rPr>
                <w:rFonts w:ascii="Arial;sans-serif" w:hAnsi="Arial;sans-serif"/>
                <w:b/>
                <w:color w:val="000000"/>
                <w:sz w:val="13"/>
              </w:rPr>
              <w:t>(b)</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Gross</w:t>
            </w:r>
            <w:r>
              <w:rPr>
                <w:rFonts w:ascii="Arial;sans-serif" w:hAnsi="Arial;sans-serif"/>
                <w:b/>
                <w:color w:val="000000"/>
                <w:sz w:val="13"/>
              </w:rPr>
              <w:t>(a)</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Net</w:t>
            </w:r>
            <w:r>
              <w:rPr>
                <w:rFonts w:ascii="Arial;sans-serif" w:hAnsi="Arial;sans-serif"/>
                <w:b/>
                <w:color w:val="000000"/>
                <w:sz w:val="13"/>
              </w:rPr>
              <w:t>(b)</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San Joaquin Basin</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 Angeles Basin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Ventura Basin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Sacramento Basin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Multiple completion wells included in the total above</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(a)The total number of wells in which interests are owned.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(b)Net wells include wells reduced to our fractional interest.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Exploration Inventory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had minimal investment in exploration activity in recent years, and our 2024 capital plan does not allocate any capital towards exploration drilling.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Marketing Arrangements </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Crude Oil </w:t>
      </w:r>
      <w:r>
        <w:rPr>
          <w:color w:val="000000"/>
        </w:rPr>
        <w:t xml:space="preserve">– </w:t>
      </w:r>
      <w:r>
        <w:rPr>
          <w:rFonts w:ascii="Arial;sans-serif" w:hAnsi="Arial;sans-serif"/>
          <w:b w:val="false"/>
          <w:color w:val="000000"/>
          <w:sz w:val="20"/>
        </w:rPr>
        <w:t xml:space="preserve">We sell nearly all of our crude oil to California refiners. A majority of our crude oil production is connected to third-party pipelines and California refining markets via our gathering systems. We do not refine or process the crude oil we produce and do not have any significant long-term transportation arrangements.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prices paid by California refiners are typically based on local third-party postings that are closely tied to Brent prices. International waterborne-based Brent prices are relevant because there is limited crude pipeline infrastructure available to transport crude overland from other parts of the United States into California. We believe that these limitations will continue to contribute to higher realizations in California than most other U.S. oil markets for comparable grades.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Natural Gas</w:t>
      </w:r>
      <w:r>
        <w:rPr>
          <w:color w:val="000000"/>
        </w:rPr>
        <w:t xml:space="preserve"> – </w:t>
      </w:r>
      <w:r>
        <w:rPr>
          <w:rFonts w:ascii="Arial;sans-serif" w:hAnsi="Arial;sans-serif"/>
          <w:b w:val="false"/>
          <w:color w:val="000000"/>
          <w:sz w:val="20"/>
        </w:rPr>
        <w:t xml:space="preserve">We sell all of our natural gas not used in our operations into the California market. A majority of these sales are made on index based prices. Natural gas prices and differentials are strongly affected by local market fundamentals, such as storage capacity and the availability of transportation capacity in the market and producing areas. Transportation capacity influences prices because California imports more than 90% of its natural gas from other states and Canada. As a result, we typically obtain higher realizations relative to out-of-state producers due to lower transportation costs on the delivery of our natural gas.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to selling natural gas, we also use natural gas in steam generation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net higher revenue. Conversely, lower natural gas prices lower these operating costs but have a net negative effect on our financial results.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currently hold transportation capacity contracts to transport all of our natural gas volumes for multiple years.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NGLs</w:t>
      </w:r>
      <w:r>
        <w:rPr>
          <w:color w:val="000000"/>
        </w:rPr>
        <w:t xml:space="preserve"> – </w:t>
      </w:r>
      <w:r>
        <w:rPr>
          <w:rFonts w:ascii="Arial;sans-serif" w:hAnsi="Arial;sans-serif"/>
          <w:b w:val="false"/>
          <w:color w:val="000000"/>
          <w:sz w:val="20"/>
        </w:rPr>
        <w:t>NGL prices vary by liquid type and realizations are closely correlated to the different commodity prices to which they relate. Prices can also fluctuate due to the demand for certain chemical products (for which NGLs are used as feedstock) and due to infrastructure constraints and seasonality. Finally, our results are also affected by the performance of our natural gas-processing plants. We process our wet gas to extract NGLs and other natural gas byproducts. We then deliver dry gas to pipelines and separately sell the remaining products as NGLs. The efficiency with which we extract liquids from the wet gas stream affects our operating results. Our natural gas-processing plants also facilitate access to third-party delivery points near the Elk Hills field.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currently have a ship-or-pay pipeline transportation contract for approximately 6,100 barrels per day of NGLs through March 2026. Our contract to transport NGLs requires us to cash settle any shortfall between the committed quantities and volumes actually shipped. We have met all our shipping commitments under this contract for the periods presented.</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Electricity</w:t>
      </w:r>
      <w:r>
        <w:rPr>
          <w:color w:val="000000"/>
        </w:rPr>
        <w:t xml:space="preserve"> – </w:t>
      </w:r>
      <w:r>
        <w:rPr>
          <w:rFonts w:ascii="Arial;sans-serif" w:hAnsi="Arial;sans-serif"/>
          <w:b w:val="false"/>
          <w:color w:val="000000"/>
          <w:sz w:val="20"/>
        </w:rPr>
        <w:t xml:space="preserve">A portion of the electrical output of the Elk Hills power plant is used by Elk Hills and other nearby production fields. This provides a reliable source of power. We sell remaining electrical output to the CAISO wholesale power market. We sell capacity in excess of our site needs into the CAISO RA marketplace.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Delivery Commitments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commitments to certain refineries and other buyers to deliver oil, natural gas and NGLs. As of December 31, 2023, we had oil delivery commitments averaging 9 MMBbl in 2024 and 1 MMBbl in 2025, NGL delivery commitments of 1 MMBbl through March 2024 and natural gas delivery commitments of 15 Bcf through December 2024. We generally have significantly more production than the amounts committed for delivery and have the ability to secure additional volumes of products as needed. These commitments are typically index-based contracts with prices set at the time of delivery.</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Derivatives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protect our operating cash flow from volatility in the commodities market through our hedging strategy. Our hedging strategy seeks to mitigate our exposure to commodity price volatility and ensure our financial strength and liquidity by protecting our cash flows. Our prior credit agreement included covenants that required us to maintain a certain level of hedges at all times. Our current Revolving Credit Facility includes covenants that require us to maintain a certain level of hedges unless the ratio of our indebtedness to Consolidated EBITDAX (as defined in the Revolving Credit Facility) is less than or equal to 1.5:1.0. We also entered into a limited number of hedges above and beyond those that were required for certain periods. In prior years, these hedges prevented us from realizing the full benefits of price increases. We continuously evaluate our hedging strategy to take into account changes in prevailing market prices and conditions.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Refer to </w:t>
      </w:r>
      <w:r>
        <w:rPr>
          <w:rFonts w:ascii="Arial;sans-serif" w:hAnsi="Arial;sans-serif"/>
          <w:b w:val="false"/>
          <w:i/>
          <w:color w:val="000000"/>
          <w:sz w:val="20"/>
        </w:rPr>
        <w:t xml:space="preserve">Part II, Item 8 – Financial Statements and Supplementary Data, Note 6 Derivatives </w:t>
      </w:r>
      <w:r>
        <w:rPr>
          <w:rFonts w:ascii="Arial;sans-serif" w:hAnsi="Arial;sans-serif"/>
          <w:b w:val="false"/>
          <w:color w:val="000000"/>
          <w:sz w:val="20"/>
        </w:rPr>
        <w:t xml:space="preserve">for more information on our open derivative contracts as of December 31, 2023 and </w:t>
      </w:r>
      <w:r>
        <w:rPr>
          <w:rFonts w:ascii="Arial;sans-serif" w:hAnsi="Arial;sans-serif"/>
          <w:b w:val="false"/>
          <w:i/>
          <w:color w:val="000000"/>
          <w:sz w:val="20"/>
        </w:rPr>
        <w:t>Note 4 Debt</w:t>
      </w:r>
      <w:r>
        <w:rPr>
          <w:color w:val="000000"/>
        </w:rPr>
        <w:t xml:space="preserve"> </w:t>
      </w:r>
      <w:r>
        <w:rPr>
          <w:rFonts w:ascii="Arial;sans-serif" w:hAnsi="Arial;sans-serif"/>
          <w:b w:val="false"/>
          <w:color w:val="000000"/>
          <w:sz w:val="20"/>
        </w:rPr>
        <w:t xml:space="preserve">for more information on an amendment to the hedging requirements included in our Revolving Credit Facility.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Our Principal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sell crude oil, natural gas and NGLs to marketers, California refineries and other purchasers that have access to transportation and storage facilities. Our ability to sell our products can be affected by factors that are beyond our control and cannot be accurately predicted. See </w:t>
      </w:r>
      <w:r>
        <w:rPr>
          <w:rFonts w:ascii="Arial;sans-serif" w:hAnsi="Arial;sans-serif"/>
          <w:b w:val="false"/>
          <w:i/>
          <w:color w:val="000000"/>
          <w:sz w:val="20"/>
        </w:rPr>
        <w:t xml:space="preserve">Part II, Item 8 – Financial Statements and Supplementary Data, Note 1 Nature of Business, Summary of Significant Accounting Policies and Other </w:t>
      </w:r>
      <w:r>
        <w:rPr>
          <w:rFonts w:ascii="Arial;sans-serif" w:hAnsi="Arial;sans-serif"/>
          <w:b w:val="false"/>
          <w:color w:val="000000"/>
          <w:sz w:val="20"/>
        </w:rPr>
        <w:t>for more information on our customers</w:t>
      </w:r>
      <w:r>
        <w:rPr>
          <w:rFonts w:ascii="Arial;sans-serif" w:hAnsi="Arial;sans-serif"/>
          <w:b w:val="false"/>
          <w:i/>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Title to Properties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As is customary in the oil and natural gas industry for acquired properties, we initially conduct a high-level review of the title to our properties at the time of acquisition. Individual properties may be subject to ordinary course burdens that we believe do not materially interfere with the use or affect the value of such properties. Burdens on properties may include customary royalty or net profits interests, liens incident to operating agreements and tax obligations or duties under applicable laws, or development and abandonment obligations, among other items. Prior to the commencement of drilling operations on those properties, we typically conduct a more thorough title examination and may perform curative work with respect to significant defects. We generally will not commence drilling operations on a property until we have cured known title defects that are material to the project. For additional information on properties which secure our debt, see</w:t>
      </w:r>
      <w:r>
        <w:rPr>
          <w:color w:val="000000"/>
        </w:rPr>
        <w:t xml:space="preserve"> </w:t>
      </w:r>
      <w:r>
        <w:rPr>
          <w:rFonts w:ascii="Arial;sans-serif" w:hAnsi="Arial;sans-serif"/>
          <w:b w:val="false"/>
          <w:i/>
          <w:color w:val="000000"/>
          <w:sz w:val="20"/>
        </w:rPr>
        <w:t>Part II, Item 8 – Financial Statements and Supplementary Data, Note 4 Debt.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Competition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competitors are primarily other exploration and production companies that produce oil, natural gas and NGLs. We compete locally against independent producers and a major international oil company who operate in California. We also compete with foreign oil and gas companies because California imports approximately 75% of the oil it consumes. We believe that our proximity to the California refineries gives us a competitive advantage over importers due to lower transportation costs. Further, California refineries are generally designed to process crude with similar characteristics to the low-carbon intensity oil produced from our fields. The California natural gas market is serviced from a network of pipelines, including interstate and intrastate pipelines. We deliver our natural gas to customers using our firm capacity contracts.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compete for third-party services to profitably develop our assets, to find or acquire additional reserves, to sell our production and to find and retain qualified personnel. Higher commodity prices could intensify competition for drilling and workover rigs, pipe, other oil field equipment and personnel. However, in the current environment, we anticipate modest price increases for materials and services as contracts are renewed in the future. We believe our relative size and activity level, compared to other in-state producers, favorably influences the pricing we receive from third-party providers in the markets in which we operate.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also face competition in our oil and natural gas operations from other sources of energy, including wind and solar power. These products compete directly with the electricity we generate from our Elk Hills power plant and indirectly as substitutes for oil, natural gas and NGLs. We expect competition from these sources to intensify in the future due to technological advances and as California continues to develop renewable energy and implements climate-related policies.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Arial;sans-serif" w:hAnsi="Arial;sans-serif"/>
          <w:b w:val="false"/>
          <w:color w:val="000000"/>
          <w:sz w:val="20"/>
        </w:rPr>
        <w:t>In our carbon management business, we compete with other potential storage providers to acquire and develop storage reservoirs and enter into agreements with existing and future emission sources.</w:t>
      </w:r>
      <w:r>
        <w:rPr>
          <w:color w:val="000000"/>
        </w:rPr>
        <w:t xml:space="preserve">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Infrastructure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infrastructure used in our operations, including plants and facilities located in the Wilmington field, is presented below:</w:t>
      </w:r>
    </w:p>
    <w:tbl>
      <w:tblPr>
        <w:tblW w:w="10019" w:type="dxa"/>
        <w:jc w:val="center"/>
        <w:tblInd w:w="0" w:type="dxa"/>
        <w:tblLayout w:type="fixed"/>
        <w:tblCellMar>
          <w:top w:w="28" w:type="dxa"/>
          <w:left w:w="28" w:type="dxa"/>
          <w:bottom w:w="28" w:type="dxa"/>
          <w:right w:w="28" w:type="dxa"/>
        </w:tblCellMar>
      </w:tblPr>
      <w:tblGrid>
        <w:gridCol w:w="1023"/>
        <w:gridCol w:w="896"/>
        <w:gridCol w:w="901"/>
        <w:gridCol w:w="109"/>
        <w:gridCol w:w="109"/>
        <w:gridCol w:w="109"/>
        <w:gridCol w:w="295"/>
        <w:gridCol w:w="295"/>
        <w:gridCol w:w="296"/>
        <w:gridCol w:w="109"/>
        <w:gridCol w:w="109"/>
        <w:gridCol w:w="109"/>
        <w:gridCol w:w="253"/>
        <w:gridCol w:w="253"/>
        <w:gridCol w:w="258"/>
        <w:gridCol w:w="109"/>
        <w:gridCol w:w="109"/>
        <w:gridCol w:w="109"/>
        <w:gridCol w:w="619"/>
        <w:gridCol w:w="619"/>
        <w:gridCol w:w="621"/>
        <w:gridCol w:w="109"/>
        <w:gridCol w:w="109"/>
        <w:gridCol w:w="109"/>
        <w:gridCol w:w="434"/>
        <w:gridCol w:w="434"/>
        <w:gridCol w:w="436"/>
        <w:gridCol w:w="109"/>
        <w:gridCol w:w="109"/>
        <w:gridCol w:w="109"/>
        <w:gridCol w:w="218"/>
        <w:gridCol w:w="218"/>
        <w:gridCol w:w="315"/>
      </w:tblGrid>
      <w:tr>
        <w:trPr/>
        <w:tc>
          <w:tcPr>
            <w:tcW w:w="102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Capacity</w:t>
            </w:r>
          </w:p>
        </w:tc>
      </w:tr>
      <w:tr>
        <w:trPr/>
        <w:tc>
          <w:tcPr>
            <w:tcW w:w="2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Gas Processing Plants</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MMcf/d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353</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Power Plants</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Steam Generators/Plants</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MBbl/d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120</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Compressors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MHp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341</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Water Management Systems</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MBw/d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3,880</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Water Softeners</w:t>
            </w:r>
            <w:r>
              <w:rPr>
                <w:rFonts w:ascii="Arial;sans-serif" w:hAnsi="Arial;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MBw/d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Oil and NGL Storage</w:t>
            </w:r>
            <w:r>
              <w:rPr>
                <w:rFonts w:ascii="Arial;sans-serif" w:hAnsi="Arial;sans-serif"/>
                <w:b w:val="false"/>
                <w:color w:val="000000"/>
                <w:sz w:val="13"/>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MBbls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603</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Pipelines</w:t>
            </w:r>
            <w:r>
              <w:rPr>
                <w:rFonts w:ascii="Arial;sans-serif" w:hAnsi="Arial;sans-serif"/>
                <w:b w:val="false"/>
                <w:color w:val="000000"/>
                <w:sz w:val="13"/>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&gt;8,000</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(a)Includes the Elk Hills cryogenic gas plant with a capacity of 200 MMcf/d of inlet gas and one low temperature separation plant used as a backup facility. Our natural gas processing facilities are interconnected via pipelines to nearby third-party rail and trucking facilities, with access to various North American NGL markets. In addition, we have truck rack facilities coupled with a battery of pressurized storage tanks at our natural gas processing facilities for NGL sales to third parties.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(b)Includes our 550-megawatt combined-cycle Elk Hills power plant, located adjacent to the Elk Hills natural gas processing facility and typically generates all the electricity needed by our Elk Hills field and certain other operations. We utilize approximately a third of its capacity for operations and market the remaining capacity into the resource adequacy market. We offer the balance of the available energy to the CAISO grid. Also included is a 45-megawatt cogeneration facility at Elk Hills that provides additional flexibility and reliability to support field operations and a 48-megawatt power generating facility that is part of the Long Beach Unit located in the Los Angeles basin.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(c)We own, control and operate water management and steam-generation infrastructure. We soften and self-supply water to generate steam, reducing our operating costs. This is integral to our operations in the San Joaquin basin and supports our high-margin oil fields.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(d)Our tank storage capacity throughout California gives us flexibility for a period of time to store crude oil and NGLs, allowing us to continue production and avoid or delay any field shutdowns in the event of temporary power, pipeline or other shutdowns.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(e)Our pipelines are dedicated almost entirely to collecting our oil and natural gas production and are in close proximity to field-specific facilities such as tank settings or central processing sites. Our oil pipelines connect to multiple third-party transportation pipelines. In addition, virtually all of our natural gas facilities connect with major third-party natural gas pipeline systems.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Carbon Management Business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Our carbon management business, which we refer to as Carbon TerraVault, pursues CCS projects that are directly sited or within close proximity to significant sources of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emissions in California.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EPA Class VI Permits and CCS Projects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in the early stages of developing several CCS projects in California. To date, we have submitted Class VI permit applications to the EPA for two permanent sequestration projects at our Elk Hills field. In December 2023, the EPA released draft Class VI permits for one of these projects. This project is held by a joint venture with BGTF Sierra Aggregator LLC (Brookfield) (Carbon TerraVault JV), which is discussed further below. The draft permits for this project are currently subject to public comment, and we expect to receive the final Class VI permits in the middle of 2024. We have also submitted permit applications for four permanent sequestration projects in the Sacramento Basin that are under review by the EPA.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 date, we have executed six carbon dioxide management agreements (CDMAs) with emitters to provide permanent carbon storage. The CDMAs frame the material economics and terms of the project and include conditions precedent to close. These CDMAs contemplate the construction of production facilities for hydrogen, ammonia and other substances, some of which may be co-located with our planned CCS sites. The CDMAs are also subject to negotiation of definitive documents and a final investment decision. We are separately in discussions with other potential emitters and may enter into joint ventures or other commercial arrangements with respect to CCS projects.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Once completed, we expect that our Carbon TerraVault CCS projects will inject CO</w:t>
      </w:r>
      <w:r>
        <w:rPr>
          <w:rFonts w:ascii="Arial;sans-serif" w:hAnsi="Arial;sans-serif"/>
          <w:b w:val="false"/>
          <w:color w:val="000000"/>
          <w:sz w:val="13"/>
        </w:rPr>
        <w:t xml:space="preserve">2 </w:t>
      </w:r>
      <w:r>
        <w:rPr>
          <w:rFonts w:ascii="Arial;sans-serif" w:hAnsi="Arial;sans-serif"/>
          <w:b w:val="false"/>
          <w:color w:val="000000"/>
          <w:sz w:val="20"/>
        </w:rPr>
        <w:t>captured from industrial, electrical, agriculture and carbon removal sources into subsurface reservoirs and permanently store CO</w:t>
      </w:r>
      <w:r>
        <w:rPr>
          <w:rFonts w:ascii="Arial;sans-serif" w:hAnsi="Arial;sans-serif"/>
          <w:b w:val="false"/>
          <w:color w:val="000000"/>
          <w:sz w:val="13"/>
        </w:rPr>
        <w:t xml:space="preserve">2 </w:t>
      </w:r>
      <w:r>
        <w:rPr>
          <w:rFonts w:ascii="Arial;sans-serif" w:hAnsi="Arial;sans-serif"/>
          <w:b w:val="false"/>
          <w:color w:val="000000"/>
          <w:sz w:val="20"/>
        </w:rPr>
        <w:t>deep underground. As part of our commitment to carbon management, we are also installing and upgrading carbon capture equipment at our cryogenic gas processing facility at Elk Hills field which will remove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from inlet gas, where the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will be stored at a nearby storage reservoir owned by the Carbon TerraVault JV. We expect this project will increase operational efficiency of the cryogenic gas processing plant, improving propane recovery, and reduce the carbon intensity of the electricity generated from our Elk Hills Power Plant. We are also evaluating the feasibility of developing a carbon capture system for our 550-megawatt Elk Hills power plant (CalCapture). We continue to work with a consortium of industry participants to advance the development of a direct air capture hub to be located in Kern County and have been selected by the U.S. Department of Energy grant for this project.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expect that the size and scope of our projects providing these and similar services and capital spent on such projects will continue to grow given our strategy of expansion into these services and the development of our carbon management business as a stand-alone business. For more information about the risks involved in our carbon management business, see </w:t>
      </w:r>
      <w:r>
        <w:rPr>
          <w:rFonts w:ascii="Arial;sans-serif" w:hAnsi="Arial;sans-serif"/>
          <w:b w:val="false"/>
          <w:i/>
          <w:color w:val="000000"/>
          <w:sz w:val="20"/>
        </w:rPr>
        <w:t xml:space="preserve">Part I, Item 1A – Risk Factors.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Carbon TerraVault JV</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In August 2022, we entered into a joint venture with Brookfield for the further development of our carbon management business. We hold a 51% interest in the Carbon TerraVault JV and Brookfield holds a 49% interest. Brookfield has committed an initial $500 million to invest in CCS projects that are jointly approved through the Carbon TerraVault JV. At the formation of the Carbon TerraVault JV, we contributed rights to inject CO</w:t>
      </w:r>
      <w:r>
        <w:rPr>
          <w:rFonts w:ascii="Arial;sans-serif" w:hAnsi="Arial;sans-serif"/>
          <w:b w:val="false"/>
          <w:color w:val="000000"/>
          <w:sz w:val="13"/>
        </w:rPr>
        <w:t>2</w:t>
      </w:r>
      <w:r>
        <w:rPr>
          <w:color w:val="000000"/>
          <w:shd w:fill="FFFFFF" w:val="clear"/>
        </w:rPr>
        <w:t xml:space="preserve"> </w:t>
      </w:r>
      <w:r>
        <w:rPr>
          <w:rFonts w:ascii="Arial;sans-serif" w:hAnsi="Arial;sans-serif"/>
          <w:b w:val="false"/>
          <w:color w:val="000000"/>
          <w:sz w:val="20"/>
          <w:shd w:fill="FFFFFF" w:val="clear"/>
        </w:rPr>
        <w:t>into the 26R reservoir in our Elk Hills field for permanent CO</w:t>
      </w:r>
      <w:r>
        <w:rPr>
          <w:rFonts w:ascii="Arial;sans-serif" w:hAnsi="Arial;sans-serif"/>
          <w:b w:val="false"/>
          <w:color w:val="000000"/>
          <w:sz w:val="13"/>
        </w:rPr>
        <w:t>2</w:t>
      </w:r>
      <w:r>
        <w:rPr>
          <w:color w:val="000000"/>
          <w:shd w:fill="FFFFFF" w:val="clear"/>
        </w:rPr>
        <w:t xml:space="preserve"> </w:t>
      </w:r>
      <w:r>
        <w:rPr>
          <w:rFonts w:ascii="Arial;sans-serif" w:hAnsi="Arial;sans-serif"/>
          <w:b w:val="false"/>
          <w:color w:val="000000"/>
          <w:sz w:val="20"/>
          <w:shd w:fill="FFFFFF" w:val="clear"/>
        </w:rPr>
        <w:t xml:space="preserve">storage (26R reservoir) and Brookfield committed to make an initial investment of $137 million, subject to adjustment based on permitted storage capacity, </w:t>
      </w:r>
      <w:r>
        <w:rPr>
          <w:rFonts w:ascii="Arial;sans-serif" w:hAnsi="Arial;sans-serif"/>
          <w:b w:val="false"/>
          <w:color w:val="000000"/>
          <w:sz w:val="20"/>
        </w:rPr>
        <w:t xml:space="preserve">payable in three installments with the last two installments subject to the achievement of certain milestones. Brookfield contributed the first $46 million installment of their initial investment to the Carbon TerraVault JV during the year ended December 31, 2022. The next two installments are due upon completion of certain pre-agreed milestones, which are anticipated to occur in 2024. This amount may, at our sole discretion, be distributed to us or used to satisfy future capital contributions, among other items. </w:t>
      </w:r>
      <w:r>
        <w:rPr>
          <w:rFonts w:ascii="Arial;sans-serif" w:hAnsi="Arial;sans-serif"/>
          <w:b w:val="false"/>
          <w:color w:val="000000"/>
          <w:sz w:val="20"/>
          <w:shd w:fill="FFFFFF" w:val="clear"/>
        </w:rPr>
        <w:t>The parties have certain put and call rights with respect to the 26R reservoir if certain milestones are not met. Future storage projects for Brookfield’s initial commitment are subject to approval of the joint venture, including Brookfield.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Several other projects are being considered by the Carbon TerraVault JV for future development. If Brookfield elects to participate in a project, a portion of our upfront costs to evaluate and permit that project will be subsequently recovered through Brookfield's investment in the Carbon TerraVault JV. We may also pursue the development of CCS projects independently of the Carbon TerraVault JV if Brookfield elects not to participate.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The Carbon TerraVault JV has an option to participate in certain projects that involve the capture, transportation and storage of CO</w:t>
      </w:r>
      <w:r>
        <w:rPr>
          <w:rFonts w:ascii="Arial;sans-serif" w:hAnsi="Arial;sans-serif"/>
          <w:b w:val="false"/>
          <w:color w:val="000000"/>
          <w:sz w:val="13"/>
        </w:rPr>
        <w:t xml:space="preserve">2 </w:t>
      </w:r>
      <w:r>
        <w:rPr>
          <w:rFonts w:ascii="Arial;sans-serif" w:hAnsi="Arial;sans-serif"/>
          <w:b w:val="false"/>
          <w:color w:val="000000"/>
          <w:sz w:val="20"/>
          <w:shd w:fill="FFFFFF" w:val="clear"/>
        </w:rPr>
        <w:t xml:space="preserve">in California. This option expires upon the earlier of (1) August 2027, (2) when a final investment decision has been approved by the Carbon TerraVault JV for storage projects representing in excess of 5 MMTPA in the aggregate, or (3) when Brookfield has made contributions to the joint venture in excess of $500 million (unless Brookfield elects to increase its commitment). </w:t>
      </w:r>
      <w:r>
        <w:rPr>
          <w:rFonts w:ascii="Arial;sans-serif" w:hAnsi="Arial;sans-serif"/>
          <w:b w:val="false"/>
          <w:color w:val="000000"/>
          <w:sz w:val="20"/>
        </w:rPr>
        <w:t xml:space="preserve">Refer to </w:t>
      </w:r>
      <w:r>
        <w:rPr>
          <w:rFonts w:ascii="Arial;sans-serif" w:hAnsi="Arial;sans-serif"/>
          <w:b w:val="false"/>
          <w:i/>
          <w:color w:val="000000"/>
          <w:sz w:val="20"/>
        </w:rPr>
        <w:t>Part II, Item 8 – Financial Statements and Supplementary Data, Note 3 Investment in Unconsolidated Subsidiary and Related Party Transactions</w:t>
      </w:r>
      <w:r>
        <w:rPr>
          <w:color w:val="000000"/>
        </w:rPr>
        <w:t xml:space="preserve"> </w:t>
      </w:r>
      <w:r>
        <w:rPr>
          <w:rFonts w:ascii="Arial;sans-serif" w:hAnsi="Arial;sans-serif"/>
          <w:b w:val="false"/>
          <w:color w:val="000000"/>
          <w:sz w:val="20"/>
        </w:rPr>
        <w:t xml:space="preserve">for more information on our Carbon TerraVault JV.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Human Capital Management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employees are our most valuable asset and we strive to provide a safe and healthy workplace, development opportunities and financial rewards, ensuring focus on fair and equitable treatment. We believe our core values of Character, Responsibility and Commitment and our comprehensive business and ethical conduct policies sustain shareholder value.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comprehensive business and ethical conduct policies apply to all directors, officers and employees, each of whom personally commits to following our code of conduct and our corporate policies, as well as to suppliers and vendors working in our operations. Our position is that no business goal is worth our employees compromising their integrity or our shared values.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had approximately 970 employees as of December 31, 2023 as compared to 1,060 as of December 31, 2022, all in the United States. In 2023, we undertook initiatives to streamline our operations and implemented organizational changes that resulted in a headcount reduction of approximately 75 employees. That decrease was partially offset by growth in our headcount in our carbon management business. Of the total 970 employees, approximately 50 full-time equivalent employees are focused on our carbon management business. Approximately 55 of our employees are covered by a collective bargaining agreement. We also utilize the services of many third-party contractors throughout our operations.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Continued Employee Development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Employee development opportunities are provided to enhance leadership development and expand career opportunities. Our employees undergo mandatory annual training on our policies including health and safety, business ethics, harassment, IT security and others. Our mandatory training reinforces our company-wide commitment to operate in accordance with all applicable laws, rules and regulations and to sustain a diverse and empowered workforce comprising of our employees and those of our suppliers, vendors and joint ventures. In addition to training, our employees receive regular performance and career development discussions from their direct managers. All employees receive annual performance reviews.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largest development initiatives in the past couple of years included the Future Leaders Development Program with the University of California, Los Angeles (UCLA) Anderson School; our Intrepid Women's Program, a program of coaching and development circles for women; and ELEVATE, a manager workshop on communication styles and culture changing behaviors to develop our future leaders.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taken steps to promote the development of a pipeline of candidates as we develop our carbon management business. In 2022, we pledged $2.5 million to fund several Kern County initiatives with Kern Community College District (Kern CCD) and California State University, Bakersfield (CSUB) to help advance the energy transition and further benefit local communities. As of December 31, 2023, we contributed approximately $1.9 million of the $2.5 million pledged. We anticipate contributing the remainder of our commitment in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will collaborate with Kern CCD to establish the CRC Carbon Management Institute, a first-of-its-kind initiative that will empower local private and public partnerships to lead the way in defining how collaboration between education and industry can positively impact communities. Funding will also be used for research and development, community outreach and education, workforce training and education, and carbon management academics that will focus on advancing CCS and emerging technologies. Additionally, CSUB will launch the CRC Energy Transition Lecture Series on relevant topics and emerging issues related to CCS and technologies that will lead the way to achieving a net zero future. Finally, the CRC Carbon TerraVault Scholarship will be established to help provide students with academic opportunities.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Diversity, Equity and Inclusion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goal is to foster an open and diverse culture and we are committed to advancing people of all backgrounds and perspectives, including women and persons from historically underrepresented communities in our workplace. We believe supporting diversity, equity and inclusion (DE&amp;I) efforts encourages higher levels of workforce engagement by helping to enable team members to bring diverse experiences and perspectives to their day-to-day jobs. We believe this, in turn, leads to more thoughtful and innovative business decisions and higher levels of engagement and lower levels of turnover. We established an Advisory Council focused on career development, promotion, recruitment and retention to help support our DE&amp;I commitments. We have all employees attend DE&amp;I training to reinforce an open and diverse culture.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table below approximates our self-reported gender diverse and ethnically and racially diverse employees and members of our Board of Directors as of December 31, 2023. </w:t>
      </w:r>
    </w:p>
    <w:p>
      <w:pPr>
        <w:pStyle w:val="TextBody"/>
        <w:bidi w:val="0"/>
        <w:spacing w:before="0" w:after="0"/>
        <w:jc w:val="left"/>
        <w:rPr/>
      </w:pPr>
      <w:r>
        <w:rPr/>
      </w:r>
    </w:p>
    <w:tbl>
      <w:tblPr>
        <w:tblW w:w="6580" w:type="dxa"/>
        <w:jc w:val="left"/>
        <w:tblInd w:w="0" w:type="dxa"/>
        <w:tblLayout w:type="fixed"/>
        <w:tblCellMar>
          <w:top w:w="28" w:type="dxa"/>
          <w:left w:w="28" w:type="dxa"/>
          <w:bottom w:w="28" w:type="dxa"/>
          <w:right w:w="28" w:type="dxa"/>
        </w:tblCellMar>
      </w:tblPr>
      <w:tblGrid>
        <w:gridCol w:w="614"/>
        <w:gridCol w:w="539"/>
        <w:gridCol w:w="541"/>
        <w:gridCol w:w="509"/>
        <w:gridCol w:w="509"/>
        <w:gridCol w:w="511"/>
        <w:gridCol w:w="109"/>
        <w:gridCol w:w="109"/>
        <w:gridCol w:w="109"/>
        <w:gridCol w:w="886"/>
        <w:gridCol w:w="886"/>
        <w:gridCol w:w="1258"/>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Gender Diverse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Ethnically and Racially Diverse</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Employees</w:t>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Managers</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Executives</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Board of Directors</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Employee Safety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unwavering commitment to health, safety and the environment defines how we operate our business. We prepare our workforce to work safely through comprehensive training, safe work practices, technology and rigorous maintenance and asset integrity programs. Each year, we set a threshold TRIR as a quantitative metric that directly impacts incentive compensation for all of our employees. We achieved a 99.9999% oil spill prevention rate in 2023 and registered a workforce TRIR of 0.31. We have achieved exemplary, steadily improved safety performance over the last several years by promoting a culture of safety where all employees, contractors and vendors are empowered with Stop Work Authority to cease any activity – without repercussions – to prevent a safety or environmental accident.</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Engagement and Retention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survey our employees annually to ensure employee sentiment is collected and heard throughout the year allowing us to assess engagement levels and drivers to determine areas of improvement to enhance engagement and retention. The results of the engagement surveys are reviewed by senior management and our Board of Directors. Senior leadership also host regular townhalls so employees can engage with them through question and answer sessions.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provide our employees industry competitive base wages and annual and long-term incentive compensation opportunities, as well as matching and profit-sharing retirement contributions to employees' 401(k) accounts; comprehensive health benefits; life, disability and accident insurance coverages; sick pay, paid holidays, paid parental leave and vacation; employee assistance for confidential counseling services, a wellness program to promote the well-being of our employees and their families; and various group discount programs. Our employee stock purchase program allows our employees to purchase shares of our common stock at a discounted price. We also provide options for alternate work schedules, flexible work hours, part-time work options and telecommuting.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color w:val="000000"/>
          <w:sz w:val="20"/>
        </w:rPr>
        <w:t>Regulation of the Industries in Which We Operate</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operations are subject to a wide range of federal, state and local laws and regulations. Those that specifically relate to oil and natural gas exploration and production and carbon sequestration, utilization and storage are described in this section. CalGEM is the primary regulator of the oil and natural gas production industry in California. The State Lands Commission provides additional administration of the state’s surface and mineral interests.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Regulation of Exploration and Production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Well Permitting</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2023, we experienced significant delays with respect to obtaining new well, sidetrack, deepening and rework permits from CalGEM for our operations. A variety of factors outside of our control led to such delays, including recent changes in CalGEM management. Since December 2022, CalGEM has issued a limited number of permits for new production wells in California, and those permits were issued to other operators. In addition, CalGEM effectively ceased issuing permits for sidetracks, deepenings and reworks at various points in 2023 pending the development of standard operating procedures (SOPs). CalGEM recently finalized its SOP for the review of permit applications for reworks in December 2023 and a noticeable increase in rework approvals has followed. CalGEM also recently finalized its Lead Agency Preliminary Review process. Since the implementation of that process, the pace of approvals has been slow, with only a limited number of sidetrack permits issued to other operators.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cannot guarantee that these issues or new ones that may arise in the future will not continue to delay or otherwise impair our ability to obtain drilling permits. Any continuing failure to obtain certain permits or the adoption of more stringent permitting requirements could have a material adverse effect on our business, operations, properties, results of operations, and our financial condition. See </w:t>
      </w:r>
      <w:r>
        <w:rPr>
          <w:rFonts w:ascii="Arial;sans-serif" w:hAnsi="Arial;sans-serif"/>
          <w:b w:val="false"/>
          <w:i/>
          <w:color w:val="000000"/>
          <w:sz w:val="20"/>
        </w:rPr>
        <w:t>Part 1, Item IA – Risk Factors, We may face material delays related to our ability to timely obtain permits necessary for our operations or be unable to secure such permits on favorable terms or at all as a result of numerous California political, regulatory, and legal developments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CalGEM currently requires an operator to identify the manner in which the California Environmental Quality Act (CEQA) has been satisfied prior to issuing various state permits, typically through either an environmental review or an exemption by a state or local agency. In Kern County, this requirement has typically been satisfied by complying with the local oil and natural gas ordinance which was supported by an Environmental Impact Report (EIR) certified by the Kern County Board of Supervisors in 2015.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Kern County EIR Litigation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operations in Kern County have been subject to significant uncertainty over the past several years as a result of ongoing challenges to the County's ability to rely on an existing EIR to meet the County's obligations under CEQA. In December 2015, several groups challenged the sufficiency of the EIR for satisfying CEQA requirements in Kern County for oil and natural gas permit approvals. Litigation proceedings remain ongoing; currently, the use of the EIR is stayed and has been throughout most of the litigation. Although the County has issued a supplemental EIR to address the plaintiffs’ concerns, operators still cannot rely on this supplemental EIR at this time as a result of the ongoing litigation. A ruling as to whether oil and natural gas permitting shall remain suspended for the duration of the appeals process is expected sometime in the first half of 2024.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pursued and continue to pursue alternative pathways for addressing CEQA compliance for oil and natural gas permits in Kern County and have submitted applications for conditional use permits from Kern County for projects located at our Elk Hills, Kern Front and Buena Vista fields. However, subject to one narrow exception, CalGEM has not approved any permits for new drill wells in Kern County since December 2022, through alternative pathways or otherwise. We expect that our pursuit of the conditional use permits in Kern County will be a lengthy process. The timing of this process is difficult to estimate and could extend well into 2025.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As a result of these issues and current lack of permits with respect to our Kern County properties, we plan to operate one active rig within Kern County in the first half of 2024 and have the requisite number of permits in hand to keep that rig active throughout 2024. We plan to increase our active rig count in Kern County to three rigs in the second half of 2024 assuming the resumption of permitting of new wells and sidetracks or through alternative pathways. However, there is no certainty that we will obtain permits on that timeline or at all, which may further adversely affect our future development plans, proved undeveloped reserves, business, operations, cash flows, financial position and results of operations. Approximately $75 million of our aggregate capital for oil and natural gas development in 2024 relates to drilling and completing wells in Kern County for which we do not presently have a permit. If we are unable to obtain the necessary permits for the development of these wells, we will pursue alternatives for the deployment of this capital. For more information on our 2024 Capital Program, see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Item 7 – Management's Discussion and Analysis of Financial Condition and Results of Operations, Liquidity and Capital Resources.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Wilmington Oil Field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commencing in February 2023, CalGEM began returning our applications for permits in the Wilmington Oil Field, including permits for new production wells, workovers and plugging and abandonment operations. CalGEM cited concerns regarding the adequacy of the related environmental impact report for purposes of meeting CEQA requirements. We are working together with the City of Long Beach to address CalGEM’s concerns regarding conducting future re-drills, workover and plugging and abandonment activities.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Approximately $25 million of our aggregate capital for oil and natural gas development in 2024 relates to drilling and completing wells in Wilmington for which we do not presently have a permit. If we are unable to obtain the necessary permits for the development of these wells, we will pursue alternatives for the deployment of this capital.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plan to operate one active rig on the THUMS Islands in the second half of 2024 assuming the resumption of permitting of sidetracks and deepenings. However, there is no certainty that we will obtain permits on that timeline or at all, which may further adversely affect our future development plans, proved undeveloped reserves, business, operations, cash flows, financial position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Regulatory Activity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California Legislature and Governor have significantly increased the jurisdiction, duties and enforcement authority of CalGEM, the State Lands Commission and other state agencies with respect to oil and natural gas activities in recent years through legislation and policy pronouncements. For example, 2019 state legislation expanded CalGEM’s duties effective on January 1, 2020 to include public health and safety and reducing or mitigating greenhouse gas emissions while meeting the state’s energy needs, and will require CalGEM to study and prioritize idle wells with emissions, evaluate costs of abandonment, decommissioning and restoration, and review and update associated indemnity bond amounts from operators if warranted, up to a specified cap which may be shared among operators.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CalGEM and other state agencies have also significantly revised their regulations, regulatory interpretations and data collection and reporting requirements. CalGEM issued updated regulations in April 2019 governing management of idle wells and underground fluid injection, which include specific implementation periods. The updated idle well management regulations require operators to either submit annual idle well management plans describing how they will plug and abandon or reactivate a specified percentage of long-term idle wells or pay additional annual fees and perform additional testing to retain greater flexibility to return long-term idle wells to service in the future. The updated underground injection regulations address injection approvals, project data requirements, testing of injection wells, monitoring and reporting requirements with respect to injection parameters, containment and incident response, among other topics.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addition, certain local governments have proposed or adopted ordinances that would restrict certain drilling activities in general and well stimulation, completion or injection activities in particular, impose setback distances from certain other land uses, or ban such activities outright. For example, both the City and the County of Los Angeles have voted to prohibit new oil and natural gas wells and phase out existing wells over a number of years. Our operations in unincorporated areas of Los Angeles are not affected by these bans, and we do not anticipate a material impact from these bans to our future drilling operations as we have no drilling plans or proved undeveloped reserves within the area that would be covered by these bans. However, from time to time, other local governments in California have sought to enact similar bans and others may seek to do so in the future. Other local governments have sought to ban natural gas or the transportation of natural gas through their cities. The cities of Brentwood and Antioch have refused to extend the necessary franchise agreements to preserve an existing pipeline that runs through their jurisdictions. In July 2023, one of our subsidiaries submitted an application with the CPUC to convert this pipeline to common carrier status. The application is still pending. A response is tentatively expected by year-end 2024.</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Setbacks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September 16, 2022, the Governor of California signed Senate Bill No. 1137 into law, which established 3,200 feet as the minimum distance between new oil and natural gas production wells and certain sensitive receptors such as homes, schools and businesses open to the public and separately imposing a number of potential impact analysis and mitigation and reporting requirements effective January 1, 2023. On January 6, 2023, CalGEM's emergency regulations to support implementation of Senate Bill No. 1137 were approved by the Office of Administrative Law and final regulations were published. Proponents of a voter referendum to repeal Senate Bill No. 1137 (the Referendum) have collected more than the requisite number of signatures required and the Secretary of State of California certified the signatures and confirmed that the Referendum qualifies for the November 2024 ballot. Accordingly, Senate Bill No. 1137 is stayed until it is put to a vote. CalGEM could attempt to initiate rulemaking with regard to setbacks during the stay, although this has not occurred thus far.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majority of our production is in rural areas in the San Joaquin basin and is unlikely to be affected by Senate Bill No. 1137 should the outcome of the Referendum result in the bill being implemented. We would not expect the implementation of this law to result in any change in our existing proved developed producing reserves or current production rates or any material change to the timing of plugging and abandonment liabilities. However, there is significant uncertainty with respect to our ability to book proved undeveloped reserves within the setback zones established by Senate Bill No. 1137. As a result, we have not booked any proved undeveloped reserves located within setback zones, except for those reserves for which we have drilling permits or intend to have drilling permits for, prior to the November 2024 ballot. Due to Senate Bill No. 1137, in 2023 we reduced the net present value of our proved undeveloped reserves by 19% and our overall proved reserves by 2%.</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Separately, in early 2023, Senate Bill No. 556 was introduced into the California Senate providing for presumptive liability for certain adverse health conditions in a setback zone, subject to limited defenses. The bill did not advance through the legislature in 2023. However, similar proposed legislation was introduced as Assembly Bill 3155 in February 2024. If AB 3155, or similar bills, are ultimately enacted, such legislation would further impact our ability to operate in a setback zone and increase our exposure to liability.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Pipeline Transportation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Federal and state pipeline regulations have also been recently revised. CalGEM imposed more stringent inspection and integrity management requirements in 2019 and 2020 with respect to certain natural gas pipelines in specified locations, with additional regulations anticipated in 2022 regarding digital mapping of such lines. The Office of the State Fire Marshal adopted regulations in 2020 to require risk assessment of various oil lines in the coastal zone, followed by retrofitting of certain of those lines with the best available control technology to mitigate oil spills over a specified implementation period. Finally, the federal PHMSA has, from time to time, issued new regulations expanding or otherwise revising pipeline integrity requirements. For example, in November 2021, PHMSA issued a final rule imposing safety regulations on an aggregate of approximately 400,000 miles of previously unregulated onshore gas gathering lines across the United States that, among other things, will impose criteria for inspection and repair of fugitive emissions, extend reporting requirements to all gas gathering operators and apply a set of minimum safety requirements to certain gas gathering pipelines with large diameters and high operating pressures. And, in August 2022, PHMSA finalized additional pipeline safety rules, which adjusted the repair criteria for pipelines in high consequence areas, created new criteria for pipelines in non-high consequence areas, and strengthened integrity management assessment requirements, among other items. Additionally, in May 2023, PHMSA published a proposed rule that would enhance requirements for detecting and repairing leaks on new and existing natural gas distribution, gas transmission and gas gathering pipelines and, separately, in September 2023, published a proposed rule that would enhance the safety requirements for gas distribution pipelines and would require updates to distribution integrity management programs, emergency response plans, operations and maintenance manuals, and other safety practices.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Water Injection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operations in the Wilmington Oil Field utilize injection wells to reinject produced water pursuant to waterflooding plans. These operations are subject to regulation by the City of Long Beach and CalGEM. We are currently in discussions with the City of Long Beach and CalGEM with respect to what injection well pressure gradient complies with CalGEM’s requirements for the protection of underground aquifers, while at the same time mitigating subsidence risks and have supplied technical information to CalGEM in support of our position. If CalGEM were to ultimately disagree and determine to reduce the injection well pressure gradient other than in a gradual manner, and we were unable to reverse that decision on appeal or other legal challenge, we expect any material reduction in injection well pressure gradient for our operations in the Wilmington Oil Field would result in a decrease in production and reserves from the field.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Collectively, the effect of these regulations is to potentially limit the number and location of our wells and the amount of oil and natural gas that we can produce from our wells compared to what we otherwise would be able to do.</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Bonding</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October 7, 2023, the California Governor signed into law Assembly Bill 1167 (AB 1167), which imposes more stringent financial assurance requirements on persons who acquire the right to operate a well or production facility in the state of California, requiring them to file either an individual indemnity bond for single-well or production facility acquisitions, or a blanket indemnity bond for multiple wells or production facilities. Upon signing AB 1167, Governor Newsom called for further legislative changes to these new requirements to mitigate against the potential risk of the implementation of AB 1167 ultimately increasing the number of orphaned idle or low-producing wells in California, although no such changes have yet been announced. We cannot predict what form these changes may ultimately take or if the legislature will act on the Governor’s request. Implementation of this law may lead to the delay or additional costs with respect to certain acquisitions or dispositions, which could impact our ability to grow or explore new strategic areas – or exit others – within the state of California. </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Regulation of Health, Safety and Environmental Matters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Numerous federal, state, local and other laws and regulations that govern health and safety, the release or discharge of materials, land use or environmental protection may restrict the use of our properties and operations, increase our costs or lower demand for or restrict the use of our products and services. Applicable federal health, safety and environmental laws include the Occupational Safety and Health Act, Clean Air Act, Clean Water Act, Safe Drinking Water Act, Oil Pollution Act, Natural Gas Pipeline Safety Act, Pipeline Safety Improvement Act, Pipeline Safety, Regulatory Certainty, and Job Creation Act, Endangered Species Act, Migratory Bird Treaty Act, Comprehensive Environmental Response, Compensation, and Liability Act, Resource Conservation and Recovery Act and NEPA, among others. California imposes additional laws that are analogous to, and often more stringent than, such federal laws. These laws and regulations: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establish air, soil and water quality standards for a given region, such as the San Joaquin Valley, conduct regional, community or field monitoring of air, soil or water quality, and require attainment plans to meet those regional standards, which may include significant mitigation measures or restrictions on development, economic activity and transportation in such region;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 various permits, approvals and mitigation measures before drilling, workover, production, underground fluid injection or waste disposal commences, or before facilities are constructed or put into operation;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 the installation of sophisticated safety and pollution control equipment, such as leak detection, monitoring and shutdown systems, and implementation of inspection, monitoring and repair programs to prevent or reduce releases or discharges of regulated materials to air, land, surface water or ground water;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 the use, types or sources of water, energy, land surface, habitat or other natural resources, require conservation and reclamation measures, impose energy efficiency or renewable energy standards on us or users of our products and services, and restrict the use of oil, natural gas or certain petroleum–based products such as fuels and plastics;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 the types, quantities and concentrations of regulated materials, including oil, natural gas, produced water or wastes, that can be released or discharged into the environment, or any other uses of those materials resulting from drilling, production, processing, power generation, transportation or storage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 or prohibit operations on lands lying within coastal, wilderness, wetlands, groundwater recharge, endangered species habitat and other protected areas, and require the dedication of surface acreage for habitat conservation;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 standards for the management of solid and hazardous wastes or the closure, abandonment, cleanup or restoration of former operations, such as plugging and abandonment of wells and decommissioning of facilities;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impose substantial liabilities for unauthorized releases or discharges of regulated materials into the environment with respect to our current or former properties and operations and other locations where such materials generated by us or our predecessors were released or discharged;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 comprehensive environmental analyses, recordkeeping and reports with respect to operations affecting federal, state and private lands or leases;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impose taxes or fees with respect to the foregoing matters;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may expose us to litigation with government authorities, counterparties, special interest groups or others;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may restrict our rate of oil, NGLs, natural gas and electricity production.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These requirements can result in restrictions on our operations. For example, in 2014, at the request of the EPA, CalGEM commenced a detailed review of the multi-decade practice of permitting underground injection wells and associated aquifer exemptions under the SDWA. In 2015, the state set deadlines to obtain the EPA’s confirmation of aquifer exemptions under the SDWA in certain formations in certain fields. During the review, the state has restricted injection in certain formations or wells in several fields, including some operated by us, requested that we change injection zones in certain fields, and held certain pending injection permits in abeyance. The state continues to work with EPA to resolve these issues. The aquifer exemption process has slowed in part due to the determination by CalGEM and the State Water Resources Control Board that certain of the remaining applications require additional “conduit analysis” to ensure that injected fluid will not escape from the intended area of subsurface confinement and EPA’s delays in approval of the exemption proposals that remain outstanding. Of the 30 original aquifer exemption proposals addressing permitted injection into a potential underground source of drinking water, 21 have been approved by EPA, with nine applications outstanding. In connection with legal challenges filed against the state by industry stakeholders, the Kern County Superior Court has issued an order generally barring the blanket enforcement of CalGEM’s aquifer exemption regulations mandating grant of an aquifer exemption as a precondition to continued injection activities. In a January 2024 status hearing, the court also preserved the stay and preliminary injunction for an additional six months at which time it will reevaluate case management due to the age of the lawsuit.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the federal level, recent modifications to regulations implementing NEPA may impose additional restrictions on oil and natural gas activities on federal lands. In October 2021, the Biden Administration announced three significant changes to a 2020 rule finalized under the Trump Administration. These changes included (i) authorizing agencies to consider the direct, indirect and cumulative effects of major federal actions including upstream and downstream impacts of fossil fuel projects; (ii) allowing agencies to determine the purpose and need of a project (thereby allowing consideration of less-harmful alternatives); and (iii) affording agencies greater flexibility in crafting their own NEPA procedures, consistent with Council of Environmental Quality (CEQ) regulations, so as to meet the agencies’ and public’s need. To that end, in April 2022, the CEQ issued a final rule in line with the proposed changes—“Phase I” of the Biden Administration’s two-phased approach to modifying NEPA. In July 2023—“Phase 2”—the CEQ published a proposed rule revising the implementing regulations of the procedural provisions of NEPA and implementing amendments to NEPA included in the Fiscal Responsibility Act of 2023. The final rule is expected in the second quarter of 2024.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addition, due to the risk of future drought conditions in California, water districts and the state government have implemented regulations and policies that may restrict groundwater extraction and water usage and increase the cost of water. Water management, including our ability to recycle, reuse and dispose of produced water and our access to water supplies from third-party sources, in each case at a reasonable cost, in a timely manner and in compliance with applicable laws, regulations and permits, is an essential component of our operations to produce crude oil, natural gas and NGLs economically and in commercial quantities. As such, any limitations or restrictions on wastewater disposal or water availability could have an adverse impact on our operations. We treat and reuse water that is co-produced with oil and natural gas for a substantial portion of our needs in activities such as pressure management, waterflooding, steamflooding and well drilling, completion and stimulation. We also provide reclaimed produced water to certain agricultural water districts. We also use supplied water from various local and regional sources, particularly for power plants and steam generation. We are a net fresh water supplier to the state. While our production to date has not been impacted by restrictions on access to third-party water sources, we cannot guarantee that there may not be restrictions in the future.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Federal, state and local agencies may assert overlapping authority to regulate in these areas. In addition, certain of these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Regulation of Carbon Capture, Sequestration and Storage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Unitization and Pipelines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On September 16, 2022, the Governor of California signed Senate Bill No. 905 into law, which contemplates the development of unitization, permitting and pipeline safety regulations over a multi-year period to facilitate the development of CCS projects in California, though the legislation does not provide for compulsory unitization. A unified permit application is to be adopted by January 1, 2025. We believe permitting for our Carbon TerraVault projects, for which the EPA has issued draft permits that are open to public notice and comment until March 20, 2024, will continue to be developed on a timeline consistent with our initial expectations. These initial projects are not reliant on the unitization or permitting regulations being developed. Our Carbon TerraVault projects are expected to either use emitters that are directly sited above these storage facilities or rely on pipelines for transporting CO</w:t>
      </w:r>
      <w:r>
        <w:rPr>
          <w:rFonts w:ascii="Arial;sans-serif" w:hAnsi="Arial;sans-serif"/>
          <w:b w:val="false"/>
          <w:color w:val="000000"/>
          <w:sz w:val="13"/>
        </w:rPr>
        <w:t>2</w:t>
      </w:r>
      <w:r>
        <w:rPr>
          <w:rFonts w:ascii="Arial;sans-serif" w:hAnsi="Arial;sans-serif"/>
          <w:b w:val="false"/>
          <w:color w:val="000000"/>
          <w:sz w:val="20"/>
        </w:rPr>
        <w:t>. Those projects that will rely only on pipelines for transporting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will need to comply with yet to be developed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pipeline safety regulations from the federal PHMSA, which could take a number of years to effect. Further, the terms of the final pipeline safety regulations may impair or prohibit those projects that rely on the transportation of CO</w:t>
      </w:r>
      <w:r>
        <w:rPr>
          <w:rFonts w:ascii="Arial;sans-serif" w:hAnsi="Arial;sans-serif"/>
          <w:b w:val="false"/>
          <w:color w:val="000000"/>
          <w:sz w:val="13"/>
        </w:rPr>
        <w:t>2</w:t>
      </w:r>
      <w:r>
        <w:rPr>
          <w:rFonts w:ascii="Arial;sans-serif" w:hAnsi="Arial;sans-serif"/>
          <w:b w:val="false"/>
          <w:color w:val="000000"/>
          <w:sz w:val="20"/>
        </w:rPr>
        <w:t>. In addition, delays in developing the required pipeline safety regulations would delay projects requiring pipeline transportation of CO</w:t>
      </w:r>
      <w:r>
        <w:rPr>
          <w:rFonts w:ascii="Arial;sans-serif" w:hAnsi="Arial;sans-serif"/>
          <w:b w:val="false"/>
          <w:color w:val="000000"/>
          <w:sz w:val="13"/>
        </w:rPr>
        <w:t>2</w:t>
      </w:r>
      <w:r>
        <w:rPr>
          <w:rFonts w:ascii="Arial;sans-serif" w:hAnsi="Arial;sans-serif"/>
          <w:b w:val="false"/>
          <w:color w:val="000000"/>
          <w:sz w:val="20"/>
        </w:rPr>
        <w:t xml:space="preserve">. The lack of compulsory unitization could also delay project timelines.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unified permitting process contemplated by Senate Bill No. 905 will be optional for project applicants and is intended to simplify the permitting process for CCS projects. In the meantime, pursuant to this legislation, we are permitted to proceed with our existing and future permit applications with the EPA. This law also contemplates the implementation of a new regulatory program incorporating standards that are not yet defined and that could affect the timing of future CCS projects in California. The Department of Conservation has been tasked with developing this proposed framework, an initial draft of which was expected in December 2023 and remains pending.</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Senate Bill No. 905 also prohibits CCS projects that utilize and permanently sequester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in connection with Enhanced Oil Recovery (EOR) projects. In light of this prohibition and the enhancement of energy credits under the Inflation Reduction Act of 2022, we transitioned our CalCapture project to target CCS. We currently do not have any oil and natural gas production or proved reserves associated with EOR projects that rely on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floods. As a result, we do not expect the limitations on EOR activities included in Senate Bill No. 905 to impact our existing oil and natural gas production or proved reserves.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CCS Project Permitting</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development, construction and operation of our CCS projects is contingent upon securing certain permits from federal, state and local authorities, including “Class VI” injection well permits from EPA and conditional use permits from the county in which a project is sited. Draft permits and corresponding draft EIRs are subject to public review and comment. The process for permitting CCS projects continues to evolve. In December 2023, EPA released draft Class VI permits for our “CTV I – 26R” CCS project located at our Elk Hills field in Kern County. These draft permits are the first draft permits released by EPA in California. In December 2023, Kern County also released the draft EIR prepared in connection with the conditional use permit application for CTV I – 26R. The draft Class VI permits and draft EIR are subject to public review and comment. We anticipate that EPA and Kern County will deliver their final decisions on the permits in the second half of 2024.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Federal Tax Credits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Inflation Reduction Act also enhanced existing credits for the capture and sequestration of carbon oxide (45Q credit) by increasing the size of the maximum credit to $85 per metric ton of qualified carbon oxide when such carbon oxide is captured from industrial and power generation facilities and to $180 per metric ton of carbon oxide when a direct air capture facility is utilized to capture such carbon oxide, and, in each case, when such captured carbon oxide is disposed of by the taxpayer in secure geological storage. The Inflation Reduction Act also extended the date for when qualifying facilities must begin construction to before January 1, 2033. Further, a direct pay option for the 45Q credit (for a limited five-year period) was added, and the Inflation Reduction Act provides an option to monetize the 45Q credit through a sale of the 45Q credit to another taxpayer. These additional energy-related tax incentives are effective for new projects beginning on January 1, 2023, and enhance the economics for development of CCS projects in California. The accessibility of direct pay, tax equity financing, and the credit transfers market for tax credits provided under the Inflation Reduction Act is still developing and is subject to further guidance from the IRS, and therefore uncertainties and complexities with respect to our (or our partners) ability to efficiently monetize the 45Q credit exist.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Inflation Reduction Act also incentivizes the development of clean hydrogen production projects through the clean hydrogen production tax credit under section 45V of the Code (45V credit). The credit amount is up to $3 per kilogram multiplied by an applicable percentage for clean hydrogen for a ten-year period beginning when a qualified facility is placed in service. On December 26, 2023, the IRS released proposed regulations to amend the Income Tax Regulations under section 45V. The proposed regulations would provide rules for determining lifecycle greenhouse gas emissions rates resulting from hydrogen production processes; petitioning for provisional emissions rates; verifying production and sale or use of clean hydrogen; modifying or retrofitting existing qualified clean hydrogen production facilities; using electricity from certain renewable or zero-emissions sources to produce qualified clean hydrogen; and electing to treat part of a specified clean hydrogen production facility instead as property eligible for the energy credit.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amount of the available 45V credit from which we may directly or indirectly benefit in connection with our Carbon TerraVault business will depend on our ability to satisfy certain requirements of the regulations that will be adopted by the IRS upon the conclusion of its rulemaking process. The proposed regulations indicate that the Treasury Department and IRS are considering imposing certain requirements, restrictions and potential limitations that may eliminate or reduce the amount of the credit available to us (or our partners), which may impact our ability to successfully develop clean hydrogen production projects. Moreover, the accessibility of direct pay, tax equity financing, and the credit transfers market for tax credits provided under the Inflation Reduction Act is still developing and is subject to further guidance from the IRS, and therefore uncertainties and complexities with respect to our (or our partners) ability to efficiently monetize the 45V credit still exist.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Regulation of Climate Change and Greenhouse Gas (GHG) Emissions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 number of international, federal, state, regional and local efforts seek to prevent or mitigate the effects of climate change or to track, mitigate and reduce GHG emissions associated with energy use and industrial activity, including operations of the oil and natural gas production sector and those who use our products as a source of energy or feedstocks. President Biden has issued several executive orders on climate change, which have ultimately resulted in the United States rejoining the Paris Agreement, EPA issuing final methane emissions standards for new, modified and existing oil and natural gas and an increased emphasis on climate-related risk across governmental agencies and economic sectors. Additionally, the EPA has adopted federal regulations to: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 reporting of annual GHG emissions from oil and natural gas exploration and production, power plants and natural gas processing plants; gathering and boosting compression and pipeline facilities; and certain completions and workovers;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incorporate measures to reduce GHG emissions in permits for certain facilities;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 GHG emissions from certain mobile sources.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California has adopted stringent laws and regulations to reduce GHG emissions. These state laws and regulations: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established a “cap-and-trade” program for GHG emissions that sets a statewide maximum limit on covered GHG emissions, and this cap declines annually to reach 40% below 1990 levels by 2030, the year that the cap-and-trade program currently expires;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 allowances or qualifying offsets for GHGs emitted from California operations and for the volume of natural gas, propane and liquid transportation fuels sold for use in California;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established a low carbon fuel standard (LCFS) and associated tradable credits that require a progressively lower carbon intensity of the state's fuel supply than baseline gasoline and diesel fuels, and provide a mechanism to generate LCFS credits through innovative crude oil production methods such as those employing solar or wind energy or carbon capture and sequestration;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mandated that California derive 60% of its electricity for retail customers from renewable resources by 2030;</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established a policy to derive all of California’s retail electricity from renewable or "zero-carbon" resources by 2045, subject to required evaluation of the feasibility by state agencies;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imposed state goals to double the energy efficiency of buildings by 2030 and to reduce emissions of methane and fluorocarbon gases by 40% and black carbon by 50% below 2013 levels by 2030;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mandated that all new single family and low–rise multifamily housing construction in California include rooftop solar systems or direct connection to a state–approved community solar system.</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December 19, 2023, CARB released its proposed amendments to the LCFS Regulation, which focus on “key concepts” including increasing the stringency of the program “to more aggressively decarbonize fuels”, incentivizing production of clean fuels, such as “low-carbon hydrogen”, and supporting methane emissions reductions. The proposed amendments would increase both the pre- and post-2030 stringency of the LCFS carbon intensity (CI) benchmarks, including a 30% reduction in fuel CI by 2030 and a 90% reduction in fuel CI by 2045 from the 2010 baseline, near-term step-down of a 5% reduction in the CI benchmark in 2025 that increases the stringency of the CI target, and an automatic acceleration mechanism which advances all annual carbon intensity benchmarks by one year when specific regulatory conditions are met.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the foregoing, CARB has proposed the adoption of a new Oil Production Greenhouse Gas Emission Estimator (OPGEE), which models an increase in the CI of crudes. CARB has also proposed a phase-out of project-based crediting and limiting the duration of the crediting period for innovative petroleum projects. Any changes to the LCFS or other California initiatives related to climate change, including the foregoing proposals, could result in increased compliance costs if we are forced to purchase additional credits or otherwise adversely impact demands for the hydrocarbons we produce.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proposed amendments also exclude “blue” hydrogen from the definition of “Renewable Hydrogen”. Blue hydrogen is produced primarily from natural gas using a steam reformation process, which brings together natural gas and heated water in the form of steam. The output is hydrogen. Carbon dioxide is produced as a by-product of this process. The produced hydrogen constitutes “blue” hydrogen if the produced carbon dioxide is captured and permanently sequestered. If adopted, the exclusion of blue hydrogen as a “Renewable Hydrogen” may directly or indirectly impact our ability to develop, construct and operate blue hydrogen production projects if such projects were to become economically unviable as a result.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addition, the current and former Governors of California and certain municipalities in California have announced their commitment to adhere to GHG reductions called for in the Paris Agreement through executive orders, pledges, resolutions and memoranda of understanding or other agreements with various other countries, U.S. states, Canadian provinces and municipalities. In furtherance of this commitment, in September 2022, the Governor of California signed Assembly Bill No. 1279 into law, which codifies a previously issued executive order by the Governor's Office requiring the state to achieve carbon neutrality by 2045. In addition, the Governor of California previously issued an executive order directing several agencies to take further actions with respect to reducing emissions of GHGs. The Governor has also directed state agencies to implement other measures to mitigate climate change and strengthen biodiversity, such as via the conservation of 30% of state lands and waters by 2030. For more information, see </w:t>
      </w:r>
      <w:r>
        <w:rPr>
          <w:rFonts w:ascii="Arial;sans-serif" w:hAnsi="Arial;sans-serif"/>
          <w:b w:val="false"/>
          <w:i/>
          <w:color w:val="000000"/>
          <w:sz w:val="20"/>
        </w:rPr>
        <w:t>Part I, Item 1A – Risk Factors, Risks Related to Regulation and Government Action, Recent and future actions by the State of California could reduce both the demand for and supply of oil and natural gas within the state and consequently have a material and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EPA and the CARB have also expanded direct regulation of methane as a contributor to GHG emissions. In response to President Biden’s executive order calling on the EPA to revisit federal regulations regarding methane, in December 2023, the EPA finalized more stringent methane rules for new, modified, and reconstructed facilities, known as OOOOb, as well as standards for existing sources, known as OOOOc. Under the final rules, states have two years to prepare and submit their plans to impose methane emissions controls on existing sources. The presumptive standards established under the final rule are generally the same for both new and existing sources and include enhanced leak detection survey requirement using optical gas imaging and other advanced monitoring to encourage the deployment of innovative technologies to detect and reduce methane, reduction of emissions by 95% through capture and control systems, zero-emission requirements for certain devices, and the establishment of a “super emitter” response program that would allow third parties to make reports to EPA of large methane emission events, triggering certain investigation and repair requirements. Fines and penalties for violations of these rules can be substantial. It is likely, however, that the final rule and requirements will be subject to legal challenges. CARB has implemented similar regulations.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Relatedly, beginning in 2025, certain oil and gas facilities, including those we own and operate, must pay a fee to EPA pursuant to the Inflation Reduction Act, starting at $900 per metric ton of methane emitted in 2024 and annually thereafter, with the fee rising to $1,200 in 2025 and $1,500 in 2026 and thereafter. However, compliance with the EPA’s methane rules, discussed above, would exempt an otherwise covered facility from the requirement to pay the fee.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California Climate Disclosures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2023, the Governor of California signed two bills that will require climate-related disclosures, both of which apply to us. Senate Bill 253 (SB-253) requires both public and private U.S. companies that are “doing business in California” and that have a total annual revenue of $1 billion to publicly disclose, on an annual basis, Scope 1, Scope 2 and Scope 3 GHG emissions, with certain GHG emissions data subject to third-party assurance. The bill requires disclosure beginning in 2026 (for the 2025 reporting year). Senate Bill 261 (SB-261) requires public and private U.S. companies “doing business in California” with a total annual revenue of $500 million to publish biennial disclosures on the company's website related to climate-related financial risks and the measures a company has adopted to reduce and adapt to such risks, with the report in line with the Task Force on the Climate-related Financial Disclosure recommendations or equivalent disclosure requirements under the International Sustainability Standards Board’s climate-related disclosure standards. Additionally, in October 2023, the Governor of California also signed Assembly Bill 1305 (AB 1305) which creates new reporting obligations related to voluntary carbon offsets. AB 1305 requires business entities that (1) market or sell voluntary carbon offsets in California, (2) purchase or use voluntary carbon offsets sold in California that make emissions-related claims, or (3) make claims that an entity or product has eliminated or made significant reductions to its carbon dioxide or GHG emissions to make certain public disclosures on the business entity’s website. Under the final prong, such claims covered by AB 1305 include “significant reductions” to carbon dioxide or GHG emissions and the achievement of net zero.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Regulation of Transportation, Marketing and Sale of Our Products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sales prices of oil, NGLs and natural gas in the U.S. are set by the market and are not presently regulated. In 2015, the U.S. federal government lifted restrictions on the export of domestically produced oil that allows for the sale of U.S. oil production, including ours, in additional markets.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Federal and state laws regulate transportation rates for, and marketing and sale of, petroleum products and electricity with respect to certain of our operations and those of certain of our customers, suppliers and counterparties. Such regulations also govern: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interstate and intrastate pipeline transportation rates for oil, natural gas and NGLs in regulated pipeline systems;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prevention of market manipulation in the oil, natural gas, NGL and power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market transparency rules with respect to natural gas and power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physical and futures energy commodities market, including financial derivative and hedging activity;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prevention of discrimination in natural gas gathering operations in favor of producers or sources of supply.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federal and state agencies overseeing these regulations have substantial rate-setting and enforcement authority, and violation of the foregoing regulations could expose us to litigation with government authorities, counterparties, special interest groups and others.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International treaties and regulations also affect the marketing or sale of our products. For example, on January 1, 2020, the International Maritime Organization reduced the maximum sulfur content in marine fuels from 3.5% to 0.5% by weight under the International Convention for the Prevention of Pollution from Ships. Under this IMO 2020 rule, ships must either switch to low-sulfur fuels or install scrubbing facilities for emission controls, which may affect the price of and demand for varying grades of crude oil, both internationally and in California.</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addition, mandates or subsidies have been adopted or proposed by the state and certain local governments to require or promote renewable energy or electrification of transportation, appliances and equipment, or prohibit or restrict the use of petroleum products, by our customers or the public. For example, in January 2020, the California Public Utilities Commission (CPUC) commenced a rulemaking to develop a long-term natural gas planning strategy to ensure safe and reliable gas systems at just and reasonable rates during what it describes as a 25-year transition from natural gas-fueled technologies to meet the state's GHG goals. In addition, several municipalities in California enacted ordinances in 2019 that restrict the installation of natural gas appliances and infrastructure in new residential or commercial construction, which could affect the retail natural gas market of our utility customers and the demand and prices we receive for the natural gas we produce. Several of these ordinances face legal challenges.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Available Information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make available, free of charge on our website www.crc.com, our Annual Reports on Form 10-K, Quarterly Reports on Form 10-Q, Current Reports on Form 8-K, Definitive Proxy Statements and amendments to those reports filed or furnished, if any, as soon as reasonably practicable after we electronically file such material with, or furnish it to, the SEC. Unless otherwise provided herein, information contained on our website is not part of this report. The SEC maintains an internet site, http://www.sec.gov, that contains reports, proxy and information statements, and other information regarding issuers that file electronically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Described below are certain risks and uncertainties that could adversely affect our business, financial condition, results of operations or cash flow. These risks are not the only risks we face. Our business could also be affected materially and adversely by other risks and uncertainties that are not currently known to us or that we currently deem to be insignificant.</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Summary: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Risks Related to Our Oil and Gas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Prices for our products are volatile and a substantial decline in prices over an extended period could materially and adversely affect our financial condition, results of operations, cash flow and ability to invest in our assets.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producing properties are located exclusively in California, making us vulnerable to risks associated with having operations concentrated in this geographic area.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Drilling for and producing oil and natural gas carry significant operational risks and uncertainty. We may not drill wells at the times we scheduled, or at all. Wells we do drill may not yield production in economic quantities or generate the expected payback.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business involves substantial capital investments and we may be unable to fund these investments which could lead to a decline in our oil and natural gas reserves or production.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have been negatively impacted by inflation.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are subject to economic downturns and the effects of public health events which may materially and adversely affect the demand and the market price for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military conflicts in Ukraine, Israel and Yemen and the Red Sea have caused related price volatility and geopolitical instability could negatively impact our business.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From time to time we may engage in step-out drilling, or drilling in new or emerging plays. Our drilling results are uncertain, and the value of our undeveloped acreage may decline if drilling is unsuccessful.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Many of our competitors have greater resources than us and we may not be able to successfully compete in acquiring and developing new properties.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hedging activities limit our ability to realize the full benefits of increases in commodity prices.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Estimates of proved reserves and related future net cash flows are not precise. The actual quantities of our proved reserves and future net cash flows may prove to be higher or lower than estimated.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Risks Related to Carbon TerraVault and Our Carbon Management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achieve our 2045 Full-Scope Net Zero target and other goals related to carbon management activities, is subject to risks and uncertainties.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not be able to grow our Carbon TerraVault business and develop large scale CCS projects.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Carbon TerraVault business and other CCS projects depend on financial and tax incentives to be economical, and these incentives may not currently be sufficient for our Carbon TerraVault business and other CCS projects to be economical, may not be fully realized, or could be changed or terminated.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Carbon TerraVault JV with Brookfield is subject to inherent uncertainties which could adversely affect our ability to implement our carbon management strategy.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Risk Factors Related to Our Business Generally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Increasing activism against the oil and gas industry presents risks to our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Increasing attention to ESG matters may adversely impact our business.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not decide to separate our carbon management business from our E&amp;P business, or be successful in the event we choose to pursue such separation.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Acquisition and disposition activities, including the Aera Merger, involve substantial risks.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While the Aera Merger is pending, we will be subject to certain contractual restrictions that could adversely affect our business and operations.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incur substantial losses and be subject to substantial liability claims as a result of pollution, environmental conditions or catastrophic events. We may not be insured for, or our insurance may be inadequate to protect us against, these risks.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Cybersecurity attacks, systems failures and other disruptions could adversely affect us.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Risks Related to Regulation and Government Action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We may face material delays related to our ability to timely obtain permits necessary for our operations, or be unable to secure such permits on favorable terms or at all as a result of numerous California political, regulatory, and legal developments.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Recent and future actions by the State of California could reduce both the demand for and supply of oil and natural gas within the state and consequently have a material and adverse effect on our business, results of operations and financial condition.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Carbon TerraVault business and our CCS projects are subject to extensive government regulation much of which is still being developed. Failure to comply with these requirements and obtain the necessary permits, or the development of government regulations that are unfavorable to our CCS projects, could have an adverse effect on our business, results of operations and financial condition.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New and developing regulations related to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unitization, permitting and pipeline safety could negatively impact our business, financial condition and results of operations.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Concerns about climate change and other air quality issues may prompt governmental action that could materially affect our operations or results.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Inflation Reduction Act could accelerate the transition to a low-carbon economy and could impose new costs on our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Tax law changes could have an adverse effect on our financial conditions, results of operations and cash flows.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Recent action by the State of California imposing additional financial assurance requirements related to plugging and abandonment costs, decommissioning, and site restoration on those who acquire the right to operate wells and production facilities could impact our ability to sell or acquire assets in the state of California or increase our costs in connection with the same.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Risks Related to our Indebtedness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not be able to amend or refinance our existing debt to create more operating and financial flexibility and to enhance shareholder returns.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existing and future indebtedness may adversely affect our business and limit our financial flexibility.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not be able to generate sufficient cash to service all of our indebtedness and may be forced to take other actions to satisfy the obligations under our indebtedness, which may not be successful.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lenders under our Revolving Credit Facility could limit our ability to borrow and restrict our ability to use or access to capital.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Restrictive covenants in our Revolving Credit Facility and the indenture governing our Senior Notes may limit our financial and operating flexibility.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Variable rate indebtedness under our Revolving Credit Facility subjects us to interest rate risk, which could cause our debt service obligations to increase significantly.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Risks Related to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pay dividends and repurchase shares of our common stock is subject to certain risks.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trading price of our common stock may decline, and you may not be able to resell shares of our common stock at prices equal to or greater than the price you paid or at all.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Future issuances of our common stock could reduce our stock price, and any additional capital raised by us through the sale of equity or convertible securities may dilute your ownership in us.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There is an increased potential for short sales of our common stock due to the sales of shares issued upon exercise of warrants, which could materially affect the market price of the stock.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ownership position of certain of our stockholders limits other stockholders’ ability to influence corporate matters and could affect the price of our common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Sales of shares of our common stock by our executive officers could negatively impact the market price for our common stock.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Our Oil and Gas Business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Prices for our products are volatile and a substantial decline in prices over an extended period could materially and adversely affect our financial condition, results of operations, cash flow and ability to invest in our assets.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financial condition, results of operations, cash flow and ability to invest in our assets are highly dependent on oil, natural gas and NGL prices. A substantial decline in prices for these products would reduce our cash flows from operations and could reduce our borrowing capacity or cause a default under our financing agreements.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Prices for oil, natural gas and NGL may fluctuate widely in response to relatively minor changes in domestic and global supply and demand, market uncertainty and a variety of additional factors that are beyond our control, such 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domestic and global inventory levels;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political and economic conditions, including international disputes such as the conflicts in Ukraine, Israel and Yemen and the Red Sea;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pandemics, epidemics, outbreaks or other public health events, such as the COVID-19 pandemic;</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actions of OPEC and other significant producers and governments;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or disruptions in actual or anticipated production, refining and processing;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worldwide drilling and exploration activities;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government energy policies and regulation, including with respect to climate change;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effects of conservation;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natural disasters, weather conditions and other seasonal impacts;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speculative trading in derivative contracts;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currency exchange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technological advances;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transportation and storage capacity, bottlenecks and costs in producing areas;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price, availability and acceptance of alternative energy sources;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regional market conditions;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matters affecting the supply and demand dynamics for these products.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Lower prices could have adverse effects on our business, financial condition, results of operations and cash flow,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reducing our proved oil and natural gas reserves over time;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limiting our capital expenditures and our ability to grow or maintain future production;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causing a reduction in our borrowing base under our Revolving Credit Facility, which could affect our liquidity;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reducing our cash flow and ability to make interest payments or maintain compliance with financial covenants in the agreements governing our indebtedness, which could trigger mandatory loan repayments and default and foreclosure by our lenders and bondholders against our assets;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limiting our access to funds through the capital markets and the price we could obtain for asset sales or other monetization transactions.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hedging program does not provide downside protection for all of our production. As a result, our hedges do not fully protect us from commodity price declines, and we may be unable to enter into acceptable additional hedges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Our producing properties are located exclusively in California, making us vulnerable to risks associated with having operations concentrated in this geographic area.</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operations are concentrated in California. Because of this geographic concentration, the success and profitability of our operations may be disproportionately exposed to the effect of regional conditions. These changes in state or regional laws and regulations affecting our operations, local price fluctuations and other regional supply and demand factors, including gathering, pipeline, transportation and storage capacity constraints, limited potential customers, infrastructure capacity and availability of rigs, equipment, oil field services, supplies and labor. Our operations are also exposed to natural disasters and related events common to California, such as wildfires, mudslides, high winds, earthquakes and extreme weather events, and the potential increase to the frequency of drought and flooding. Further, our operations may be exposed to power outages, mechanical failures, industrial accidents or labor difficulties. Any one of these events has the potential to cause producing wells to be shut in, delay operations and growth plans, decrease cash flows, increase operating and capital costs, prevent development of lease inventory before expiration and limit access to markets for our products.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Drilling for and producing oil and natural gas carry significant operational risks and uncertainty. We may not drill wells at the times we scheduled, or at all. Wells we do drill may not yield production in economic quantities or generate the expected payback.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development of oil and natural gas properties are subject to numerous operational risks, including the risks of permitting or construction delays, equipment failures, accidents, environmental hazards, unusual geological formations or unexpected pressure or irregularities within formations, adverse weather conditions, title disputes, surface access disputes, disappointing drilling results or reservoir performance (including lack of production response to workovers or improved and enhanced recovery efforts), cost over-runs and other associated risks.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Development activities also depend in part on our analysis of geophysical, geologic, engineering, production and other technical data and processes, including the interpretation of 3D seismic data. This analysis is often inconclusive or subject to varying interpretations.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Any of the forgoing operational risks could cause actual results to differ materially from the expected payback or cause a well or project to become uneconomic or less profitable than forecast.</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specifically identified locations for drilling over the next several years, which are an integral part of our production strategy. Our actual drilling activities may materially differ from those presently identified. If future drilling results in these projects do not establish sufficient production and reserves to achieve an economic return, we may curtail drilling or development of these projects. We make assumptions about the consistency and accuracy of data when we identify these locations that may prove inaccurate. We cannot guarantee that our identified drilling locations will ever be drilled or if we will be able to produce crude oil or natural gas from these drilling locations. In addition, some of our leases could expire if we do not establish production in the leased acreage. The combined net acreage covered by leases expiring in the next three years represented 4% of our total net undeveloped acreage at December 31,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 xml:space="preserve">Our business involves substantial capital investments and we may be unable to fund these investments which could lead to a decline in our oil and natural gas reserves or production.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development activities involve substantial capital investments. We intend to fund our 2024 capital program using cash flow from operations. Accordingly, a reduction in projected operating cash flow could cause us to reduce our future capital investments. In general, the ability to execute our capital plan depends on a number of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amount of oil, natural gas and NGLs we are able to produce;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commodity prices;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regulatory and third-party approvals;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timely drill, complete and stimulate wells;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secure equipment, services and personnel;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liquidity and ability fund capital expenditures.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Access to future capital may be limited by our lenders, capital markets constraints, activist funds or investors, or poor stock price performance. Because of these and other potential variables, we may be unable to deploy capital in the manner planned, which may negatively impact our production levels and development activities and limit our ability to make acquisitions or enter into partnerships and farmout arrangements.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Unless we make sufficient capital investments and conduct successful development and exploration activities or acquire properties containing proved reserves, our proved reserves will decline as those reserves are produced. Our ability to make the necessary long-term capital investments or acquisitions needed to maintain or expand our reserves may be impaired to the extent we have insufficient cash flow from operations or liquidity to fund those activities. Over the long term, a continuing decline in our production and reserves would reduce our liquidity and ability to satisfy our debt obligations by reducing our cash flow from operations and the value of our assets.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have been negatively impacted by inflation.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Increases in inflation may have an adverse effect on us. Current and future inflationary effects may be driven by, among other things, supply chain disruptions and governmental stimulus or fiscal policies, and geopolitical instability. We have taken measures to limit the effects of the inflationary market by entering into contracts for materials and services with terms of one to three years. Additionally, we continually look at productivity and performance improvements from our vendors in order to mitigate these price increases and also to reduce volumes consumed. However, there can be no assurances that such measures will be effective. Inflation could also result in higher interest rates in the United States, which could increase the cost of future financing efforts.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are subject to economic downturns and the effects of public health events which may materially and adversely affect the demand and the market price for our products.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marketing of our oil, natural gas and NGLs is dependent upon the existence of adequate markets for our products. Imbalances between the supply of and demand for these products, including as a result of economic downturns or the effects of public health events, could cause extreme market volatility and a substantial adverse effect on commodity prices. A world health event, the extent of actions that may be taken to contain or treat their impact, and the impacts on the economy generally and oil prices in particular, are uncertain, rapidly changing and hard to predict. This uncertainty could force us to reduce costs, including by decreasing operating expenses and lowering capital expenditures, and such actions could negatively affect future production and our reserves. We may experience labor shortages if our employees are unwilling or unable to come to work because of illness, quarantines, government actions or other restrictions in connection with a pandemic. If our suppliers cannot deliver the materials, supplies and services we need, we may need to suspend operations. In addition, we are exposed to changes in commodity prices which have been and will likely remain volatile. We cannot predict the duration and extent of a pandemic's adverse impact on our operating results.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Additionally, to the extent a world health event adversely impacts the global business and economic environment, which adversely affects our business and financial results, it may also have the effect of heightening or exacerbating many of the other risks described in the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 xml:space="preserve">herein.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The military conflicts in Ukraine, Israel and Yemen and the Red Sea have caused price volatility and geopolitical instability could negatively impact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military conflicts in Ukraine, Israel and Yemen and the Red Sea have caused volatility in the prices of natural gas, oil and NGLs, and the extent and duration of the military action, sanctions and resulting market disruptions have been significant and could continue to have a substantial impact on the global economy and our business for an unknown period of time.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fourth quarter of 2023, OPEC+ announced a continuation of its combined 4 million barrels per day voluntary reduction in production quotas. While actual OPEC+ production capabilities are difficult to discern, any return to previous targeted production levels—coupled with expanding Iranian, Venezuelan, Brazilian and U.S. production—could cause commodity prices to decline which would reduce the revenues we receive for our oil and natural gas production.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Materialization of either of the events described above may also magnify the impact of the other risks described in this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section.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From time to time we may engage in step-out drilling or drilling in new or emerging plays. Our drilling results are uncertain, and the value of our undeveloped acreage may decline if drilling is unsuccessful.</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risk profile for step-out drilling or drilling in new or emerging plays is higher than for other locations because we have less geologic and production data and drilling history, in particular for drilling in unconventional reservoirs, which are in unproven geologic plays. Our ability to profitably drill and develop our identified drilling locations depends on a number of variables, including crude oil and natural gas prices, capital availability, costs, drilling results, regulatory approvals, available transportation capacity and other factors. We may not find commercial amounts of oil or natural gas or the costs of drilling, completing, stimulating and operating wells in these locations may be higher than initially expected. If future drilling results in these projects do not establish sufficient reserves to achieve an economic return, we may curtail drilling or development of these projects. In either case, the value of our undeveloped acreage may decline and could be impaired.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 xml:space="preserve">Many of our competitors have greater resources than us and we may not be able to successfully compete in acquiring and developing new properties.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face competition in every aspect of our business, including, but not limited to, acquiring reserves and leases, obtaining goods and services and hiring and retaining employees needed to operate and manage our business and marketing natural gas, NGLs or oil. Competitors include a multinational oil company, independent production companies and individual producers and operators. In California, our competitors are few and large, which may limit available acquisition opportunities. Many of our competitors have greater financial and other resources than we do. As a result, these competitors may be able to address such competitive factors more effectively than we can or withstand industry downturns more easily than we can.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Our hedging activities limit our ability to realize the full benefits of increases in commodity prices.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enter into hedges to mitigate our economic exposure to commodity price volatility and ensure our financial strength and liquidity by protecting our cash flows. Our Revolving Credit Facility also includes a covenant that would require us to enter into hedges if the ratio of our indebtedness to Consolidated EBITDAX (as defined in the Revolving Credit Facility) exceeds certain levels. In addition, we have previously entered into incremental hedges above these requirements for certain time periods. These hedges expose us to the risk of financial losses depending on commodity price movements and may prevent us from realizing the full benefits of price increases. Our ability to realize the benefits of our hedges also depends in part upon the counterparties to these contracts honoring their financial obligations. If any of our counterparties are unable to perform their obligations in the future, we could be exposed to increased cash flow volatility that could affect our liquidity. In addition, our level of hedging activity may be impacted by financial regulations that could increase our costs of hedging and/or limit the number of hedging counterparties available to us.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Estimates of proved reserves and related future net cash flows are not precise. The actual quantities of our proved reserves and future net cash flows may prove to be higher or lower than estimated.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Many uncertainties exist in estimating quantities of proved reserves and related future net cash flows. Our estimates are based on various assumptions that require significant judgment in the evaluation of available information. Our assumptions may ultimately prove to be inaccurate. Additionally, reservoir data may change over time as more information becomes available from development and appraisal activities.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ability to add reserves, other than through acquisitions, depends on the success of improved recovery, extension and discovery projects, each of which depends on reservoir characteristics, technology improvements and oil and natural gas prices, as well as capital and operating costs. Many of these factors are outside management’s control and will affect whether the historical sources of proved reserves additions continue to provide reserves at similar levels.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Generally, lower prices adversely affect the quantity of our reserves as those reserves expected to be produced in later years, which tend to be costlier on a per unit basis, become uneconomic. In addition, a portion of our proved undeveloped reserves may no longer meet the economic producibility criteria under the applicable rules or may be removed due to the lack of drilling permits or insufficient capital to develop these projects within the SEC-mandated five-year limit.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our reserves information represents estimates prepared by internal engineers. Although 88% of our estimated proved reserve volumes as of December 31, 2023, were audited by our independent petroleum engineer, NSAI, we cannot guarantee that the estimates are accurate.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Reserves estimation is a partially subjective process of estimating accumulations of oil and natural gas. Estimates of economically recoverable oil and natural gas reserves and of future net cash flows from those reserves depend upon a number of variables and assumptions. Changes in these variables and assumptions could require us to make significant negative reserves revisions, which could affect our liquidity by reducing the borrowing base under our Revolving Credit Facility. In addition, factors such as the availability of capital, geology, government regulations and permits, the effectiveness of development plans and other factors could affect the source or quantity of future reserves additions.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Carbon TerraVault and Our Carbon Management Business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Our ability to achieve our 2045 Full-Scope Net Zero target and other goals related to our carbon management activities is subject to risks and uncertainties.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adopted a number of targets and objectives related to sustainability matters, including our 2045 Full-Scope Net Zero target and our energy transition strategy. Our efforts to research, establish, accomplish, and accurately report on these targets and objectives expose us to numerous operational, reputational, financial, legal, and other risks. Our ability to achieve any stated target or objective is not guaranteed and is subject to numerous factors and conditions, some of which are outside of our control. In particular, our 2045 Full-Scope Net Zero goal includes Scope 1, 2 and 3 emissions and estimation and management of Scope 3 emissions is subject to some degree of uncertainty. We cannot guarantee that we have been able to completely quantify the full scope of our emissions and account for mitigating all such emissions in our Full-Scope Net Zero goal.</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ability to achieve our 2045 Full-Scope Net Zero goal relies heavily on our ability to develop our Carbon TerraVault business and related CCS projects, which is subject to uncertainties and risks (including those risks described herein). In addition, the commercial and regulatory environment related to emissions reductions and reporting is evolving and uncertain, and changes in GHG emission accounting methodologies or new developments related to climate science could impact our ability to claim emissions reductions related to our sequestration activities and timely achieve our 2045 Full-Scope Net Zero goal or at all. If we are not able to successfully develop Carbon TerraVault and its CCS projects and claim related emissions reductions, or we are successful in separating our carbon management business, our ability to achieve our 2045 Full-Scope Net Zero goal would be materially and adversely affected.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business may face increased scrutiny from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which continue to evolve, our reputation, our ability to attract or retain employees,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may not be able to grow our Carbon TerraVault business and develop large scale CCS projects.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developing a carbon management business in California that relies on CCS projects. To our knowledge, there are no existing large-scale CCS projects in California similar to those that we are seeking to develop. These projects face operational, technological and regulatory risks that could be considerable due to the early-stage nature of these projects and the sector generally. Our ability to successfully develop these projects depends on a number of factors that we are not able to fully control,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development of large-scale CCS projects is an emerging sector and there are no meaningful precedents to gauge the likely range of economic terms upon which these projects may be feasibly developed. In addition, any of the operational, regulatory or financial risks described herein could cause actual results to differ materially from expected payback or cause a project to become uneconomic or less profitable than forecast.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development of CCS and related projects will require us, our joint venture partner, and third-party emitters to make significant capital investments in the relevant technology and infrastructure and we may not have sufficient capital resources to fund such investments. Such projects may also depend on third party financing and such financing may not be available on reasonable terms or at all. In some cases, these projects will involve the production and sale of hydrogen, ammonia or other products and markets for some of these products are still emerging.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development of a CCS project will require us to enter into long term binding agreements with large carbon emitters and other third parties and we may not be able to do so on agreeable terms or at all. Such agreements are complex and may involve allocation of not only fees but also various credits, incentives and environmental attributes associated with the storage of CO</w:t>
      </w:r>
      <w:r>
        <w:rPr>
          <w:rFonts w:ascii="Arial;sans-serif" w:hAnsi="Arial;sans-serif"/>
          <w:b w:val="false"/>
          <w:color w:val="000000"/>
          <w:sz w:val="13"/>
        </w:rPr>
        <w:t>2</w:t>
      </w:r>
      <w:r>
        <w:rPr>
          <w:rFonts w:ascii="Arial;sans-serif" w:hAnsi="Arial;sans-serif"/>
          <w:b w:val="false"/>
          <w:color w:val="000000"/>
          <w:sz w:val="20"/>
        </w:rPr>
        <w:t>. Not all emission sources produce sufficiently large quantities of pure or relatively pure streams of CO</w:t>
      </w:r>
      <w:r>
        <w:rPr>
          <w:rFonts w:ascii="Arial;sans-serif" w:hAnsi="Arial;sans-serif"/>
          <w:b w:val="false"/>
          <w:color w:val="000000"/>
          <w:sz w:val="13"/>
        </w:rPr>
        <w:t>2</w:t>
      </w:r>
      <w:r>
        <w:rPr>
          <w:rFonts w:ascii="Arial;sans-serif" w:hAnsi="Arial;sans-serif"/>
          <w:b w:val="false"/>
          <w:color w:val="000000"/>
          <w:sz w:val="20"/>
        </w:rPr>
        <w:t>, or have installed equipment to capture such CO</w:t>
      </w:r>
      <w:r>
        <w:rPr>
          <w:rFonts w:ascii="Arial;sans-serif" w:hAnsi="Arial;sans-serif"/>
          <w:b w:val="false"/>
          <w:color w:val="000000"/>
          <w:sz w:val="13"/>
        </w:rPr>
        <w:t>2</w:t>
      </w:r>
      <w:r>
        <w:rPr>
          <w:rFonts w:ascii="Arial;sans-serif" w:hAnsi="Arial;sans-serif"/>
          <w:b w:val="false"/>
          <w:color w:val="000000"/>
          <w:sz w:val="20"/>
        </w:rPr>
        <w:t>, so as to be useable in one or more of our CCS projects. As a result, we cannot assure whether we will be able to access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emissions in sufficient quantities or on terms that are acceptable to us.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development and operation of cost-effective, commercial-scale hydrogen and ammonia production facilities and associated sequestration facilities is highly complex. We may participate in the development of production facilities that provide the emissions for our CCS business. There can be no assurances that we or our partners will be able to successfully develop these production facilities, or that we will be able to develop the related sequestration facilities, in a timely manner or at all. In addition, there can be no assurances that these facilities can be maintained and operated over the longer term. The financing and development of these projects may depend on the availability of long term off-take agreements for these products and the market for hydrogen is still developing. It may not be possible for us or our partners to enter into these types of agreements on acceptable terms or at all.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Certain of our anticipated CCS project sites rely on pore space that we do not own and we may need to enter into agreements with landowners to allow us to inject CO</w:t>
      </w:r>
      <w:r>
        <w:rPr>
          <w:rFonts w:ascii="Arial;sans-serif" w:hAnsi="Arial;sans-serif"/>
          <w:b w:val="false"/>
          <w:color w:val="000000"/>
          <w:sz w:val="13"/>
        </w:rPr>
        <w:t>2</w:t>
      </w:r>
      <w:r>
        <w:rPr>
          <w:rFonts w:ascii="Arial;sans-serif" w:hAnsi="Arial;sans-serif"/>
          <w:b w:val="false"/>
          <w:color w:val="000000"/>
          <w:sz w:val="20"/>
        </w:rPr>
        <w:t>. The market for such landowner agreements is evolving with the evolution of the CCS industry and it may not be possible for us to enter into these types of agreements on acceptable terms or at all.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Complex recordkeeping and GHG emissions/sequestration accounting may be required in connection with one or more of our projects, which may increase the costs of such operations. Different methodologies may be required for various regulatory and non-regulatory accounts regarding GHG emissions/sequestration at one or more of our projects, including but not limited to compliance with the EPA’s Mandatory Greenhouse Gas Reporting Program.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Carbon capture may be viewed as a pathway to the continued use of fossil fuels and there may be organized opposition to CCS projects from environmental groups, local residents and legislators.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may need to transport CO</w:t>
      </w:r>
      <w:r>
        <w:rPr>
          <w:rFonts w:ascii="Arial;sans-serif" w:hAnsi="Arial;sans-serif"/>
          <w:b w:val="false"/>
          <w:color w:val="000000"/>
          <w:sz w:val="13"/>
        </w:rPr>
        <w:t xml:space="preserve">2 </w:t>
      </w:r>
      <w:r>
        <w:rPr>
          <w:rFonts w:ascii="Arial;sans-serif" w:hAnsi="Arial;sans-serif"/>
          <w:b w:val="false"/>
          <w:color w:val="000000"/>
          <w:sz w:val="20"/>
        </w:rPr>
        <w:t>in pipelines if a CCS project relies on storage space that is not co-located with the production facilities. Our ability to transport CO</w:t>
      </w:r>
      <w:r>
        <w:rPr>
          <w:rFonts w:ascii="Arial;sans-serif" w:hAnsi="Arial;sans-serif"/>
          <w:b w:val="false"/>
          <w:color w:val="000000"/>
          <w:sz w:val="13"/>
        </w:rPr>
        <w:t xml:space="preserve">2 </w:t>
      </w:r>
      <w:r>
        <w:rPr>
          <w:rFonts w:ascii="Arial;sans-serif" w:hAnsi="Arial;sans-serif"/>
          <w:b w:val="false"/>
          <w:color w:val="000000"/>
          <w:sz w:val="20"/>
        </w:rPr>
        <w:t xml:space="preserve">is subject to regulatory uncertainty, see </w:t>
      </w:r>
      <w:r>
        <w:rPr>
          <w:rFonts w:ascii="Arial;sans-serif" w:hAnsi="Arial;sans-serif"/>
          <w:b w:val="false"/>
          <w:i/>
          <w:color w:val="000000"/>
          <w:sz w:val="20"/>
        </w:rPr>
        <w:t>Risks Related to Regulation and Government Action – New and developing regulations related to the CO</w:t>
      </w:r>
      <w:r>
        <w:rPr>
          <w:rFonts w:ascii="Arial;sans-serif" w:hAnsi="Arial;sans-serif"/>
          <w:b w:val="false"/>
          <w:i/>
          <w:color w:val="000000"/>
          <w:sz w:val="13"/>
        </w:rPr>
        <w:t>2</w:t>
      </w:r>
      <w:r>
        <w:rPr>
          <w:color w:val="000000"/>
        </w:rPr>
        <w:t xml:space="preserve"> </w:t>
      </w:r>
      <w:r>
        <w:rPr>
          <w:rFonts w:ascii="Arial;sans-serif" w:hAnsi="Arial;sans-serif"/>
          <w:b w:val="false"/>
          <w:i/>
          <w:color w:val="000000"/>
          <w:sz w:val="20"/>
        </w:rPr>
        <w:t>unitization, permitting and pipeline safety could negatively impact our business, financial condition and results of operations</w:t>
      </w:r>
      <w:r>
        <w:rPr>
          <w:color w:val="000000"/>
        </w:rPr>
        <w:t xml:space="preserve"> </w:t>
      </w:r>
      <w:r>
        <w:rPr>
          <w:rFonts w:ascii="Arial;sans-serif" w:hAnsi="Arial;sans-serif"/>
          <w:b w:val="false"/>
          <w:color w:val="000000"/>
          <w:sz w:val="20"/>
        </w:rPr>
        <w:t xml:space="preserve">described below.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regulatory uncertainties</w:t>
      </w:r>
      <w:r>
        <w:rPr>
          <w:color w:val="000000"/>
        </w:rPr>
        <w:t xml:space="preserve"> </w:t>
      </w:r>
      <w:r>
        <w:rPr>
          <w:rFonts w:ascii="Arial;sans-serif" w:hAnsi="Arial;sans-serif"/>
          <w:b w:val="false"/>
          <w:color w:val="000000"/>
          <w:sz w:val="20"/>
        </w:rPr>
        <w:t xml:space="preserve">described below.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There can be no assurances that we will successfully develop our CCS projects, including CalCapture, and such failure could have an adverse effect on our business. Our carbon management business is currently in an early stage of development, and we do not expect the failure of a single CCS project to create an impact on our overall financial condition or operations. However, as the scale of our CCS projects grows, so will their impact on our overall financial condition and operations. Moreover, our failure to successfully develop our CCS projects would adversely affect our ability to claim emissions reductions related to our sequestration activities and our ability to meet our carbon management goals, which in turn could have an adverse effect on our business and reputation.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Our Carbon TerraVault business and other CCS projects depend on financial and tax incentives to be economical, and these incentives may not currently be sufficient for our Carbon TerraVault business and other CCS projects to be economical, may not be fully realized, or could be changed or terminated</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Congress has incentivized the development of carbon capture projects, clean hydrogen production projects and other projects relating to the production of certain clean fuels through the establishment of various tax credits, including the 45Q credit (credit for carbon oxide sequestration) and the 45V credit (credit for production of clean hydrogen). The successful development of our Carbon TerraVault business and other CCS projects is dependent upon our ability to directly or indirectly benefit from these tax credits. The amount of tax credits from which we may directly or indirectly benefit in connection with our Carbon TerraVault business and other CCS projects is dependent upon satisfaction of certain requirements, some of which have not been fully developed and issued by the Treasury Department and IRS, and we cannot assure you that we (or our partners) will be able to satisfy those requirements. For example, the Treasury Department and IRS recently issued proposed regulations pertaining to the 45V credit which, among other things, indicated that the Treasury Department and IRS are considering imposing certain requirements, restrictions and potential limitations on the use of renewable natural gas in connection with the production of clean hydrogen that qualifies for the 45V credit, which, if implemented, could have a negative impact on our Carbon TerraVault business. Additional financial incentives may also be required for our Carbon TerraVault business and other CCS projects to be economical. In particular, we anticipate that CCS projects associated with carbon emission reductions for transportation fuels will generate LCFS credits and that these additional credits will improve the economics of CCS projects. If the existing legal requirements for incentives such as the 45Q credit, the 45V credit or LCFS credits are subsequently amended in a manner that such incentives no longer apply or are restricted in application, directly or indirectly, to our projects, we may not be able to successfully achieve an economic return from our Carbon TerraVault business and our other CCS projects or, alternatively, the construction or operation of applicable projects may be substantially delayed such that one or more projects is unprofitable or otherwise infeasible.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ability to monetize the 45Q credit is not certain. Either the owner of the carbon capture equipment or the sequester must have the ability to use the 45Q credit itself, or the owner of the carbon capture equipment must utilize direct pay (which is limited to the first five years of the twelve-year credit period), procure tax equity financing, or transfer the credits to another taxpayer. Similar issues exist with respect to the monetization of the 45V credit. The accessibility of direct pay, tax equity financing, and the credit transfers market for tax credits provided under the Inflation Reduction Act is still developing and is subject to further guidance from the IRS, and therefore uncertainties and complexities with respect to our (or our partners) ability to efficiently monetize the 45Q credit and the 45V credit exist.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The 45Q credit and the LCFS credits require that the captured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be stored in secure geological storage for long periods of time. If we are not able to satisfy this requirement for the duration of time required, there is the risk of recapture of 45Q credits or LCFS credits from us (or our partners) by the government, as well as a risk of indemnification obligations to our partners, claims from landowners and potential for fines and penalties for violations of environmental requirements. Accidental releases of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could also adversely impact our ability to meet our 2045 Full-Scope Net Zero goal.</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can be no assurances that we (or our partners) will successfully comply with the requirements for the available tax credits or LCFS, and such failure could have an adverse effect on our liquidity,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Our Carbon TerraVault JV with Brookfield is subject to inherent uncertainties which could adversely affect our ability to implement our carbon management strategy.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August 2022, we entered into the Carbon TerraVault JV with Brookfield to pursue the development of a carbon management business in California. The management and financing of the joint venture are subject to inherent uncertainties. These uncertainties could potentially force us to delay or cancel CCS projects or to seek alternative sources of capital to fund our CCS projects, any of which could adversely affect our ability to achieve our 2045 Full-Scope Net Zero target and other goals related to our carbon management activities.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Brookfield has committed an initial $500 million to invest in CCS projects that are jointly approved through Carbon TerraVault JV, of which $46 million has been funded to date. At the time the Carbon TerraVault JV was formed, Brookfield committed to make an initial investment of $137 million payable in three installments. The first $46 million installment was contributed to the joint venture in August 2022, and the next two installments are due upon completion of certain pre-agreed milestones related to the permitting process with the EPA and final investment decision which are anticipated (but not certain) to occur in 2024. Future storage projects for Brookfield’s initial commitment are subject to approval of the joint venture, including Brookfield. There can be no assurances that any of these funding milestones will be achieved so that Brookfield will fund the rest of its commitment.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Furthermore, even though we own a 51% interest in the Carbon TerraVault JV, we share decision making power with Brookfield on matters that most significantly impact the economic performance of the joint venture. Any failure to reach a decision with Brookfield could potentially prevent or delay our pursuit of CCS projects or cause such projects to be cancelled. Moreover, if Brookfield does not approve a proposed CCS project that we want to pursue, we will have to seek alternative sources of capital to fund the project and there can be no assurances that such sources of capital will be available.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 Factors Related to Our Business Generally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Increasing activism against the oil and gas industry presents risks to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Opposition toward oil and gas drilling and development activity has been growing over time. Companies in the oil and gas industry are often the target of efforts to delay or prevent oil and gas development by non-governmental organizations and individuals. This opposition also extends to our carbon management business as certain activists oppose carbon capture and sequestration efforts by the oil and gas industry. These activists use a variety of tactics that primarily rely on allegations regarding safety, environmental compliance and business practices. At both the state and federal level, these tactics including seeking changes to laws, pressuring governmental agencies to promulgate regulations or engage in rulemaking, or pursuing litigation. Due to heightened concerns around global warming and GHG emissions, there is often considerable pressure on lawmakers, regulators and others to take action with respect to these allegations regardless of their perceived merit. We may need to incur significant costs associated with responding to these initiatives and such actions may materially adversely affect our financial results. Complying with any resulting additional legal or regulatory requirements that are substantial or prevent our activity could have a material adverse effect on our business, financial condition, cash flows and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Increasing attention to ESG matters may adversely impact our business.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Organizations that provide information to investors on corporate governance and related matters have developed ratings processes for evaluating companies on their approach to ESG matters. Such ratings are used by some investors to evaluate their investment and voting decisions. Companies in the energy industry, and in particular those focused on oil or natural gas extraction, often do not score as well under ESG assessments compared to companies in other industries. Unfavorable ESG ratings may lead to increased negative investor sentiment toward us and to the diversion of their investment away from the fossil fuel industry to other industries which could have a negative impact on our stock price and our access to and costs of capital. To the extent ESG matters negatively impact our reputation, we may not be able to compete as effectively or recruit or retain employees, which may adversely affect our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Moreover, while we may create and publish voluntary disclosures regarding ESG matters from time to time, many of the statements in those voluntary disclosures will be based on expectations and assumptions that may or may not be representative of actual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Additionally, while we may also announce various voluntary ESG targets, such targets are aspirational. We may not be able to meet such targets in the manner or on such a timeline as initially contemplated, including, but not limited to as a result of unforeseen costs or technical difficulties associated with achieving such results. To the extent we do meet such targets, they may ultimately be achieved through various contractual arrangements, including the purchase of various credits or offsets that may be deemed to mitigate our ESG impact instead of actual changes in our ESG performance. However, we cannot guarantee that there will be sufficient offsets available for purchase given the increased demand from numerous businesses implementing net zero goals, or that, notwithstanding our reliance on any reputable third-party registries, that the offsets we do purchase will successfully achieve the emissions reductions they represent. Also, despite these aspirational goals, we may receive pressure from investors, lenders, or other groups to adopt more aggressive climate or other ESG-related goals, but we cannot guarantee that we will be able to implement such goals because of potential costs or technical or operational obstacles.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Public statements with respect to ESG matters, such as emissions reduction goals, other environmental targets, or other commitments addressing certain social issues, are becoming increasingly subject to heightened scrutiny from public and governmental authorities related to the risk of potential “greenwashing,” </w:t>
      </w:r>
      <w:r>
        <w:rPr>
          <w:rFonts w:ascii="Arial;sans-serif" w:hAnsi="Arial;sans-serif"/>
          <w:b w:val="false"/>
          <w:i/>
          <w:color w:val="000000"/>
          <w:sz w:val="20"/>
        </w:rPr>
        <w:t>i.e.</w:t>
      </w:r>
      <w:r>
        <w:rPr>
          <w:rFonts w:ascii="Arial;sans-serif" w:hAnsi="Arial;sans-serif"/>
          <w:b w:val="false"/>
          <w:color w:val="000000"/>
          <w:sz w:val="20"/>
        </w:rPr>
        <w:t>, misleading information or false claims overstating potential ESG benefits. As a result, we may face increased litigation risks from private parties and governmental authorities related to our ESG efforts. In addition, any alleged claims of greenwashing against us or others in our industry may lead to further negative sentiment and diversion of investments. Additionally, we could face increasing costs as we attempt to comply with and navigate further ESG-related focus and scrutiny.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Such ESG matters may also impact our customers or suppliers, which may adversely impact our business, financial condition, or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 xml:space="preserve">We may not decide to separate our carbon management business from our E&amp;P business, or be successful in the event we choose to pursue separation.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considering the potential separation of our E&amp;P and carbon management businesses at some point in the future. We are also pursuing financing options for our carbon management business that are separate from the rest of our business. Our carbon management business faces operational, technological and regulatory risks that could be considerable due to early stage nature of these projects and the sector generally, which may make it more difficult to independently finance and there are no assurances that it will be a viable standalone business in the near term or at all. Further, there can be no assurances that we will be able to successfully separate our E&amp;P and carbon management businesses. We also may decide not to pursue such separation if we do not believe it would maximize shareholder value.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Acquisition and disposition activities, including the Aera Merger, involve substantial risks.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February 7, 2024, we entered into the Merger Agreement with Aera. In addition, from time to time, we engage in acquisition activities. The Aera Merger and other such activities carry risks that we may: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not fully realize anticipated benefits due to less-than-expected reserves or production or changed circumstances;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bear unexpected integration costs or experience other integration difficulties;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assume liabilities that are greater than anticipated;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be exposed to currency, political, marketing, labor and other risks.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our acquisitions, we are often only able to perform limited due diligence. Successful acquisitions of oil and natural gas properties require an assessment of a number of factors, including estimates of recoverable reserves, the timing for recovering the reserves, exploration potential, future commodity prices, operating costs and potential environmental, regulatory and other liabilities. Such assessments are inexact and incomplete, and we may be unable to make these assessments with a high degree of accuracy.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Aera Merger is expected to close in the second half of 2024 and is subject to certain closing conditions, including the approval of the stock issuance by our stockholders and the receipt of certain required government approvals, and other customary closing conditions. Our other acquisition activities may similarly require us to seek approvals from government agencies and other regulatory bodies, depending on the nature and extent of the businesses being acquired. There can be no assurances that we would be able to obtain such approvals. If we are not able to complete acquisitions, we may not be able to grow our reserves or develop our properties in a timely manner or at all.</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regularly review our property base for the purpose of identifying nonstrategic assets, the disposition of which would increase capital resources available for other activities and create organizational and operational efficiencies. Our disposition activities carry risks that we may: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not be able to realize reasonable prices or rates of return for assets;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be required to retain liabilities that are greater than desired or anticipated;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experience increased operating costs;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reduce our cash flows if we cannot replace associated revenue.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can be no assurance that we will be able to divest assets on financially attractive terms or at all. Our ability to sell assets is also limited by the agreements governing our indebtedness. If we are not able to sell assets as needed, we may not be able to generate proceeds to support our liquidity and capital investments.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we have expended and will continue to expend significant time and resources in connection with the Aera Merger, as well as any future acquisition and disposition activities. For example, time and resources will be expended in connection with seeking regulatory approvals for the Aera Merger.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While the Aera Merger is pending, we will be subject to certain contractual restrictions that could adversely affect our business and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Due to certain restrictions in the Merger Agreement on the conduct of business prior to completing the Aera Merger, we may be unable, during the pendency of the Aera Merger, to pursue strategic transactions, undertake certain significant financing transactions and otherwise pursue other actions, even if such actions would prove beneficial, and we may have to forgo certain opportunities we might otherwise pursue.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the Merger Agreement prohibits us from initiating, soliciting or knowingly encouraging any competing acquisition proposals, subject to certain limited exceptions. The Merger Agreement also contains certain termination rights for us and Aera. Upon termination of the Merger Agreement in accordance with its terms, under certain circumstances, we will be required to pay Aera a termination fee of $50 million, or $100 million in certain circumstances, including if the Merger Agreement is terminated by Aera due to our Board changing its recommendation in favor of the Aera Merger to support a competing acquisition proposal.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may incur substantial losses and be subject to substantial liability claims as a result of pollution, environmental conditions or catastrophic events. We may not be insured for, or our insurance may be inadequate to protect us against, these risks.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not fully insured against all risks. Our business and assets are subject to risks from natural disasters and operating risks associated with oil and natural gas exploration and production activities. Pollution or environmental conditions with respect to our operations or on or from our properties, whether arising from our operations or those of our predecessors or third parties, could expose us to substantial costs and liabilities. Such events may cause operations to cease or be curtailed and could adversely affect our business, workforce and the communities in which we operate. The cost and availability of obtaining insurance for natural disasters has increased in recent years. We may be unable to obtain, or may elect not to obtain, insurance for certain risks if we believe that the cost of available insurance is excessive relative to the risks presented.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Cybersecurity attacks, systems failures, and other disruptions could adversely affect us.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rely on electronic systems and networks to communicate, control and manage our exploration, development and production activities. We also use these systems and networks to prepare our financial management and reporting information, to analyze and store data and to communicate internally and with third parties, including our service providers and customers. If we record inaccurate data or experience infrastructure outages, our ability to communicate and control and manage our business could be adversely affected.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Cybersecurity attacks on businesses have escalated and become more sophisticated. If we or the third parties with whom we interact were to experience a successful attack, the potential consequences to our business, workforce and the communities in which we operate could be significant, including financial losses, loss of business, litigation risks and damage to reputation. We utilize various technologies, controls and procedures, as well as internal staff and external specialists to protect our systems and data, to identify and remediate vulnerabilities and to monitor and respond to threats. However, there can be no assurance that such measures will be sufficient to prevent security breaches from occurring. If a breach occurs, it may remain undetected for an extended period of time. If we or third parties with whom we interact were to experience a cybersecurity attack or a successful breach, the potential consequences could be significant, including loss of data, loss of business, damage to our reputation, potential financial or legal liability requiring us to incur significant costs, disruptions related to investigations and costs related to remediation.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Energy-related assets may be at a greater risk of strategic terrorist attacks or cybersecurity attacks than other targets. A cybersecurity attack on the digital technology that controls most oil and natural gas refining and distribution necessary to transport and market our products could impact critical distribution and storage assets or the environment, disrupt energy markets by delaying or preventing product delivery, or make it difficult or impossible to accurately account for production and settle transactions.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cybersecurity threats continue to evolve in sophistication and magnitude, we may be required to expend significant additional resources to continue to modify or enhance our protective measures or to investigate and remediate any cybersecurity vulnerabilities. Further, state and federal cybersecurity and data privacy legislation could result in complex new requirements that increase our cost of doing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Regulation and Government Action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may face material delays related to our ability to timely obtain permits necessary for our operations or be unable to secure such permits on favorable terms or at all as a result of numerous California political, regulatory, and legal developments.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must obtain various governmental permits to conduct exploration and production activities, as well as other aspects of our operations. Obtaining the necessary governmental permits is often a complex and time-consuming process involving numerous federal, state and local agencies. The duration and success of each permitting effort is contingent upon many variables not within our control. In the context of obtaining permits or approvals, the Company will need to comply with known standards, existing laws (such as CEQA), and regulations that may entail greater or lesser costs and delays depending on the nature of the activity to be permitted and the interpretation of the laws and regulations implemented by the permitting authority.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2023 we experienced significant delays with respect to obtaining new well, sidetrack, deepening and rework permits from CalGEM for our operations. A variety of factors outside of our control can lead to such delays. Recent changes in CalGEM management have contributed to permitting delays and uncertainty with respect to our ability to timely obtain permits for our operations. Following such change in management, during the second half of 2023 CalGEM focused on the development of standard operating procedures (SOPs) for permit review, and as a practical matter ceased issuing permits pending the completion of this process. CalGEM released its SOP for the review of applications for rework permits in late Q4 2023 and recently finalized its Lead Agency Preliminary Review process for sidetrack permits. CalGEM has recently resumed issuing permits for reworks to CRC and other operators. It has issued some permits for sidetracks to other operators. Subject to limited exceptions, CalGEM has not issued any permits for new production wells to any operators since December 2022.</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experienced delays obtaining permits as a result of litigation related to the Kern County EIR for the past several years. Following a favorable trial court order in 2022, plaintiffs appealed, and, the appellate court issued a preliminary order reinstating a suspension of Kern County’s ability to rely on the existing EIR pending the outcome of a final order determining whether oil and natural gas permitting shall remain suspended for the duration of the appeals process. We expect the Appellate Court to issue its ruling on the matters at issue in the second quarter of 2024. We are in the process of pursuing alternative pathways for addressing CEQA compliance for our oil and natural gas permitting process, this would be a lengthy process and we cannot predict with complete certainty whether we would be able to timely obtain permits using this alternative.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a result of these issues and current lack of permits with respect to our Kern County properties, we currently plan to operate one active rig within Kern County in the first half of 2024, and have the requisite number of permits in hand to keep that rig active throughout the year. We plan to increase our active rig count in Kern County from one rig to three in the second half of 2024, assuming new well and sidetrack permitting resumes in Kern County. However, there is no certainty that we will obtain permits on that timeline or at all, which may further adversely affect our future development plans, proved undeveloped reserves, business, operations, cash flows, financial position and results of operations. Approximately $75 million of our aggregate capital for oil and natural gas development in 2024 relates to drilling and completing wells in Kern County for which we do not presently have a permit.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have also experienced delays obtaining drilling permits from CalGEM since the passage of Senate Bill No. 1137, which established 3,200 feet as the minimum distance between new oil and natural gas production wells and certain sensitive receptors such as homes, schools and businesses open to the public. The law became effective January 1, 2023 and CalGEM issued emergency regulations implementing the requirements of the law on January 6, 2023. However, on February 3, 2023, the Secretary of State of California certified voter signatures collected in connection with a referendum for the November 2024 ballot to repeal Senate Bill No. 1137. As a result, any implementation of Senate Bill No. 1137 is stayed until it is put to a vote. There is significant uncertainty with respect to the ability to book proved undeveloped reserves and drill within the setback zone established by Senate Bill No. 1137 and, as a result, we have only booked proved undeveloped reserves for which we already have permits within the zone or intend to have permits for prior to the November 2024 ballot. As a result of Senate Bill No. 1137, in 2023 we reduced the net present value of our proved undeveloped reserves by 19% and our overall proved reserves by 2%. (</w:t>
      </w:r>
      <w:r>
        <w:rPr>
          <w:rFonts w:ascii="Arial;sans-serif" w:hAnsi="Arial;sans-serif"/>
          <w:b w:val="false"/>
          <w:i/>
          <w:color w:val="000000"/>
          <w:sz w:val="20"/>
        </w:rPr>
        <w:t xml:space="preserve">See Part I, Item 1 and 2 – Business and Properties, Regulation of Exploration and Production Activities </w:t>
      </w:r>
      <w:r>
        <w:rPr>
          <w:rFonts w:ascii="Arial;sans-serif" w:hAnsi="Arial;sans-serif"/>
          <w:b w:val="false"/>
          <w:color w:val="000000"/>
          <w:sz w:val="20"/>
        </w:rPr>
        <w:t xml:space="preserve">for more information).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10101"/>
          <w:sz w:val="20"/>
        </w:rPr>
        <w:t>In addition, commencing in February 2023, CalGEM began returning our applications for permits in</w:t>
      </w:r>
      <w:r>
        <w:rPr>
          <w:color w:val="000000"/>
        </w:rPr>
        <w:t xml:space="preserve"> </w:t>
      </w:r>
      <w:r>
        <w:rPr>
          <w:rFonts w:ascii="Arial;sans-serif" w:hAnsi="Arial;sans-serif"/>
          <w:b w:val="false"/>
          <w:color w:val="010101"/>
          <w:sz w:val="20"/>
        </w:rPr>
        <w:t>the Wilmington Oil Field, including permits for new production wells, workovers and plugging and</w:t>
      </w:r>
      <w:r>
        <w:rPr>
          <w:color w:val="000000"/>
        </w:rPr>
        <w:t xml:space="preserve"> </w:t>
      </w:r>
      <w:r>
        <w:rPr>
          <w:rFonts w:ascii="Arial;sans-serif" w:hAnsi="Arial;sans-serif"/>
          <w:b w:val="false"/>
          <w:color w:val="010101"/>
          <w:sz w:val="20"/>
        </w:rPr>
        <w:t>abandonment operations. CalGEM cited concerns regarding the adequacy of the related environmental</w:t>
      </w:r>
      <w:r>
        <w:rPr>
          <w:color w:val="000000"/>
        </w:rPr>
        <w:t xml:space="preserve"> </w:t>
      </w:r>
      <w:r>
        <w:rPr>
          <w:rFonts w:ascii="Arial;sans-serif" w:hAnsi="Arial;sans-serif"/>
          <w:b w:val="false"/>
          <w:color w:val="010101"/>
          <w:sz w:val="20"/>
        </w:rPr>
        <w:t>impact report for purposes of meeting CEQA requirements. We are working together with the City of Long</w:t>
      </w:r>
      <w:r>
        <w:rPr>
          <w:color w:val="000000"/>
        </w:rPr>
        <w:t xml:space="preserve"> </w:t>
      </w:r>
      <w:r>
        <w:rPr>
          <w:rFonts w:ascii="Arial;sans-serif" w:hAnsi="Arial;sans-serif"/>
          <w:b w:val="false"/>
          <w:color w:val="010101"/>
          <w:sz w:val="20"/>
        </w:rPr>
        <w:t>Beach to address CalGEM’s concerns regarding conducting future re-drills, workover and plugging and</w:t>
      </w:r>
      <w:r>
        <w:rPr>
          <w:color w:val="000000"/>
        </w:rPr>
        <w:t xml:space="preserve"> </w:t>
      </w:r>
      <w:r>
        <w:rPr>
          <w:rFonts w:ascii="Arial;sans-serif" w:hAnsi="Arial;sans-serif"/>
          <w:b w:val="false"/>
          <w:color w:val="010101"/>
          <w:sz w:val="20"/>
        </w:rPr>
        <w:t>abandonment activities.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Approximately $25 million of our aggregate capital for oil and natural gas development in 2024 relates to drilling and completing wells in Wilmington for which we do not presently have a permit. We plan to operate one active rig on the THUMS Islands in the second half of 2024, assuming permitting of sidetracks and deepenings resumes. However, there is no certainty that we will obtain permits on that timeline or at all, which may further adversely affect our future development plans, proved undeveloped reserves, business, operations, cash flows, financial position and results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cannot guarantee that these issues or new ones that may arise in the future will not continue to delay or otherwise impair our ability to obtain drilling permits. In the past we have generally been able to mitigate permitting risks by building up a reserve of drilling permits for use throughout the year, but as a result of the issues described above, we have not been able to build our reserve of approved permits to the same level as we have in the past. If we cannot obtain new drilling or sidetrack permits in a timely manner, we have limited options to meet our drilling plans, such as the use of workovers to extend the life of existing production, that may not ultimately be sufficient to achieve our business goals. Any continuing failure to obtain certain permits or the adoption of more stringent permitting requirements could have a material adverse effect on our business, operations, properties, results of operations, and our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Recent and future actions by the State of California could reduce both the demand for and supply of oil and natural gas within the state and consequently have a material and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recent years, the Governor of California, the Legislature and state agencies have taken a series of actions that could materially and adversely affect the state’s oil and natural gas sector. For additional information, see </w:t>
      </w:r>
      <w:r>
        <w:rPr>
          <w:rFonts w:ascii="Arial;sans-serif" w:hAnsi="Arial;sans-serif"/>
          <w:b w:val="false"/>
          <w:i/>
          <w:color w:val="000000"/>
          <w:sz w:val="20"/>
        </w:rPr>
        <w:t>Part I, Item 1 and 2 – Business and Properties, Regulation of the Industries in Which We Operate, Regulation of Exploration and Production Activities,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Risk Factors, We may face material delays related to our ability to timely obtain permits necessary for our operations, or be unable to secure such permits on favorable terms or at all as a result of numerous California political, regulatory, and legal developments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trend in California is to impose increasingly stringent restrictions on oil and natural gas activities. We cannot predict what actions the Governor of California, the Legislature or state agencies may take in the future, but we could face increased compliance costs, delays in obtaining the approvals necessary for our operations, exposure to increased liability, or other limitations as a result of future actions by these parties. Moreover, new developments resulting from the current and future actions of these parties could also materially and adversely affect our ability to operate, successfully execute drilling plans, or otherwise develop our reserves. Accordingly, recent and future actions by the Governor of California, the Legislature, and state agencies could materially and adversely affect our business, results of operations, and financial condition.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operations are subject to complex and stringent federal, state, local and other laws and regulations relating to the exploration and development of our properties, as well as the production, transportation, marketing and sale of our products.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 operate in compliance with these laws and regulations, we must obtain and maintain permits, approvals and certificates from federal, state and local government authorities for a variety of activities including siting, drilling, completion, stimulation, operation, inspection, maintenance, transportation, storage, marketing, site remediation, decommissioning, abandonment, protection of habitat and threatened or endangered species, air emissions, disposal of solid and hazardous waste, fluid injection and disposal and water consumption, recycling and reuse. For example, our operations in the Wilmington Oil Field utilize injection wells to reinject produced water pursuant to waterflooding plans. These operations are subject to regulation by both the City of Long Beach and CalGEM. We are currently in discussions with the City of Long Beach and CalGEM with respect to what injection well pressure gradient complies with CalGEM’s requirements for the protection of underground aquifers while at the same time mitigating subsidence risks. CalGEM’s local office has preliminarily indicated that the injection well pressure gradient should be reduced from the gradient that has been used for several decades. As part of our ongoing discussions, we and the City of Long Beach have provided CalGEM with technical information regarding how the historical injection well pressure gradient complies with CalGEM’s requirements and to inform them of the absence of risk of leakage and a plan to gradually lower the injection gradient over time in a manner that we believe would mitigate subsidence risks. If CalGEM were to ultimately disagree and determine to reduce the injection well pressure gradient other than in a gradual manner, and we were unable to reverse that decision on appeal or other legal challenge, we expect any material reduction in injection well pressure gradient for our operations in the Wilmington Oil Field would result in a decrease in production and reserves from the field.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Failure to comply may result in the assessment of administrative, civil and/or criminal fines and penalties, liability for noncompliance, costs of corrective action, cleanup or restoration, compensation for personal injury, property damage or other losses, and the imposition of injunctive or declaratory relief restricting or prohibiting certain operations or our access to property, water, minerals or other necessary resources, and may otherwise delay or restrict our operations and cause us to incur substantial costs.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ability to timely obtain and maintain permits for our operations in 2023, including from CalGEM, has been subject to significant delays and uncertainties and is subject to factors that are not within our control. These factors include changes in agency practices, new regulations, or legal challenges to existing approvals for our operations from individual citizens and non-governmental organizations. For example, beginning in 2021, CalGEM ceased issuing new well stimulation permits. In 2023, CalGEM virtually ceased issuing permits for new wells, sidetracks, deepenings, and reworks throughout the state (though it recently resumed issuing permits for reworks, and has slowly been resuming the issuance of permits for sidetracks), even as it continues approving permits for plugging and abandonment. CalGEM communicated that permitting would resume (with the exception of permits for new wells in Kern County, the issuance of which has been stayed pending the final ruling of the Appellate Court) upon its development of standard operating procedures for reviewing permit applications and cited staffing shortages within its CEQA unit as an additional reason for the delays. See </w:t>
      </w:r>
      <w:r>
        <w:rPr>
          <w:rFonts w:ascii="Arial;sans-serif" w:hAnsi="Arial;sans-serif"/>
          <w:b w:val="false"/>
          <w:i/>
          <w:color w:val="000000"/>
          <w:sz w:val="20"/>
        </w:rPr>
        <w:t>Part I, Item 1 and 2 – Business and Properties, Regulation of the Industries in which we Operate, Regulations of Exploration and Production Activities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cannot guarantee that these issues or new ones that may arise in the future will not continue to delay or otherwise impair our ability to obtain drilling permits. In the past we have generally been able to mitigate permitting risks by building up a reserve of drilling permits for use throughout the year, but as a result of the issues described above, we have not been able to build our reserve of approved permits to the same level as we have in the past. Changes to elected or appointed officials or their priorities and policies could result in different approaches to the regulation of the oil and natural gas industry. If we cannot obtain new drilling or sidetrack permits in a timely manner, we have limited options to meet our drilling plans, such as the use of workovers to extend the life of existing production, that may not ultimately be sufficient to achieve our business goals. Any continuing failure to obtain certain permits or the adoption of more stringent permitting requirements could have a material adverse effect on our business, operations, properties, results of operations, and our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 xml:space="preserve">Our Carbon TerraVault business and our CCS projects are subject to extensive government regulation much of which is still being developed. Failure to comply with these requirements and obtain the necessary permits, or the development of government regulations that are unfavorable to our CCS projects, could have an adverse effect on our business,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Successful development of CCS projects in the United States require that we comply with what we anticipate will be a stringent regulatory scheme requiring that we obtain certain permits applicable to subsurface injection of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for geologic sequestration. Moreover, as operator of our CCS projects, we must demonstrate and maintain levels of financial assurance sufficient to cover the cost of corrective action, injection well plugging, post injection site care and site closure, and emergency and remedial response. There are no assurances that we will be successful in obtaining or maintaining permits or adequate levels of financial assurance for one or more of our CCS projects or that permits can be obtained on a timely basis, whether due to difficulty with the technical demonstrations required to obtain such permits, public opposition, or otherwise.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Separately, permitting CCS projects requires obtaining a number of other permits and approvals unrelated to subsurface injection from various U.S. federal and state agencies, such as for air emissions or impacts to environmental, natural, historic or cultural resources resulting from the construction and operation of a CCS facility. We cannot guarantee that we will be able to obtain or maintain all applicable permits for CCS activities on a timely basis or on favorable terms. Moreover, to the extent any of our CCS projects will require any supporting pipeline infrastructure, we could face additional costs and delays obtaining the necessary permits and rights of ways for such infrastructure, and increased risk of opposition to our projects, which may ultimately mean we are unable to successfully pursue certain CCS projects because of these risks.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CCS and carbon management represent an emerging sector, laws and regulations may evolve rapidly, which could impact the feasibility of one or more of our anticipated projects. To the extent additional legal or regulatory requirements are imposed, are amended, or more stringently enforced, we may incur additional costs in the pursuit of one or more of our carbon capture projects, which costs may be material or may render any one or more of our projects uneconomical.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New and developing regulations related to the CO</w:t>
      </w:r>
      <w:r>
        <w:rPr>
          <w:rFonts w:ascii="Arial;sans-serif" w:hAnsi="Arial;sans-serif"/>
          <w:b/>
          <w:i/>
          <w:color w:val="000000"/>
          <w:sz w:val="13"/>
        </w:rPr>
        <w:t xml:space="preserve">2 </w:t>
      </w:r>
      <w:r>
        <w:rPr>
          <w:rFonts w:ascii="Arial;sans-serif" w:hAnsi="Arial;sans-serif"/>
          <w:b/>
          <w:i/>
          <w:color w:val="000000"/>
          <w:sz w:val="20"/>
        </w:rPr>
        <w:t xml:space="preserve">unitization, permitting and pipeline safety could negatively impact our business,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Senate Bill No. 905 contemplates the development of unitization, permitting and pipeline safety regulations over a multi-year period to facilitate the development of CCS projects in California, though the legislation does not provide for compulsory unitization. A unified permit application is to be adopted by January 1, 2025. We believe our Carbon TerraVault projects, for which the EPA has issued draft permits that are open to public notice and comment until March 20, 2024, will continue to be developed on a timeline consistent with our initial expectations. These initial projects are not reliant on the unitization or permitting regulations being developed. In addition, our Carbon TerraVault projects are expected to either use emitters that are directly sited above these storage facilities or rely on pipelines for transporting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that will need to comply with yet to be developed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pipeline safety regulations from the federal Pipeline and Hazardous Materials Safety Administration, which could take a number of years to effect. Delays in developing required pipeline safety regulations would delay projects requiring pipeline transportation of CO</w:t>
      </w:r>
      <w:r>
        <w:rPr>
          <w:rFonts w:ascii="Arial;sans-serif" w:hAnsi="Arial;sans-serif"/>
          <w:b w:val="false"/>
          <w:color w:val="000000"/>
          <w:sz w:val="13"/>
        </w:rPr>
        <w:t>2</w:t>
      </w:r>
      <w:r>
        <w:rPr>
          <w:rFonts w:ascii="Arial;sans-serif" w:hAnsi="Arial;sans-serif"/>
          <w:b w:val="false"/>
          <w:color w:val="000000"/>
          <w:sz w:val="20"/>
        </w:rPr>
        <w:t>. The lack of compulsory unitization could also delay project timelines.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unified permitting process contemplated by Senate Bill No. 905 will be optional for project applicants and is intended to simplify the permitting process for CCS projects. In the meantime, pursuant to this legislation we are permitted to proceed with our existing and future CCS Class VI permit applications with the EPA. This law also contemplates the implementation of a new regulatory program incorporating standards that are not yet defined and that could affect the timing of future CCS projects in California.</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Senate Bill No. 905 also prohibits CCS projects that utilize and permanently sequester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in connection with EOR projects. Although we do not have any existing oil and natural gas production or proved reserves associated with EOR projects, this legislation required us to transition our CalCapture project to target CCS and may require us to make other adjustments to projects in the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 xml:space="preserve">Concerns about climate change and other air quality issues may prompt governmental action that could materially affect our operations or results.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Governmental, scientific and public concern over the threat of climate change arising from GHG emissions, and regulation of GHGs and other air quality issues, may materially affect our business in many ways, including increasing the costs to provide our products and services and reducing demand for, and consumption of, our products and services, and we may be unable to recover or pass through a significant portion of our costs. In addition, legislative and regulatory responses to such issues at the federal, state and local level may increase our capital and operating costs and render certain wells or projects uneconomic, and potentially lower the value of our reserves and other assets. Both the EPA and California have implemented laws, regulations and policies that seek to reduce GHG emissions. California’s cap-and-trade program operates under a market system and the costs of such allowances per metric ton of GHG emissions are expected to increase in the future as the CARB tightens program requirements and annually increases the minimum state auction price of allowances and reduces the state’s GHG emissions cap. As the foregoing requirements become more stringent, we may be unable to implement them in a cost-effective manner, or at all.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August 2022, President Biden signed the Inflation Reduction Act into law. The Inflation Reduction Act includes a charge on methane emissions that is expected to be applicable to the reported annual methane emissions of certain oil and natural gas facilities, above specified methane intensity thresholds, starting in 2024. The full impact of future climate regulations is uncertain at this time and it is unclear what additional actions may be taken that may have an adverse effect upon our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To the extent financial markets view climate change and GHG or other emissions as an increasing financial risk, this could adversely impact our cost of, and access to, capital and the value of our stock and our assets. Current investors in oil and natural gas companies may elect in the future to shift some or all of their investments into other sectors, and institutional lenders may elect not to provide funding for oil and natural gas companies. There is also a risk that financial institutions will be required to adopt policies that have the effect of reducing the funding provided to the fossil fuel sector. Additionally, in March 2022, the Securities and Exchange Commission (SEC) released a proposed rule that would establish a framework for the reporting of climate risks, targets and metrics. We cannot predict the final form and substance of the rule and its requirements. Relatedly, California has enacted new laws requiring additional disclosure with respect to certain climate-related risks and GHG emissions reduction claims. (See </w:t>
      </w:r>
      <w:r>
        <w:rPr>
          <w:rFonts w:ascii="Arial;sans-serif" w:hAnsi="Arial;sans-serif"/>
          <w:b w:val="false"/>
          <w:i/>
          <w:color w:val="000000"/>
          <w:sz w:val="20"/>
        </w:rPr>
        <w:t xml:space="preserve">Part I, Item 1 and 2 – Business and Properties, Regulation of the Industries in Which We Operate, Regulation of Climate Change and Greenhouse Gas (GHG) Emissions, California Climate Disclosures </w:t>
      </w:r>
      <w:r>
        <w:rPr>
          <w:rFonts w:ascii="Arial;sans-serif" w:hAnsi="Arial;sans-serif"/>
          <w:b w:val="false"/>
          <w:color w:val="000000"/>
          <w:sz w:val="20"/>
        </w:rPr>
        <w:t xml:space="preserve">for more information). Non-compliance with these new laws may result in the imposition of substantial fines or penalties. Other states are considering similar laws. Any new laws or regulations imposing more stringent requirements on our business related to the disclosure of climate-related risks may result in reputation harms among certain stakeholders if they disagree with our approach to mitigating climate-related risks, additional costs to comply with any such disclosure requirements and increased costs of and restrictions on access to capital.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believe, but cannot guarantee, that our local production of oil, NGLs and natural gas will remain essential to meeting California’s energy and feedstock needs for the foreseeable future. We have also established 2030 Sustainability Goals for water recycling, renewables integration, methane emission reduction and carbon capture and sequestration in our life-of-field planning in an attempt to align with the state’s long-term goals and support our ability to continue to efficiently implement federal, state and local laws, regulations and policies, including those relating to air quality and climate, in the future. However, there can be no assurances that we will be able to design, permit, fund and implement such projects in a timely and cost-effective manner or at all, or that we, our customers or end users of our products will be able to satisfy long-term environmental, air quality or climate goals if those are applied as enforceable mandates.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adoption and implementation of new or more stringent international, federal, state or local legislation, regulations or policies that impose more stringent standards for GHG or other emissions from our operations or otherwise restrict the areas in which we may produce oil, natural gas, NGLs or electricity or generate GHG or other emissions could result in increased costs of compliance or costs of consuming, and thereby reduce demand for or the value of our products and services. Additionally, political, litigation and financial risks may result in restricting or canceling oil and natural gas production activities, incurring liability for infrastructure damages or other losses as a result of climate change, or impairing our ability to continue to operate in an economic manner. Moreover, climate change may pose increasing risks of physical impacts to our operations and those of our suppliers, transporters and customers through damage to infrastructure and resources resulting from drought, wildfires, sea level changes, flooding and other natural disasters and other physical disruptions. One or more of these developments could have a material adverse effect on our business, financial condition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The Inflation Reduction Act could accelerate the transition to a low-carbon economy and could impose new costs on our operations.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In August 2022, President Biden signed the Inflation Reduction Act into law. The Inflation Reduction Act contains hundreds of billions of dollars in incentives for the development of renewable energy, clean hydrogen, clean fuels, electric vehicles and supporting infrastructure and CCS, amongst other provisions. In addition, the Inflation Reduction Act imposes the first ever federal fee on the emission of GHGs through a methane emissions charge. The Inflation Reduction Act amends the Clean Air Act to impose a fee on the emission of methane from sources required to report their GHG emissions to the EPA, including those sources in the onshore petroleum and natural gas production categories. The methane emissions charge would start in calendar year 2024 at $900 per ton of methane, increase to $1,200 in 2025, and be set at $1,500 for 2026 and each year thereafter. Calculation of the fee is based on certain thresholds established in the Inflation Reduction Act. However, compliance with the EPA’s new methane rules (</w:t>
      </w:r>
      <w:r>
        <w:rPr>
          <w:rFonts w:ascii="Arial;sans-serif" w:hAnsi="Arial;sans-serif"/>
          <w:b w:val="false"/>
          <w:i/>
          <w:color w:val="000000"/>
          <w:sz w:val="20"/>
        </w:rPr>
        <w:t>see Part I, Item 1 and 2 – Business and Properties, Regulation of the Industries in Which We Operate, Regulation of Climate Change and Greenhouse Gas (GHG) Emissions</w:t>
      </w:r>
      <w:r>
        <w:rPr>
          <w:rFonts w:ascii="Arial;sans-serif" w:hAnsi="Arial;sans-serif"/>
          <w:b w:val="false"/>
          <w:color w:val="000000"/>
          <w:sz w:val="20"/>
        </w:rPr>
        <w:t>) would exempt an otherwise covered facility from the requirement to pay the fee. In addition, the multiple incentives offered for various clean energy industries referenced above could further accelerate the transition of the economy away from fossil fuels towards lower- or zero-carbon emission alternatives. The methane charges and various incentives for clean energy industries could decrease demand for crude oil and natural gas, increase our compliance and operating costs and consequently materially and adversely affect our business and results of operations.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Tax law changes could have an adverse effect on our financial condition, results of operations and cash flows.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subject to taxation by various tax authorities at the federal, state and local levels where we do business. New legislation could be enacted by any of these government authorities that could adversely affect our business.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addition, from time to time, legislation has been proposed that would, if enacted into law, make significant changes to U.S. federal income tax laws, including the elimination of certain U.S. federal income tax benefits currently available to oil and natural gas exploration and production companies. Such changes have included, but have not been limited to, (i) the repeal of percentage depletion allowance for oil and natural gas properties; (ii) the elimination of current deductions for intangible drilling and development costs; (iii) an extension of the amortization period for certain geological and geophysical expenditures; (iv) the elimination of certain other tax deductions and relief previously available to oil and natural gas companies; and (v) an increase in the U.S. federal income tax rate applicable to corporations such as us. However, it is unclear whether any such changes will be enacted and, if enacted, how soon any such changes would be effective. Additionally, legislation could be enacted that imposes new fees or increases the taxes on oil and natural gas extraction, which could result in increased operating costs and/or reduced demand for our products. The passage of any such legislation or any other similar change in U.S. federal income tax law could eliminate or postpone certain tax deductions that are currently available with respect to natural gas and oil exploration and development or could increase costs and any such changes could have an adverse effect on our financial condition, results of operations and cash flows. Similarly, legislation could be enacted that changes or terminates the current tax incentives that our CCS projects depend on to be economical. The enactment of any legislation that reduces or eliminates 45Q credits or tax credits for the production of clean hydrogen could have an adverse effect on our financial condition, results of operations and cash flows.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California, there have been numerous state and local proposals for additional income, sales, excise and property taxes, including additional taxes on oil and natural gas production and a windfall profits tax on refineries. Although such proposals targeting the oil and natural gas industry have not become law, campaigns by various interest groups could lead to additional future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 xml:space="preserve">Recent action by the State of California imposing additional financial assurance requirements related to plugging and abandonment costs, decommissioning, and site restoration on those who acquire the right to operate wells and production facilities could impact our ability to sell or acquire assets in the state of California or increase our costs in connection with the same.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October 7, 2023, the California Governor signed into law Assembly Bill 1167 (AB 1167), which imposes more stringent financial assurance requirements on persons who acquire the right to operate a well or production facility in the state of California, requiring them to file either an individual indemnity bond for single-well or production facility acquisitions, or a blanket indemnity bond for multiple wells or production facilities. The bond imposed on the acquirer will be in an amount determined by the state to sufficiently cover plugging and abandonment costs, decommissioning, and site restoration, and AB 1167 prohibits the closing of any acquisition of a well or production facility until a determination on the appropriate bond amount has been completed by the state and the bond has been filed. We are still assessing the impact of AB 1167. In addition, although AB 1167 has been signed into law, Governor Newsom has called for further legislative changes to these new requirements to mitigate against the potential risk of the implementation of AB 1167 ultimately increasing the number of orphaned idle or low-producing wells in California, although no such changes have yet been announced. We cannot predict what form these changes may ultimately take or if the legislature will act on the Governor’s request. Implementation of this law may lead to the delay or additional costs with respect to acquisitions or dispositions, which could impact our ability to grow or explore new strategic areas – or exit others – within the state of California.</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Risks Related to our Indebtedness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We may not be able to amend or refinance our existing debt to create more operating and financial flexibility and to enhance shareholder returns</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light of our strategic goals and the restrictions under our existing debt, we are evaluating options to replace our Senior Notes. Our ability to refinance our debt depends on a variety of factors, including our ability to access the commercial banking and debt capital markets. Changes in interest rates could also impact our ability to refinance our debt. If interest rates increase, the interest expense burden of any refinanced debt or other variable rate debt would increase even though the amount borrowed remained the same. There can be no assurances that we will be successful in amending, replacing or refinancing our existing debt on acceptable terms or at all.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Our existing and future indebtedness may adversely affect our business and limit our financial flexibility.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2023, we had $545 million of total long-term debt, and additional borrowing capacity of $477 million under the Revolving Credit Facility (after taking into account $153 million of outstanding letters of credit). The terms of our Revolving Credit Facility and Senior Notes permit us to incur significant additional debt, some of which may be secured. Our level of future indebtedness could affect our business in several ways,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 management’s discretion in operating our business and our flexibility in planning for, or reacting to, changes in our business and the industry in which we operate;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require us to dedicate a portion of our cash flow from operations to service our existing debt, thereby reducing the cash available to finance our operations and other business activities due to restrictions on our ability to obtain additional financing, make investments, lease equipment, sell assets and engage in business combinations;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 our ability to pay dividends and repurchase shares;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 our vulnerability to downturns and adverse developments in our business and the economy generally;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 our ability to access the capital markets to raise capital on favorable terms or to obtain additional financing for working capital, capital expenditures, acquisitions, general corporate or other expenses, or to refinance existing indebtedness;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make it more likely that a reduction in our borrowing base following a periodic redetermination could require us to repay a portion of our then-outstanding bank borrowings;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make us vulnerable to increases in interest rates as our indebtedness under the Revolving Credit Facility varies with prevailing interest rates.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ability to satisfy our obligations depends on our future operating performance and on economic, financial, competitive and other factors, many of which are beyond our control. Our business may not generate sufficient cash flow, and future financings may not be available to provide sufficient net proceeds, to meet these obligations or to successfully execute our business strategy.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We may not be able to generate sufficient cash to service all of our indebtedness, and may be forced to take other actions to satisfy the obligations under our indebtedness, which may not be successful.</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earnings and cash flow could vary significantly from year to year due to the nature of our industry despite our commodity price risk-management activities. As a result, the amount of debt that we can manage in some periods may not be appropriate for us in other periods. Additionally, our future cash flow may be insufficient to meet our debt obligations and other commitments at that time. Any insufficiency could negatively impact our business. A range of economic, competitive, business and industry factors will affect our future financial performance, and, as a result, our ability to generate cash flow from operations and to pay our debt obligations. Many of these factors, such as oil and natural gas prices, economic and financial conditions in our industry and the global economy and initiatives of our competitors, are beyond our control as discussed in this “Risk Factors” section. We may not be able to maintain a level of cash flows from operating activities sufficient to permit us to pay the principal, premium, if any, and interest on our indebtedness.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The lenders under our Revolving Credit Facility could limit our ability to borrow and restrict our use or access to capital.</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Revolving Credit Facility is an important source of our liquidity. Our ability to borrow under our Revolving Credit Facility is limited by our borrowing base, the size of our lenders’ commitments and our ability to comply with covenants.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borrowing base under our Revolving Credit Facility is redetermined semi-annually by our lenders who review the value of our reserves and other factors that may be deemed appropriate. Currently, our borrowing base is set at $1.2 billion and the availability under our Revolving Credit Facility is limited by the aggregate elected commitment amount of our lenders, which as of February 1, 2024 was set at $630 million.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 reduction in our borrowing base below the aggregate commitment amount of our lenders would materially and adversely affect our liquidity and may hinder our ability to execute on our business strategy.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Restrictive covenants in our Revolving Credit Facility and the indenture governing our Senior Notes may limit our financial and operating flexibility.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Both our Revolving Credit Facility and the indenture governing our Senior Notes contain certain restrictions, which may have adverse effects on our business, financial condition, cash flows or results of operations. These restrictions limit our ability to, among other things, (i) incur additional indebtedness; (ii) pay dividends or repurchase shares; (iii) sell properties; and (iv) make capital investments.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Revolving Credit Facility also requires us to comply with certain financial maintenance covenants, including a leverage ratio and current ratio.</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 breach of any of these restrictive covenants could result in a default under the Revolving Credit Facility and/or the Senior Notes. If a default occurs under the Revolving Credit Facility, the lenders may elect to declare all borrowings thereunder outstanding, together with accrued interest and other fees, to be immediately due and payable. If we are unable to repay our indebtedness when due or declared due, the lenders under the Revolving Credit Facility will also have the right to proceed against the collateral pledged to them to secure the indebtedness. An event of default under the Senior Notes may cause all outstanding Senior Notes to become due and payable immediately or give the trustee and the holders the right to declare all outstanding Senior Notes to become due and payable immediately.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 xml:space="preserve">Variable rate indebtedness under our Revolving Credit Facility subjects us to interest rate risk, which could cause our debt service obligations to increase significantly.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Borrowings under our Revolving Credit Facility are at variable rates of interest and expose us to interest rate risk. As of December 31, 2023, we had no amounts borrowed under our Revolving Credit Facility. If in the future we borrow under the Revolving Credit Facility, then our results of operations would be sensitive to movements in interest rates. There are many economic factors outside our control that have in the past and may, in the future, impact rates of interest including publicly announced indices that underlie the interest obligations related to our Revolving Credit Facility. Factors that impact interest rates include governmental monetary policies, inflation, economic conditions, changes in unemployment rates,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financial condition and results of operations if we borrow under the Revolving Credit Facility in the future.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Risks Related to Our Common Stock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 xml:space="preserve">Our ability to pay dividends and repurchase shares of our common stock is subject to certain risks.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adopted a cash dividend policy which anticipates a total annual dividend of $1.24 per share, payable to shareholders in quarterly increments of $0.31 per share of common stock, subject to board authorization and declaration each quarter. We recently increased the size of our share repurchase program by $250 million to $1.35 billion and extended the program through December 31, 2025. As of February 6, 2024 we had approximately $747 million of remaining authorized capacity. Any payment of future dividends or repurchasing shares of our common stock will be at the discretion of our Board of Directors and will depend upon, among other things, our earnings, liquidity, capital requirements, financial condition and other factors deemed relevant. Our Revolving Credit Facility and Senior Notes both limit our ability to pay dividends and repurchase shares of our common stock. In addition, cash dividend payments in the future may only be made out of legally available funds and, if we experience substantial losses, such funds may not be available. We can provide no assurances that we will continue to pay dividends at the anticipated rate or repurchase shares of our common stock within the authorized amount or at all.</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The trading price of our common stock may decline, and you may not be able to resell shares of our common stock at prices equal to or greater than the price you paid or at all.</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trading price of our common stock may decline for many reasons, some of which are beyond our control. In the event of a drop in the market price of our common stock, you could lose a substantial part or all of your investment in our common stock. Numerous factors, including those referred to in this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section could affect our stock price. These factors include, among other things, changes in our results of operations and financial condition; changes in commodity prices; changes in the national and global economic outlook; changes in applicable laws and regulations; variations in our capital plan; changes in financial estimates by securities analysts or ratings agencies; changes in market valuations of comparable companies; and additions or departures of key personnel.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Future issuances of our common stock could reduce our stock price, and any additional capital raised by us through the sale of equity or convertible securities may dilute your ownership in us.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may sell additional shares of common stock in subsequent public or private offerings. We may also issue additional shares of common stock or convertible securities. As of December 31, 2023, we had 68,693,885 outstanding shares of common stock and 4,182,521 shares of common stock issuable upon exercise of outstanding warrants. Upon the completion of the Aera Merger, we expect to issue 21,170,357 shares of common stock. We cannot predict the size of other future issuances of our common stock or securities convertible into common stock or the effect, if any, that such other future issuances and sales of shares of our common stock will have on the market price of our common stock. Sales of substantial amounts of our common stock (including shares issued in connection with an acquisition), or the perception that such sales could occur, may adversely affect prevailing market prices of our common stock.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There is an increased potential for short sales of our common stock due to the sales of shares issued upon exercise of warrants, which could materially affect the market price of the stock.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Downward pressure on the market price of our common stock that likely will result from sales of our common stock issued in connection with the exercise of warrants could encourage short sales of our common stock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Such sales of our common stock could have a tendency to depress the price of the stock, which could increase the potential for short sales.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The ownership position of certain of our stockholders limits other stockholders’ ability to influence corporate matters and could affect the price of our common stock.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2023, four of our shareholders owned at least 5% each and collectively owned approximately 40% of our common stock. As a result, each of these stockholders, or any entity to which such stockholders sell their stock, may be able to exercise significant control over matters requiring stockholder approval. Further, because of this large ownership position, if these stockholders sell their stock, the sales could depress our share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 xml:space="preserve">Sales of shares of our common stock by our executive officers could negatively impact the market price for our common stock.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Sales of our common stock by our executive officers may adversely impact the trading price of our common stock, even when done in compliance with our policies with respect to insider sales. Although we do not expect that the relatively small volume of such sales will itself significantly impact the trading price of our common stock, the market could react negatively to the announcement of such sales, which could in turn affect the trading price of our common stock.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Arial;sans-serif" w:hAnsi="Arial;sans-serif"/>
          <w:b/>
          <w:color w:val="000000"/>
          <w:sz w:val="20"/>
        </w:rPr>
      </w:pPr>
      <w:r>
        <w:rPr>
          <w:rFonts w:ascii="Arial;sans-serif" w:hAnsi="Arial;sans-serif"/>
          <w:b/>
          <w:color w:val="000000"/>
          <w:sz w:val="20"/>
        </w:rPr>
        <w:t xml:space="preserve">ITEM 1B    UNRESOLVED STAFF COMMENTS </w:t>
      </w:r>
    </w:p>
    <w:p>
      <w:pPr>
        <w:pStyle w:val="TextBody"/>
        <w:bidi w:val="0"/>
        <w:spacing w:before="0" w:after="0"/>
        <w:ind w:left="0" w:right="0" w:hanging="108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before="0" w:after="0"/>
        <w:ind w:left="0" w:right="0" w:hanging="12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rely on information systems to communicate, control and manage our operations, prepare our financial and reporting information, analyze and store data and communicate internally and with third parties, including our service providers and customers. Our cybersecurity program focuses on ensuring the protection of our information systems, computer networks, infrastructure, and industrial control systems.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Audit Committee of our Board of Directors is responsible for overseeing our risk assessment and risk management activities, including cybersecurity risks. The Audit Committee is briefed by our Chief Information Officer on cybersecurity risks at its regular meetings and separately as circumstances warrant. Cybersecurity risks are also included in our enterprise risk management program which is reported separately to the Audit Committee.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take a risk-based approach to assess, identify, and manage cybersecurity risks, including evaluating the likelihood of a cybersecurity incident as well as the impact it would have on our business, reputation, assets, health and safety of individuals and the environment. Our controls are based on the NIST Cybersecurity Framework (CSF). The effectiveness of our controls are evaluated periodically to determine residual risk levels and guide ongoing program improvement and cybersecurity project work. Our cybersecurity framework is evaluated by internal and external experts on an ongoing basis or within the scope of certain projects or engagements. Where we use third-party service providers, we endeavor to ensure that cybersecurity threats are minimized including establishing contractual protections including minimum security and breach notification requirements.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accordance with our cybersecurity incident response plan, the severity of cybersecurity incidents is classified based on the degree of adverse impact on our business, scale of penetration, risk of propagation, significance of impact, impact on protected information, and our monitoring capability. Incident response is overseen by a cybersecurity incident response team steering committee comprised of members of management with the responsibility to inform senior management and/or the Audit Committee based on incident severity classification.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Chief Information Officer has managerial responsibility for our cybersecurity risk program and is a member of our cybersecurity incident response team steering committee. Our Chief Information Officer has over 34 years of experience in information technology and cybersecurity, including leadership roles responsible for cybersecurity and data privacy for large publicly-traded and global companies. He graduated from Bellevue University with an M.S. in Computer Information Systems and an MBA.</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the date of this report, we are not aware of any material risks from cybersecurity threats that have materially affected or are reasonably likely to materially affect our business strategy, results of operations, or financial condition.</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Arial;sans-serif" w:hAnsi="Arial;sans-serif"/>
          <w:b/>
          <w:color w:val="000000"/>
          <w:sz w:val="20"/>
        </w:rPr>
      </w:pPr>
      <w:r>
        <w:rPr>
          <w:rFonts w:ascii="Arial;sans-serif" w:hAnsi="Arial;sans-serif"/>
          <w:b/>
          <w:color w:val="000000"/>
          <w:sz w:val="20"/>
        </w:rPr>
        <w:t xml:space="preserve">ITEM 3LEGAL PROCEEDINGS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information regarding legal proceedings, see </w:t>
      </w:r>
      <w:r>
        <w:rPr>
          <w:rFonts w:ascii="Arial;sans-serif" w:hAnsi="Arial;sans-serif"/>
          <w:b w:val="false"/>
          <w:i/>
          <w:color w:val="000000"/>
          <w:sz w:val="20"/>
        </w:rPr>
        <w:t>Part II, Item 7 – Management's Discussion and Analysis of Financial Condition and Results of Operations – Lawsuits, Claims, Commitments and Contingencies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Item 8 – Financial Statements and Supplementary Data – Note 5 Lawsuits, Claims, Commitments and Contingencies</w:t>
      </w:r>
      <w:r>
        <w:rPr>
          <w:rFonts w:ascii="Arial;sans-serif" w:hAnsi="Arial;sans-serif"/>
          <w:b w:val="false"/>
          <w:color w:val="000000"/>
          <w:sz w:val="2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left"/>
        <w:rPr>
          <w:rFonts w:ascii="Arial;sans-serif" w:hAnsi="Arial;sans-serif"/>
          <w:b/>
          <w:color w:val="000000"/>
          <w:sz w:val="20"/>
        </w:rPr>
      </w:pPr>
      <w:r>
        <w:rPr>
          <w:rFonts w:ascii="Arial;sans-serif" w:hAnsi="Arial;sans-serif"/>
          <w:b/>
          <w:color w:val="000000"/>
          <w:sz w:val="20"/>
        </w:rPr>
        <w:t>ITEM 4MINE SAFETY DISCLOSURES</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080"/>
        <w:jc w:val="both"/>
        <w:rPr>
          <w:rFonts w:ascii="Arial;sans-serif" w:hAnsi="Arial;sans-serif"/>
          <w:b/>
          <w:color w:val="000000"/>
          <w:sz w:val="20"/>
        </w:rPr>
      </w:pPr>
      <w:r>
        <w:rPr>
          <w:rFonts w:ascii="Arial;sans-serif" w:hAnsi="Arial;sans-serif"/>
          <w:b/>
          <w:color w:val="000000"/>
          <w:sz w:val="20"/>
        </w:rPr>
        <w:t>PART II</w:t>
      </w:r>
    </w:p>
    <w:p>
      <w:pPr>
        <w:pStyle w:val="TextBody"/>
        <w:bidi w:val="0"/>
        <w:spacing w:lineRule="auto" w:line="288" w:before="120" w:after="283"/>
        <w:ind w:left="0" w:right="0" w:hanging="1260"/>
        <w:jc w:val="both"/>
        <w:rPr>
          <w:rFonts w:ascii="Arial;sans-serif" w:hAnsi="Arial;sans-serif"/>
          <w:b/>
          <w:color w:val="000000"/>
          <w:sz w:val="20"/>
        </w:rPr>
      </w:pPr>
      <w:r>
        <w:rPr>
          <w:rFonts w:ascii="Arial;sans-serif" w:hAnsi="Arial;sans-serif"/>
          <w:b/>
          <w:color w:val="000000"/>
          <w:sz w:val="20"/>
        </w:rPr>
        <w:t xml:space="preserve">ITEM 5MARKET FOR REGISTRANT'S COMMON EQUITY, RELATED STOCKHOLDER MATTERS AND ISSUER PURCHASES OF EQUITY SECURITIES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Market Information for Common Stock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common stock is traded under the symbol "CRC" on the New York Stock Exchange (NYSE). </w:t>
      </w:r>
    </w:p>
    <w:p>
      <w:pPr>
        <w:pStyle w:val="TextBody"/>
        <w:bidi w:val="0"/>
        <w:spacing w:lineRule="auto" w:line="288" w:before="160" w:after="160"/>
        <w:jc w:val="both"/>
        <w:rPr/>
      </w:pPr>
      <w:r>
        <w:rPr>
          <w:rFonts w:ascii="Arial;sans-serif" w:hAnsi="Arial;sans-serif"/>
          <w:b/>
          <w:color w:val="000000"/>
          <w:sz w:val="20"/>
        </w:rPr>
        <w:t>Holders of Record</w:t>
      </w:r>
      <w:r>
        <w:rPr>
          <w:color w:val="000000"/>
        </w:rPr>
        <w:t>    </w:t>
      </w:r>
    </w:p>
    <w:p>
      <w:pPr>
        <w:pStyle w:val="TextBody"/>
        <w:bidi w:val="0"/>
        <w:spacing w:lineRule="auto" w:line="288" w:before="160" w:after="16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common stock was held by 4 stockholders of record at January 31, 2024, which does not include the beneficial owners for whom Cede and Co. or others act as nominees. </w:t>
      </w:r>
    </w:p>
    <w:p>
      <w:pPr>
        <w:pStyle w:val="TextBody"/>
        <w:bidi w:val="0"/>
        <w:spacing w:lineRule="auto" w:line="288" w:before="160" w:after="160"/>
        <w:jc w:val="both"/>
        <w:rPr>
          <w:rFonts w:ascii="Arial;sans-serif" w:hAnsi="Arial;sans-serif"/>
          <w:b/>
          <w:color w:val="000000"/>
          <w:sz w:val="20"/>
        </w:rPr>
      </w:pPr>
      <w:r>
        <w:rPr>
          <w:rFonts w:ascii="Arial;sans-serif" w:hAnsi="Arial;sans-serif"/>
          <w:b/>
          <w:color w:val="000000"/>
          <w:sz w:val="20"/>
        </w:rPr>
        <w:t>Dividend Policy    </w:t>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Board of Directors has approved a cash dividend policy that contemplates a total annual dividend of $1.24 per share of common stock, payable to stockholders in quarterly increments of $0.31 per share. This includes a recent amendment in November 2023 to our prior dividend policy that contemplated a total quarterly dividend of $0.2825 per share of common stock. Post closing of the Aera Merger, we expect to increase our quarterly dividend. Changes to our dividend policy and all dividends are subject to approval by our Board of Directors and will be determined based on conditions including our earnings, liquidity, capital requirements, financial condition, restrictions under our Revolving Credit Facility and Senior Notes and other factors.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Share Repurchases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Board of Directors authorized a Share Repurchase Program to acquire up to $1.35 billion of our common stock through December 31, 2025. This includes a recent increase of $250 million and extension approved by our Board of Directors on February 6, 2024. Our Share Repurchase Program does not obligate us to acquire any number of shares and may be discontinued at any time. For further information regarding our Share Repurchase Program, see </w:t>
      </w:r>
      <w:r>
        <w:rPr>
          <w:rFonts w:ascii="Arial;sans-serif" w:hAnsi="Arial;sans-serif"/>
          <w:b w:val="false"/>
          <w:i/>
          <w:color w:val="000000"/>
          <w:sz w:val="20"/>
        </w:rPr>
        <w:t xml:space="preserve">Part II, Item 7 – Management's Discussion and Analysis of Financial Results of Operations, Share Repurchase Program. </w:t>
      </w:r>
      <w:r>
        <w:rPr>
          <w:rFonts w:ascii="Arial;sans-serif" w:hAnsi="Arial;sans-serif"/>
          <w:b w:val="false"/>
          <w:color w:val="000000"/>
          <w:sz w:val="20"/>
        </w:rPr>
        <w:t xml:space="preserve">Our share repurchase activity for the year ended December 31, 2023 was as follows: </w:t>
      </w:r>
    </w:p>
    <w:p>
      <w:pPr>
        <w:pStyle w:val="TextBody"/>
        <w:bidi w:val="0"/>
        <w:spacing w:before="0" w:after="0"/>
        <w:ind w:left="0" w:right="0" w:hanging="1080"/>
        <w:jc w:val="both"/>
        <w:rPr/>
      </w:pPr>
      <w:r>
        <w:rPr/>
      </w:r>
    </w:p>
    <w:tbl>
      <w:tblPr>
        <w:tblW w:w="10205" w:type="dxa"/>
        <w:jc w:val="left"/>
        <w:tblInd w:w="0" w:type="dxa"/>
        <w:tblLayout w:type="fixed"/>
        <w:tblCellMar>
          <w:top w:w="28" w:type="dxa"/>
          <w:left w:w="28" w:type="dxa"/>
          <w:bottom w:w="28" w:type="dxa"/>
          <w:right w:w="28" w:type="dxa"/>
        </w:tblCellMar>
      </w:tblPr>
      <w:tblGrid>
        <w:gridCol w:w="770"/>
        <w:gridCol w:w="400"/>
        <w:gridCol w:w="406"/>
        <w:gridCol w:w="731"/>
        <w:gridCol w:w="487"/>
        <w:gridCol w:w="489"/>
        <w:gridCol w:w="109"/>
        <w:gridCol w:w="109"/>
        <w:gridCol w:w="109"/>
        <w:gridCol w:w="277"/>
        <w:gridCol w:w="849"/>
        <w:gridCol w:w="143"/>
        <w:gridCol w:w="109"/>
        <w:gridCol w:w="109"/>
        <w:gridCol w:w="109"/>
        <w:gridCol w:w="764"/>
        <w:gridCol w:w="764"/>
        <w:gridCol w:w="766"/>
        <w:gridCol w:w="109"/>
        <w:gridCol w:w="109"/>
        <w:gridCol w:w="109"/>
        <w:gridCol w:w="648"/>
        <w:gridCol w:w="1246"/>
        <w:gridCol w:w="484"/>
      </w:tblGrid>
      <w:tr>
        <w:trPr/>
        <w:tc>
          <w:tcPr>
            <w:tcW w:w="77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Maximum Dollar Value of Shares that May Yet be Purchased Under the Plans or Programs</w:t>
            </w:r>
            <w:r>
              <w:rPr>
                <w:rFonts w:ascii="Arial;sans-serif" w:hAnsi="Arial;sans-serif"/>
                <w:b/>
                <w:color w:val="000000"/>
                <w:sz w:val="13"/>
              </w:rPr>
              <w:t>(a)</w:t>
            </w:r>
          </w:p>
        </w:tc>
      </w:tr>
      <w:tr>
        <w:trPr/>
        <w:tc>
          <w:tcPr>
            <w:tcW w:w="1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January 1, 2023 - March 31, 2023</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1,423,764 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April 1, 2023 - June 30, 2023</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1,618,746 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July 1, 2023 - September 30, 2023</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365,145 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October 1, 2023 - October 31, 2023</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November 1, 2023 - November 30, 2023</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December 1, 2023 - December 31, 2023</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2023</w:t>
            </w:r>
          </w:p>
        </w:tc>
        <w:tc>
          <w:tcPr>
            <w:tcW w:w="12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3,407,655 </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(a)The remaining capacity for shares that may be acquired under our Share Repurchase Program was $497 million as of December 31, 2023 and $747 million as of February 6, 2024.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Securities Authorized for Issuance Under Equity Compensation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following table summarizes the securities available for issuance under equity compensation plans as of December 31, 2023. A description of our stock-based compensation plans can be found in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Item 8 – Financial Statements and Supplementary Data, Note 9 Stock-Based Compensation</w:t>
      </w:r>
      <w:r>
        <w:rPr>
          <w:rFonts w:ascii="Arial;sans-serif" w:hAnsi="Arial;sans-serif"/>
          <w:b w:val="false"/>
          <w:color w:val="000000"/>
          <w:sz w:val="20"/>
        </w:rPr>
        <w:t xml:space="preserve">.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94"/>
        <w:gridCol w:w="611"/>
        <w:gridCol w:w="601"/>
        <w:gridCol w:w="934"/>
        <w:gridCol w:w="692"/>
        <w:gridCol w:w="694"/>
        <w:gridCol w:w="109"/>
        <w:gridCol w:w="109"/>
        <w:gridCol w:w="109"/>
        <w:gridCol w:w="788"/>
        <w:gridCol w:w="788"/>
        <w:gridCol w:w="790"/>
        <w:gridCol w:w="109"/>
        <w:gridCol w:w="109"/>
        <w:gridCol w:w="109"/>
        <w:gridCol w:w="999"/>
        <w:gridCol w:w="809"/>
        <w:gridCol w:w="1151"/>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Plan Category</w:t>
            </w:r>
          </w:p>
        </w:tc>
        <w:tc>
          <w:tcPr>
            <w:tcW w:w="2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Number of securities remaining available for future issuance under equity compensation plans (excluding securities in column (a))</w:t>
            </w:r>
          </w:p>
        </w:tc>
      </w:tr>
      <w:tr>
        <w:trPr/>
        <w:tc>
          <w:tcPr>
            <w:tcW w:w="1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Equity compensation plans approved by security holders</w:t>
            </w:r>
            <w:r>
              <w:rPr>
                <w:rFonts w:ascii="Arial;sans-serif" w:hAnsi="Arial;sans-serif"/>
                <w:b w:val="false"/>
                <w:color w:val="000000"/>
                <w:sz w:val="13"/>
              </w:rPr>
              <w:t>(1)</w:t>
            </w:r>
          </w:p>
        </w:tc>
        <w:tc>
          <w:tcPr>
            <w:tcW w:w="1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1,250,000 </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1,192,507 </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Equity compensation plan not approved by security holders</w:t>
            </w:r>
            <w:r>
              <w:rPr>
                <w:rFonts w:ascii="Arial;sans-serif" w:hAnsi="Arial;sans-serif"/>
                <w:b w:val="false"/>
                <w:color w:val="000000"/>
                <w:sz w:val="13"/>
              </w:rPr>
              <w:t>(2)</w:t>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3,149,598 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5,920,463 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4,399,598 </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7,112,970 </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(1)Reflects shares available under our Employee Stock Purchase Plan for purchase at 85% of the lower of the market price at either (i) the beginning of a quarter or (ii) the end of a quarter.</w:t>
      </w:r>
    </w:p>
    <w:p>
      <w:pPr>
        <w:pStyle w:val="TextBody"/>
        <w:bidi w:val="0"/>
        <w:spacing w:lineRule="auto" w:line="288" w:before="0" w:after="0"/>
        <w:ind w:left="0" w:right="0" w:hanging="360"/>
        <w:jc w:val="left"/>
        <w:rPr/>
      </w:pPr>
      <w:r>
        <w:rPr>
          <w:rFonts w:ascii="Arial;sans-serif" w:hAnsi="Arial;sans-serif"/>
          <w:b w:val="false"/>
          <w:color w:val="000000"/>
          <w:sz w:val="16"/>
        </w:rPr>
        <w:t xml:space="preserve">(2)The aggregate number of 9,257,740 shares of our common stock authorized for issuance under our Long-Term Incentive Plan were approved by the Bankruptcy Court as part of the joint plan of reorganization upon our emergence from bankruptcy in 2020. The number of securities to be issued upon vesting of performance stock units assumes all units are earned upon either (i) achieving the specified 60-trading day volume weighted average prices for shares of our common stock or (ii) the absolute total shareholder return and total shareholder return relative to the SPDR S&amp;P Oil and Gas Exploration and Production Exchange-Traded Fund listed on the New York Stock Exchange. See </w:t>
      </w:r>
      <w:r>
        <w:rPr>
          <w:rFonts w:ascii="Arial;sans-serif" w:hAnsi="Arial;sans-serif"/>
          <w:b w:val="false"/>
          <w:i/>
          <w:color w:val="000000"/>
          <w:sz w:val="16"/>
        </w:rPr>
        <w:t xml:space="preserve">Part II, Item 8 – Financial Statements and Supplementary Data, Note 9 Stock-Based Compensation </w:t>
      </w:r>
      <w:r>
        <w:rPr>
          <w:rFonts w:ascii="Arial;sans-serif" w:hAnsi="Arial;sans-serif"/>
          <w:b w:val="false"/>
          <w:color w:val="000000"/>
          <w:sz w:val="16"/>
        </w:rPr>
        <w:t xml:space="preserve">for more information on these awards.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Performance Graph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graph compares the cumulative total return to stockholders on our common stock relative to the cumulative total returns of the S&amp;P 500 and Dow Jones U.S. Exploration and Production indexes and our peer group. The graph assumes that on October 28, 2020, $100 was invested in our common stock and in each of the peer group companies' common stock weighted by their relative market capitalization, or invested on October 31, 2020 in an index, and that all dividends were reinvested. The results shown are based on historical results and are not intended to suggest future performance.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2023 peer group consisted of Antero Resources Corporation; Berry Corporation; Callon Petroleum Company; Chord Energy Corporation; Civitas Resources, Inc.; Comstock Resources Inc.; Crescent Energy Company; Kosmos Energy Ltd.; Magnolia Oil &amp; Gas Corp; Matador Resources Company; Murphy Oil Corporation; Permian Resources Corporation; Range Resources Corporation; SM Energy Company; Southwestern Energy Company; Talos Energy Inc.; and Vermilion Energy Inc.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peer group changed from 2022. We added Civitas Resources, Inc. which is a newly formed company with similar market capitalization and operations. We also added Permian Resources Corporation to our peer group due to its similar market capitalization and operations. We removed Denbury Inc. and PDC Energy, Inc. from our peer group after they were acquired in 2023. We also removed Coterra Energy, Inc., which had a much larger market capitalization.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2022 peer group consisted of Antero Resources Corporation; Berry Corporation; Callon Petroleum Company; Chord Energy Corporation; Comstock Resources Inc.; Coterra Energy Inc.; Crescent Energy Company; Denbury Inc.; Kosmos Energy Ltd.; Magnolia Oil &amp; Gas Corp; Matador Resources Company; Murphy Oil Corporation; PDC Energy, Inc.; Range Resources Corporation; SM Energy Company; Southwestern Energy Company; Talos Energy Inc.; and Vermilion Energy Inc. Denbury Inc. and PDC Energy, Inc. have been excluded from the table below as they were acquired in 2023.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286500" cy="4933950"/>
            <wp:effectExtent l="0" t="0" r="0" b="0"/>
            <wp:docPr id="6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 descr=""/>
                    <pic:cNvPicPr>
                      <a:picLocks noChangeAspect="1" noChangeArrowheads="1"/>
                    </pic:cNvPicPr>
                  </pic:nvPicPr>
                  <pic:blipFill>
                    <a:blip r:embed="rId2"/>
                    <a:stretch>
                      <a:fillRect/>
                    </a:stretch>
                  </pic:blipFill>
                  <pic:spPr bwMode="auto">
                    <a:xfrm>
                      <a:off x="0" y="0"/>
                      <a:ext cx="6286500" cy="4933950"/>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tbl>
      <w:tblPr>
        <w:tblW w:w="8353" w:type="dxa"/>
        <w:jc w:val="left"/>
        <w:tblInd w:w="0" w:type="dxa"/>
        <w:tblLayout w:type="fixed"/>
        <w:tblCellMar>
          <w:top w:w="28" w:type="dxa"/>
          <w:left w:w="28" w:type="dxa"/>
          <w:bottom w:w="28" w:type="dxa"/>
          <w:right w:w="28" w:type="dxa"/>
        </w:tblCellMar>
      </w:tblPr>
      <w:tblGrid>
        <w:gridCol w:w="1206"/>
        <w:gridCol w:w="1060"/>
        <w:gridCol w:w="1063"/>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228"/>
        <w:gridCol w:w="228"/>
        <w:gridCol w:w="3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10/28/20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12/31/20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12/31/21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12/31/22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12/31/23</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California Resources Corp</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$157.27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$285.97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$296.45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$381.98</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S&amp;P 500</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$115.21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$148.28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$153.35</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Dow Jones US Exploration &amp; Production</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$143.37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$245.05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$391.02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$408.69</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2022 Peer Group</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$118.70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$256.53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$365.51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$368.66</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2023 Peer Group</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$136.65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$346.08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$498.98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$518.83</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CRC under the Securities Act of 1933, as amended, or the Exchange Act except to the extent that we specifically request it be treated as soliciting material or specifically incorporate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left"/>
        <w:rPr>
          <w:rFonts w:ascii="Arial;sans-serif" w:hAnsi="Arial;sans-serif"/>
          <w:b/>
          <w:color w:val="000000"/>
          <w:sz w:val="20"/>
        </w:rPr>
      </w:pPr>
      <w:r>
        <w:rPr>
          <w:rFonts w:ascii="Arial;sans-serif" w:hAnsi="Arial;sans-serif"/>
          <w:b/>
          <w:color w:val="000000"/>
          <w:sz w:val="20"/>
        </w:rPr>
        <w:t xml:space="preserve">ITEM 6RESERVED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both"/>
        <w:rPr>
          <w:rFonts w:ascii="Arial;sans-serif" w:hAnsi="Arial;sans-serif"/>
          <w:b/>
          <w:color w:val="000000"/>
          <w:sz w:val="20"/>
        </w:rPr>
      </w:pPr>
      <w:r>
        <w:rPr>
          <w:rFonts w:ascii="Arial;sans-serif" w:hAnsi="Arial;sans-serif"/>
          <w:b/>
          <w:color w:val="000000"/>
          <w:sz w:val="20"/>
        </w:rPr>
        <w:t xml:space="preserve">ITEM 7MANAGEMENT'S DISCUSSION AND ANALYSIS OF FINANCIAL CONDITION AND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following discussion should be read in conjunction with other sections of this report, including but not limited to, </w:t>
      </w:r>
      <w:r>
        <w:rPr>
          <w:rFonts w:ascii="Arial;sans-serif" w:hAnsi="Arial;sans-serif"/>
          <w:b w:val="false"/>
          <w:i/>
          <w:color w:val="000000"/>
          <w:sz w:val="20"/>
        </w:rPr>
        <w:t>Part I, Item 1 and 2 – Business and Properties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 xml:space="preserve">Part II, Item 8 – Financial Statements and Supplementary Data.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Part II, Item 7 – Management's Discussion and Analysis of Financial Condition and Results of Operations</w:t>
      </w:r>
      <w:r>
        <w:rPr>
          <w:color w:val="000000"/>
        </w:rPr>
        <w:t xml:space="preserve"> </w:t>
      </w:r>
      <w:r>
        <w:rPr>
          <w:rFonts w:ascii="Arial;sans-serif" w:hAnsi="Arial;sans-serif"/>
          <w:b w:val="false"/>
          <w:color w:val="000000"/>
          <w:sz w:val="20"/>
        </w:rPr>
        <w:t>in our 2022 Form 10-K for our analysis of the changes in our consolidated statements of operations and statements of cash flows for the year ended December 31, 2022 compared to December 31, 2021.</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Basis of Presentation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All financial information presented consists of our consolidated results of operations, financial position and cash flows unless otherwise indicated. We have eliminated all significant intercompany transactions and accounts. We account for our share of oil and natural gas production activities, in which we have a direct working interest by reporting our proportionate share of assets, liabilities, revenues, costs and cash flows within the relevant lines on our balance sheets and statements of operations and cash flows.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Pending Aera Merger</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7, 2024, we entered into a definitive agreement and plan of merger (Merger Agreement) to combine with Aera Energy, LLC (Aera) in an all-stock transaction (Aera Merger) with an effective date of January 1, 2024. Aera is a leading operator of mature fields in California, primarily in the San Joaquin and Ventura basins, with high oil-weighted production.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the Merger Agreement, we have agreed to issue 21,170,357 shares of common stock (subject to customary adjustments in the event of stock splits, dividend paid in stock and similar items) plus an additional number of shares determined by reference to the dividends declared by us having a record date between the effective date and closing as more fully described in the Merger Agreement. Under the terms of the Merger Agreement, we have also agreed to assume Aera’s outstanding long-term indebtedness of $950 million at closing. We expect to repay a significant portion of this indebtedness with cash on hand and borrowings under our Revolving Credit Facility. We intend to refinance the balance through one or more debt capital markets transactions and, only to the extent necessary, borrowings under a bridge loan facility provided by Citigroup Global Markets, Inc. (the Bank). Under the terms of our debt commitment letter with the Bank, it has committed, subject to satisfaction of customary conditions, to provide us with an unsecured 364-day bridge loan facility in an aggregate principal amount of $500 million (Bridge Loan Facility).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Closing of the Aera Merger is subject to certain conditions, including, among others, approval of the stock issuance by our stockholders, expiration of the applicable waiting period under the Hart-Scott-Rodino Antitrust Improvements Act of 1976, as amended, prior authorization by the Federal Energy Regulatory Commission under Section 203 of the Federal Power Act and other customary closing conditions.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Upon completion of the transaction, we currently expect our existing stockholders to own approximately 77.1% of the combined company and the existing Aera owners to own approximately 22.9% of the combined company, on a fully diluted basis. The Aera Merger is expected to close in the second half of 2024. Post closing of the Aera Merger, and subject to Board approval, we expect to increase our quarterly dividend.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Production, Prices and Realizations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sets forth our average net production volumes of oil, NGLs and natural gas per day for the years ended December 31, 2023, 2022 and 2021: </w:t>
      </w:r>
    </w:p>
    <w:tbl>
      <w:tblPr>
        <w:tblW w:w="6135" w:type="dxa"/>
        <w:jc w:val="left"/>
        <w:tblInd w:w="0" w:type="dxa"/>
        <w:tblLayout w:type="fixed"/>
        <w:tblCellMar>
          <w:top w:w="28" w:type="dxa"/>
          <w:left w:w="28" w:type="dxa"/>
          <w:bottom w:w="28" w:type="dxa"/>
          <w:right w:w="28" w:type="dxa"/>
        </w:tblCellMar>
      </w:tblPr>
      <w:tblGrid>
        <w:gridCol w:w="1249"/>
        <w:gridCol w:w="1094"/>
        <w:gridCol w:w="1106"/>
        <w:gridCol w:w="240"/>
        <w:gridCol w:w="241"/>
        <w:gridCol w:w="176"/>
        <w:gridCol w:w="109"/>
        <w:gridCol w:w="109"/>
        <w:gridCol w:w="109"/>
        <w:gridCol w:w="240"/>
        <w:gridCol w:w="241"/>
        <w:gridCol w:w="176"/>
        <w:gridCol w:w="109"/>
        <w:gridCol w:w="109"/>
        <w:gridCol w:w="109"/>
        <w:gridCol w:w="240"/>
        <w:gridCol w:w="241"/>
        <w:gridCol w:w="237"/>
      </w:tblGrid>
      <w:tr>
        <w:trPr/>
        <w:tc>
          <w:tcPr>
            <w:tcW w:w="124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Oil (MBbl/d)</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Ventura Basin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NGLs (MBbl/d)</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Natural gas (MMcf/d)</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Ventura Basin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Sacramento Basin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Daily Net Production (MBoe/d)</w:t>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changes to our total daily net production per day for the years ended December 31, 2023, 2022 and 2021: </w:t>
      </w:r>
    </w:p>
    <w:p>
      <w:pPr>
        <w:pStyle w:val="TextBody"/>
        <w:bidi w:val="0"/>
        <w:spacing w:before="0" w:after="0"/>
        <w:ind w:left="0" w:right="0" w:firstLine="360"/>
        <w:jc w:val="left"/>
        <w:rPr/>
      </w:pPr>
      <w:r>
        <w:rPr/>
      </w:r>
    </w:p>
    <w:tbl>
      <w:tblPr>
        <w:tblW w:w="8510" w:type="dxa"/>
        <w:jc w:val="left"/>
        <w:tblInd w:w="0" w:type="dxa"/>
        <w:tblLayout w:type="fixed"/>
        <w:tblCellMar>
          <w:top w:w="28" w:type="dxa"/>
          <w:left w:w="28" w:type="dxa"/>
          <w:bottom w:w="28" w:type="dxa"/>
          <w:right w:w="28" w:type="dxa"/>
        </w:tblCellMar>
      </w:tblPr>
      <w:tblGrid>
        <w:gridCol w:w="825"/>
        <w:gridCol w:w="726"/>
        <w:gridCol w:w="728"/>
        <w:gridCol w:w="614"/>
        <w:gridCol w:w="614"/>
        <w:gridCol w:w="616"/>
        <w:gridCol w:w="109"/>
        <w:gridCol w:w="109"/>
        <w:gridCol w:w="109"/>
        <w:gridCol w:w="614"/>
        <w:gridCol w:w="614"/>
        <w:gridCol w:w="616"/>
        <w:gridCol w:w="109"/>
        <w:gridCol w:w="109"/>
        <w:gridCol w:w="109"/>
        <w:gridCol w:w="552"/>
        <w:gridCol w:w="552"/>
        <w:gridCol w:w="785"/>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Year ended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Year ended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Year ended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MBoe/d)</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of the year</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Divestitures</w:t>
            </w:r>
            <w:r>
              <w:rPr>
                <w:rFonts w:ascii="Arial;sans-serif" w:hAnsi="Arial;sans-serif"/>
                <w:b w:val="false"/>
                <w:color w:val="000000"/>
                <w:sz w:val="13"/>
              </w:rPr>
              <w:t>(a)</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Plant downtime</w:t>
            </w:r>
            <w:r>
              <w:rPr>
                <w:rFonts w:ascii="Arial;sans-serif" w:hAnsi="Arial;sans-serif"/>
                <w:b w:val="false"/>
                <w:color w:val="000000"/>
                <w:sz w:val="13"/>
              </w:rPr>
              <w:t>(b)</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Acquisitions</w:t>
            </w:r>
            <w:r>
              <w:rPr>
                <w:rFonts w:ascii="Arial;sans-serif" w:hAnsi="Arial;sans-serif"/>
                <w:b w:val="false"/>
                <w:color w:val="000000"/>
                <w:sz w:val="13"/>
              </w:rPr>
              <w:t>(a)</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PSC effect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decline and other</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w:t>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 of the year</w:t>
            </w:r>
          </w:p>
        </w:tc>
        <w:tc>
          <w:tcPr>
            <w:tcW w:w="12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Arial;sans-serif" w:hAnsi="Arial;sans-serif"/>
          <w:b w:val="false"/>
          <w:color w:val="000000"/>
          <w:sz w:val="16"/>
        </w:rPr>
        <w:t xml:space="preserve">(a)See </w:t>
      </w:r>
      <w:r>
        <w:rPr>
          <w:rFonts w:ascii="Arial;sans-serif" w:hAnsi="Arial;sans-serif"/>
          <w:b w:val="false"/>
          <w:i/>
          <w:color w:val="000000"/>
          <w:sz w:val="16"/>
        </w:rPr>
        <w:t>Part II, Item 8 – Financial Statements and Supplementary Data, Note 8 Divestitures and Acquisitions</w:t>
      </w:r>
      <w:r>
        <w:rPr>
          <w:color w:val="000000"/>
        </w:rPr>
        <w:t xml:space="preserve"> </w:t>
      </w:r>
      <w:r>
        <w:rPr>
          <w:rFonts w:ascii="Arial;sans-serif" w:hAnsi="Arial;sans-serif"/>
          <w:b w:val="false"/>
          <w:color w:val="000000"/>
          <w:sz w:val="16"/>
        </w:rPr>
        <w:t xml:space="preserve">for more information. Note that in 2023, our divestitures did not have a significant impact on our production volumes because the sale of our non-operated working interest in the Round Mountain Unit closed on December 29, 2023 and we sold a non-producing asset during the year. </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(b)In the first quarter of 2022, we conducted routine maintenance at one of our gas processing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operating results and those of the oil and natural gas industry as a whole are heavily influenced by commodity prices. Global commodity prices decreased during 2023 compared to 2022 predominately as a result of growing inventories and decreased demand. Oil and natural gas prices and differentials may fluctuate significantly as a result of numerous market-related variables. These and other factors make it impossible to predict realized prices reliably. The following tables set forth average benchmark prices, average realized prices and price realizations as a percentage of average benchmark prices for our products for the periods indicated below: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73"/>
        <w:gridCol w:w="657"/>
        <w:gridCol w:w="492"/>
        <w:gridCol w:w="231"/>
        <w:gridCol w:w="708"/>
        <w:gridCol w:w="119"/>
        <w:gridCol w:w="109"/>
        <w:gridCol w:w="109"/>
        <w:gridCol w:w="109"/>
        <w:gridCol w:w="380"/>
        <w:gridCol w:w="380"/>
        <w:gridCol w:w="381"/>
        <w:gridCol w:w="109"/>
        <w:gridCol w:w="109"/>
        <w:gridCol w:w="109"/>
        <w:gridCol w:w="231"/>
        <w:gridCol w:w="708"/>
        <w:gridCol w:w="119"/>
        <w:gridCol w:w="109"/>
        <w:gridCol w:w="109"/>
        <w:gridCol w:w="109"/>
        <w:gridCol w:w="380"/>
        <w:gridCol w:w="380"/>
        <w:gridCol w:w="381"/>
        <w:gridCol w:w="109"/>
        <w:gridCol w:w="109"/>
        <w:gridCol w:w="109"/>
        <w:gridCol w:w="231"/>
        <w:gridCol w:w="708"/>
        <w:gridCol w:w="119"/>
        <w:gridCol w:w="109"/>
        <w:gridCol w:w="109"/>
        <w:gridCol w:w="109"/>
        <w:gridCol w:w="347"/>
        <w:gridCol w:w="347"/>
        <w:gridCol w:w="498"/>
      </w:tblGrid>
      <w:tr>
        <w:trPr/>
        <w:tc>
          <w:tcPr>
            <w:tcW w:w="77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2021</w:t>
            </w:r>
          </w:p>
        </w:tc>
      </w:tr>
      <w:tr>
        <w:trPr/>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Average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Average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Average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 per Bbl)</w:t>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Brent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99%</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Effects of derivative settlements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79%</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WTI</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104%</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83%</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NGLs ($ per Bbl)</w:t>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Realized price</w:t>
            </w:r>
            <w:r>
              <w:rPr>
                <w:rFonts w:ascii="Arial;sans-serif" w:hAnsi="Arial;sans-serif"/>
                <w:b w:val="false"/>
                <w:color w:val="000000"/>
                <w:sz w:val="12"/>
              </w:rPr>
              <w:t>(a)</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76%</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Realized price</w:t>
            </w:r>
            <w:r>
              <w:rPr>
                <w:rFonts w:ascii="Arial;sans-serif" w:hAnsi="Arial;sans-serif"/>
                <w:b w:val="false"/>
                <w:color w:val="000000"/>
                <w:sz w:val="12"/>
              </w:rPr>
              <w:t>(b)</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79%</w:t>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Natural gas </w:t>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922"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922"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922"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922"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922"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NYMEX ($/MMBTU) - Average Monthly Settled Price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 ($/Mcf)</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110%</w:t>
            </w:r>
          </w:p>
        </w:tc>
      </w:tr>
      <w:tr>
        <w:trPr/>
        <w:tc>
          <w:tcPr>
            <w:tcW w:w="1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Effects of derivative settlements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 ($/Mcf)</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109%</w:t>
            </w:r>
          </w:p>
        </w:tc>
      </w:tr>
    </w:tbl>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(a) Calculated as a percentage of Brent.</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(b) Calculated as a percentage of WTI.</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Oil</w:t>
      </w:r>
      <w:r>
        <w:rPr>
          <w:color w:val="000000"/>
        </w:rPr>
        <w:t xml:space="preserve"> — </w:t>
      </w:r>
      <w:r>
        <w:rPr>
          <w:rFonts w:ascii="Arial;sans-serif" w:hAnsi="Arial;sans-serif"/>
          <w:b w:val="false"/>
          <w:color w:val="000000"/>
          <w:sz w:val="20"/>
        </w:rPr>
        <w:t xml:space="preserve">Brent and realized prices excluding derivative settlements were lower for the year ended December 31, 2023 compared to 2022. The decrease was largely a result of reduced risk premiums associated with the conflict in Ukraine, Russian crude and refined products demonstrating that they could make it to market regardless of sanctions, and increasing production from OPEC producers, such as Iran and Venezuela, and non-OPEC producers including Brazil and the United States.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NGLs</w:t>
      </w:r>
      <w:r>
        <w:rPr>
          <w:color w:val="000000"/>
        </w:rPr>
        <w:t xml:space="preserve"> — </w:t>
      </w:r>
      <w:r>
        <w:rPr>
          <w:rFonts w:ascii="Arial;sans-serif" w:hAnsi="Arial;sans-serif"/>
          <w:b w:val="false"/>
          <w:color w:val="000000"/>
          <w:sz w:val="20"/>
        </w:rPr>
        <w:t xml:space="preserve">Prices for NGLs decreased in the year ended December 31, 2023 compared to 2022 as prices for competing and complementary products (natural gas, crude oil) declined and as NGL production and inventories grew to near-record levels. For the year ended December 31, 2023, California continue to benefit from premium pricing for NGLs compared to other North American locations.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Natural Gas</w:t>
      </w:r>
      <w:r>
        <w:rPr>
          <w:color w:val="000000"/>
        </w:rPr>
        <w:t xml:space="preserve"> — </w:t>
      </w:r>
      <w:r>
        <w:rPr>
          <w:rFonts w:ascii="Arial;sans-serif" w:hAnsi="Arial;sans-serif"/>
          <w:b w:val="false"/>
          <w:color w:val="000000"/>
          <w:sz w:val="20"/>
        </w:rPr>
        <w:t xml:space="preserve">California natural gas realized prices for the year ended December 31, 2023 averaged slightly above those for 2022 driven largely by price spikes during the first quarter of 2023 which exceeded the price spike experienced in the fourth quarter of 2022. For the balance of 2023, prices in California and nationally were generally weaker as storage inventories were restored and as North American natural gas production grew. </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Divestitures and Acquisitions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From time to time, we review our extensive portfolio of assets for potential divestitures. See </w:t>
      </w:r>
      <w:r>
        <w:rPr>
          <w:rFonts w:ascii="Arial;sans-serif" w:hAnsi="Arial;sans-serif"/>
          <w:b w:val="false"/>
          <w:i/>
          <w:color w:val="000000"/>
          <w:sz w:val="20"/>
        </w:rPr>
        <w:t>Part II, Item 8 – Financial Statements and Supplementary Data, Note 8 Divestitures and Acquisitions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Note 17 Subsequent Events</w:t>
      </w:r>
      <w:r>
        <w:rPr>
          <w:color w:val="000000"/>
        </w:rPr>
        <w:t xml:space="preserve"> </w:t>
      </w:r>
      <w:r>
        <w:rPr>
          <w:rFonts w:ascii="Arial;sans-serif" w:hAnsi="Arial;sans-serif"/>
          <w:b w:val="false"/>
          <w:color w:val="000000"/>
          <w:sz w:val="20"/>
        </w:rPr>
        <w:t>for more information on our transactions.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Carbon TerraVault Joint Venture </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Part II, Item 8 – Financial Statements and Supplementary Data, Note 3 Investment in Unconsolidated Subsidiary and Related Party Transactions</w:t>
      </w:r>
      <w:r>
        <w:rPr>
          <w:color w:val="000000"/>
        </w:rPr>
        <w:t xml:space="preserve"> </w:t>
      </w:r>
      <w:r>
        <w:rPr>
          <w:rFonts w:ascii="Arial;sans-serif" w:hAnsi="Arial;sans-serif"/>
          <w:b w:val="false"/>
          <w:color w:val="000000"/>
          <w:sz w:val="20"/>
        </w:rPr>
        <w:t xml:space="preserve">for more information on our Carbon TerraVault JV.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Supply Chain and Inflation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continued to experience relatively flat pricing from our suppliers in 2023 as compared to 2022. We have long term vendor relationships and have taken measures to limit the effects of inflation by entering into contracts for a significant majority of our materials and services with terms of one to three years. We have not experienced any meaningful inflation in connection with recent contract renewals. Overall, we continue to expect minimal inflation in our supply chain.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Seasonality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Certain of our operating costs and the prices for our products fluctuate throughout the year. For example, prices for natural gas (that we both sell and purchase for use in our operations) tend to be higher in the winter and summer months. However, seasonality overall does not have a material effect on our earnings during the year.</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Income Taxes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All of our income is earned from domestic operations and is subject to tax in the United States. The following table sets forth our effective tax rate on income from continuing operations: </w:t>
      </w:r>
    </w:p>
    <w:p>
      <w:pPr>
        <w:pStyle w:val="TextBody"/>
        <w:bidi w:val="0"/>
        <w:spacing w:before="0" w:after="0"/>
        <w:ind w:left="0" w:right="0" w:firstLine="360"/>
        <w:jc w:val="left"/>
        <w:rPr/>
      </w:pPr>
      <w:r>
        <w:rPr/>
      </w:r>
    </w:p>
    <w:tbl>
      <w:tblPr>
        <w:tblW w:w="8329" w:type="dxa"/>
        <w:jc w:val="left"/>
        <w:tblInd w:w="0" w:type="dxa"/>
        <w:tblLayout w:type="fixed"/>
        <w:tblCellMar>
          <w:top w:w="28" w:type="dxa"/>
          <w:left w:w="28" w:type="dxa"/>
          <w:bottom w:w="28" w:type="dxa"/>
          <w:right w:w="28" w:type="dxa"/>
        </w:tblCellMar>
      </w:tblPr>
      <w:tblGrid>
        <w:gridCol w:w="1886"/>
        <w:gridCol w:w="1656"/>
        <w:gridCol w:w="1662"/>
        <w:gridCol w:w="209"/>
        <w:gridCol w:w="197"/>
        <w:gridCol w:w="326"/>
        <w:gridCol w:w="124"/>
        <w:gridCol w:w="124"/>
        <w:gridCol w:w="124"/>
        <w:gridCol w:w="209"/>
        <w:gridCol w:w="197"/>
        <w:gridCol w:w="326"/>
        <w:gridCol w:w="124"/>
        <w:gridCol w:w="124"/>
        <w:gridCol w:w="124"/>
        <w:gridCol w:w="278"/>
        <w:gridCol w:w="262"/>
        <w:gridCol w:w="377"/>
      </w:tblGrid>
      <w:tr>
        <w:trPr/>
        <w:tc>
          <w:tcPr>
            <w:tcW w:w="188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w:t>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2021</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federal statutory tax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State income taxes, net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Exclusion of income attributable to noncontrolling interests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tax attributes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the U.S. federal valuation allowance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During the year ended December 31, 2023, we released a valuation allowance of $35 million for a portion of the tax loss on the sale of our Lost Hills assets after we jointly agreed to amend the original tax treatment with the buyer. See </w:t>
      </w:r>
      <w:r>
        <w:rPr>
          <w:rFonts w:ascii="Arial;sans-serif" w:hAnsi="Arial;sans-serif"/>
          <w:b w:val="false"/>
          <w:i/>
          <w:color w:val="000000"/>
          <w:sz w:val="20"/>
        </w:rPr>
        <w:t>Part II, Item 8 – Financial Statements and Supplementary Data, Note 8 Divestitures and Acquisitions</w:t>
      </w:r>
      <w:r>
        <w:rPr>
          <w:color w:val="000000"/>
        </w:rPr>
        <w:t xml:space="preserve"> </w:t>
      </w:r>
      <w:r>
        <w:rPr>
          <w:rFonts w:ascii="Arial;sans-serif" w:hAnsi="Arial;sans-serif"/>
          <w:b w:val="false"/>
          <w:color w:val="000000"/>
          <w:sz w:val="20"/>
        </w:rPr>
        <w:t xml:space="preserve">for more information on the Lost Hills transaction. This valuation allowance was initially recorded during the year ended December 31, 2022 for the realizability of a capital loss on the sale of Lost Hills, the deductibility of which was limited. During the year ended December 31, 2021, we released all of our valuation allowance recorded against our net deferred tax assets given our anticipated future earnings trend at that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years ended December 31, 2022 and 2021, we recognized a tax benefit for tax credits related to our oil and gas operations. The tax benefit of these credits is presented as changes in tax attributes in our effective tax rate reconciliations.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Management expects to realize the recorded deferred tax assets primarily through future operating income and reversal of taxable temporary differences. The amount of deferred tax assets considered realizable is not assured and could be adjusted if estimates change or three-years of cumulative income is no longer present. For additional information on tax-related items see </w:t>
      </w:r>
      <w:r>
        <w:rPr>
          <w:rFonts w:ascii="Arial;sans-serif" w:hAnsi="Arial;sans-serif"/>
          <w:b w:val="false"/>
          <w:i/>
          <w:color w:val="000000"/>
          <w:sz w:val="20"/>
        </w:rPr>
        <w:t>Part II, Item 8 – Financial Statements and Supplementary Data, Note 7 Income Taxes</w:t>
      </w:r>
      <w:r>
        <w:rPr>
          <w:rFonts w:ascii="Arial;sans-serif" w:hAnsi="Arial;sans-serif"/>
          <w:b w:val="false"/>
          <w:color w:val="000000"/>
          <w:sz w:val="20"/>
        </w:rPr>
        <w: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Statement of Operations Analysis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Results of Oil and Natural Gas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includes key operating data for our oil and natural gas operations, excluding unallocated corporate expenses, on a per Boe basis for the years ended December 31, 2023, 2022 and 2021. 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 </w:t>
      </w:r>
    </w:p>
    <w:p>
      <w:pPr>
        <w:pStyle w:val="TextBody"/>
        <w:bidi w:val="0"/>
        <w:spacing w:before="0" w:after="0"/>
        <w:ind w:left="0" w:right="0" w:firstLine="360"/>
        <w:jc w:val="left"/>
        <w:rPr/>
      </w:pPr>
      <w:r>
        <w:rPr/>
      </w:r>
    </w:p>
    <w:tbl>
      <w:tblPr>
        <w:tblW w:w="7811" w:type="dxa"/>
        <w:jc w:val="left"/>
        <w:tblInd w:w="0" w:type="dxa"/>
        <w:tblLayout w:type="fixed"/>
        <w:tblCellMar>
          <w:top w:w="28" w:type="dxa"/>
          <w:left w:w="28" w:type="dxa"/>
          <w:bottom w:w="28" w:type="dxa"/>
          <w:right w:w="28" w:type="dxa"/>
        </w:tblCellMar>
      </w:tblPr>
      <w:tblGrid>
        <w:gridCol w:w="1523"/>
        <w:gridCol w:w="1344"/>
        <w:gridCol w:w="1347"/>
        <w:gridCol w:w="211"/>
        <w:gridCol w:w="646"/>
        <w:gridCol w:w="109"/>
        <w:gridCol w:w="109"/>
        <w:gridCol w:w="109"/>
        <w:gridCol w:w="109"/>
        <w:gridCol w:w="211"/>
        <w:gridCol w:w="646"/>
        <w:gridCol w:w="109"/>
        <w:gridCol w:w="109"/>
        <w:gridCol w:w="109"/>
        <w:gridCol w:w="109"/>
        <w:gridCol w:w="211"/>
        <w:gridCol w:w="646"/>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per Boe)</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Field general and administrative expenses</w:t>
            </w:r>
            <w:r>
              <w:rPr>
                <w:rFonts w:ascii="Arial;sans-serif" w:hAnsi="Arial;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Field depreciation, depletion and amortization</w:t>
            </w:r>
            <w:r>
              <w:rPr>
                <w:rFonts w:ascii="Arial;sans-serif" w:hAnsi="Arial;sans-serif"/>
                <w:b w:val="false"/>
                <w:color w:val="000000"/>
                <w:sz w:val="13"/>
              </w:rPr>
              <w:t>(b)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Field taxes other than on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Field transportation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(a)Excludes unallocated general and administrative expenses.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(b)Excludes depreciation, depletion and amortization related to our corporate assets and Elk Hills power plant.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Energy operating costs were higher on a per Boe basis in 2023 compared to 2022 as a result of lower production volumes in 2023. Non-energy operating costs were higher in 2023 compared to 2022 on a per Boe basis due to higher compensation-related costs for field personnel and additional downhole maintenance activity in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Field depreciation, depletion and amortization increased in 2023 compared to the prior year primarily due to a change in our depreciation, depletion and amortization rates which are periodically adjusted to reflect an update of our SEC reserve estimates. Lower production volumes also contributed to the increase on a per Boe basis.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Field taxes other than on income were higher in 2023 on a per Boe basis due to lower production volumes in 2023.</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Reorganization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we undertook initiatives to streamline our operations and implemented organizational changes. These actions were taken to better align our resources to our strategic priorities and improve operational efficiency. As a result, we recognized a severance charge of $10 million, included in other operating expenses, net on our consolidated statement of operations. In 2024, we expect to realize annualized savings of approximately $65 million, of which $50 million relates to operating costs, $10 million relates to general and administrative expenses, with the remainder reducing exploration expense and capital. Our results of operations for 2023 reflect partial savings achieved as actions were taken beginning in August 2023 and continuing into the fourth quarter.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Year Ended December 31, 2023 vs. 2022</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total operating revenues: </w:t>
      </w:r>
    </w:p>
    <w:p>
      <w:pPr>
        <w:pStyle w:val="TextBody"/>
        <w:bidi w:val="0"/>
        <w:spacing w:before="0" w:after="0"/>
        <w:jc w:val="left"/>
        <w:rPr/>
      </w:pPr>
      <w:r>
        <w:rPr/>
      </w:r>
    </w:p>
    <w:tbl>
      <w:tblPr>
        <w:tblW w:w="6415" w:type="dxa"/>
        <w:jc w:val="left"/>
        <w:tblInd w:w="0" w:type="dxa"/>
        <w:tblLayout w:type="fixed"/>
        <w:tblCellMar>
          <w:top w:w="28" w:type="dxa"/>
          <w:left w:w="28" w:type="dxa"/>
          <w:bottom w:w="28" w:type="dxa"/>
          <w:right w:w="28" w:type="dxa"/>
        </w:tblCellMar>
      </w:tblPr>
      <w:tblGrid>
        <w:gridCol w:w="1199"/>
        <w:gridCol w:w="1052"/>
        <w:gridCol w:w="1064"/>
        <w:gridCol w:w="297"/>
        <w:gridCol w:w="912"/>
        <w:gridCol w:w="155"/>
        <w:gridCol w:w="109"/>
        <w:gridCol w:w="109"/>
        <w:gridCol w:w="109"/>
        <w:gridCol w:w="293"/>
        <w:gridCol w:w="900"/>
        <w:gridCol w:w="216"/>
      </w:tblGrid>
      <w:tr>
        <w:trPr/>
        <w:tc>
          <w:tcPr>
            <w:tcW w:w="119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36" w:type="dxa"/>
            <w:gridSpan w:val="6"/>
            <w:tcBorders/>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w:t>
              <w:br/>
              <w:t>December 31,</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NGL sales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from commodity derivatives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Marketing of purchased natural gas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sales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revenue</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Oil, natural gas and NGL sales</w:t>
      </w:r>
      <w:r>
        <w:rPr>
          <w:color w:val="000000"/>
        </w:rPr>
        <w:t xml:space="preserve"> – </w:t>
      </w:r>
      <w:r>
        <w:rPr>
          <w:rFonts w:ascii="Arial;sans-serif" w:hAnsi="Arial;sans-serif"/>
          <w:b w:val="false"/>
          <w:color w:val="000000"/>
          <w:sz w:val="20"/>
        </w:rPr>
        <w:t xml:space="preserve">Oil, natural gas and NGL sales, excluding the impact of payments on settled commodity derivatives, were $2,155 million for the year ended December 31, 2023, which is a decrease of $488 million, compared to $2,643 million for the year ended December 31, 2022. The decrease was primarily due to lower realized prices and lower production volumes for oil, as shown in the following table: </w:t>
      </w:r>
    </w:p>
    <w:tbl>
      <w:tblPr>
        <w:tblW w:w="7809" w:type="dxa"/>
        <w:jc w:val="left"/>
        <w:tblInd w:w="0" w:type="dxa"/>
        <w:tblLayout w:type="fixed"/>
        <w:tblCellMar>
          <w:top w:w="28" w:type="dxa"/>
          <w:left w:w="28" w:type="dxa"/>
          <w:bottom w:w="28" w:type="dxa"/>
          <w:right w:w="28" w:type="dxa"/>
        </w:tblCellMar>
      </w:tblPr>
      <w:tblGrid>
        <w:gridCol w:w="1037"/>
        <w:gridCol w:w="911"/>
        <w:gridCol w:w="917"/>
        <w:gridCol w:w="211"/>
        <w:gridCol w:w="646"/>
        <w:gridCol w:w="109"/>
        <w:gridCol w:w="109"/>
        <w:gridCol w:w="109"/>
        <w:gridCol w:w="109"/>
        <w:gridCol w:w="211"/>
        <w:gridCol w:w="481"/>
        <w:gridCol w:w="109"/>
        <w:gridCol w:w="109"/>
        <w:gridCol w:w="109"/>
        <w:gridCol w:w="109"/>
        <w:gridCol w:w="312"/>
        <w:gridCol w:w="712"/>
        <w:gridCol w:w="161"/>
        <w:gridCol w:w="109"/>
        <w:gridCol w:w="109"/>
        <w:gridCol w:w="109"/>
        <w:gridCol w:w="211"/>
        <w:gridCol w:w="64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Year ended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production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Year ended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Note: See </w:t>
      </w:r>
      <w:r>
        <w:rPr>
          <w:rFonts w:ascii="Arial;sans-serif" w:hAnsi="Arial;sans-serif"/>
          <w:b w:val="false"/>
          <w:i/>
          <w:color w:val="000000"/>
          <w:sz w:val="16"/>
        </w:rPr>
        <w:t>Production, Prices and Realizations</w:t>
      </w:r>
      <w:r>
        <w:rPr>
          <w:color w:val="000000"/>
        </w:rPr>
        <w:t xml:space="preserve"> </w:t>
      </w:r>
      <w:r>
        <w:rPr>
          <w:rFonts w:ascii="Arial;sans-serif" w:hAnsi="Arial;sans-serif"/>
          <w:b w:val="false"/>
          <w:color w:val="000000"/>
          <w:sz w:val="16"/>
        </w:rPr>
        <w:t xml:space="preserve">for volumes and realized prices by commodity type for each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effect of cash settlements on our commodity derivative contracts is not included in oil, natural gas and NGL sales. Including the effect of net payments on settled commodity derivatives described below, our oil, natural gas and NGL sales decreased by $22 million in 2023 compared to the same prior year period.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loss from commodity derivatives</w:t>
      </w:r>
      <w:r>
        <w:rPr>
          <w:color w:val="000000"/>
        </w:rPr>
        <w:t xml:space="preserve"> – </w:t>
      </w:r>
      <w:r>
        <w:rPr>
          <w:rFonts w:ascii="Arial;sans-serif" w:hAnsi="Arial;sans-serif"/>
          <w:b w:val="false"/>
          <w:color w:val="000000"/>
          <w:sz w:val="20"/>
        </w:rPr>
        <w:t xml:space="preserve">Net loss from commodity derivatives was $12 million for the year ended December 31, 2023 compared to a net loss of $551 million for the year ended December 31, 2022. The change primarily resulted from payments on settled commodity derivatives and the non-cash changes in the fair value of our outstanding commodity derivatives from the positions held at the end of each measurement period. Gains and losses from our commodity derivative contracts are shown in the table below: </w:t>
      </w:r>
    </w:p>
    <w:p>
      <w:pPr>
        <w:pStyle w:val="TextBody"/>
        <w:bidi w:val="0"/>
        <w:spacing w:before="0" w:after="0"/>
        <w:ind w:left="0" w:right="0" w:firstLine="360"/>
        <w:jc w:val="left"/>
        <w:rPr/>
      </w:pPr>
      <w:r>
        <w:rPr/>
      </w:r>
    </w:p>
    <w:tbl>
      <w:tblPr>
        <w:tblW w:w="6477" w:type="dxa"/>
        <w:jc w:val="left"/>
        <w:tblInd w:w="0" w:type="dxa"/>
        <w:tblLayout w:type="fixed"/>
        <w:tblCellMar>
          <w:top w:w="28" w:type="dxa"/>
          <w:left w:w="28" w:type="dxa"/>
          <w:bottom w:w="28" w:type="dxa"/>
          <w:right w:w="28" w:type="dxa"/>
        </w:tblCellMar>
      </w:tblPr>
      <w:tblGrid>
        <w:gridCol w:w="1221"/>
        <w:gridCol w:w="1074"/>
        <w:gridCol w:w="1080"/>
        <w:gridCol w:w="358"/>
        <w:gridCol w:w="820"/>
        <w:gridCol w:w="187"/>
        <w:gridCol w:w="109"/>
        <w:gridCol w:w="109"/>
        <w:gridCol w:w="109"/>
        <w:gridCol w:w="351"/>
        <w:gridCol w:w="801"/>
        <w:gridCol w:w="258"/>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w:t>
              <w:br/>
              <w:t>December 31,</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commodity derivative gain</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 and amortized premiums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from commodity derivatives</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Marketing of purchased natural gas</w:t>
      </w:r>
      <w:r>
        <w:rPr>
          <w:color w:val="000000"/>
        </w:rPr>
        <w:t xml:space="preserve"> – </w:t>
      </w:r>
      <w:r>
        <w:rPr>
          <w:rFonts w:ascii="Arial;sans-serif" w:hAnsi="Arial;sans-serif"/>
          <w:b w:val="false"/>
          <w:color w:val="000000"/>
          <w:sz w:val="20"/>
        </w:rPr>
        <w:t xml:space="preserve">Marketing of purchased natural gas relates to natural gas acquired from third parties which is subsequently sold in connection with certain of our marketing activities. Marketing of purchased natural gas was $401 million during the year ended December 31, 2023, which is an increase of $87 million from $314 million during the same prior year period. The increase was primarily a result of higher prices for natural gas acquired for resale during 2023, which included unusually high prices in January 2023. As part of our marketing activities, we may purchase gas in producing areas and transport for sales to areas with higher pricing. Revenues from marketing purchased natural gas net of related purchased natural gas marketing expense increased $139 million from $180 million in 2023 compared to $41 million in 2022.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sales</w:t>
      </w:r>
      <w:r>
        <w:rPr>
          <w:color w:val="000000"/>
        </w:rPr>
        <w:t xml:space="preserve"> – </w:t>
      </w:r>
      <w:r>
        <w:rPr>
          <w:rFonts w:ascii="Arial;sans-serif" w:hAnsi="Arial;sans-serif"/>
          <w:b w:val="false"/>
          <w:color w:val="000000"/>
          <w:sz w:val="20"/>
        </w:rPr>
        <w:t xml:space="preserve">Electricity sales decreased by $50 million to $211 million during the year ended December 31, 2023 compared to $261 million for the year ended December 31, 2022. The decrease was predominantly due to lower electricity prices in 2023.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605" cy="14605"/>
                <wp:effectExtent l="0" t="0" r="0" b="0"/>
                <wp:wrapNone/>
                <wp:docPr id="70" name="Frame6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consolidated operating expenses, non-operating expenses and income tax provision: </w:t>
      </w:r>
    </w:p>
    <w:p>
      <w:pPr>
        <w:pStyle w:val="TextBody"/>
        <w:bidi w:val="0"/>
        <w:spacing w:before="0" w:after="0"/>
        <w:ind w:left="0" w:right="0" w:firstLine="360"/>
        <w:jc w:val="left"/>
        <w:rPr/>
      </w:pPr>
      <w:r>
        <w:rPr/>
      </w:r>
    </w:p>
    <w:tbl>
      <w:tblPr>
        <w:tblW w:w="7630" w:type="dxa"/>
        <w:jc w:val="left"/>
        <w:tblInd w:w="0" w:type="dxa"/>
        <w:tblLayout w:type="fixed"/>
        <w:tblCellMar>
          <w:top w:w="28" w:type="dxa"/>
          <w:left w:w="28" w:type="dxa"/>
          <w:bottom w:w="28" w:type="dxa"/>
          <w:right w:w="28" w:type="dxa"/>
        </w:tblCellMar>
      </w:tblPr>
      <w:tblGrid>
        <w:gridCol w:w="1641"/>
        <w:gridCol w:w="1441"/>
        <w:gridCol w:w="1448"/>
        <w:gridCol w:w="297"/>
        <w:gridCol w:w="912"/>
        <w:gridCol w:w="155"/>
        <w:gridCol w:w="109"/>
        <w:gridCol w:w="109"/>
        <w:gridCol w:w="109"/>
        <w:gridCol w:w="293"/>
        <w:gridCol w:w="900"/>
        <w:gridCol w:w="216"/>
      </w:tblGrid>
      <w:tr>
        <w:trPr/>
        <w:tc>
          <w:tcPr>
            <w:tcW w:w="16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736" w:type="dxa"/>
            <w:gridSpan w:val="6"/>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w:t>
              <w:br/>
              <w:t>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Purchased natural gas marketing expense</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costs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 expenses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on asset divestitures</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income</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Non-operating (expenses) income </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early extinguishment of debt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Income before income taxes</w:t>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Non-energy operating costs</w:t>
      </w:r>
      <w:r>
        <w:rPr>
          <w:color w:val="000000"/>
        </w:rPr>
        <w:t xml:space="preserve"> – </w:t>
      </w:r>
      <w:r>
        <w:rPr>
          <w:rFonts w:ascii="Arial;sans-serif" w:hAnsi="Arial;sans-serif"/>
          <w:b w:val="false"/>
          <w:color w:val="000000"/>
          <w:sz w:val="20"/>
        </w:rPr>
        <w:t>Non-energy operating costs for the year ended December 31, 2023 were $481 million, which was an increase of $36 million from $445 million for the year ended December 31, 2022. The increase was primarily a result of higher compensation-related costs for field personnel as well as additional downhole and surface maintenance activity in 2023 as compared to 2022. These increases were partially offset by savings due to actions taken in August 2023 to align our workforce with our current activity level.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General and administrative expenses</w:t>
      </w:r>
      <w:r>
        <w:rPr>
          <w:color w:val="000000"/>
        </w:rPr>
        <w:t xml:space="preserve"> – </w:t>
      </w:r>
      <w:r>
        <w:rPr>
          <w:rFonts w:ascii="Arial;sans-serif" w:hAnsi="Arial;sans-serif"/>
          <w:b w:val="false"/>
          <w:color w:val="000000"/>
          <w:sz w:val="20"/>
        </w:rPr>
        <w:t>General and administrative expenses were $267 million for the year ended December 31, 2023, which was an increase of $45 million from $222 million for the year ended December 31, 2022. The increase in G&amp;A expenses was primarily attributable to compensation-related expenses (including stock-based compensation awards discussed further below) and higher spending to streamline our information technology infrastructure.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table below shows the portion of total G&amp;A expenses which are directly attributable to our carbon management business:</w:t>
      </w:r>
    </w:p>
    <w:p>
      <w:pPr>
        <w:pStyle w:val="TextBody"/>
        <w:bidi w:val="0"/>
        <w:spacing w:before="0" w:after="0"/>
        <w:ind w:left="0" w:right="0" w:firstLine="360"/>
        <w:jc w:val="left"/>
        <w:rPr/>
      </w:pPr>
      <w:r>
        <w:rPr/>
      </w:r>
    </w:p>
    <w:tbl>
      <w:tblPr>
        <w:tblW w:w="6805" w:type="dxa"/>
        <w:jc w:val="left"/>
        <w:tblInd w:w="0" w:type="dxa"/>
        <w:tblLayout w:type="fixed"/>
        <w:tblCellMar>
          <w:top w:w="28" w:type="dxa"/>
          <w:left w:w="28" w:type="dxa"/>
          <w:bottom w:w="28" w:type="dxa"/>
          <w:right w:w="28" w:type="dxa"/>
        </w:tblCellMar>
      </w:tblPr>
      <w:tblGrid>
        <w:gridCol w:w="1532"/>
        <w:gridCol w:w="1347"/>
        <w:gridCol w:w="1351"/>
        <w:gridCol w:w="275"/>
        <w:gridCol w:w="628"/>
        <w:gridCol w:w="142"/>
        <w:gridCol w:w="142"/>
        <w:gridCol w:w="142"/>
        <w:gridCol w:w="142"/>
        <w:gridCol w:w="275"/>
        <w:gridCol w:w="628"/>
        <w:gridCol w:w="201"/>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Year ended December 31, </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general and administrative expenses</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Awards are granted under our stock-based compensation plans to executives, non-executive employees and non-employee directors that are either settled with shares of our common stock or cash. Our equity-settled awards granted to executives include performance stock units and restricted stock units that either cliff vest or vest ratably over a two- or three-year period. Grants of equity-settled awards in 2021 contemplated that no corresponding grants would be made in 2022. We resumed granting equity-settled awards in 2023. Our equity-settled awards granted to non-employee directors are restricted stock units that vest ratably over a three-year period. Our cash-settled awards granted to non-executive employees vest ratably over a three-year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Changes in our stock price introduce volatility in our results of operations because we pay half of our cash-settled awards based on our stock price performance and we adjust our obligation for unvested cash-settled awards at the end of each reporting period. Equity-settled awards are not similarly adjusted for changes in our stock price.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Stock-based compensation included in G&amp;A expense is shown in the table below:</w:t>
      </w:r>
    </w:p>
    <w:p>
      <w:pPr>
        <w:pStyle w:val="TextBody"/>
        <w:bidi w:val="0"/>
        <w:spacing w:before="0" w:after="0"/>
        <w:ind w:left="0" w:right="0" w:firstLine="360"/>
        <w:jc w:val="left"/>
        <w:rPr/>
      </w:pPr>
      <w:r>
        <w:rPr/>
      </w:r>
    </w:p>
    <w:tbl>
      <w:tblPr>
        <w:tblW w:w="7300" w:type="dxa"/>
        <w:jc w:val="left"/>
        <w:tblInd w:w="0" w:type="dxa"/>
        <w:tblLayout w:type="fixed"/>
        <w:tblCellMar>
          <w:top w:w="28" w:type="dxa"/>
          <w:left w:w="28" w:type="dxa"/>
          <w:bottom w:w="28" w:type="dxa"/>
          <w:right w:w="28" w:type="dxa"/>
        </w:tblCellMar>
      </w:tblPr>
      <w:tblGrid>
        <w:gridCol w:w="1733"/>
        <w:gridCol w:w="1522"/>
        <w:gridCol w:w="1529"/>
        <w:gridCol w:w="301"/>
        <w:gridCol w:w="537"/>
        <w:gridCol w:w="155"/>
        <w:gridCol w:w="155"/>
        <w:gridCol w:w="155"/>
        <w:gridCol w:w="155"/>
        <w:gridCol w:w="301"/>
        <w:gridCol w:w="537"/>
        <w:gridCol w:w="220"/>
      </w:tblGrid>
      <w:tr>
        <w:trPr/>
        <w:tc>
          <w:tcPr>
            <w:tcW w:w="173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Cash-settled awards</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Stock-settled awards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included in general and administrative expenses</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Depreciation, depletion and amortization</w:t>
      </w:r>
      <w:r>
        <w:rPr>
          <w:color w:val="000000"/>
        </w:rPr>
        <w:t xml:space="preserve"> – </w:t>
      </w:r>
      <w:r>
        <w:rPr>
          <w:rFonts w:ascii="Arial;sans-serif" w:hAnsi="Arial;sans-serif"/>
          <w:b w:val="false"/>
          <w:color w:val="000000"/>
          <w:sz w:val="20"/>
        </w:rPr>
        <w:t>Depreciation, depletion and amortization increased $27 million to $225 million for the year ended December 31, 2023 from $198 million for the same prior year period. The increase was primarily the result of a change in our DD&amp;A rates which are periodically adjusted to reflect an update of our SEC reserve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Purchased natural gas marketing expense</w:t>
      </w:r>
      <w:r>
        <w:rPr>
          <w:color w:val="000000"/>
        </w:rPr>
        <w:t xml:space="preserve"> – </w:t>
      </w:r>
      <w:r>
        <w:rPr>
          <w:rFonts w:ascii="Arial;sans-serif" w:hAnsi="Arial;sans-serif"/>
          <w:b w:val="false"/>
          <w:color w:val="000000"/>
          <w:sz w:val="20"/>
        </w:rPr>
        <w:t xml:space="preserve">Purchased natural gas marketing expense was $221 million for the year ended December 31, 2023, which was a decrease of $52 million from $273 million for the year ended December 31, 2022 primarily due to lower natural gas prices partially offset by higher volumes.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Electricity generation expense</w:t>
      </w:r>
      <w:r>
        <w:rPr>
          <w:color w:val="000000"/>
        </w:rPr>
        <w:t xml:space="preserve"> – </w:t>
      </w:r>
      <w:r>
        <w:rPr>
          <w:rFonts w:ascii="Arial;sans-serif" w:hAnsi="Arial;sans-serif"/>
          <w:b w:val="false"/>
          <w:color w:val="000000"/>
          <w:sz w:val="20"/>
        </w:rPr>
        <w:t xml:space="preserve">Electricity generation expenses decreased to $103 million for the year ended December 31, 2023 from $167 million for the year ended December 31, 2022. The decrease of $64 million was predominantly a result of lower prices for natural gas used in electricity generation.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Transportation costs</w:t>
      </w:r>
      <w:r>
        <w:rPr>
          <w:color w:val="000000"/>
        </w:rPr>
        <w:t xml:space="preserve"> – </w:t>
      </w:r>
      <w:r>
        <w:rPr>
          <w:rFonts w:ascii="Arial;sans-serif" w:hAnsi="Arial;sans-serif"/>
          <w:b w:val="false"/>
          <w:color w:val="000000"/>
          <w:sz w:val="20"/>
        </w:rPr>
        <w:t>Transportation costs were $67 million for the year ended December 31, 2023 which was an increase of $17 million from $50 million for the prior year. The increase in transportation costs was predominately a result of higher rates for natural gas transportation capacity in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Carbon management business expenses</w:t>
      </w:r>
      <w:r>
        <w:rPr>
          <w:color w:val="000000"/>
        </w:rPr>
        <w:t xml:space="preserve"> – </w:t>
      </w:r>
      <w:r>
        <w:rPr>
          <w:rFonts w:ascii="Arial;sans-serif" w:hAnsi="Arial;sans-serif"/>
          <w:b w:val="false"/>
          <w:color w:val="000000"/>
          <w:sz w:val="20"/>
        </w:rPr>
        <w:t>Carbon management business (CMB) expenses were $37 million for the year ended December 31, 2023 compared to $14 million for the year ended December 31, 2022. CMB expenses include lease cost for sequestration easements, advocacy, and other related costs. The increase in 2023 was predominately a result of higher costs for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injection easements and additional costs to evaluate certain projects.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Other operating expenses, net</w:t>
      </w:r>
      <w:r>
        <w:rPr>
          <w:color w:val="000000"/>
        </w:rPr>
        <w:t xml:space="preserve"> – </w:t>
      </w:r>
      <w:r>
        <w:rPr>
          <w:rFonts w:ascii="Arial;sans-serif" w:hAnsi="Arial;sans-serif"/>
          <w:b w:val="false"/>
          <w:color w:val="000000"/>
          <w:sz w:val="20"/>
        </w:rPr>
        <w:t>Other operating expenses, net was $66 million for the year ended December 31, 2023, which was an increase of $32 million from $34 million for the year ended December 31, 2022. The increase was primarily a result of one-time costs, such as severance, that we incurred in connection with our reorganization in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Net gain on asset divestitures</w:t>
      </w:r>
      <w:r>
        <w:rPr>
          <w:color w:val="000000"/>
        </w:rPr>
        <w:t xml:space="preserve"> – </w:t>
      </w:r>
      <w:r>
        <w:rPr>
          <w:rFonts w:ascii="Arial;sans-serif" w:hAnsi="Arial;sans-serif"/>
          <w:b w:val="false"/>
          <w:color w:val="000000"/>
          <w:sz w:val="20"/>
        </w:rPr>
        <w:t xml:space="preserve">Our net gain on asset divestitures for the year ended December 31, 2023 was $32 million primarily related the divestiture of our non-operated portion of the Round Mountain Unit. Net gain on asset divestitures for the year ended December 31, 2022 was $59 million primarily related to the sale of our 50% non-operated working interest in certain horizons within our Lost Hills field and certain Ventura basin assets. For more information on our asset divestitures, see </w:t>
      </w:r>
      <w:r>
        <w:rPr>
          <w:rFonts w:ascii="Arial;sans-serif" w:hAnsi="Arial;sans-serif"/>
          <w:b w:val="false"/>
          <w:i/>
          <w:color w:val="000000"/>
          <w:sz w:val="20"/>
        </w:rPr>
        <w:t xml:space="preserve">Part II, Item 8 – Financial Statements and Supplementary Data, Note 8 Divestitures and Acquisitions.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Income tax provision</w:t>
      </w:r>
      <w:r>
        <w:rPr>
          <w:color w:val="000000"/>
        </w:rPr>
        <w:t xml:space="preserve"> – </w:t>
      </w:r>
      <w:r>
        <w:rPr>
          <w:rFonts w:ascii="Arial;sans-serif" w:hAnsi="Arial;sans-serif"/>
          <w:b w:val="false"/>
          <w:color w:val="000000"/>
          <w:sz w:val="20"/>
        </w:rPr>
        <w:t xml:space="preserve">The income tax provision for the year ended December 31, 2023 was $184 million (effective tax rate of 25%) compared to $237 million (effective tax rate of 31%) for the year ended December 31, 2022. The income tax provision for 2022 included a provision for a valuation allowance recorded in the first quarter of 2022 at the time of our Lost Hills divestiture. This valuation allowance was released in the first quarter of 2023 after the Purchase and Sale Agreement was amended. See </w:t>
      </w:r>
      <w:r>
        <w:rPr>
          <w:rFonts w:ascii="Arial;sans-serif" w:hAnsi="Arial;sans-serif"/>
          <w:b w:val="false"/>
          <w:i/>
          <w:color w:val="000000"/>
          <w:sz w:val="20"/>
        </w:rPr>
        <w:t xml:space="preserve">Part II, Item 8 – Financial Statements and Supplementary Data, Note 7 Income Taxes </w:t>
      </w:r>
      <w:r>
        <w:rPr>
          <w:rFonts w:ascii="Arial;sans-serif" w:hAnsi="Arial;sans-serif"/>
          <w:b w:val="false"/>
          <w:color w:val="000000"/>
          <w:sz w:val="20"/>
        </w:rPr>
        <w:t xml:space="preserve">for more information on a valuation allowance related to our Lost Hills divestiture.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primary sources of liquidity and capital resources are cash flows from our oil and gas operations, cash and cash equivalents on hand and available borrowing capacity under our Revolving Credit Facility which matures July 31, 2027. We generated additional cash flow of $32 million from divestitures of non-core assets during 2023. Our primary uses of operating cash flow for 2023 were for capital investments, repurchases of our outstanding debt and common stock and payment of dividends.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liquidity: </w:t>
      </w:r>
    </w:p>
    <w:p>
      <w:pPr>
        <w:pStyle w:val="TextBody"/>
        <w:bidi w:val="0"/>
        <w:spacing w:before="0" w:after="0"/>
        <w:ind w:left="0" w:right="0" w:firstLine="360"/>
        <w:jc w:val="left"/>
        <w:rPr/>
      </w:pPr>
      <w:r>
        <w:rPr/>
      </w:r>
    </w:p>
    <w:tbl>
      <w:tblPr>
        <w:tblW w:w="4424" w:type="dxa"/>
        <w:jc w:val="left"/>
        <w:tblInd w:w="0" w:type="dxa"/>
        <w:tblLayout w:type="fixed"/>
        <w:tblCellMar>
          <w:top w:w="28" w:type="dxa"/>
          <w:left w:w="28" w:type="dxa"/>
          <w:bottom w:w="28" w:type="dxa"/>
          <w:right w:w="28" w:type="dxa"/>
        </w:tblCellMar>
      </w:tblPr>
      <w:tblGrid>
        <w:gridCol w:w="917"/>
        <w:gridCol w:w="807"/>
        <w:gridCol w:w="810"/>
        <w:gridCol w:w="470"/>
        <w:gridCol w:w="1074"/>
        <w:gridCol w:w="346"/>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 capacity</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letters of credit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Availability</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Liquidity</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As of December 31, 2023, we were in compliance with all of the covenants of our Revolving Credit Facility. For a description of the terms and conditions of our long-term debt, see </w:t>
      </w:r>
      <w:r>
        <w:rPr>
          <w:rFonts w:ascii="Arial;sans-serif" w:hAnsi="Arial;sans-serif"/>
          <w:b w:val="false"/>
          <w:i/>
          <w:color w:val="000000"/>
          <w:sz w:val="20"/>
        </w:rPr>
        <w:t xml:space="preserve">Part II, Item 8 – Financial Statements and Supplementary Data, Note 4 Debt.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Under the terms of the Merger Agreement, we are obligated to assume the Aera indebtedness at Closing. We have entered into a debt commitment letter with the Bank pursuant to which the Bank has committed, subject to satisfaction of customary conditions, to provide us with the Bridge Loan Facility. We currently intend to refinance the Aera indebtedness with cash on hand, borrowings under our revolving credit facility, through one or more debt capital markets transactions and, only to the extent necessary, borrowings under the Bridge Loan Facility. See </w:t>
      </w:r>
      <w:r>
        <w:rPr>
          <w:rFonts w:ascii="Arial;sans-serif" w:hAnsi="Arial;sans-serif"/>
          <w:b w:val="false"/>
          <w:i/>
          <w:color w:val="000000"/>
          <w:sz w:val="20"/>
        </w:rPr>
        <w:t>Part I, Item 1 and 2 – Business and Properties, Recent Developments – Pending Aera Merger</w:t>
      </w:r>
      <w:r>
        <w:rPr>
          <w:color w:val="000000"/>
        </w:rPr>
        <w:t xml:space="preserve"> </w:t>
      </w:r>
      <w:r>
        <w:rPr>
          <w:rFonts w:ascii="Arial;sans-serif" w:hAnsi="Arial;sans-serif"/>
          <w:b w:val="false"/>
          <w:color w:val="000000"/>
          <w:sz w:val="20"/>
        </w:rPr>
        <w:t xml:space="preserve">for more information on the Aera Merger and Bridge Loan Facility.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the Merger Agreement, on February 9, 2024, we entered into a second amendment to our Revolving Credit Facility to, among other things, permit us to incur indebtedness under the Bridge Loan Facility.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also currently in the process of seeking additional commitments from existing and new lenders to expand our borrowing capacity under the Revolving Credit Facility, as well as seeking an increase to our existing borrowing base of $1.2 billion. These changes would only become effective upon closing of the Aera Merger and there can be no assurances that we will be successful in these efforts.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current commodity prices and based upon our planned 2024 capital program described below, we expect to generate operating cash flow to support and invest in our core assets and preserve financial flexibility. We regularly review our financial position and evaluate whether to (i) adjust our drilling program, (ii) return available cash to shareholders through dividends or stock buybacks to the extent permitted under our Revolving Credit Facility and Senior Notes indenture, (iii) repurchase outstanding indebtedness, (iv) advance carbon management activities, or (iv) maintain cash and cash equivalents on our balance sheet.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believe we have sufficient sources of liquidity to meet our obligations for the next twelve months.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Derivatives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We will continue to evaluate our hedging strategy based upon prevailing market prices and conditions.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for the year ended December 31,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Refer to </w:t>
      </w:r>
      <w:r>
        <w:rPr>
          <w:rFonts w:ascii="Arial;sans-serif" w:hAnsi="Arial;sans-serif"/>
          <w:b w:val="false"/>
          <w:i/>
          <w:color w:val="000000"/>
          <w:sz w:val="20"/>
        </w:rPr>
        <w:t xml:space="preserve">Part II, Item 8 – Financial Statements and Supplementary Data, Note 6 Derivatives </w:t>
      </w:r>
      <w:r>
        <w:rPr>
          <w:rFonts w:ascii="Arial;sans-serif" w:hAnsi="Arial;sans-serif"/>
          <w:b w:val="false"/>
          <w:color w:val="000000"/>
          <w:sz w:val="20"/>
        </w:rPr>
        <w:t xml:space="preserve">for more information on our open derivative contracts as of December 31, 2023 and </w:t>
      </w:r>
      <w:r>
        <w:rPr>
          <w:rFonts w:ascii="Arial;sans-serif" w:hAnsi="Arial;sans-serif"/>
          <w:b w:val="false"/>
          <w:i/>
          <w:color w:val="000000"/>
          <w:sz w:val="20"/>
        </w:rPr>
        <w:t>Note 4 Debt</w:t>
      </w:r>
      <w:r>
        <w:rPr>
          <w:color w:val="000000"/>
        </w:rPr>
        <w:t xml:space="preserve"> </w:t>
      </w:r>
      <w:r>
        <w:rPr>
          <w:rFonts w:ascii="Arial;sans-serif" w:hAnsi="Arial;sans-serif"/>
          <w:b w:val="false"/>
          <w:color w:val="000000"/>
          <w:sz w:val="20"/>
        </w:rPr>
        <w:t xml:space="preserve">for more information on the hedging requirements included in our Revolving Credit Facility.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Dividend Policy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Dividends are payable to shareholders in quarterly increments, subject to the quarterly approval of our Board of Directors. T</w:t>
      </w:r>
      <w:r>
        <w:rPr>
          <w:rFonts w:ascii="Arial;sans-serif" w:hAnsi="Arial;sans-serif"/>
          <w:b w:val="false"/>
          <w:color w:val="000000"/>
          <w:sz w:val="20"/>
          <w:shd w:fill="FFFFFF" w:val="clear"/>
        </w:rPr>
        <w:t xml:space="preserve">he actual declaration of future cash dividends, and the establishment of record and payment dates, is subject to final determination by our Board of Directors each quarter after reviewing our financial performance. </w:t>
      </w:r>
      <w:r>
        <w:rPr>
          <w:rFonts w:ascii="Arial;sans-serif" w:hAnsi="Arial;sans-serif"/>
          <w:b w:val="false"/>
          <w:color w:val="000000"/>
          <w:sz w:val="20"/>
        </w:rPr>
        <w:t>Post closing of the Aera Merger, and subject to Board approval, we expect to increase our fixed quarterly dividend.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27, 2024, our Board of Directors declared a cash dividend of $0.31 per share of common stock. The dividend is payable to shareholders of record at the close of business on March 6, 2024 and is expected to be paid on March 18,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paid the following cash dividends for each of the periods presented. </w:t>
      </w:r>
    </w:p>
    <w:p>
      <w:pPr>
        <w:pStyle w:val="TextBody"/>
        <w:bidi w:val="0"/>
        <w:spacing w:before="0" w:after="0"/>
        <w:ind w:left="0" w:right="0" w:firstLine="360"/>
        <w:jc w:val="left"/>
        <w:rPr/>
      </w:pPr>
      <w:r>
        <w:rPr/>
      </w:r>
    </w:p>
    <w:tbl>
      <w:tblPr>
        <w:tblW w:w="6896" w:type="dxa"/>
        <w:jc w:val="left"/>
        <w:tblInd w:w="0" w:type="dxa"/>
        <w:tblLayout w:type="fixed"/>
        <w:tblCellMar>
          <w:top w:w="28" w:type="dxa"/>
          <w:left w:w="28" w:type="dxa"/>
          <w:bottom w:w="28" w:type="dxa"/>
          <w:right w:w="28" w:type="dxa"/>
        </w:tblCellMar>
      </w:tblPr>
      <w:tblGrid>
        <w:gridCol w:w="1037"/>
        <w:gridCol w:w="911"/>
        <w:gridCol w:w="917"/>
        <w:gridCol w:w="383"/>
        <w:gridCol w:w="874"/>
        <w:gridCol w:w="198"/>
        <w:gridCol w:w="109"/>
        <w:gridCol w:w="109"/>
        <w:gridCol w:w="109"/>
        <w:gridCol w:w="425"/>
        <w:gridCol w:w="1514"/>
        <w:gridCol w:w="310"/>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Annual Rate Per Share</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2021</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2022</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0.7925 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Year ended December 31, 2023</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has authorized a Share Repurchase Program to acquire up to $1.35 billion of our common stock through December 31, 2025. This includes a recent increase of $250 million and extension approved by our Board of Directors on February 6, 2024. The repurchases may be affected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Shares repurchased are held as treasury stock.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32"/>
        <w:gridCol w:w="995"/>
        <w:gridCol w:w="1001"/>
        <w:gridCol w:w="932"/>
        <w:gridCol w:w="726"/>
        <w:gridCol w:w="728"/>
        <w:gridCol w:w="109"/>
        <w:gridCol w:w="109"/>
        <w:gridCol w:w="109"/>
        <w:gridCol w:w="558"/>
        <w:gridCol w:w="1275"/>
        <w:gridCol w:w="290"/>
        <w:gridCol w:w="109"/>
        <w:gridCol w:w="109"/>
        <w:gridCol w:w="109"/>
        <w:gridCol w:w="398"/>
        <w:gridCol w:w="1219"/>
        <w:gridCol w:w="297"/>
      </w:tblGrid>
      <w:tr>
        <w:trPr/>
        <w:tc>
          <w:tcPr>
            <w:tcW w:w="113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Dollar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3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2021</w:t>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4,089,988 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2022</w:t>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7,366,272 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Year ended December 31, 2023</w:t>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3,407,655 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Inception of Program (May 2021) through December 31, 2023</w:t>
            </w:r>
          </w:p>
        </w:tc>
        <w:tc>
          <w:tcPr>
            <w:tcW w:w="16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14,863,915 </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40.53 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Note: The total value of shares purchased includes approximately $1 million related to excise taxes on share repurchases, which was effective beginning in 2023. Commissions paid were not significant in all periods presented. </w:t>
      </w:r>
    </w:p>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Uses of Cash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2024 Capital Program</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expect our total 2024 capital program to range between $300 million and $340 million assuming normal operating conditions and excluding any additional capital which could result from the Aera Merger. Of this amount, $250 million to $260 million is related to oil and natural gas development, $30 million to $40 million is related to maintenance of one of our gas processing facilities and a power plant, both of which are located in our Elk Hills field, $15 million to $25 million is for carbon management projects and $5 million to $15 million is for corporate and other activities. The above amounts related to carbon management projects do not include amounts funded by Brookfield through the Carbon TerraVault JV, such as drilling injection and monitoring wells at our 26R reservoir. See </w:t>
      </w:r>
      <w:r>
        <w:rPr>
          <w:rFonts w:ascii="Arial;sans-serif" w:hAnsi="Arial;sans-serif"/>
          <w:b w:val="false"/>
          <w:i/>
          <w:color w:val="000000"/>
          <w:sz w:val="20"/>
        </w:rPr>
        <w:t>Part II, Item 8 – Financial Statements and Supplementary Data, Note 3 Investment in Unconsolidated Subsidiary and Related Party Transactions</w:t>
      </w:r>
      <w:r>
        <w:rPr>
          <w:color w:val="000000"/>
        </w:rPr>
        <w:t xml:space="preserve"> </w:t>
      </w:r>
      <w:r>
        <w:rPr>
          <w:rFonts w:ascii="Arial;sans-serif" w:hAnsi="Arial;sans-serif"/>
          <w:b w:val="false"/>
          <w:color w:val="000000"/>
          <w:sz w:val="20"/>
        </w:rPr>
        <w:t>for more information on our joint venture with Brookfield.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With respect to oil and natural gas development, we expect to run a one rig program executing projects using existing permits through 2024. Subject to the availability of well permits, we expect to increase to a four rig program in the second half of 2024. The actual amount of spending related to oil and gas development under our 2024 capital program will depend on a variety of factors. In particular, the rate and amount of this spending depends on our ability to obtain new well permits in the second half of the year. If we are not able to obtain these permits, we could reduce our capital program by up to $100 million. For more information on permitting, refer to </w:t>
      </w:r>
      <w:r>
        <w:rPr>
          <w:rFonts w:ascii="Arial;sans-serif" w:hAnsi="Arial;sans-serif"/>
          <w:b w:val="false"/>
          <w:i/>
          <w:color w:val="000000"/>
          <w:sz w:val="20"/>
        </w:rPr>
        <w:t>Part I, Item 1 and 2 – Business and Properties, Regulation of the Industries in Which We Operate, Regulations of Exploration and Production Activities</w:t>
      </w:r>
      <w:r>
        <w:rPr>
          <w:rFonts w:ascii="Arial;sans-serif" w:hAnsi="Arial;sans-serif"/>
          <w:b w:val="false"/>
          <w:color w:val="000000"/>
          <w:sz w:val="2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2024 capital for carbon management projects includes approximately $5 million for the installation of carbon capture equipment at one of our gas processing facilities located at our Elk Hills field. We expect the total capital investment for this project will range between $15 million to $20 million and work will be completed in 2025. This gas processing facility is adjacent to the 26R storage reservoir held by Carbon TerraVault JV. For more information this project, refer to </w:t>
      </w:r>
      <w:r>
        <w:rPr>
          <w:rFonts w:ascii="Arial;sans-serif" w:hAnsi="Arial;sans-serif"/>
          <w:b w:val="false"/>
          <w:i/>
          <w:color w:val="000000"/>
          <w:sz w:val="20"/>
        </w:rPr>
        <w:t>Part I, Item 1 and 2 – Business and Properties, Carbon Management Business</w:t>
      </w:r>
      <w:r>
        <w:rPr>
          <w:rFonts w:ascii="Arial;sans-serif" w:hAnsi="Arial;sans-serif"/>
          <w:b w:val="false"/>
          <w:color w:val="000000"/>
          <w:sz w:val="20"/>
        </w:rPr>
        <w:t>.</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Other Uses of Cash</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Other than our 2024 capital program, our expected material uses of cash during 2024 include: (1) dividends, share repurchases and payroll taxes on equity-settled compensation awards; (2) settlements on commodity derivative contracts; (3) income taxes; (4) settlement of asset retirement obligations; (5) operating expenses; (6) costs related to advancing our carbon management activities not included in our capital program, such as employee costs and engineering studies; (7) transaction costs related to the Aera merger, including advisory, legal and other third-party fees and (8) to the extent necessary, repayment of Aera indebtedness.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long-term material uses of cash include the following: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repayment of principal and interest on our Senior Notes (see </w:t>
      </w:r>
      <w:r>
        <w:rPr>
          <w:rFonts w:ascii="Arial;sans-serif" w:hAnsi="Arial;sans-serif"/>
          <w:b w:val="false"/>
          <w:i/>
          <w:color w:val="000000"/>
          <w:sz w:val="20"/>
        </w:rPr>
        <w:t>Part II, Item 8 – Financial Statements and Supplementary Data, Note 4 Debt</w:t>
      </w:r>
      <w:r>
        <w:rPr>
          <w:rFonts w:ascii="Arial;sans-serif" w:hAnsi="Arial;sans-serif"/>
          <w:b w:val="false"/>
          <w:color w:val="000000"/>
          <w:sz w:val="20"/>
        </w:rPr>
        <w: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operating lease liabilities including our drilling rigs, commercial office space, fleet vehicles, easements and certain facilities (see </w:t>
      </w:r>
      <w:r>
        <w:rPr>
          <w:rFonts w:ascii="Arial;sans-serif" w:hAnsi="Arial;sans-serif"/>
          <w:b w:val="false"/>
          <w:i/>
          <w:color w:val="000000"/>
          <w:sz w:val="20"/>
        </w:rPr>
        <w:t>Part II, Item 8 – Financial Statements and Supplementary Data, Note 12 Leases)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obligations associated with our defined benefit and post-employment benefit plans (see </w:t>
      </w:r>
      <w:r>
        <w:rPr>
          <w:rFonts w:ascii="Arial;sans-serif" w:hAnsi="Arial;sans-serif"/>
          <w:b w:val="false"/>
          <w:i/>
          <w:color w:val="000000"/>
          <w:sz w:val="20"/>
        </w:rPr>
        <w:t>Part II, Item 8 – Financial Statements and Supplementary Data, Note 13 Pension and Postretirement Benefit Plans</w:t>
      </w:r>
      <w:r>
        <w:rPr>
          <w:rFonts w:ascii="Arial;sans-serif" w:hAnsi="Arial;sans-serif"/>
          <w:b w:val="false"/>
          <w:color w:val="000000"/>
          <w:sz w:val="20"/>
        </w:rPr>
        <w: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asset retirement obligations over the longer term (see </w:t>
      </w:r>
      <w:r>
        <w:rPr>
          <w:rFonts w:ascii="Arial;sans-serif" w:hAnsi="Arial;sans-serif"/>
          <w:b w:val="false"/>
          <w:i/>
          <w:color w:val="000000"/>
          <w:sz w:val="20"/>
        </w:rPr>
        <w:t>Part II, Item 8 – Financial Statements and Supplementary Data, Note 1 Nature of Business, Summary of Significant Accounting Policies and Other, Asset Retirement Obligations</w:t>
      </w:r>
      <w:r>
        <w:rPr>
          <w:rFonts w:ascii="Arial;sans-serif" w:hAnsi="Arial;sans-serif"/>
          <w:b w:val="false"/>
          <w:color w:val="000000"/>
          <w:sz w:val="20"/>
        </w:rPr>
        <w: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a contingent liability for put and call features related to Brookfield's initial investment in the Carbon TerraVault JV (see </w:t>
      </w:r>
      <w:r>
        <w:rPr>
          <w:rFonts w:ascii="Arial;sans-serif" w:hAnsi="Arial;sans-serif"/>
          <w:b w:val="false"/>
          <w:i/>
          <w:color w:val="000000"/>
          <w:sz w:val="20"/>
        </w:rPr>
        <w:t>Part II, Item 8 – Financial Statements and Supplementary Data, Note 3 Investment in Unconsolidated Subsidiary and Related Party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also have certain off-balance sheet commitments under contracts, including purchase commitments for goods and services used in the normal course of business such as pipeline capacity, oil and natural gas leases, obligations under long-term service agreements and field equipment. The table below summarizes our undiscounted current and long-term purchase obligations as of December 31, 2023.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930"/>
        <w:gridCol w:w="1675"/>
        <w:gridCol w:w="1680"/>
        <w:gridCol w:w="476"/>
        <w:gridCol w:w="850"/>
        <w:gridCol w:w="245"/>
        <w:gridCol w:w="109"/>
        <w:gridCol w:w="109"/>
        <w:gridCol w:w="109"/>
        <w:gridCol w:w="486"/>
        <w:gridCol w:w="1109"/>
        <w:gridCol w:w="250"/>
        <w:gridCol w:w="109"/>
        <w:gridCol w:w="109"/>
        <w:gridCol w:w="109"/>
        <w:gridCol w:w="211"/>
        <w:gridCol w:w="481"/>
        <w:gridCol w:w="158"/>
      </w:tblGrid>
      <w:tr>
        <w:trPr/>
        <w:tc>
          <w:tcPr>
            <w:tcW w:w="1930"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More Than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w:t>
            </w:r>
          </w:p>
        </w:tc>
      </w:tr>
      <w:tr>
        <w:trPr/>
        <w:tc>
          <w:tcPr>
            <w:tcW w:w="5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Oil and gas leases, surface easements and pipeline right-of-way</w:t>
            </w:r>
            <w:r>
              <w:rPr>
                <w:rFonts w:ascii="Arial;sans-serif" w:hAnsi="Arial;sans-serif"/>
                <w:b w:val="false"/>
                <w:color w:val="000000"/>
                <w:sz w:val="13"/>
              </w:rPr>
              <w:t xml:space="preserve">(a)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Oil and gas transportation, throughput and storage arrangements</w:t>
            </w:r>
            <w:r>
              <w:rPr>
                <w:rFonts w:ascii="Arial;sans-serif" w:hAnsi="Arial;sans-serif"/>
                <w:b w:val="false"/>
                <w:color w:val="000000"/>
                <w:sz w:val="13"/>
              </w:rPr>
              <w:t>(b)</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Software licenses and other contracts</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(a)Oil and natural gas leases reflect obligations for fixed payments under our contracts.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(b)Purchase obligations for pipeline capacity include ship or pay arrangements that are based on contractual volumes and current market rates for firm transportation capacity during the contract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 Analysis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Cash flows from operating activities</w:t>
      </w:r>
      <w:r>
        <w:rPr>
          <w:color w:val="000000"/>
        </w:rPr>
        <w:t xml:space="preserve"> – </w:t>
      </w:r>
      <w:r>
        <w:rPr>
          <w:rFonts w:ascii="Arial;sans-serif" w:hAnsi="Arial;sans-serif"/>
          <w:b w:val="false"/>
          <w:color w:val="000000"/>
          <w:sz w:val="20"/>
        </w:rPr>
        <w:t xml:space="preserve">Our net cash provided by operating activities is sensitive to many variables, particularly changes in commodity prices. Commodity price movements may also lead to changes in other variables in our business, including adjustments to our capital program.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operating cash flow for the year ended December 31, 2023 was $653 million, which was a decrease of $37 million, or 5%, from $690 million for the year ended December 31, 2022. The decrease was largely driven by lower revenue from sales of the commodities we produce. Our production volume decreased by 5 MBoe per day, or 5%, from 91 MMBoe/d in 2022 to 86 MMBoe/d in 2023 predominantly as a result of natural decline. Additionally, average realized Brent prices decreased by $17.85 per barrel from $98.26 per barrel in 2022 to $80.41 per barrel in 2023. We earned a higher margin on our marketing activities in 2023 as compared to the same prior year period. For more information on our production and price changes, see </w:t>
      </w:r>
      <w:r>
        <w:rPr>
          <w:rFonts w:ascii="Arial;sans-serif" w:hAnsi="Arial;sans-serif"/>
          <w:b w:val="false"/>
          <w:i/>
          <w:color w:val="000000"/>
          <w:sz w:val="20"/>
        </w:rPr>
        <w:t>Production and Price</w:t>
      </w:r>
      <w:r>
        <w:rPr>
          <w:color w:val="000000"/>
        </w:rPr>
        <w:t xml:space="preserve"> </w:t>
      </w:r>
      <w:r>
        <w:rPr>
          <w:rFonts w:ascii="Arial;sans-serif" w:hAnsi="Arial;sans-serif"/>
          <w:b w:val="false"/>
          <w:color w:val="000000"/>
          <w:sz w:val="20"/>
        </w:rPr>
        <w:t xml:space="preserve">above.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Settlement payments from derivative contracts decreased $466 million from $738 million in 2022 to $272 million in 2023. Shortly after emergence from bankruptcy in 2020, we entered into derivative positions through September 2023 to meet the requirements of our Revolving Credit Facility at that time during a low commodity price environment. The percentage of our production that we were required to hedge was lower in 2023 as compared to 2022. The tenor of these derivative positions ended in the third quarter of 2023 which, along with lower Brent prices between comparative periods, resulted in a decrease in settlement payments in 2023 as compared to 2022. For more information on our existing hedges see, </w:t>
      </w:r>
      <w:r>
        <w:rPr>
          <w:rFonts w:ascii="Arial;sans-serif" w:hAnsi="Arial;sans-serif"/>
          <w:b w:val="false"/>
          <w:i/>
          <w:color w:val="000000"/>
          <w:sz w:val="20"/>
        </w:rPr>
        <w:t xml:space="preserve">Part II, Item 8 – Financial Statements and Supplementary Data, Note 6 Derivatives.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Cash paid for income taxes in 2023 was $121 million compared to $20 million in 2022. Our U.S. federal taxable income increased in 2023 primarily due to the use of remaining net operating loss and tax credit carryforwards available to us along with realizing tax losses on asset divestitures in 2022. Additionally, our capital program was lower in 2023 as compared to 2022 which, along with the phase out of bonus depreciation, also contributed to the increase. We continue to pay minimum taxes in California.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Operating costs and general and administrative expenses increased in 2023 as compared to 2022 primarily due to higher compensation related costs and additional downhole maintenance activity. In August 2023, we took actions to better align our resources to strategic priorities and improve operational efficiency. We realized approximately $15 million of savings in 2023 and expect these actions to result in approximately $65 million of savings in operating and overhead costs on an annualized basis.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Cash flows from investing activities - </w:t>
      </w:r>
      <w:r>
        <w:rPr>
          <w:rFonts w:ascii="Arial;sans-serif" w:hAnsi="Arial;sans-serif"/>
          <w:b w:val="false"/>
          <w:color w:val="000000"/>
          <w:sz w:val="20"/>
        </w:rPr>
        <w:t>The table below summarizes net cash used in investing activities:</w:t>
      </w:r>
    </w:p>
    <w:p>
      <w:pPr>
        <w:pStyle w:val="TextBody"/>
        <w:bidi w:val="0"/>
        <w:spacing w:before="0" w:after="0"/>
        <w:ind w:left="0" w:right="0" w:firstLine="360"/>
        <w:jc w:val="left"/>
        <w:rPr/>
      </w:pPr>
      <w:r>
        <w:rPr/>
      </w:r>
    </w:p>
    <w:tbl>
      <w:tblPr>
        <w:tblW w:w="9656" w:type="dxa"/>
        <w:jc w:val="left"/>
        <w:tblInd w:w="0" w:type="dxa"/>
        <w:tblLayout w:type="fixed"/>
        <w:tblCellMar>
          <w:top w:w="28" w:type="dxa"/>
          <w:left w:w="28" w:type="dxa"/>
          <w:bottom w:w="28" w:type="dxa"/>
          <w:right w:w="28" w:type="dxa"/>
        </w:tblCellMar>
      </w:tblPr>
      <w:tblGrid>
        <w:gridCol w:w="1572"/>
        <w:gridCol w:w="1378"/>
        <w:gridCol w:w="1385"/>
        <w:gridCol w:w="650"/>
        <w:gridCol w:w="1486"/>
        <w:gridCol w:w="339"/>
        <w:gridCol w:w="109"/>
        <w:gridCol w:w="109"/>
        <w:gridCol w:w="109"/>
        <w:gridCol w:w="627"/>
        <w:gridCol w:w="1431"/>
        <w:gridCol w:w="461"/>
      </w:tblGrid>
      <w:tr>
        <w:trPr/>
        <w:tc>
          <w:tcPr>
            <w:tcW w:w="157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2846" w:type="dxa"/>
            <w:gridSpan w:val="6"/>
            <w:tcBorders/>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capital accruals</w:t>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Proceeds from divestitures</w:t>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related to the Carbon TerraVault JV</w:t>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joint venture transaction costs</w:t>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decrease in cash used in investing activities primarily relates to a lower capital program in 2023 as compared to 2022. In the first quarter of 2023, we reduced our capital program to one rig to align with available permits. In comparison, we averaged 4 drilling rigs in 2022. Proceeds from asset divestitures for the year ended December 31, 2023 included the sale of our non-operated interest in the Round Mountain Unit. Proceeds from divestitures for the year ended December 31, 2022 included the sale of our 50% non-operated working interest in certain horizons within our Lost Hills field, certain of our Ventura basin assets and our commercial office building in Bakersfield, California. In each of the years ended December 31, 2023 and 2022, the acquisitions shown in the table above related to purchasing storage reservoirs for our carbon management business. </w:t>
      </w:r>
      <w:r>
        <w:rPr>
          <w:rFonts w:ascii="Arial;sans-serif" w:hAnsi="Arial;sans-serif"/>
          <w:b w:val="false"/>
          <w:i/>
          <w:color w:val="000000"/>
          <w:sz w:val="20"/>
        </w:rPr>
        <w:t xml:space="preserve">Part II, Item 8 – Financial Statements and Supplementary Data, Note 8 Divestitures and Acquisitions </w:t>
      </w:r>
      <w:r>
        <w:rPr>
          <w:rFonts w:ascii="Arial;sans-serif" w:hAnsi="Arial;sans-serif"/>
          <w:b w:val="false"/>
          <w:color w:val="000000"/>
          <w:sz w:val="20"/>
        </w:rPr>
        <w:t xml:space="preserve">for more information on our divestitures and acquisitions.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Cash flows from financing activities –</w:t>
      </w:r>
      <w:r>
        <w:rPr>
          <w:color w:val="000000"/>
        </w:rPr>
        <w:t xml:space="preserve"> </w:t>
      </w:r>
      <w:r>
        <w:rPr>
          <w:rFonts w:ascii="Arial;sans-serif" w:hAnsi="Arial;sans-serif"/>
          <w:b w:val="false"/>
          <w:color w:val="000000"/>
          <w:sz w:val="20"/>
        </w:rPr>
        <w:t>The table below summarizes net cash used by financing activities: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0" w:after="0"/>
        <w:jc w:val="left"/>
        <w:rPr/>
      </w:pPr>
      <w:r>
        <w:rPr/>
      </w:r>
    </w:p>
    <w:tbl>
      <w:tblPr>
        <w:tblW w:w="8651" w:type="dxa"/>
        <w:jc w:val="left"/>
        <w:tblInd w:w="0" w:type="dxa"/>
        <w:tblLayout w:type="fixed"/>
        <w:tblCellMar>
          <w:top w:w="28" w:type="dxa"/>
          <w:left w:w="28" w:type="dxa"/>
          <w:bottom w:w="28" w:type="dxa"/>
          <w:right w:w="28" w:type="dxa"/>
        </w:tblCellMar>
      </w:tblPr>
      <w:tblGrid>
        <w:gridCol w:w="1207"/>
        <w:gridCol w:w="1059"/>
        <w:gridCol w:w="1064"/>
        <w:gridCol w:w="650"/>
        <w:gridCol w:w="1486"/>
        <w:gridCol w:w="339"/>
        <w:gridCol w:w="109"/>
        <w:gridCol w:w="109"/>
        <w:gridCol w:w="109"/>
        <w:gridCol w:w="627"/>
        <w:gridCol w:w="1431"/>
        <w:gridCol w:w="461"/>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2846" w:type="dxa"/>
            <w:gridSpan w:val="6"/>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repurchases</w:t>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financing costs</w:t>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by financing activities</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Cash used for repurchases of our common stock under our Share Repurchase Program decreased in 2023 as compared to 2022 in part due to adding optionality to repurchase long-term debt. Additionally, our Board of Directors increased the quarterly dividend rate on our common stock during 2023. See </w:t>
      </w:r>
      <w:r>
        <w:rPr>
          <w:rFonts w:ascii="Arial;sans-serif" w:hAnsi="Arial;sans-serif"/>
          <w:b w:val="false"/>
          <w:i/>
          <w:color w:val="000000"/>
          <w:sz w:val="20"/>
        </w:rPr>
        <w:t xml:space="preserve">Part II, Item 8 – Financial Statements and Supplementary Data, Note 10 Stockholders' Equity </w:t>
      </w:r>
      <w:r>
        <w:rPr>
          <w:rFonts w:ascii="Arial;sans-serif" w:hAnsi="Arial;sans-serif"/>
          <w:b w:val="false"/>
          <w:color w:val="000000"/>
          <w:sz w:val="20"/>
        </w:rPr>
        <w:t xml:space="preserve">for more information on our Share Repurchase Program and cash dividends and </w:t>
      </w:r>
      <w:r>
        <w:rPr>
          <w:rFonts w:ascii="Arial;sans-serif" w:hAnsi="Arial;sans-serif"/>
          <w:b w:val="false"/>
          <w:i/>
          <w:color w:val="000000"/>
          <w:sz w:val="20"/>
        </w:rPr>
        <w:t>Note 4 Debt</w:t>
      </w:r>
      <w:r>
        <w:rPr>
          <w:color w:val="000000"/>
        </w:rPr>
        <w:t xml:space="preserve"> </w:t>
      </w:r>
      <w:r>
        <w:rPr>
          <w:rFonts w:ascii="Arial;sans-serif" w:hAnsi="Arial;sans-serif"/>
          <w:b w:val="false"/>
          <w:color w:val="000000"/>
          <w:sz w:val="20"/>
        </w:rPr>
        <w:t xml:space="preserve">for more information on repurchases of our Senior Notes.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Lawsuits, Claims, Commitments and Contingencies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accrue reserves for currently outstanding lawsuits, claims and proceedings when it is probable that a liability has been incurred and the liability can be reasonably estimated. Reserve balances at December 31, 2023 and 2022 were not material to our consolidated balance sheets as of such dates.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w:t>
      </w:r>
      <w:r>
        <w:rPr>
          <w:rFonts w:ascii="Times New Roman;sans-serif" w:hAnsi="Times New Roman;sans-serif"/>
          <w:b w:val="false"/>
          <w:color w:val="000000"/>
          <w:sz w:val="20"/>
        </w:rPr>
        <w:t xml:space="preserve">. </w:t>
      </w:r>
      <w:r>
        <w:rPr>
          <w:rFonts w:ascii="Arial;sans-serif" w:hAnsi="Arial;sans-serif"/>
          <w:b w:val="false"/>
          <w:color w:val="000000"/>
          <w:sz w:val="20"/>
        </w:rPr>
        <w:t>Oxy notified us of the claim under the indemnification provisions of the Separation and Distribution Agreement between us and Oxy. In September 2021, we accepted the indemnification claim from Oxy and we are now appealing the order from BSEE. We expect to enter into a cost sharing agreement with former lessees in the first half of 2024, and expect to pay $12 million to $15 million for our share of the maintenance costs at that time. We will share in on-going maintenance costs during the pendency of the challenge to the BSEE order.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also evaluate the amount of reasonably possible losses that we could incur as a result of these matters. We believe that reasonably possible losses that we could incur in excess of reserves cannot be accurately determined.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Part II, Item 8 – Financial Statements and Supplementary Data, Note 5 Lawsuits, Claims, Commitments and Contingencies</w:t>
      </w:r>
      <w:r>
        <w:rPr>
          <w:rFonts w:ascii="Arial;sans-serif" w:hAnsi="Arial;sans-serif"/>
          <w:b w:val="false"/>
          <w:color w:val="000000"/>
          <w:sz w:val="20"/>
        </w:rPr>
        <w: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Critical Accounting Estimates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critical accounting estimates that could result in a material impact to the consolidated financial statements due to the levels of subjectivity and management judgment include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1"/>
        <w:gridCol w:w="317"/>
        <w:gridCol w:w="322"/>
        <w:gridCol w:w="109"/>
        <w:gridCol w:w="109"/>
        <w:gridCol w:w="109"/>
        <w:gridCol w:w="805"/>
        <w:gridCol w:w="805"/>
        <w:gridCol w:w="812"/>
        <w:gridCol w:w="109"/>
        <w:gridCol w:w="109"/>
        <w:gridCol w:w="109"/>
        <w:gridCol w:w="1162"/>
        <w:gridCol w:w="1162"/>
        <w:gridCol w:w="1165"/>
        <w:gridCol w:w="109"/>
        <w:gridCol w:w="109"/>
        <w:gridCol w:w="109"/>
        <w:gridCol w:w="672"/>
        <w:gridCol w:w="672"/>
        <w:gridCol w:w="969"/>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Estimation and Uncertainties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Sensitivities</w:t>
            </w:r>
          </w:p>
        </w:tc>
      </w:tr>
      <w:tr>
        <w:trPr/>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and Natural Gas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carrying value of our property, plant and equipment represents the costs incurred to acquire or develop the asset, including any asset retirement obligations, net of accumulated depreciation, depletion and amortization. We use the successful efforts method of accounting for our oil and natural gas producing activities. Under this method, we capitalize the cost of acquiring properties, development costs and the costs of drilling successful exploration wells.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estimated amount of proved reserve volumes are used as the basis for recording depletion expense. We determine depletion on our oil and natural gas producing properties using the unit-of-production method. Under this method, acquisition costs are amortized based on total proved oil and gas reserves and capitalized development and successful exploration costs are depleted based on proved developed oil and natural gas reserves. </w:t>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determination of quantities of proved reserves is a highly technical process performed by our engineers and geoscientists. The analysis is based on drilling results, reservoir performance, subsurface interpretation and future development plans. Production rate forecasts are primarily derived from estimates from decline-curve analysis and type-curve analysis. Secondary inputs may include material balance calculations, which consider the volumes of substances replacing the volumes produced and associated reservoir pressure changes. Additional inputs may also include seismic analysis and computer simulations of reservoir performance. These field-tested technologies have demonstrated reasonably certain results with consistency and repeatability in the formations being evaluated or in analogous formations. The data for a given reservoir may also change over time as a result of numerous factors including, but not limited to, additional development activity and future development costs, production history and continuous reassessment of the viability of future production volumes under varying economic conditions. </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Several other factors could change our proved oil and gas reserves including changes in energy costs, inflation, deflation and the political and regulatory environment, all of which are beyond our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total proved reserves were 377 MMBoe and our total proved developed reserves were 331 MMBoe at December 31, 2023. We estimate our 2024 depletion rate for oil and natural gas producing properties using the unit-of-production method will be approximately $6/Boe. A 5% change in our reserves would increase or decrease this DD&amp;A rate by approximately $0.30/Boe.</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If realized prices used in our year-end reserve estimates increased or decreased by 10%, our proved reserve quantities at December 31, 2023 would have increased by 6 MMBoe or decreased by 8 MMBoe, respectively.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5"/>
        <w:gridCol w:w="356"/>
        <w:gridCol w:w="359"/>
        <w:gridCol w:w="109"/>
        <w:gridCol w:w="109"/>
        <w:gridCol w:w="109"/>
        <w:gridCol w:w="1215"/>
        <w:gridCol w:w="1215"/>
        <w:gridCol w:w="1225"/>
        <w:gridCol w:w="109"/>
        <w:gridCol w:w="109"/>
        <w:gridCol w:w="109"/>
        <w:gridCol w:w="894"/>
        <w:gridCol w:w="837"/>
        <w:gridCol w:w="839"/>
        <w:gridCol w:w="109"/>
        <w:gridCol w:w="109"/>
        <w:gridCol w:w="109"/>
        <w:gridCol w:w="548"/>
        <w:gridCol w:w="548"/>
        <w:gridCol w:w="783"/>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1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Estimation and Uncertainties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Sensitivities</w:t>
            </w:r>
          </w:p>
        </w:tc>
      </w:tr>
      <w:tr>
        <w:trPr/>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majority of our asset retirement obligations relate to the plugging and abandonment of oil and natural gas wells. </w:t>
            </w:r>
          </w:p>
          <w:p>
            <w:pPr>
              <w:pStyle w:val="TableContents"/>
              <w:bidi w:val="0"/>
              <w:spacing w:before="0" w:after="0"/>
              <w:jc w:val="left"/>
              <w:rPr/>
            </w:pPr>
            <w:r>
              <w:rPr/>
            </w:r>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determine our asset retirement obligation for wells by calculating the present value of estimated future cash outflows related to the abandonment obligation. The asset retirement cost is capitalized as part of the carrying amount of the related long-lived asset. In periods subsequent to initial measurement, the asset retirement cost is depreciated using the unit-of-production method, while increases in the ARO liability resulting from the passage of time (accretion expense) is included in operating expenses on our consolidated statements of operations.</w:t>
            </w:r>
          </w:p>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 xml:space="preserve">The recognition of an asset retirement obligation requires us to make assumptions including an estimate of future abandonment costs and inflation rates, timing of activity and our credit-adjusted discount rate among others. Changes in the legal, regulatory and political environment could also affect our estimated future cash outflows.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December 31, 2023 and 2022, we had asset retirement obligations of $521 million and $491 million, respectively, excluding liabilities associated with assets held for sale. </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1% increase in the inflation rate would increase our liability by $37 million and a 1% decrease in the inflation rate would decrease our liability by $40 million as of December 31, 2023.</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Additionally, the information in this report contains forward-looking statements related to the recently announced Aera merger.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fluctuations in commodity prices, including supply and demand considerations for our products and services;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decisions as to production levels and/or pricing by OPEC or U.S. producers in future periods;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government policy, war and political conditions and events, including the military conflicts in Israel, Ukraine and Yemen and the Red Sea;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successfully integrate the business of Aera once the Aera merger is completed;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timing, receipt and terms and conditions of any required governmental and regulatory approvals of the Aera merger that could reduce anticipated benefits or cause the parties to abandon the Aera merger;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occurrence of any event, change or other circumstances that could give rise to the termination of the Merger Agreement;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possibility that the stockholders of CRC may not approve the issuance of new shares of common stock in the Aera merger;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ability to obtain the required debt financing pursuant to our commitment letters and, if obtained, the potential impact of additional debt on our business and the financial impacts and restrictions due to the additional debt;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actions and changes that affect the oil and gas industry generally and us in particular, including (1) the availability or timing of, or conditions imposed on, permits and approvals necessary for drilling or development activities or our carbon management business; (2) the management of energy, water, land, greenhouse gases (GHGs) or other emissions, (3) the protection of health, safety and the environment, or (4)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transportation, marketing and sale of our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inflation on future expenses and changes generally in the prices of goods and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business strategy and our capital plan;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lower-than-expected production or higher-than-expected production decline rates;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to our estimates of reserves and related future cash flows, including changes arising from our inability to develop such reserves in a timely manner, and any inability to replace such reserves;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recoverability of resources and unexpected geologic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conditions and trends, including conditions in the worldwide financial, trade and credit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production-sharing contracts' effects on production and operating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lack of available equipment, service or labor price inflation;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transportation or storage capacity and the need to shut-in wells;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any failure of risk management;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results from operations and competition in the industries in which we operate;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our ability to realize the anticipated benefits from prior or future efforts to reduce costs;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environmental risks and liability under federal, regional, state, provincial, tribal, local and international environmental laws and regulations (including remedial actions); </w:t>
      </w:r>
    </w:p>
    <w:p>
      <w:pPr>
        <w:pStyle w:val="TextBody"/>
        <w:bidi w:val="0"/>
        <w:spacing w:lineRule="auto" w:line="268" w:before="0" w:after="0"/>
        <w:ind w:left="0" w:right="0" w:hanging="360"/>
        <w:jc w:val="left"/>
        <w:rPr/>
      </w:pPr>
      <w:r>
        <w:rPr>
          <w:color w:val="000000"/>
        </w:rPr>
        <w:t xml:space="preserve">• </w:t>
      </w:r>
      <w:r>
        <w:rPr>
          <w:rFonts w:ascii="Arial;sans-serif" w:hAnsi="Arial;sans-serif"/>
          <w:b w:val="false"/>
          <w:color w:val="000000"/>
          <w:sz w:val="20"/>
        </w:rPr>
        <w:t xml:space="preserve">the creditworthiness and performance of our counterparties, including financial institutions, operating partners, CCS project participants and other parties;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reorganization or restructuring of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claim and utilize tax credits or other incentives in connection with our CCS projects;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realize the benefits contemplated by our energy transition strategies and initiatives, including CCS projects and other renewable energy efforts;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identify, develop and finance carbon capture and storage projects and other renewable energy efforts, including those in connection with the Carbon TerraVault JV, and our ability to convert our CDMAs to definitive agreements and enter into other offtake agreements;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maximize the value of our carbon management business and operate it on a stand alone basis;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successfully develop infrastructure projects and enter into third party contracts on contemplated terms;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uncertainty around the accounting of emissions and our ability to successfully gather and verify emissions data and other environmental impacts;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to our dividend policy and share repurchase program, and our ability to declare future dividends or repurchase shares under our debt agreements;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our financial flexibility due to existing and future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insufficient cash flow to fund our capital plan and other planned investments and return capital to shareholders;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interest rates;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access to and the terms of credit in commercial banking and capital markets, including our ability to refinance our debt or obtain separate financing for our carbon management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state, federal or international tax rates, including our ability to utilize our net operating loss carryforwards to reduce our income tax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hedging transactions;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our stock price on costs associated with incentive compensation;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enter into desirable transactions, including joint ventures, divestitures of oil and natural gas properties and real estate, and acquisitions, and our ability to achieve any expected synergies;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pandemics, epidemics, outbreaks, or other public health events, such as the COVID-19 pandemic;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 factors discussed in </w:t>
      </w:r>
      <w:r>
        <w:rPr>
          <w:rFonts w:ascii="Arial;sans-serif" w:hAnsi="Arial;sans-serif"/>
          <w:b w:val="false"/>
          <w:i/>
          <w:color w:val="000000"/>
          <w:sz w:val="20"/>
        </w:rPr>
        <w:t>Part I, Item 1A – Risk Factors.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both"/>
        <w:rPr>
          <w:rFonts w:ascii="Arial;sans-serif" w:hAnsi="Arial;sans-serif"/>
          <w:b/>
          <w:color w:val="000000"/>
          <w:sz w:val="20"/>
        </w:rPr>
      </w:pPr>
      <w:r>
        <w:rPr>
          <w:rFonts w:ascii="Arial;sans-serif" w:hAnsi="Arial;sans-serif"/>
          <w:b/>
          <w:color w:val="000000"/>
          <w:sz w:val="20"/>
        </w:rPr>
        <w:t xml:space="preserve">ITEM 7AQUANTITATIVE AND QUALITATIVE DISCLOSURES ABOUT MARKET RISK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Commodity Price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financial results are sensitive to fluctuations in oil, NGL and natural gas prices. These commodity price changes also impact the volume changes under PSCs. We maintain a commodity hedging program primarily focused on crude oil to help protect our cash flows, margins and capital program from the volatility of crude oil prices. We have not designated any instruments as hedges for accounting purposes and we do not enter into such instruments for speculative trading purposes. We believe we have limited price volatility risk in the near term as a result of our current hedges in place. As of December 31, 2023, we had hedges on approximately 75% of our anticipated oil production through 2024 and approximately 45% through 2025, which are in line with the covenants of our Revolving Credit Facility.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primary market risk relating to our derivative contracts relates to fluctuations in market prices as compared to the fixed contract price for a notional amount of our production. As of December 31, 2023, we had net assets of $17 million for our derivative commodity positions which are carried at fair value, using industry-standard models with various inputs, including the forward curve for the relevant price index. We estimate that a $10/bbl increase in Brent oil forward prices could increase our settlement payments by $29 million in 2024, limiting our upside. We estimate that a $10 decrease in Brent oil forward prices could decrease our settlement payments by $36 million in 2024, negating the downside price movement for hedged volumes.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 summary of our Brent-based crude oil derivative contracts at December 31, 2023 are included in </w:t>
      </w:r>
      <w:r>
        <w:rPr>
          <w:rFonts w:ascii="Arial;sans-serif" w:hAnsi="Arial;sans-serif"/>
          <w:b w:val="false"/>
          <w:i/>
          <w:color w:val="000000"/>
          <w:sz w:val="20"/>
        </w:rPr>
        <w:t>Part II, Item 8 – Financial Statements and Supplementary Data, Note 6 Derivatives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Counterparty Credit Risk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counterparty credit risk relates primarily to trade receivables and derivative financial instruments. Credit exposure for each counterparty is monitored for outstanding balances and current activity. Counterparty credit limits have been established based upon the financial health of counterparties, and these limits are actively monitored. In the event counterparty credit risk is heightened, we may request collateral or accelerate payment dates for product deliveries. Approximately 60% of our production during 2023 was oil which was sold predominately to refineries in California. Trade receivables for all commodities are collected within 30 to 60 days following the month of delivery. For derivative instruments entered into as part of our hedging program, we are subject to counterparty credit risk to the extent the counterparty is unable to meet its settlement commitments. We have master netting agreements with each of our derivative counterparties, which allows us to net our settlement payments for the same commodity with the same counterparty. Therefore, our loss is limited to the net amount due from a defaulting counterparty. All of our counterparties in the hedging program have an investment grade credit rating. Concentration of credit risk is regularly reviewed to ensure that counterparty credit risk is adequately diversified.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Interest-Rate Risk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had no variable-rate debt outstanding as of December 31, 2023.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left"/>
        <w:rPr>
          <w:rFonts w:ascii="Arial;sans-serif" w:hAnsi="Arial;sans-serif"/>
          <w:b/>
          <w:color w:val="000000"/>
          <w:sz w:val="20"/>
        </w:rPr>
      </w:pPr>
      <w:r>
        <w:rPr>
          <w:rFonts w:ascii="Arial;sans-serif" w:hAnsi="Arial;sans-serif"/>
          <w:b/>
          <w:color w:val="000000"/>
          <w:sz w:val="20"/>
        </w:rPr>
        <w:t xml:space="preserve">ITEM 8FINANCIAL STATEMENTS AND SUPPLEMENTARY DATA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20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Stockholders and Board of Directors California Resources Corporation:</w: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Opinions on the Consolidated Financial Statements and Internal Control Over Financial Reporting</w:t>
      </w:r>
    </w:p>
    <w:p>
      <w:pPr>
        <w:pStyle w:val="TextBody"/>
        <w:bidi w:val="0"/>
        <w:spacing w:lineRule="auto" w:line="288" w:before="0" w:after="0"/>
        <w:jc w:val="left"/>
        <w:rPr/>
      </w:pPr>
      <w:r>
        <w:rPr>
          <w:rFonts w:ascii="Arial;sans-serif" w:hAnsi="Arial;sans-serif"/>
          <w:b w:val="false"/>
          <w:color w:val="000000"/>
          <w:sz w:val="20"/>
        </w:rPr>
        <w:t>We have audited the accompanying consolidated balance sheets of California Resources Corporation and subsidiaries (the Company) as of December 31, 2023 and December 31, 2022, the related consolidated statements of operations, comprehensive income (loss), changes in stockholders’ equity (deficit), and cash flows for each of the years in the three-year period ended December 31, 2023, and the related notes and financial statement schedule II (collectively, the consolidated financial statements). We also have audited the Company’s internal control over financial reporting as of December 31, 2023, based on criteria established in</w:t>
      </w:r>
      <w:r>
        <w:rPr>
          <w:color w:val="000000"/>
        </w:rPr>
        <w:t xml:space="preserve">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issued by the Committee of Sponsoring Organizations of the Treadway Commission.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our opinion, the consolidated financial statements referred to above present fairly, in all material respects, the financial position of the Company as of December 31, 2023 and December 31,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Basis for Opinions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Definition and Limitations of Internal Control Over Financial Reporting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Critical Audit Matter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100"/>
        <w:ind w:left="0" w:right="0" w:firstLine="360"/>
        <w:jc w:val="left"/>
        <w:rPr>
          <w:rFonts w:ascii="Arial;sans-serif" w:hAnsi="Arial;sans-serif"/>
          <w:b w:val="false"/>
          <w:i/>
          <w:color w:val="000000"/>
          <w:sz w:val="20"/>
        </w:rPr>
      </w:pPr>
      <w:r>
        <w:rPr>
          <w:rFonts w:ascii="Arial;sans-serif" w:hAnsi="Arial;sans-serif"/>
          <w:b w:val="false"/>
          <w:i/>
          <w:color w:val="000000"/>
          <w:sz w:val="20"/>
        </w:rPr>
        <w:t>Impact of estimated oil and gas reserves on depletion expense for proved oil and gas properties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discussed in Note 1 to the consolidated financial statements, the Company determines depletion of oil and gas producing properties by the unit-of-production method. Under this method, acquisition costs are amortized based on total proved oil and gas reserves and capitalized development and successful exploration costs are amortized based on proved developed oil and gas reserves. The Company recorded depreciation, depletion, and amortization expense of $225 million for the year ended December 31, 2023. Estimating proved oil and gas reserves requires the expertise of professional petroleum reservoir engineers, who take into consideration estimates of future production, operating and development costs and commodity prices inclusive of market differentials. The Company employs technical personnel, such as reservoir engineers and geoscientists, who estimate proved oil and gas reserves. The Company also engages independent reservoir engineering specialists to perform an independent evaluation of the Company’s proved oil and gas reserves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identified the assessment of estimated proved oil and gas reserves on the determination of depreciation, depletion and amortization expense for proved oil and gas properties as a critical audit matter. Complex auditor judgment was required to evaluate the Company's estimate of proved oil and gas reserves, which is an input to the determination of depreciation, depletion, and amortization expense. Specifically, auditor judgment was required to evaluate the assumptions used by the Company related to estimated future oil and gas production, future commodity prices inclusive of market differentials, and future operating and development costs.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the primary procedures we performed to address this critical audit matter. We evaluated the design and tested the operating effectiveness of certain internal controls related to the Company’s depletion process, including controls related to the estimation of proved oil and gas reserves. We evaluated (1) the professional qualifications of the Company’s internal reservoir engineers, as well as the independent reservoir engineering specialists and external engineering firm, (2) the knowledge, skills, and ability of the Company’s internal and independent reservoir engineers, and (3) the relationship of the independent reservoir engineering specialist and external engineering firm to the Company. We assessed the methodology used by the technical personnel employed by the Company and the independent reservoir engineering specialist to estimate the reserves used in the determination of depreciation, depletion and amortization expense for compliance with industry and regulatory standards. We compared estimated future oil and gas production and estimated future operating and development costs estimated by the technical personnel employed by the Company to historical results. We compared the commodity prices used by the Company’s internal technical personnel to publicly available prices and recalculated the relevant market differentials based on actual price realizations. We read and considered the reports of the independent reservoir engineering specialist in connect with our evaluation of the Company’s proved oil and gas reserves estimates.</w:t>
      </w:r>
    </w:p>
    <w:tbl>
      <w:tblPr>
        <w:tblW w:w="20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15"/>
        <w:gridCol w:w="415"/>
        <w:gridCol w:w="5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KPMG LLP</w:t>
            </w:r>
          </w:p>
        </w:tc>
      </w:tr>
    </w:tbl>
    <w:p>
      <w:pPr>
        <w:pStyle w:val="TextBody"/>
        <w:bidi w:val="0"/>
        <w:spacing w:before="0" w:after="0"/>
        <w:jc w:val="both"/>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have served as the Company’s auditor since 2014.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Los Angeles, California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February 28,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Consolidated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December 31, 2023 and 2022</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share data)</w:t>
      </w:r>
    </w:p>
    <w:tbl>
      <w:tblPr>
        <w:tblW w:w="10205" w:type="dxa"/>
        <w:jc w:val="left"/>
        <w:tblInd w:w="0" w:type="dxa"/>
        <w:tblLayout w:type="fixed"/>
        <w:tblCellMar>
          <w:top w:w="28" w:type="dxa"/>
          <w:left w:w="28" w:type="dxa"/>
          <w:bottom w:w="28" w:type="dxa"/>
          <w:right w:w="28" w:type="dxa"/>
        </w:tblCellMar>
      </w:tblPr>
      <w:tblGrid>
        <w:gridCol w:w="3215"/>
        <w:gridCol w:w="2335"/>
        <w:gridCol w:w="2349"/>
        <w:gridCol w:w="211"/>
        <w:gridCol w:w="646"/>
        <w:gridCol w:w="109"/>
        <w:gridCol w:w="109"/>
        <w:gridCol w:w="109"/>
        <w:gridCol w:w="109"/>
        <w:gridCol w:w="211"/>
        <w:gridCol w:w="646"/>
        <w:gridCol w:w="156"/>
      </w:tblGrid>
      <w:tr>
        <w:trPr/>
        <w:tc>
          <w:tcPr>
            <w:tcW w:w="321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7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 from affiliate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Arial;sans-serif" w:hAnsi="Arial;sans-serif"/>
                <w:b/>
                <w:color w:val="000000"/>
                <w:sz w:val="20"/>
              </w:rPr>
            </w:pPr>
            <w:r>
              <w:rPr>
                <w:rFonts w:ascii="Arial;sans-serif" w:hAnsi="Arial;sans-serif"/>
                <w:b/>
                <w:color w:val="000000"/>
                <w:sz w:val="20"/>
              </w:rPr>
              <w:t>PROPERTY, PLANT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Accumulated depreciation, depletion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associated with assets held for sale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(20 million shares authorized at $0.01 par value); no shares outstanding at December 31, 2023 or 2022</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(200 million shares authorized at $0.01 par value); (83,557,800 and 83,406,002 shares issued; 68,693,885 and 71,949,742 shares outstanding at December 31, 2023 and 2022, respectively)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(14,863,915 shares held at cost at December 31, 2023 and 11,456,260 shares held at December 31, 2022)</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Retained earnings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65480"/>
                <wp:effectExtent l="0" t="0" r="0" b="0"/>
                <wp:wrapNone/>
                <wp:docPr id="87" name="Frame86"/>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consolidated financial statements.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consolidated financial statements.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Consolidated Statements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years ended December 31, 2023, 2022 and 2021</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data)</w:t>
      </w:r>
    </w:p>
    <w:tbl>
      <w:tblPr>
        <w:tblW w:w="8037" w:type="dxa"/>
        <w:jc w:val="left"/>
        <w:tblInd w:w="0" w:type="dxa"/>
        <w:tblLayout w:type="fixed"/>
        <w:tblCellMar>
          <w:top w:w="28" w:type="dxa"/>
          <w:left w:w="28" w:type="dxa"/>
          <w:bottom w:w="28" w:type="dxa"/>
          <w:right w:w="28" w:type="dxa"/>
        </w:tblCellMar>
      </w:tblPr>
      <w:tblGrid>
        <w:gridCol w:w="1643"/>
        <w:gridCol w:w="1440"/>
        <w:gridCol w:w="1447"/>
        <w:gridCol w:w="211"/>
        <w:gridCol w:w="616"/>
        <w:gridCol w:w="109"/>
        <w:gridCol w:w="109"/>
        <w:gridCol w:w="109"/>
        <w:gridCol w:w="109"/>
        <w:gridCol w:w="211"/>
        <w:gridCol w:w="616"/>
        <w:gridCol w:w="109"/>
        <w:gridCol w:w="109"/>
        <w:gridCol w:w="109"/>
        <w:gridCol w:w="109"/>
        <w:gridCol w:w="211"/>
        <w:gridCol w:w="616"/>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 ended December 31,</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NGL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from commodity derivatives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Marketing of purchased natural gas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other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Exploration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Purchased natural gas marketing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Carbon management business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 on asset divestitures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OPERATING INCOME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NON-OPERATING (EXPENSES)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Reorganization items,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debt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 (expenses),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attributable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INCOME ATTRIBUTABLE TO COMMON STOCK</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income attributable to common stock per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Weighted-average common shares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65480"/>
                <wp:effectExtent l="0" t="0" r="0" b="0"/>
                <wp:wrapNone/>
                <wp:docPr id="88" name="Frame87"/>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consolidated financial statements.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consolidated financial statements.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Consolidated Statements of Comprehensive Income (Loss)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years ended December 31, 2023, 2022 and 2021</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tbl>
      <w:tblPr>
        <w:tblW w:w="9177" w:type="dxa"/>
        <w:jc w:val="left"/>
        <w:tblInd w:w="0" w:type="dxa"/>
        <w:tblLayout w:type="fixed"/>
        <w:tblCellMar>
          <w:top w:w="28" w:type="dxa"/>
          <w:left w:w="28" w:type="dxa"/>
          <w:bottom w:w="28" w:type="dxa"/>
          <w:right w:w="28" w:type="dxa"/>
        </w:tblCellMar>
      </w:tblPr>
      <w:tblGrid>
        <w:gridCol w:w="2214"/>
        <w:gridCol w:w="1944"/>
        <w:gridCol w:w="1962"/>
        <w:gridCol w:w="211"/>
        <w:gridCol w:w="466"/>
        <w:gridCol w:w="109"/>
        <w:gridCol w:w="109"/>
        <w:gridCol w:w="109"/>
        <w:gridCol w:w="109"/>
        <w:gridCol w:w="211"/>
        <w:gridCol w:w="466"/>
        <w:gridCol w:w="109"/>
        <w:gridCol w:w="109"/>
        <w:gridCol w:w="109"/>
        <w:gridCol w:w="109"/>
        <w:gridCol w:w="211"/>
        <w:gridCol w:w="466"/>
        <w:gridCol w:w="154"/>
      </w:tblGrid>
      <w:tr>
        <w:trPr/>
        <w:tc>
          <w:tcPr>
            <w:tcW w:w="221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attributable to noncontrolling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Actuarial (loss) gain associated with pension and postretirement plans</w:t>
            </w:r>
            <w:r>
              <w:rPr>
                <w:rFonts w:ascii="Arial;sans-serif" w:hAnsi="Arial;sans-serif"/>
                <w:b w:val="false"/>
                <w:color w:val="000000"/>
                <w:sz w:val="12"/>
              </w:rPr>
              <w:t>(a)(b)</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Prior service credit</w:t>
            </w:r>
            <w:r>
              <w:rPr>
                <w:rFonts w:ascii="Arial;sans-serif" w:hAnsi="Arial;sans-serif"/>
                <w:b w:val="false"/>
                <w:color w:val="000000"/>
                <w:sz w:val="12"/>
              </w:rPr>
              <w:t>(b)</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Recognition of prior service credit due to curtailment</w:t>
            </w:r>
            <w:r>
              <w:rPr>
                <w:rFonts w:ascii="Arial;sans-serif" w:hAnsi="Arial;sans-serif"/>
                <w:b w:val="false"/>
                <w:color w:val="000000"/>
                <w:sz w:val="12"/>
              </w:rPr>
              <w:t>(c)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Amortization of prior service credit</w:t>
            </w:r>
            <w:r>
              <w:rPr>
                <w:rFonts w:ascii="Arial;sans-serif" w:hAnsi="Arial;sans-serif"/>
                <w:b w:val="false"/>
                <w:color w:val="000000"/>
                <w:sz w:val="12"/>
              </w:rPr>
              <w:t>(b)(d)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other comprehensive (loss) income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Comprehensive income attributable to common stock</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(a)Net of tax benefit of $1 million in 2023 and expense $5 million in 2022. </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(b)There were no tax effects in 2021. </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(c)Net of tax benefit of $1 million in 2023. </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(d)Net of tax benefit of a $1 million in both 2023 and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65480"/>
                <wp:effectExtent l="0" t="0" r="0" b="0"/>
                <wp:wrapNone/>
                <wp:docPr id="89" name="Frame88"/>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consolidated financial statements.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consolidated financial statements.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Consolidated Statements of Changes in Stockholders' Equity (Deficit)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years ended December 31, 2023, 2022 and 2021</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tbl>
      <w:tblPr>
        <w:tblW w:w="12093" w:type="dxa"/>
        <w:jc w:val="center"/>
        <w:tblInd w:w="0" w:type="dxa"/>
        <w:tblLayout w:type="fixed"/>
        <w:tblCellMar>
          <w:top w:w="28" w:type="dxa"/>
          <w:left w:w="28" w:type="dxa"/>
          <w:bottom w:w="28" w:type="dxa"/>
          <w:right w:w="28" w:type="dxa"/>
        </w:tblCellMar>
      </w:tblPr>
      <w:tblGrid>
        <w:gridCol w:w="825"/>
        <w:gridCol w:w="277"/>
        <w:gridCol w:w="279"/>
        <w:gridCol w:w="308"/>
        <w:gridCol w:w="373"/>
        <w:gridCol w:w="160"/>
        <w:gridCol w:w="109"/>
        <w:gridCol w:w="109"/>
        <w:gridCol w:w="109"/>
        <w:gridCol w:w="211"/>
        <w:gridCol w:w="481"/>
        <w:gridCol w:w="109"/>
        <w:gridCol w:w="109"/>
        <w:gridCol w:w="109"/>
        <w:gridCol w:w="109"/>
        <w:gridCol w:w="211"/>
        <w:gridCol w:w="616"/>
        <w:gridCol w:w="109"/>
        <w:gridCol w:w="109"/>
        <w:gridCol w:w="109"/>
        <w:gridCol w:w="109"/>
        <w:gridCol w:w="260"/>
        <w:gridCol w:w="760"/>
        <w:gridCol w:w="136"/>
        <w:gridCol w:w="109"/>
        <w:gridCol w:w="109"/>
        <w:gridCol w:w="109"/>
        <w:gridCol w:w="418"/>
        <w:gridCol w:w="716"/>
        <w:gridCol w:w="217"/>
        <w:gridCol w:w="109"/>
        <w:gridCol w:w="109"/>
        <w:gridCol w:w="109"/>
        <w:gridCol w:w="236"/>
        <w:gridCol w:w="691"/>
        <w:gridCol w:w="124"/>
        <w:gridCol w:w="109"/>
        <w:gridCol w:w="109"/>
        <w:gridCol w:w="109"/>
        <w:gridCol w:w="379"/>
        <w:gridCol w:w="730"/>
        <w:gridCol w:w="197"/>
        <w:gridCol w:w="109"/>
        <w:gridCol w:w="109"/>
        <w:gridCol w:w="109"/>
        <w:gridCol w:w="211"/>
        <w:gridCol w:w="61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Attributable to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31, 2020</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 holder</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dividends ($0.17 per share)</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Redemption of noncontrolling interest</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31, 2021</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dividends ($0.7925 per share)</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 of tax</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December 31, 2022</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dividends ($1.1575 per share)</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Shares cancelled for taxes</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 of tax</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Balance, December 31, 2023</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65480"/>
                <wp:effectExtent l="0" t="0" r="0" b="0"/>
                <wp:wrapNone/>
                <wp:docPr id="90" name="Frame89"/>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consolidated financial statements.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consolidated financial statements.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Consolidated Statements of Cash Flows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years ended December 31, 2023, 2022 and 2021</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tbl>
      <w:tblPr>
        <w:tblW w:w="9671" w:type="dxa"/>
        <w:jc w:val="left"/>
        <w:tblInd w:w="0" w:type="dxa"/>
        <w:tblLayout w:type="fixed"/>
        <w:tblCellMar>
          <w:top w:w="28" w:type="dxa"/>
          <w:left w:w="28" w:type="dxa"/>
          <w:bottom w:w="28" w:type="dxa"/>
          <w:right w:w="28" w:type="dxa"/>
        </w:tblCellMar>
      </w:tblPr>
      <w:tblGrid>
        <w:gridCol w:w="2398"/>
        <w:gridCol w:w="2103"/>
        <w:gridCol w:w="2113"/>
        <w:gridCol w:w="211"/>
        <w:gridCol w:w="466"/>
        <w:gridCol w:w="109"/>
        <w:gridCol w:w="109"/>
        <w:gridCol w:w="109"/>
        <w:gridCol w:w="109"/>
        <w:gridCol w:w="211"/>
        <w:gridCol w:w="466"/>
        <w:gridCol w:w="109"/>
        <w:gridCol w:w="109"/>
        <w:gridCol w:w="109"/>
        <w:gridCol w:w="109"/>
        <w:gridCol w:w="211"/>
        <w:gridCol w:w="466"/>
        <w:gridCol w:w="154"/>
      </w:tblGrid>
      <w:tr>
        <w:trPr/>
        <w:tc>
          <w:tcPr>
            <w:tcW w:w="2398"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 ended December 31,</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FROM OPERATING ACTIVITIES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provision (benefit)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from commodity derivatives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Settlement payments from commodity derivatives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 on asset divestitures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charges to income,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net: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Decrease (increase) in trade receivables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(Increase) in inventories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Decrease (increase) in other current assets,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accounts payable and accrued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Net cash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FROM INVESTING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investments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accrued capital investments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asset divestitures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related to the Carbon TerraVault JV</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joint venture transaction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 FROM FINANCING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Revolving Credit Facility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Revolving Credit Facility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Senior Notes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repurchases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Debt financing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Second Lien Term Loan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EHP Notes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 holders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dividends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cancelled for taxes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provided by financing activities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Increase in cash</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Cash and cash equivalents—beginning of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Cash and cash equivalents—end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65480"/>
                <wp:effectExtent l="0" t="0" r="0" b="0"/>
                <wp:wrapNone/>
                <wp:docPr id="91" name="Frame90"/>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consolidated financial statements.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consolidated financial statements.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lineRule="auto" w:line="288" w:before="160" w:after="16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    NATURE OF BUSINESS, SUMMARY OF SIGNIFICANT ACCOUNTING POLICIES AND OTHER</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Nature of Business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are an independent oil and natural gas exploration and production and carbon management company operating properties exclusively within California. We are committed to energy transition and have some of the lowest carbon intensity production in the United States. We are in the early stages of permitting several carbon capture and storage projects in California. Our carbon management business, which we refer to as Carbon TerraVault, is expected to build, install, operate and maintain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capture equipment, transportation assets and storage facilities in California. In December 2023, the U.S. Environmental Protection Agency released draft Class VI permits for a carbon storage project held by a joint venture we entered into with BGTF Sierra Aggregator LLC (Brookfield) to pursue carbon management and storage activities (Carbon TerraVault JV). See </w:t>
      </w:r>
      <w:r>
        <w:rPr>
          <w:rFonts w:ascii="Arial;sans-serif" w:hAnsi="Arial;sans-serif"/>
          <w:b w:val="false"/>
          <w:i/>
          <w:color w:val="000000"/>
          <w:sz w:val="20"/>
        </w:rPr>
        <w:t>Note 3 Investments and Related Party Transactions</w:t>
      </w:r>
      <w:r>
        <w:rPr>
          <w:color w:val="000000"/>
        </w:rPr>
        <w:t xml:space="preserve"> </w:t>
      </w:r>
      <w:r>
        <w:rPr>
          <w:rFonts w:ascii="Arial;sans-serif" w:hAnsi="Arial;sans-serif"/>
          <w:b w:val="false"/>
          <w:color w:val="000000"/>
          <w:sz w:val="20"/>
        </w:rPr>
        <w:t xml:space="preserve">for more information on the Carbon TerraVault JV.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Except when the context otherwise requires or where otherwise indicated, all references to ‘‘CRC,’’ the ‘‘Company,’’ ‘‘we,’’ ‘‘us’’ and ‘‘our’’ refer to California Resources Corporation and its subsidiaries.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Basis of Presentation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prepared this report in accordance with United States (U.S.) generally accepted accounting principles (U.S. GAAP) and the rules and regulations of the U.S. Securities and Exchange Commission applicable to annual financial information.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All financial information presented consists of our consolidated results of operations, financial position and cash flows. We have eliminated significant intercompany transactions and balances. We account for our share of oil and natural gas producing activities, in which we have a direct working interest, by reporting our proportionate share of assets, liabilities, revenues, costs and cash flows within the relevant lines on our consolidated financial statements.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process of preparing financial statements in conformity with U.S. GAAP requires management to select appropriate accounting policies and make informed estimates and judgments regarding certain types of financial statement balances and disclosures. Such estimates primarily relate to unsettled transactions and events as of the date of the financial statements and judgments on expected outcomes as well as the materiality of transactions and balances. Changes in facts and circumstances or discovery of new information relating to such transactions and events may result in revised estimates and judgments. Further, actual results may differ from estimates upon settlement. Management believes that these estimates and judgments provide a reasonable basis for the fair presentation of our consolidated financial statements.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Risks and Uncertainties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revenue, profitability and future growth or our oil and natural gas operations are substantially dependent upon prevailing and future prices for oil and natural gas, which can be volatile and dependent on factors beyond our control including global production inventories, available storage and transportation capacities, government regulation, the military conflicts in Ukraine and Israel, instability in the Middle East and economic conditions. We are in the early stages of developing a carbon capture and sequestration business which is subject to risks as an emerging industry. We operate exclusively in California which is a highly regulated environment.</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Concentration of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sell crude oil, natural gas and NGLs to marketers, California refineries and other customers that have access to transportation and storage facilities. In light of the ongoing energy deficit in California and strong demand for native crude oil production, we do not believe that the loss of any single customer would have a material adverse effect on our consolidated financial statements taken as a whole.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0520"/>
                <wp:effectExtent l="0" t="0" r="0" b="0"/>
                <wp:wrapNone/>
                <wp:docPr id="92" name="Frame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For the year ended December 31, 2023, three California refineries each accounted for at least 10%, and collectively 44%, of our sales (before the effects of hedging). For the year ended December 31, 2022, three California refineries each accounted for at least 10%, and collectively accounted for 52%, of our sales (before the effects of hedging). For the year ended December 31, 2021, three California refineries each accounted for at least 10%, and collectively accounted for 51%, of our sales (before the effects of hedging).</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Recently Issued but not Adopted Accounting and Disclosure Changes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December 2023, the Financial Accounting Standards Board’s (FASB) issued new disclosure requirements for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(ASC 740). The rule is effective for fiscal years beginning after December 15, 2024, but early adoption is permitted. This rule is to be applied on a prospective basis, but a retrospective application is permitted. We do not expect the adoption of these rules to have a significant impact on our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November 2023, the FASB issued new segment disclosure requirements primarily to enhance disclosure of significant segment expenses. These new segment disclosure requirements will apply to us. The rules are effective for fiscal years beginning after December 15, 2023 and interim periods beginning on January 1, 2025, early adoption is permitted. The disclosure requirements will be applied retrospectively to all prior periods included in the financial statements. We do not expect the adoption of these rules to have a significant impact on our financial statements.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Property, Plant and Equipment (PP&amp;E)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use the successful efforts method to account for our oil and natural gas properties. Under this method, we capitalize costs of acquiring properties, costs of drilling successful exploration wells and development costs. The costs of exploratory wells, including permitting, land preparation and drilling costs, are initially capitalized pending a determination of whether we find proved reserves. If we find proved reserves, the costs of exploratory wells remain capitalized. Otherwise, we charge the costs of the related wells to expense. In cases where we cannot determine whether we have found proved reserves at the completion of exploration drilling, we conduct additional testing and evaluation of the wells. We generally expense the costs of such exploratory wells if we do not find proved reserves within a one-year period after initial drilling has been completed.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Proved Reserves</w:t>
      </w:r>
      <w:r>
        <w:rPr>
          <w:color w:val="000000"/>
        </w:rPr>
        <w:t xml:space="preserve"> – </w:t>
      </w:r>
      <w:r>
        <w:rPr>
          <w:rFonts w:ascii="Arial;sans-serif" w:hAnsi="Arial;sans-serif"/>
          <w:b w:val="false"/>
          <w:color w:val="000000"/>
          <w:sz w:val="20"/>
        </w:rPr>
        <w:t>Proved reserves are those quantities of oil and natural gas that, by analysis of geoscience and engineering data, can be estimated with reasonable certainty to be economically producible—from a specific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We have no proved oil and natural gas reserves for which the determination of economic producibility is subject to the completion of major capital 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Several factors could change our proved oil and natural gas reserves. For example, for long-lived properties, higher commodity prices typically result in additional reserves becoming economic and lower commodity prices may lead to existing reserves becoming uneconomic. Estimation of future production and development costs is also subject to change partially due to factors beyond our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as well as availability of capital to implement the development activities contemplated in the reserves estimates and changes in management's plans with respect to such development activities.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3" name="Frame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perform impairment tests with respect to proved properties when product prices decline other than temporarily, reserve estimates change significantly, other significant events occur or management's plans change with respect to these properties in a manner that may impact our ability to realize the recorded asset amounts. Impairment tests incorporate a number of assumptions involving expectations of undiscounted future cash flows, which can change significantly over time. These assumptions include estimates of future product prices, which we base on forward price curves and, when applicable, contractual prices, estimates of oil and natural gas reserves and estimates of future expected operating and development costs. Any impairment loss would be calculated as the excess of the asset's net book value over its estimated fair value. We recognize any impairment loss on proved properties by adjusting the carrying amount of the asset.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 xml:space="preserve">Unproved Properties </w:t>
      </w:r>
      <w:r>
        <w:rPr>
          <w:color w:val="000000"/>
        </w:rPr>
        <w:t xml:space="preserve">– </w:t>
      </w:r>
      <w:r>
        <w:rPr>
          <w:rFonts w:ascii="Arial;sans-serif" w:hAnsi="Arial;sans-serif"/>
          <w:b w:val="false"/>
          <w:color w:val="000000"/>
          <w:sz w:val="20"/>
        </w:rPr>
        <w:t xml:space="preserve">When we make acquisitions that include unproved properties, we assign values based on estimated reserves that we believe will ultimately be proved. As exploration and development work progresses and if reserves are proved, we transfer the book value from unproved to proved based on the initially determined rate per BOE. If the exploration and development work were to be unsuccessful, or management decided not to pursue development of these properties as a result of lower commodity prices, higher development and operating costs, regulatory changes, contractual conditions or other factors, the capitalized costs of the related properties would be expensed.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Impairments of unproved properties are primarily based on qualitative factors including intent of property development, lease term and recent development activity. The timing of impairments on unproved properties, if warranted, depends upon management's plans, the nature, timing and extent of future exploration and development activities and their results. We recognize any impairment loss on unproved properties by providing a valuation allowance.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i/>
          <w:color w:val="000000"/>
          <w:sz w:val="20"/>
        </w:rPr>
        <w:t>Depreciation, Depletion and Amortization</w:t>
      </w:r>
      <w:r>
        <w:rPr>
          <w:color w:val="000000"/>
        </w:rPr>
        <w:t xml:space="preserve"> – </w:t>
      </w:r>
      <w:r>
        <w:rPr>
          <w:rFonts w:ascii="Arial;sans-serif" w:hAnsi="Arial;sans-serif"/>
          <w:b w:val="false"/>
          <w:color w:val="000000"/>
          <w:sz w:val="20"/>
        </w:rPr>
        <w:t xml:space="preserve">We determine depreciation, depletion and amortization (DD&amp;A) of oil and natural gas producing properties by the unit-of-production method. Our unproved reserves are not subject to DD&amp;A until they are classified as proved properties. We amortize acquisition costs over total proved reserves, and capitalized development and successful exploration costs over proved developed reserves. Our gas and power plant assets are depreciated over the estimated useful lives of the assets, using the straight-line method, with expected initial useful lives of the assets of up to 30 years. We depreciated other property and equipment using the straight-line method based on expected useful lives of the individual assets or group of assets. The useful lives typically include ranges of 4-10 years for leasehold improvements, 1-4 years for software and telecommunications equipment and up to 5 years for computer hardware. </w:t>
      </w:r>
    </w:p>
    <w:p>
      <w:pPr>
        <w:pStyle w:val="TextBody"/>
        <w:bidi w:val="0"/>
        <w:spacing w:lineRule="auto" w:line="288" w:before="160" w:after="160"/>
        <w:ind w:left="0" w:right="0" w:firstLine="360"/>
        <w:jc w:val="left"/>
        <w:rPr>
          <w:rFonts w:ascii="Arial;sans-serif" w:hAnsi="Arial;sans-serif"/>
          <w:b w:val="false"/>
          <w:color w:val="000000"/>
          <w:sz w:val="20"/>
        </w:rPr>
      </w:pPr>
      <w:r>
        <w:rPr>
          <w:rFonts w:ascii="Arial;sans-serif" w:hAnsi="Arial;sans-serif"/>
          <w:b w:val="false"/>
          <w:color w:val="000000"/>
          <w:sz w:val="20"/>
        </w:rPr>
        <w:t>We expense annual lease rentals, the costs of injection used in production and exploration, and geological, geophysical and seismic costs as incurred. Costs of maintenance and repairs are expensed as incurred, except that the costs of replacements that expand capacity or add proven oil and natural gas reserves are capitalized.</w:t>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Fair Value Measurements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assets and liabilities measured at fair value are categorized in a three-level fair-value hierarchy, based on the inputs to the valuation techniques: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Level 1—using quoted prices in active markets for the assets or liabilities;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Level 2—using observable inputs other than quoted prices for the assets or liabilities; and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Level 3—using unobservable inputs.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Transfers between levels, if any, are recognized at the end of each reporting period. We apply the market approach for certain recurring fair value measurements, maximize our use of observable inputs and minimize use of unobservable inputs. We generally use an income approach to measure fair value when observable inputs are unavailable. This approach utilizes management's judgments regarding expectations of projected cash flows and discount rates.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4" name="Frame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Commodity derivatives are carried at fair value. We utilize the mid-point between bid and ask prices for valuing these instruments. Our commodity derivatives comprise over-the-counter bilateral financial commodity contracts, which are generally valued using industry-standard models that consider various inputs, including quoted forward prices for commodities, time value, volatility factors, credit risk and current market and contracted prices for the underlying instruments, as well as other relevant economic measures. Substantially all of these inputs are observable data or are supported by observable prices based on transactions executed in the marketplace. We classify these measurements as Level 2.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PP&amp;E may be written down to fair value if we determine that there has been an impairment. The fair value is determined as of the date of the assessment generally using discounted cash flow models based on management’s expectations for the future. Inputs include estimates of future production, prices based on commodity forward price curves, inclusive of market differentials, as of the date of the estimate, estimated future operating and development costs and a risk-adjusted discount rate.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carrying amounts of cash and other on-balance sheet financial instruments, other than fixed-rate debt, approximate fair value.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Revenue Recognition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derive substantially all of our revenue from sales of oil, natural gas and NGLs and associated hedging activities, with the remaining revenue generated from sales of electricity and trading activities related to storage and managing excess pipeline capacity. Revenues are recognized when control of promised goods is transferred to our customers, in an amount that reflects the consideration we expect to receive in exchange for those goods. See </w:t>
      </w:r>
      <w:r>
        <w:rPr>
          <w:rFonts w:ascii="Arial;sans-serif" w:hAnsi="Arial;sans-serif"/>
          <w:b w:val="false"/>
          <w:i/>
          <w:color w:val="000000"/>
          <w:sz w:val="20"/>
        </w:rPr>
        <w:t>Note 14</w:t>
      </w:r>
      <w:r>
        <w:rPr>
          <w:color w:val="000000"/>
        </w:rPr>
        <w:t xml:space="preserve"> </w:t>
      </w:r>
      <w:r>
        <w:rPr>
          <w:rFonts w:ascii="Arial;sans-serif" w:hAnsi="Arial;sans-serif"/>
          <w:b w:val="false"/>
          <w:i/>
          <w:color w:val="000000"/>
          <w:sz w:val="20"/>
        </w:rPr>
        <w:t xml:space="preserve">Revenue </w:t>
      </w:r>
      <w:r>
        <w:rPr>
          <w:rFonts w:ascii="Arial;sans-serif" w:hAnsi="Arial;sans-serif"/>
          <w:b w:val="false"/>
          <w:color w:val="000000"/>
          <w:sz w:val="20"/>
        </w:rPr>
        <w:t xml:space="preserve">for more information on our revenue from contracts with customers.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Joint Ventures and Investments in Unconsolidated Subsidiaries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may enter into joint ventures that are considered to be a variable interest entity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We consolidate a VIE if we determine that we have (i) the power to direct the activities of the VIE that most significantly impact its</w:t>
      </w:r>
      <w:r>
        <w:rPr>
          <w:color w:val="000000"/>
        </w:rPr>
        <w:t xml:space="preserve"> </w:t>
      </w:r>
      <w:r>
        <w:rPr>
          <w:rFonts w:ascii="Arial;sans-serif" w:hAnsi="Arial;sans-serif"/>
          <w:b w:val="false"/>
          <w:color w:val="000000"/>
          <w:sz w:val="20"/>
        </w:rPr>
        <w:t xml:space="preserve">economic performance and (ii) the obligation to absorb losses or the right to receive benefits from the VIE that are more than insignificant to the VIE. If an entity is determined to be a VIE but we do not have a controlling interest, the entity is accounted for under either the cost or equity method depending on whether we exercise significant influence. See </w:t>
      </w:r>
      <w:r>
        <w:rPr>
          <w:rFonts w:ascii="Arial;sans-serif" w:hAnsi="Arial;sans-serif"/>
          <w:b w:val="false"/>
          <w:i/>
          <w:color w:val="000000"/>
          <w:sz w:val="20"/>
        </w:rPr>
        <w:t>Note 3 Investment in Unconsolidated Subsidiary and Related Party Transactions</w:t>
      </w:r>
      <w:r>
        <w:rPr>
          <w:color w:val="000000"/>
        </w:rPr>
        <w:t xml:space="preserve"> </w:t>
      </w:r>
      <w:r>
        <w:rPr>
          <w:rFonts w:ascii="Arial;sans-serif" w:hAnsi="Arial;sans-serif"/>
          <w:b w:val="false"/>
          <w:color w:val="000000"/>
          <w:sz w:val="20"/>
        </w:rPr>
        <w:t xml:space="preserve">for more information on the Carbon TerraVault JV. These evaluations are highly complex and involve management judgment and may involve the use of estimates and assumptions based on available information. The evaluation requires continual assessment.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Investments in unconsolidated entities are assessed for impairment whenever changes in the facts and circumstances indicate a loss in value may have occurred, which is other than temporary.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Inventories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Materials and supplies, which primarily consist of well equipment and tubular goods used in our oil and natural gas operations, are valued at weighted-average cost and are reviewed periodically for obsolescence. Finished goods predominantly comprise oil and natural gas liquids (NGLs), which are valued at the lower of cost or net realizable value. Inventories, by category, are as follows:</w:t>
      </w:r>
    </w:p>
    <w:tbl>
      <w:tblPr>
        <w:tblW w:w="3833" w:type="dxa"/>
        <w:jc w:val="left"/>
        <w:tblInd w:w="0" w:type="dxa"/>
        <w:tblLayout w:type="fixed"/>
        <w:tblCellMar>
          <w:top w:w="28" w:type="dxa"/>
          <w:left w:w="28" w:type="dxa"/>
          <w:bottom w:w="28" w:type="dxa"/>
          <w:right w:w="28" w:type="dxa"/>
        </w:tblCellMar>
      </w:tblPr>
      <w:tblGrid>
        <w:gridCol w:w="750"/>
        <w:gridCol w:w="657"/>
        <w:gridCol w:w="662"/>
        <w:gridCol w:w="211"/>
        <w:gridCol w:w="376"/>
        <w:gridCol w:w="109"/>
        <w:gridCol w:w="109"/>
        <w:gridCol w:w="109"/>
        <w:gridCol w:w="109"/>
        <w:gridCol w:w="211"/>
        <w:gridCol w:w="376"/>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68" w:type="dxa"/>
            <w:gridSpan w:val="6"/>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5" name="Frame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Derivative Instruments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fair value of our derivative contracts are netted when a legal right of offset exists with the same counterparty with an intent to offset. Since we did not apply hedge accounting to our commodity derivatives for any of the periods presented, we recognized fair value adjustments, on a net basis, in our consolidated statements of operations. Unless otherwise indicated, we use the term "hedge" to describe derivative instruments that are designed to achieve our hedging program goals, even though they are not accounted for as cash-flow or fair-value hedges.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Stock-Based Incentive Plans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pPr>
      <w:r>
        <w:rPr>
          <w:rFonts w:ascii="Arial;sans-serif" w:hAnsi="Arial;sans-serif"/>
          <w:b w:val="false"/>
          <w:color w:val="000000"/>
          <w:sz w:val="20"/>
        </w:rPr>
        <w:t>The terms of our long-term incentive plan were approved by our board of directors in January 2021. In accordance with this long-term incentive plan, we reserved</w:t>
      </w:r>
      <w:r>
        <w:rPr>
          <w:color w:val="000000"/>
          <w:shd w:fill="FFFFFF" w:val="clear"/>
        </w:rPr>
        <w:t xml:space="preserve"> </w:t>
      </w:r>
      <w:r>
        <w:rPr>
          <w:rFonts w:ascii="Arial;sans-serif" w:hAnsi="Arial;sans-serif"/>
          <w:b w:val="false"/>
          <w:color w:val="000000"/>
          <w:sz w:val="20"/>
        </w:rPr>
        <w:t>9,257,740</w:t>
      </w:r>
      <w:r>
        <w:rPr>
          <w:color w:val="000000"/>
          <w:shd w:fill="FFFFFF" w:val="clear"/>
        </w:rPr>
        <w:t xml:space="preserve"> </w:t>
      </w:r>
      <w:r>
        <w:rPr>
          <w:rFonts w:ascii="Arial;sans-serif" w:hAnsi="Arial;sans-serif"/>
          <w:b w:val="false"/>
          <w:color w:val="000000"/>
          <w:sz w:val="20"/>
          <w:shd w:fill="FFFFFF" w:val="clear"/>
        </w:rPr>
        <w:t xml:space="preserve">shares of common stock (subject to adjustment) for future issuances to certain executives, employees and non-employee directors that are more fully described in </w:t>
      </w:r>
      <w:r>
        <w:rPr>
          <w:rFonts w:ascii="Arial;sans-serif" w:hAnsi="Arial;sans-serif"/>
          <w:b w:val="false"/>
          <w:i/>
          <w:color w:val="000000"/>
          <w:sz w:val="20"/>
          <w:shd w:fill="FFFFFF" w:val="clear"/>
        </w:rPr>
        <w:t>Note 9 Stock-Based Compensation</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Earnings Per Share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Basic earnings per share is calculated as net income divided by the weighted average number of our common shares outstanding during the period. Diluted earnings per share is calculated by dividing net income by the weighted average number of our common shares outstanding including the effect of dilutive potential common shares. We compute basic and diluted earnings per share (EPS) using the two-class method required for participating securities, when applicable, and the treasury stock method when participating securities are not in place. Certain restricted and performance stock awards are considered participating securities when such shares have non-forfeitable dividend rights, which participate at the same rate as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Under the two-class method, net income allocated to participating securities is subtracted from net income attributable to common stock in determining net income available to common stockholders. In loss periods, no allocation is made to participating securities because the participating securities do not share in losses.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Asset Retirement Obligations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recognize the fair value of asset retirement obligations (ARO) in the period in which a determination is made that a legal obligation exists to dismantle an asset and reclaim or remediate the property at the end of its useful life and the cost of the obligation can be reasonably estimated. The fair value of the retirement obligation is based on future retirement cost estimates and incorporates many assumptions such as time of abandonment, current regulatory requirements, technological changes, future inflation rates and a risk-adjusted discount rate. When the liability is initially recorded, we capitalize the cost by increasing the related PP&amp;E balances. If the estimated future cost or timing of cash flow changes, we adjust the fair value of the liability and PP&amp;E. Over time the liability is increased, and expense is recognized for accretion. The cost capitalized to PP&amp;E is recovered over either the useful life of our facilities or the unit-of-production method for our minerals.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asset retirement obligations for certain of our facilities, which includes plant and field decommissioning, and the plugging and abandonment of wells. In certain cases, we will recognize ARO in the periods in which sufficient information becomes available to reasonably estimate their fair values. Additionally, for certain plants, we do not have a legal obligation to decommission them and, accordingly, we have not recorded a liability.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0520"/>
                <wp:effectExtent l="0" t="0" r="0" b="0"/>
                <wp:wrapNone/>
                <wp:docPr id="96" name="Frame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a rollforward of our ARO. </w:t>
      </w:r>
    </w:p>
    <w:tbl>
      <w:tblPr>
        <w:tblW w:w="9446" w:type="dxa"/>
        <w:jc w:val="left"/>
        <w:tblInd w:w="0" w:type="dxa"/>
        <w:tblLayout w:type="fixed"/>
        <w:tblCellMar>
          <w:top w:w="28" w:type="dxa"/>
          <w:left w:w="28" w:type="dxa"/>
          <w:bottom w:w="28" w:type="dxa"/>
          <w:right w:w="28" w:type="dxa"/>
        </w:tblCellMar>
      </w:tblPr>
      <w:tblGrid>
        <w:gridCol w:w="1492"/>
        <w:gridCol w:w="1305"/>
        <w:gridCol w:w="1328"/>
        <w:gridCol w:w="650"/>
        <w:gridCol w:w="1486"/>
        <w:gridCol w:w="339"/>
        <w:gridCol w:w="109"/>
        <w:gridCol w:w="109"/>
        <w:gridCol w:w="109"/>
        <w:gridCol w:w="627"/>
        <w:gridCol w:w="1431"/>
        <w:gridCol w:w="461"/>
      </w:tblGrid>
      <w:tr>
        <w:trPr/>
        <w:tc>
          <w:tcPr>
            <w:tcW w:w="149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2846" w:type="dxa"/>
            <w:gridSpan w:val="6"/>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2022</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Liabilities settled and divested</w:t>
            </w:r>
            <w:r>
              <w:rPr>
                <w:color w:val="000000"/>
              </w:rPr>
              <w:t xml:space="preserve"> </w:t>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 on discounted obligation</w:t>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Revisions of estimated obligation</w:t>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Current portion (included in accrued liabilities)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portion</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Note: The table excludes $5 million related to asset retirement obligations associated with assets held for sale.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liabilities settled and divested in 2023 of $60 million, included $51 million for settlement payments and $9 million of liabilities assumed related to our sale of our non-operated working interest in the Round Mountain Unit and a non-producing asset. Revisions of our estimated obligation increased $37 million, which reflected changes in the timing of settlement.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2022, our total asset retirement obligation increased by $2 million from 2021. Our liabilities settled and divested in 2022 of $57 million, included $40 million for settlement payments and $17 million of liabilities assumed related to our Lost Hills divestiture. Revisions of our estimated obligation increased $15 million, which reflect higher anticipated future abandonment costs, including inflation, and changes in the timing of settlement.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Note 8 Divestitures and Acquisitions </w:t>
      </w:r>
      <w:r>
        <w:rPr>
          <w:rFonts w:ascii="Arial;sans-serif" w:hAnsi="Arial;sans-serif"/>
          <w:b w:val="false"/>
          <w:color w:val="000000"/>
          <w:sz w:val="20"/>
        </w:rPr>
        <w:t xml:space="preserve">for more information on our sold properties and our liabilities reclassified as held for sale.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Loss Contingencies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the normal course of business, we are involved in lawsuits, claims and other environmental and legal proceedings and audits. We accrue reserves for these matters when it is probable that a liability has been incurred and the liability can be reasonably estimated. In addition, we disclose, if material, in aggregate, our exposure to losses in excess of the amount recorded on the balance sheet for these matters if it is reasonably possible that an additional material loss may be incurred. We review our loss contingencies on an ongoing basis.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Deferred tax assets and liabilities are recognized for the estimated future tax consequences attributable to differences between the financial statement carrying amounts of assets and liabilities and their tax basis. Deferred tax assets are recognized when it is more likely than not that they will be realized. We periodically assess our deferred tax assets and reduce such assets by a valuation allowance if we deem it is more likely than not that some portion or all of the deferred tax assets will not be realized.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recognize the financial statement effects of tax positions when it is more likely than not, based on the technical merits, that the position will be sustained upon examination by a tax authority. We recognize interest and penalties, if any, related to uncertain tax positions as a component of the income tax provision. No interest or penalties related to uncertain tax positions were recognized in the financial statements for the periods presented.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0520"/>
                <wp:effectExtent l="0" t="0" r="0" b="0"/>
                <wp:wrapNone/>
                <wp:docPr id="97"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Production-Sharing Type Contracts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approximately 18% and 16% of our total production for the years ended December 31, 2023 and 2022, respectively.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line with industry practice for reporting PSCs, we report 100% of operating costs under such contracts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 </w:t>
      </w:r>
    </w:p>
    <w:p>
      <w:pPr>
        <w:pStyle w:val="TextBody"/>
        <w:bidi w:val="0"/>
        <w:spacing w:lineRule="auto" w:line="288" w:before="0" w:after="0"/>
        <w:ind w:left="0" w:right="0" w:firstLine="360"/>
        <w:jc w:val="left"/>
        <w:rPr>
          <w:rFonts w:ascii="Arial;sans-serif" w:hAnsi="Arial;sans-serif"/>
          <w:b w:val="false"/>
          <w:i/>
          <w:color w:val="000000"/>
          <w:sz w:val="20"/>
          <w:u w:val="single"/>
        </w:rPr>
      </w:pPr>
      <w:r>
        <w:rPr>
          <w:rFonts w:ascii="Arial;sans-serif" w:hAnsi="Arial;sans-serif"/>
          <w:b w:val="false"/>
          <w:i/>
          <w:color w:val="000000"/>
          <w:sz w:val="20"/>
          <w:u w:val="single"/>
        </w:rPr>
        <w:t>Pension and Postretirement Benefit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All of our employees participate in postretirement benefit plans we sponsor. These plans are primarily funded as benefits are paid. In addition, a small number of our employees also participate in defined benefit pension plans sponsored by us. We recognize the net overfunded or underfunded amounts in the consolidated financial statements at each measurement date.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determine our defined benefit pension and postretirement benefit plan obligations based on various assumptions and discount rates. The discount rate assumptions used are meant to reflect the interest rate at which the obligations could effectively be settled on the measurement date. We estimate the rate of return on assets with regard to current market factors but within the context of historical returns.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Pension plan assets are measured at fair value. Publicly registered mutual funds are valued using quoted market prices in active markets. Commingled funds are valued at the fund units’ net asset value (NAV) provided by the issuer, which represents the quoted price in a non-active market.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Actuarial gains and losses that have not yet been recognized through income, are recorded in accumulated other comprehensive income within equity, net of taxes, until they are amortized as a component of net periodic benefit cost.</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Leases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account for our leases in which we are the lessee, other than mineral leases including oil and natural gas leases, under an accounting standard which requires us to recognize most leases, including operating leases, on the balance sheet. The majority of our leases are for commercial office space, fleet vehicles, drilling rigs, easements and facilities. We categorize leases as either operating or financing at lease commencement. We recognize a right-of-use (ROU) asset and associated lease liability for each operating and finance lease with contractual terms of greater than 12 months on the balance sheet. In considering whether a contract contains a lease, we first consider whether there is an identifiable asset and then consider how and for what purpose the asset would be used over the contract term. Our ROU assets are measured at the initial amount of the lease liability determined by measuring the present value of the fixed minimum lease payments, adjusted for any payments made before or at the lease commencement date, discounted using our incremental borrowing rate (IBR). In determining our IBR, we consider the average cost of borrowing for publicly traded corporate bond yields, which are adjusted to reflect our credit rating, the remaining lease term for each class of our leases and frequency of payments.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98" name="Frame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ROU assets for operating leases are amortized over the term of the lease using the straight-line method. Lease expense also includes accretion of the lease liability recognized using the effective interest method. ROU assets are tested for impairment in the same manner as long-lived assets.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Share Repurchase Program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repurchase shares of our common stock from time to time under a program authorized by our Board of Directors, including pursuant to a contract, instruction or written plan meeting requirements of Rule 10b5-1(c)(1) of the Exchange Act. Share repurchases have not been retired and are displayed separately as treasury stock on our consolidated balance sheet.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Assets Held for Sale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may market certain non-core oil and natural gas assets or other properties for sale. At the end of each reporting period, we evaluate if these assets should be classified as held for sale. The held for sale criteria includes the following: management commitment to a plan to sell, the asset is available for immediate sale, an active program to locate a buyer exists, the sale of the asset is probable and expected to be completed within one year, the asset is being actively marketed for sale and it is unlikely that significant changes will be made to the plan. If all of these criteria are met, the asset is presented as held for sale on our consolidated balance sheet and measured at the lower of the carrying amount or estimated fair vale less costs to sell. DD&amp;A expense is not recorded on assets once classified as held for sale.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assets classified as held for sale at December 31, 2023 include the remaining assets and the associated asset retirement obligations in the Ventura basin and properties acquired for our carbon management activities. See </w:t>
      </w:r>
      <w:r>
        <w:rPr>
          <w:rFonts w:ascii="Arial;sans-serif" w:hAnsi="Arial;sans-serif"/>
          <w:b w:val="false"/>
          <w:i/>
          <w:color w:val="000000"/>
          <w:sz w:val="20"/>
        </w:rPr>
        <w:t>Note 8 Divestitures and Acquisitions</w:t>
      </w:r>
      <w:r>
        <w:rPr>
          <w:color w:val="000000"/>
        </w:rPr>
        <w:t xml:space="preserve"> </w:t>
      </w:r>
      <w:r>
        <w:rPr>
          <w:rFonts w:ascii="Arial;sans-serif" w:hAnsi="Arial;sans-serif"/>
          <w:b w:val="false"/>
          <w:color w:val="000000"/>
          <w:sz w:val="20"/>
        </w:rPr>
        <w:t xml:space="preserve">for more information.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2    PROPERTY, PLANT AND EQUIPMENT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capitalize the costs incurred to acquire or develop our oil and natural gas assets, including ARO and interest. For asset acquisitions, purchase price, including liabilities assumed, is allocated to acquired assets based on relative fair values at the acquisition date. We evaluate long-lived assets on a quarterly basis for possible impairment.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Property, plant and equipment, net consisted of the following: </w:t>
      </w:r>
    </w:p>
    <w:tbl>
      <w:tblPr>
        <w:tblW w:w="8831" w:type="dxa"/>
        <w:jc w:val="left"/>
        <w:tblInd w:w="0" w:type="dxa"/>
        <w:tblLayout w:type="fixed"/>
        <w:tblCellMar>
          <w:top w:w="28" w:type="dxa"/>
          <w:left w:w="28" w:type="dxa"/>
          <w:bottom w:w="28" w:type="dxa"/>
          <w:right w:w="28" w:type="dxa"/>
        </w:tblCellMar>
      </w:tblPr>
      <w:tblGrid>
        <w:gridCol w:w="1725"/>
        <w:gridCol w:w="1520"/>
        <w:gridCol w:w="1525"/>
        <w:gridCol w:w="402"/>
        <w:gridCol w:w="1233"/>
        <w:gridCol w:w="210"/>
        <w:gridCol w:w="109"/>
        <w:gridCol w:w="109"/>
        <w:gridCol w:w="109"/>
        <w:gridCol w:w="295"/>
        <w:gridCol w:w="906"/>
        <w:gridCol w:w="688"/>
      </w:tblGrid>
      <w:tr>
        <w:trPr/>
        <w:tc>
          <w:tcPr>
            <w:tcW w:w="172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Proved oil and natural gas properties</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2,972 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Unproved oil and natural gas properties</w:t>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Facilities and other</w:t>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property, plant and equipment</w:t>
            </w:r>
          </w:p>
        </w:tc>
        <w:tc>
          <w:tcPr>
            <w:tcW w:w="1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3,228 </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Arial;sans-serif" w:hAnsi="Arial;sans-serif"/>
                <w:b w:val="false"/>
                <w:color w:val="000000"/>
                <w:sz w:val="20"/>
              </w:rPr>
            </w:pPr>
            <w:r>
              <w:rPr>
                <w:rFonts w:ascii="Arial;sans-serif" w:hAnsi="Arial;sans-serif"/>
                <w:b w:val="false"/>
                <w:color w:val="000000"/>
                <w:sz w:val="20"/>
              </w:rPr>
              <w:t>Accumulated depreciation, depletion and amortization</w:t>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w:t>
            </w:r>
          </w:p>
        </w:tc>
        <w:tc>
          <w:tcPr>
            <w:tcW w:w="68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2,786 </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activity of capitalized exploratory well costs: </w:t>
      </w:r>
    </w:p>
    <w:tbl>
      <w:tblPr>
        <w:tblW w:w="4377" w:type="dxa"/>
        <w:jc w:val="left"/>
        <w:tblInd w:w="0" w:type="dxa"/>
        <w:tblLayout w:type="fixed"/>
        <w:tblCellMar>
          <w:top w:w="28" w:type="dxa"/>
          <w:left w:w="28" w:type="dxa"/>
          <w:bottom w:w="28" w:type="dxa"/>
          <w:right w:w="28" w:type="dxa"/>
        </w:tblCellMar>
      </w:tblPr>
      <w:tblGrid>
        <w:gridCol w:w="672"/>
        <w:gridCol w:w="589"/>
        <w:gridCol w:w="598"/>
        <w:gridCol w:w="215"/>
        <w:gridCol w:w="276"/>
        <w:gridCol w:w="111"/>
        <w:gridCol w:w="111"/>
        <w:gridCol w:w="111"/>
        <w:gridCol w:w="111"/>
        <w:gridCol w:w="215"/>
        <w:gridCol w:w="276"/>
        <w:gridCol w:w="111"/>
        <w:gridCol w:w="111"/>
        <w:gridCol w:w="111"/>
        <w:gridCol w:w="111"/>
        <w:gridCol w:w="215"/>
        <w:gridCol w:w="276"/>
        <w:gridCol w:w="157"/>
      </w:tblGrid>
      <w:tr>
        <w:trPr/>
        <w:tc>
          <w:tcPr>
            <w:tcW w:w="6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Charged to expense</w:t>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are not significant exploratory well costs in the periods presented that have been capitalized for a period greater than one year after the completion of drilling. Our capitalized exploratory well costs at December 31, 2023 are for wells that we intend to drill.</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99" name="Frame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Asset Impairments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we recognized an impairment of $3 million related to properties acquired for our carbon management activities. The fair value, using Level 3 inputs in the fair value hierarchy, declined during the first quarter of 2023 due to market conditions (including inflation and rising interest rates).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recognized an asset impairment of $2 million for the year ended December 31, 2022 related to a write-down of CRC Plaza, a commercial office building located in Bakersfield, California to fair value. In 2022, we sold CRC Plaza for $13 million. See </w:t>
      </w:r>
      <w:r>
        <w:rPr>
          <w:rFonts w:ascii="Arial;sans-serif" w:hAnsi="Arial;sans-serif"/>
          <w:b w:val="false"/>
          <w:i/>
          <w:color w:val="000000"/>
          <w:sz w:val="20"/>
        </w:rPr>
        <w:t>Note 8 Divestitures and Acquisitions</w:t>
      </w:r>
      <w:r>
        <w:rPr>
          <w:color w:val="000000"/>
        </w:rPr>
        <w:t xml:space="preserve"> </w:t>
      </w:r>
      <w:r>
        <w:rPr>
          <w:rFonts w:ascii="Arial;sans-serif" w:hAnsi="Arial;sans-serif"/>
          <w:b w:val="false"/>
          <w:color w:val="000000"/>
          <w:sz w:val="20"/>
        </w:rPr>
        <w:t xml:space="preserve">for further information regarding the sale of CRC Plaza.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Asset impairments were $28 million for the year ended December 31, 2021, including $25 million related to the write-down of CRC Plaza to fair value and a $3 million write-off of capitalized costs related to projects which were abandoned. We valued our commercial office building based on a market approach (using Level 3 inputs in the fair value hierarchy). The decline in commercial demand for office space of this size and type in that market at each assessment resulted in an impairment.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3    INVESTMENT IN UNCONSOLIDATED SUBSIDIARY AND RELATED PARTY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August 2022, our wholly-owned subsidiary Carbon TerraVault I, LLC entered into a joint venture with </w:t>
      </w:r>
      <w:r>
        <w:rPr>
          <w:rFonts w:ascii="Arial;sans-serif" w:hAnsi="Arial;sans-serif"/>
          <w:b w:val="false"/>
          <w:color w:val="000000"/>
          <w:sz w:val="20"/>
          <w:shd w:fill="FFFFFF" w:val="clear"/>
        </w:rPr>
        <w:t xml:space="preserve">BGTF Sierra Aggregator LLC (Brookfield) for the further development of a carbon management business in California (Carbon TerraVault JV). We hold a 51% interest in the Carbon TerraVault JV and Brookfield holds a 49% interest. We determined that the Carbon TerraVault JV is a VIE; however, we share decision-making power with Brookfield on all matters that most significantly impact the economic performance of the joint venture. Therefore, we account for our investment in the Carbon TerraVault JV under the equity method of accounting. See </w:t>
      </w:r>
      <w:r>
        <w:rPr>
          <w:rFonts w:ascii="Arial;sans-serif" w:hAnsi="Arial;sans-serif"/>
          <w:b w:val="false"/>
          <w:i/>
          <w:color w:val="000000"/>
          <w:sz w:val="20"/>
        </w:rPr>
        <w:t>Note 1 Nature of Business, Summary of Significant Accounting Policies and Other</w:t>
      </w:r>
      <w:r>
        <w:rPr>
          <w:color w:val="000000"/>
          <w:shd w:fill="FFFFFF" w:val="clear"/>
        </w:rPr>
        <w:t xml:space="preserve"> </w:t>
      </w:r>
      <w:r>
        <w:rPr>
          <w:rFonts w:ascii="Arial;sans-serif" w:hAnsi="Arial;sans-serif"/>
          <w:b w:val="false"/>
          <w:color w:val="000000"/>
          <w:sz w:val="20"/>
          <w:shd w:fill="FFFFFF" w:val="clear"/>
        </w:rPr>
        <w:t xml:space="preserve">for more information on the VIE consolidation model.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Brookfield has committed an initial $500 million to invest in CCS projects that are jointly approved through the Carbon TerraVault JV. As part of the formation of the Carbon TerraVault JV, we contributed rights to inject CO</w:t>
      </w:r>
      <w:r>
        <w:rPr>
          <w:rFonts w:ascii="Arial;sans-serif" w:hAnsi="Arial;sans-serif"/>
          <w:b w:val="false"/>
          <w:color w:val="000000"/>
          <w:sz w:val="13"/>
        </w:rPr>
        <w:t>2</w:t>
      </w:r>
      <w:r>
        <w:rPr>
          <w:color w:val="000000"/>
          <w:shd w:fill="FFFFFF" w:val="clear"/>
        </w:rPr>
        <w:t xml:space="preserve"> </w:t>
      </w:r>
      <w:r>
        <w:rPr>
          <w:rFonts w:ascii="Arial;sans-serif" w:hAnsi="Arial;sans-serif"/>
          <w:b w:val="false"/>
          <w:color w:val="000000"/>
          <w:sz w:val="20"/>
          <w:shd w:fill="FFFFFF" w:val="clear"/>
        </w:rPr>
        <w:t>into the 26R reservoir in our Elk Hills field for permanent CO</w:t>
      </w:r>
      <w:r>
        <w:rPr>
          <w:rFonts w:ascii="Arial;sans-serif" w:hAnsi="Arial;sans-serif"/>
          <w:b w:val="false"/>
          <w:color w:val="000000"/>
          <w:sz w:val="13"/>
        </w:rPr>
        <w:t>2</w:t>
      </w:r>
      <w:r>
        <w:rPr>
          <w:color w:val="000000"/>
          <w:shd w:fill="FFFFFF" w:val="clear"/>
        </w:rPr>
        <w:t xml:space="preserve"> </w:t>
      </w:r>
      <w:r>
        <w:rPr>
          <w:rFonts w:ascii="Arial;sans-serif" w:hAnsi="Arial;sans-serif"/>
          <w:b w:val="false"/>
          <w:color w:val="000000"/>
          <w:sz w:val="20"/>
          <w:shd w:fill="FFFFFF" w:val="clear"/>
        </w:rPr>
        <w:t xml:space="preserve">storage (26R reservoir) and Brookfield committed to make an initial investment of $137 million, </w:t>
      </w:r>
      <w:r>
        <w:rPr>
          <w:rFonts w:ascii="Arial;sans-serif" w:hAnsi="Arial;sans-serif"/>
          <w:b w:val="false"/>
          <w:color w:val="000000"/>
          <w:sz w:val="20"/>
        </w:rPr>
        <w:t xml:space="preserve">payable in three installments with the last two installments subject to the achievement of certain milestones. The final installment will be sized based on permitted storage capacity.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Brookfield contributed the first $46 million installment of their initial investment to the Carbon TerraVault JV in 2022. This amount may, at our sole discretion, be distributed to us or used to satisfy our share of future capital contributions, among other items. </w:t>
      </w:r>
      <w:r>
        <w:rPr>
          <w:rFonts w:ascii="Arial;sans-serif" w:hAnsi="Arial;sans-serif"/>
          <w:b w:val="false"/>
          <w:color w:val="000000"/>
          <w:sz w:val="20"/>
          <w:shd w:fill="FFFFFF" w:val="clear"/>
        </w:rPr>
        <w:t xml:space="preserve">Because the parties have certain put and call rights (repurchase features) with respect to the 26R reservoir if certain milestones are not met, the initial investment (including accrued interest) by Brookfield is reflected as a contingent liability, included in other long-term liabilities, on our consolidated balance sheet. The contingent liability was $52 million and $48 million at December 31, 2023 and 2022, respectively, inclusive of accrued interest.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0" name="Frame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tables below present the summarized financial information related to our equity method investment and related party transactions for the periods presented. </w:t>
      </w:r>
    </w:p>
    <w:p>
      <w:pPr>
        <w:pStyle w:val="TextBody"/>
        <w:bidi w:val="0"/>
        <w:spacing w:before="0" w:after="0"/>
        <w:jc w:val="left"/>
        <w:rPr/>
      </w:pPr>
      <w:r>
        <w:rPr/>
      </w:r>
    </w:p>
    <w:tbl>
      <w:tblPr>
        <w:tblW w:w="9341" w:type="dxa"/>
        <w:jc w:val="left"/>
        <w:tblInd w:w="0" w:type="dxa"/>
        <w:tblLayout w:type="fixed"/>
        <w:tblCellMar>
          <w:top w:w="28" w:type="dxa"/>
          <w:left w:w="28" w:type="dxa"/>
          <w:bottom w:w="28" w:type="dxa"/>
          <w:right w:w="28" w:type="dxa"/>
        </w:tblCellMar>
      </w:tblPr>
      <w:tblGrid>
        <w:gridCol w:w="2262"/>
        <w:gridCol w:w="1986"/>
        <w:gridCol w:w="1991"/>
        <w:gridCol w:w="414"/>
        <w:gridCol w:w="737"/>
        <w:gridCol w:w="214"/>
        <w:gridCol w:w="109"/>
        <w:gridCol w:w="109"/>
        <w:gridCol w:w="109"/>
        <w:gridCol w:w="385"/>
        <w:gridCol w:w="742"/>
        <w:gridCol w:w="283"/>
      </w:tblGrid>
      <w:tr>
        <w:trPr/>
        <w:tc>
          <w:tcPr>
            <w:tcW w:w="2262"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Investment in unconsolidated subsidiary</w:t>
            </w:r>
            <w:r>
              <w:rPr>
                <w:rFonts w:ascii="Arial;sans-serif" w:hAnsi="Arial;sans-serif"/>
                <w:b w:val="false"/>
                <w:color w:val="000000"/>
                <w:sz w:val="13"/>
              </w:rPr>
              <w:t>(a)</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Receivable from affiliate</w:t>
            </w:r>
            <w:r>
              <w:rPr>
                <w:rFonts w:ascii="Arial;sans-serif" w:hAnsi="Arial;sans-serif"/>
                <w:b w:val="false"/>
                <w:color w:val="000000"/>
                <w:sz w:val="13"/>
              </w:rPr>
              <w:t>(b)</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Property, plant and equipment</w:t>
            </w:r>
            <w:r>
              <w:rPr>
                <w:rFonts w:ascii="Arial;sans-serif" w:hAnsi="Arial;sans-serif"/>
                <w:b w:val="false"/>
                <w:color w:val="000000"/>
                <w:sz w:val="13"/>
              </w:rPr>
              <w:t>(c)</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Contingent liability (related to Carbon TerraVault JV put and call rights)</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(a)Reflects our investment less losses allocated to us of $9 million and $1 million for the year ended December 31, 2023 and 2022, respectively.</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(b)The contribution of the injection rights at the Carbon TerraVault JV formation was accounted for as a financing activity. The amount of Brookfield's initial contribution available to us and amounts due to us under the MSA are reported as receivable from affiliate. At December 31, 2023, the amount of $19 million includes $17 million remaining of Brookfield's initial contribution available to us and $2 million related to the MSA and vendor reimbursements. At December 31, 2022, the amount of $33 million includes $32 million remaining of Brookfield's initial contribution available to us and $1 million related to the MSA and vendor reimbursements. </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(c)This amount includes the reimbursement to us for plugging and abandonment activities at the 26R reservoir, which is recorded as a reduction to the net book value of our proved oil and gas properties. </w:t>
      </w:r>
    </w:p>
    <w:p>
      <w:pPr>
        <w:pStyle w:val="TextBody"/>
        <w:bidi w:val="0"/>
        <w:spacing w:before="0" w:after="0"/>
        <w:jc w:val="left"/>
        <w:rPr/>
      </w:pPr>
      <w:r>
        <w:rPr/>
      </w:r>
    </w:p>
    <w:tbl>
      <w:tblPr>
        <w:tblW w:w="7075" w:type="dxa"/>
        <w:jc w:val="left"/>
        <w:tblInd w:w="0" w:type="dxa"/>
        <w:tblLayout w:type="fixed"/>
        <w:tblCellMar>
          <w:top w:w="28" w:type="dxa"/>
          <w:left w:w="28" w:type="dxa"/>
          <w:bottom w:w="28" w:type="dxa"/>
          <w:right w:w="28" w:type="dxa"/>
        </w:tblCellMar>
      </w:tblPr>
      <w:tblGrid>
        <w:gridCol w:w="1642"/>
        <w:gridCol w:w="1442"/>
        <w:gridCol w:w="1445"/>
        <w:gridCol w:w="318"/>
        <w:gridCol w:w="409"/>
        <w:gridCol w:w="164"/>
        <w:gridCol w:w="164"/>
        <w:gridCol w:w="164"/>
        <w:gridCol w:w="164"/>
        <w:gridCol w:w="318"/>
        <w:gridCol w:w="613"/>
        <w:gridCol w:w="232"/>
      </w:tblGrid>
      <w:tr>
        <w:trPr/>
        <w:tc>
          <w:tcPr>
            <w:tcW w:w="16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millions)</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 expenses</w:t>
            </w:r>
            <w:r>
              <w:rPr>
                <w:rFonts w:ascii="Arial;sans-serif" w:hAnsi="Arial;sans-serif"/>
                <w:b w:val="false"/>
                <w:color w:val="000000"/>
                <w:sz w:val="13"/>
              </w:rPr>
              <w:t>(a)</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(a)General and administrative expenses on our condensed consolidated statement of operations are net of this amount invoiced by us under the MSA for back-office operational and commercial services.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underlying net assets of the Carbon TerraVault JV were $310 million and $314 million as of December 31, 2023 and 2022, respectively, which includes cash on hand and PP&amp;E, net of current liabilities. The difference between the carrying value of our investment of $19 million and $13 million at December 31, 2023 and 2022, respectively, and the carrying value of the underlying net assets of the joint venture relates to our accounting for the contribution of the 26R reservoir as a financing arrangement due to the put and call features of the joint venture. The joint venture recognized the contributions by the members at fair value.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The Carbon TerraVault JV has an option to participate in certain projects that involve the capture, transportation and storage of CO</w:t>
      </w:r>
      <w:r>
        <w:rPr>
          <w:rFonts w:ascii="Arial;sans-serif" w:hAnsi="Arial;sans-serif"/>
          <w:b w:val="false"/>
          <w:color w:val="000000"/>
          <w:sz w:val="13"/>
        </w:rPr>
        <w:t xml:space="preserve">2 </w:t>
      </w:r>
      <w:r>
        <w:rPr>
          <w:rFonts w:ascii="Arial;sans-serif" w:hAnsi="Arial;sans-serif"/>
          <w:b w:val="false"/>
          <w:color w:val="000000"/>
          <w:sz w:val="20"/>
          <w:shd w:fill="FFFFFF" w:val="clear"/>
        </w:rPr>
        <w:t xml:space="preserve">in California. This option expires upon the earlier of (1) August 2027, (2) when a final investment decision has been approved by the Carbon TerraVault JV for storage projects representing in excess of 5 million metric tons per annum (MMTPA) in the aggregate, or (3) when Brookfield has made contributions to the joint venture in excess of $500 million (unless Brookfield elects to increase its commitment).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entered into a Management Services Agreement (MSA) with the Carbon TerraVault JV whereby we provide administrative, operational and commercial services under a cost-plus arrangement. Services may be supplemented by using third parties and payments to us under the MSA are limited to the amounts in an approved budget. The MSA may be terminated by mutual agreement of the parties, among other events.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1" name="Frame1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4    DEBT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2023 and 2022, our long-term debt consisted of the following:</w:t>
      </w:r>
    </w:p>
    <w:tbl>
      <w:tblPr>
        <w:tblW w:w="9092" w:type="dxa"/>
        <w:jc w:val="center"/>
        <w:tblInd w:w="0" w:type="dxa"/>
        <w:tblLayout w:type="fixed"/>
        <w:tblCellMar>
          <w:top w:w="28" w:type="dxa"/>
          <w:left w:w="28" w:type="dxa"/>
          <w:bottom w:w="28" w:type="dxa"/>
          <w:right w:w="28" w:type="dxa"/>
        </w:tblCellMar>
      </w:tblPr>
      <w:tblGrid>
        <w:gridCol w:w="1020"/>
        <w:gridCol w:w="897"/>
        <w:gridCol w:w="902"/>
        <w:gridCol w:w="211"/>
        <w:gridCol w:w="466"/>
        <w:gridCol w:w="109"/>
        <w:gridCol w:w="109"/>
        <w:gridCol w:w="109"/>
        <w:gridCol w:w="109"/>
        <w:gridCol w:w="211"/>
        <w:gridCol w:w="466"/>
        <w:gridCol w:w="109"/>
        <w:gridCol w:w="109"/>
        <w:gridCol w:w="109"/>
        <w:gridCol w:w="109"/>
        <w:gridCol w:w="724"/>
        <w:gridCol w:w="724"/>
        <w:gridCol w:w="727"/>
        <w:gridCol w:w="109"/>
        <w:gridCol w:w="109"/>
        <w:gridCol w:w="109"/>
        <w:gridCol w:w="451"/>
        <w:gridCol w:w="451"/>
        <w:gridCol w:w="643"/>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Revolving Credit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SOFR plus 2.50%-3.50%</w:t>
            </w:r>
          </w:p>
          <w:p>
            <w:pPr>
              <w:pStyle w:val="TableContents"/>
              <w:bidi w:val="0"/>
              <w:spacing w:lineRule="auto" w:line="240" w:before="0" w:after="0"/>
              <w:jc w:val="center"/>
              <w:rPr/>
            </w:pPr>
            <w:r>
              <w:rPr>
                <w:rFonts w:ascii="Arial;sans-serif" w:hAnsi="Arial;sans-serif"/>
                <w:b w:val="false"/>
                <w:color w:val="000000"/>
                <w:sz w:val="18"/>
              </w:rPr>
              <w:t>ABR plus 1.50%-2.50%</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July 31, 2027</w:t>
            </w:r>
            <w:r>
              <w:rPr>
                <w:rFonts w:ascii="Arial;sans-serif" w:hAnsi="Arial;sans-serif"/>
                <w:b w:val="false"/>
                <w:color w:val="000000"/>
                <w:sz w:val="12"/>
              </w:rPr>
              <w:t>(b)</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Notes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 2026</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Principal amount of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(a)</w:t>
      </w:r>
      <w:r>
        <w:rPr>
          <w:rFonts w:ascii="Arial;sans-serif" w:hAnsi="Arial;sans-serif"/>
          <w:b w:val="false"/>
          <w:color w:val="000000"/>
          <w:sz w:val="16"/>
          <w:shd w:fill="FFFFFF" w:val="clear"/>
        </w:rPr>
        <w:t>At our election, borrowings under the amended Revolving Credit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w:t>
      </w:r>
      <w:r>
        <w:rPr>
          <w:color w:val="000000"/>
        </w:rPr>
        <w:t xml:space="preserve"> </w:t>
      </w:r>
      <w:r>
        <w:rPr>
          <w:rFonts w:ascii="Arial;sans-serif" w:hAnsi="Arial;sans-serif"/>
          <w:b w:val="false"/>
          <w:color w:val="000000"/>
          <w:sz w:val="16"/>
          <w:shd w:fill="FFFFFF" w:val="clear"/>
        </w:rPr>
        <w:t xml:space="preserve">The applicable margin is adjusted based on the commitment utilization percentage and will vary from (i) in the case of ABR loans, 1.50% to 2.50% and (ii) in the case of term SOFR loans, 2.50% to 3.50%.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(b)The Revolving Credit Facility is subject to a springing maturity to August 4, 2025 if any of our Senior Notes, defined below, are outstanding on that date.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Fair Value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estimated fair value of our debt at December 31, 2023 and 2022 was approximately $554 million and $574 million, respectively. We estimate the fair value of our fixed-rate debt based on prices from known market transactions (Level 1 inputs on the fair value hierarchy). </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Repurchases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the year ended December 31, 2023, we repurchased $55 million in principal amount of our Senior Notes at par resulting in an extinguishment loss of $1 million for the write-off of unamortized debt issuance costs. </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Revolving Credit Facility</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April 26, 2023, we entered into an Amended and Restated Credit Agreement (as amended, restated supplemented or modified as of the date hereof, the Revolving Credit Facility) with Citibank, N.A., as administrative agent, and certain other lenders, which amended and restated in its entirety the prior credit agreement, dated October 27, 2020. Our Revolving Credit Facility consists of a senior revolving loan facility with an aggregate commitment of $630 million, which we are permitted to increase if we obtain additional commitments from new or existing lenders. Our Revolving Credit Facility also includes a sub-limit of $250 million for the issuance of letters of credit. As of December 31, 2023, we had approximately $477 million available for borrowing under the Revolving Credit Facility after taking into account $153 million of outstanding letters of credit.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proceeds of all or a portion of the Revolving Credit Facility may be used for our working capital needs and for other purposes subject to meeting certain criteria. For information on an amendment to our Revolving Credit Facility, see </w:t>
      </w:r>
      <w:r>
        <w:rPr>
          <w:rFonts w:ascii="Arial;sans-serif" w:hAnsi="Arial;sans-serif"/>
          <w:b w:val="false"/>
          <w:i/>
          <w:color w:val="000000"/>
          <w:sz w:val="20"/>
        </w:rPr>
        <w:t>Note 17 Subsequent Events</w:t>
      </w:r>
      <w:r>
        <w:rPr>
          <w:rFonts w:ascii="Arial;sans-serif" w:hAnsi="Arial;sans-serif"/>
          <w:b w:val="false"/>
          <w:color w:val="000000"/>
          <w:sz w:val="2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Security</w:t>
      </w:r>
      <w:r>
        <w:rPr>
          <w:color w:val="000000"/>
        </w:rPr>
        <w:t xml:space="preserve"> – </w:t>
      </w:r>
      <w:r>
        <w:rPr>
          <w:rFonts w:ascii="Arial;sans-serif" w:hAnsi="Arial;sans-serif"/>
          <w:b w:val="false"/>
          <w:color w:val="000000"/>
          <w:sz w:val="20"/>
        </w:rPr>
        <w:t xml:space="preserve">The lenders have a first-priority lien on a substantial majority of our assets.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Interest Rate</w:t>
      </w:r>
      <w:r>
        <w:rPr>
          <w:color w:val="000000"/>
        </w:rPr>
        <w:t xml:space="preserve"> – </w:t>
      </w:r>
      <w:r>
        <w:rPr>
          <w:rFonts w:ascii="Arial;sans-serif" w:hAnsi="Arial;sans-serif"/>
          <w:b w:val="false"/>
          <w:color w:val="000000"/>
          <w:sz w:val="20"/>
        </w:rPr>
        <w:t>We can elect to borrow at either an adjusted SOFR rate or an alternate base rate (ABR), plus an applicable margin. The ABR is equal to the highest of (i) the federal funds effective rate plus 0.50%, (ii) the administrative agent prime rate and (iii) the one-month SOFR rate plus 1%. The applicable margin is adjusted based on the borrowing base utilization percentage and will vary from (i) in the case of SOFR loans, 2.5% to 3.5% and (ii) in the case of ABR loans, 1.5% to 2.5%. The unused portion of the facility is subject to a commitment fee which will vary between 0.375% and 0.50% per annum based on the borrowing base utilization. We also pay customary fees and expenses. Interest on ABR loans is payable quarterly in arrears. Interest on SOFR loans is payable at the end of each SOFR period, but not less than quarterly.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0520"/>
                <wp:effectExtent l="0" t="0" r="0" b="0"/>
                <wp:wrapNone/>
                <wp:docPr id="102"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Amortization Payments</w:t>
      </w:r>
      <w:r>
        <w:rPr>
          <w:color w:val="000000"/>
        </w:rPr>
        <w:t xml:space="preserve"> – </w:t>
      </w:r>
      <w:r>
        <w:rPr>
          <w:rFonts w:ascii="Arial;sans-serif" w:hAnsi="Arial;sans-serif"/>
          <w:b w:val="false"/>
          <w:color w:val="000000"/>
          <w:sz w:val="20"/>
        </w:rPr>
        <w:t>The Revolving Credit Facility does not include any obligation to make amortizing payments.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Borrowing Base</w:t>
      </w:r>
      <w:r>
        <w:rPr>
          <w:color w:val="000000"/>
        </w:rPr>
        <w:t xml:space="preserve"> – </w:t>
      </w:r>
      <w:r>
        <w:rPr>
          <w:rFonts w:ascii="Arial;sans-serif" w:hAnsi="Arial;sans-serif"/>
          <w:b w:val="false"/>
          <w:color w:val="000000"/>
          <w:sz w:val="20"/>
        </w:rPr>
        <w:t>The borrowing base, currently $1.2 billion, will be redetermined semi-annually each April and October.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Financial Covenants</w:t>
      </w:r>
      <w:r>
        <w:rPr>
          <w:color w:val="000000"/>
        </w:rPr>
        <w:t xml:space="preserve"> – </w:t>
      </w:r>
      <w:r>
        <w:rPr>
          <w:rFonts w:ascii="Arial;sans-serif" w:hAnsi="Arial;sans-serif"/>
          <w:b w:val="false"/>
          <w:color w:val="000000"/>
          <w:sz w:val="20"/>
        </w:rPr>
        <w:t>Our Revolving Credit Facility includes the following financial covenants: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882"/>
        <w:gridCol w:w="776"/>
        <w:gridCol w:w="790"/>
        <w:gridCol w:w="109"/>
        <w:gridCol w:w="109"/>
        <w:gridCol w:w="109"/>
        <w:gridCol w:w="1327"/>
        <w:gridCol w:w="1327"/>
        <w:gridCol w:w="1331"/>
        <w:gridCol w:w="109"/>
        <w:gridCol w:w="109"/>
        <w:gridCol w:w="109"/>
        <w:gridCol w:w="613"/>
        <w:gridCol w:w="613"/>
        <w:gridCol w:w="615"/>
        <w:gridCol w:w="109"/>
        <w:gridCol w:w="109"/>
        <w:gridCol w:w="109"/>
        <w:gridCol w:w="276"/>
        <w:gridCol w:w="276"/>
        <w:gridCol w:w="398"/>
      </w:tblGrid>
      <w:tr>
        <w:trPr/>
        <w:tc>
          <w:tcPr>
            <w:tcW w:w="88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Required Levels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Tested</w:t>
            </w:r>
          </w:p>
        </w:tc>
      </w:tr>
      <w:tr>
        <w:trPr/>
        <w:tc>
          <w:tcPr>
            <w:tcW w:w="2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Total Net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Ratio of Consolidated Total Debt to Consolidated EBITDAX</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 greater than 3.00 to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Quarterly</w:t>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Ratio of consolidated current assets to consolidated current liabilities</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 less than 1.00 to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Quarterly</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(a)Consolidated EBITDAX is calculated as defined in the Revolving Credit Facility.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(b)The available credit under our Revolving Credit Facility is included in consolidated current assets as part of the calculation of the current ratio.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Other Covenants</w:t>
      </w:r>
      <w:r>
        <w:rPr>
          <w:color w:val="000000"/>
        </w:rPr>
        <w:t xml:space="preserve"> – </w:t>
      </w:r>
      <w:r>
        <w:rPr>
          <w:rFonts w:ascii="Arial;sans-serif" w:hAnsi="Arial;sans-serif"/>
          <w:b w:val="false"/>
          <w:color w:val="000000"/>
          <w:sz w:val="20"/>
        </w:rPr>
        <w:t>Our Revolving Credit Facility includes covenants that, among other things, restrict our ability to incur additional indebtedness, grant liens, make asset sales and investments, repay existing indebtedness, make subsidiary distributions and enter into transactions that would result in fundamental changes. We are also restricted in the amount of cash dividends we can pay on our common stock unless we meet certain covenants included in the Revolving Credit Facility.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Revolving Credit Facility, among other things, has a maturity date of July 31, 2027 (subject to a springing maturity of August 4, 2025 if any of our Senior Notes are outstanding on that date); permits us </w:t>
      </w:r>
      <w:r>
        <w:rPr>
          <w:rFonts w:ascii="Arial;sans-serif" w:hAnsi="Arial;sans-serif"/>
          <w:b w:val="false"/>
          <w:color w:val="000000"/>
          <w:sz w:val="20"/>
          <w:shd w:fill="FFFFFF" w:val="clear"/>
        </w:rPr>
        <w:t xml:space="preserve">to make certain restricted payments (such as dividends and share repurchases) and certain investments (including in our carbon management business); provides for the release of liens on certain assets securing the loans made under the Revolving Credit Facility, including our Elk Hills power plant; permits us to designate the entities that hold certain of our assets, including our Elk Hills power plant, as unrestricted subsidiaries subject to meeting certain conditions; sets the period for which we can enter into hedges on our production at 60 months; and provides for our capacity to issue letters of credit of $250 million. In October 2023, we further amended our Revolving Credit Facility to increase our flexibility to incur new indebtedness in the form of term loans secured on a pari passu basis with the obligations under the Revolving Credit Facility. The aggregate amount of such term loans shall not exceed the lesser </w:t>
      </w:r>
      <w:r>
        <w:rPr>
          <w:rFonts w:ascii="Arial;sans-serif" w:hAnsi="Arial;sans-serif"/>
          <w:b w:val="false"/>
          <w:color w:val="000000"/>
          <w:sz w:val="20"/>
        </w:rPr>
        <w:t>of the following: (i) the borrowing base then in effect minus the Aggregate Elected Revolving Commitment Amounts (as defined in the Revolving Credit Facility) then in effect and (ii) an amount equal to 33 1/3% of the sum of (A) the Aggregate Elected Revolving Commitment Amounts (as defined in the Revolving Credit Facility) then in effect plus (B) the aggregate term loan exposure of any lender then outstanding.</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Revolving Credit Facility requires us to maintain hedges on a minimum amount of crude oil production (determined on (i) the date of delivery of annual and quarterly financial statements and (ii) the date of delivery of a reserve report delivered in connection with an interim borrowing base redetermination) of no less than (i) in the event that our Consolidated Total Net Leverage Ratio (as defined in the Revolving Credit Facility) is greater than 2.0:1.0 as of the end of the most recent fiscal quarter test period, 50.0%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and (ii) in the event that our Consolidated Total Net Leverage Ratio is less than or equal to 2.0:1.0 but greater than 1.5:1.0 as of the end of the most recent fiscal quarter test period, 33.0%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The foregoing minimum hedge requirements do not apply to the extent that our Consolidated Total Net Leverage Ratio is less than or equal to 1.5:1.0 as of the last day of the most recently ended fiscal quarter test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3"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Furthermore, the restricted payment and investments covenants permit unlimited investments and/or restricted payments so long as either (a) (i) no Default, Event of Default or Borrowing Base Deficiency shall have occurred and be continuing under the Revolving Credit Facility, (ii) the undrawn availability under the Revolving Credit Facility at such time is not less than 20.0% of the total commitment, (iii) the Consolidated Total Net Leverage Ratio is less than or equal to 2.5:1.0 and (iv) Distributable Free Cash Flow is greater than or equal to zero on such date of determination; or (b) (i) no Default, Event of Default or Borrowing Base Deficiency shall have occurred and be continuing under the Revolving Credit Facility at the time of such investment or restricted payment, (ii) the undrawn availability under the Revolving Credit Facility at such time is not less than 25.0% of the total commitment and (iii) the Consolidated Total Net Leverage Ratio is less than or equal to 1.75:1.0.</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Events of Default and Change of Control</w:t>
      </w:r>
      <w:r>
        <w:rPr>
          <w:color w:val="000000"/>
        </w:rPr>
        <w:t xml:space="preserve"> – </w:t>
      </w:r>
      <w:r>
        <w:rPr>
          <w:rFonts w:ascii="Arial;sans-serif" w:hAnsi="Arial;sans-serif"/>
          <w:b w:val="false"/>
          <w:color w:val="000000"/>
          <w:sz w:val="20"/>
        </w:rPr>
        <w:t>Our Revolving Credit Facility provides for certain events of default, including upon a change of control, as defined in the Revolving Credit Facility, that entitles our lenders to declare the outstanding loans immediately due and payable, subject to certain limitations and conditions.</w:t>
      </w:r>
    </w:p>
    <w:p>
      <w:pPr>
        <w:pStyle w:val="TextBody"/>
        <w:bidi w:val="0"/>
        <w:spacing w:before="0" w:after="0"/>
        <w:ind w:left="0" w:right="0" w:firstLine="360"/>
        <w:jc w:val="left"/>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Senior Notes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January 20, 2021, we completed an offering of $600 million in aggregate principal amount of our 7.125% senior unsecured notes due 2026 (Senior Notes). The net proceeds of $587 million, after $13 million of debt issuance costs, were used to repay in full our Second Lien Term Loan and EHP Notes, with the remainder used to repay substantially all of the then outstanding borrowings under our Revolving Credit Facility. We recognized a $2 million loss on extinguishment of debt, including unamortized debt issuance costs, associated with these repayments.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Security</w:t>
      </w:r>
      <w:r>
        <w:rPr>
          <w:color w:val="000000"/>
        </w:rPr>
        <w:t xml:space="preserve"> – </w:t>
      </w:r>
      <w:r>
        <w:rPr>
          <w:rFonts w:ascii="Arial;sans-serif" w:hAnsi="Arial;sans-serif"/>
          <w:b w:val="false"/>
          <w:color w:val="000000"/>
          <w:sz w:val="20"/>
        </w:rPr>
        <w:t>Our Senior Notes are general unsecured obligations which are guaranteed on a senior unsecured basis by certain of our material subsidiaries.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Redemption</w:t>
      </w:r>
      <w:r>
        <w:rPr>
          <w:color w:val="000000"/>
        </w:rPr>
        <w:t xml:space="preserve"> – </w:t>
      </w:r>
      <w:r>
        <w:rPr>
          <w:rFonts w:ascii="Arial;sans-serif" w:hAnsi="Arial;sans-serif"/>
          <w:b w:val="false"/>
          <w:color w:val="000000"/>
          <w:sz w:val="20"/>
        </w:rPr>
        <w:t xml:space="preserve">We may redeem the Senior Notes at any time prior to the maturity date at a redemption price equal to (i) 102% of the principal amount if redeemed in the twelve months beginning February 1, 2024 and (ii) 100% of the principal amount if redeemed after February 1, 2025, in each case plus accrued and unpaid interest.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Other Covenants</w:t>
      </w:r>
      <w:r>
        <w:rPr>
          <w:color w:val="000000"/>
        </w:rPr>
        <w:t xml:space="preserve"> – </w:t>
      </w:r>
      <w:r>
        <w:rPr>
          <w:rFonts w:ascii="Arial;sans-serif" w:hAnsi="Arial;sans-serif"/>
          <w:b w:val="false"/>
          <w:color w:val="000000"/>
          <w:sz w:val="20"/>
        </w:rPr>
        <w:t xml:space="preserve">Our Senior Notes include covenants that, among other things, restrict our ability to incur additional indebtedness, issue preferred stock, grant liens, make asset sales and investments, repay existing indebtedness, make subsidiary distributions and enter into transactions that would result in fundamental changes.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Events of Default and Change of Control </w:t>
      </w:r>
      <w:r>
        <w:rPr>
          <w:color w:val="000000"/>
        </w:rPr>
        <w:t xml:space="preserve">– </w:t>
      </w:r>
      <w:r>
        <w:rPr>
          <w:rFonts w:ascii="Arial;sans-serif" w:hAnsi="Arial;sans-serif"/>
          <w:b w:val="false"/>
          <w:color w:val="000000"/>
          <w:sz w:val="20"/>
        </w:rPr>
        <w:t>Our Senior Notes provide for certain triggering events, including upon a change of control, as defined in the indenture, that would require us to repurchase all or any part of the Senior Notes at a price equal to 101% of the aggregate principal amount plus accrued and unpaid interest.</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Other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At December 31, 2023, all obligations under our Revolving Credit Facility and Senior Notes are guaranteed by certain of our material wholly owned subsidiaries. See </w:t>
      </w:r>
      <w:r>
        <w:rPr>
          <w:rFonts w:ascii="Arial;sans-serif" w:hAnsi="Arial;sans-serif"/>
          <w:b w:val="false"/>
          <w:i/>
          <w:color w:val="000000"/>
          <w:sz w:val="20"/>
        </w:rPr>
        <w:t>Note 16 Condensed Consolidating Financial Information</w:t>
      </w:r>
      <w:r>
        <w:rPr>
          <w:color w:val="000000"/>
        </w:rPr>
        <w:t xml:space="preserve"> </w:t>
      </w:r>
      <w:r>
        <w:rPr>
          <w:rFonts w:ascii="Arial;sans-serif" w:hAnsi="Arial;sans-serif"/>
          <w:b w:val="false"/>
          <w:color w:val="000000"/>
          <w:sz w:val="20"/>
        </w:rPr>
        <w:t xml:space="preserve">for additional information.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terms and conditions of all of our indebtedness are subject to additional qualifications and limitations that are set forth in the relevant governing documents.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December 31, 2023, we were in compliance with all debt covenants under our Revolving Credit Facility.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0520"/>
                <wp:effectExtent l="0" t="0" r="0" b="0"/>
                <wp:wrapNone/>
                <wp:docPr id="104"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Principal maturities of debt outstanding at December 31, 2023 are as follows:</w:t>
      </w:r>
    </w:p>
    <w:tbl>
      <w:tblPr>
        <w:tblW w:w="2896" w:type="dxa"/>
        <w:jc w:val="center"/>
        <w:tblInd w:w="0" w:type="dxa"/>
        <w:tblLayout w:type="fixed"/>
        <w:tblCellMar>
          <w:top w:w="28" w:type="dxa"/>
          <w:left w:w="28" w:type="dxa"/>
          <w:bottom w:w="28" w:type="dxa"/>
          <w:right w:w="28" w:type="dxa"/>
        </w:tblCellMar>
      </w:tblPr>
      <w:tblGrid>
        <w:gridCol w:w="364"/>
        <w:gridCol w:w="319"/>
        <w:gridCol w:w="323"/>
        <w:gridCol w:w="470"/>
        <w:gridCol w:w="1074"/>
        <w:gridCol w:w="346"/>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As of </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2023</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Arial;sans-serif" w:hAnsi="Arial;sans-serif"/>
                <w:b w:val="false"/>
                <w:color w:val="000000"/>
                <w:sz w:val="20"/>
              </w:rPr>
            </w:pPr>
            <w:r>
              <w:rPr>
                <w:rFonts w:ascii="Arial;sans-serif" w:hAnsi="Arial;sans-serif"/>
                <w:b w:val="false"/>
                <w:color w:val="000000"/>
                <w:sz w:val="20"/>
              </w:rPr>
              <w:t>Total</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5    LAWSUITS, CLAIMS, COMMITMENTS AND CONTINGENCIES</w:t>
      </w:r>
    </w:p>
    <w:p>
      <w:pPr>
        <w:pStyle w:val="TextBody"/>
        <w:bidi w:val="0"/>
        <w:spacing w:lineRule="auto" w:line="288" w:before="160" w:after="160"/>
        <w:ind w:left="0" w:right="0" w:firstLine="360"/>
        <w:jc w:val="left"/>
        <w:rPr>
          <w:rFonts w:ascii="Arial;sans-serif" w:hAnsi="Arial;sans-serif"/>
          <w:b w:val="false"/>
          <w:color w:val="000000"/>
          <w:sz w:val="20"/>
        </w:rPr>
      </w:pPr>
      <w:r>
        <w:rPr>
          <w:rFonts w:ascii="Arial;sans-serif" w:hAnsi="Arial;sans-serif"/>
          <w:b w:val="false"/>
          <w:color w:val="000000"/>
          <w:sz w:val="20"/>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accrue reserves for currently outstanding lawsuits, claims and proceedings when it is probable that a liability has been incurred and the liability can be reasonably estimated. Reserve balances at December 31, 2023 and 2022 were not material to our consolidated balance sheets as of such dates. We also evaluate the amount of reasonably possible losses that we could incur as a result of these matters. We believe that reasonably possible losses that we could incur in excess of reserves cannot be accurately determined.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w:t>
      </w:r>
      <w:r>
        <w:rPr>
          <w:rFonts w:ascii="Times New Roman;sans-serif" w:hAnsi="Times New Roman;sans-serif"/>
          <w:b w:val="false"/>
          <w:color w:val="000000"/>
          <w:sz w:val="20"/>
        </w:rPr>
        <w:t xml:space="preserve">. </w:t>
      </w:r>
      <w:r>
        <w:rPr>
          <w:rFonts w:ascii="Arial;sans-serif" w:hAnsi="Arial;sans-serif"/>
          <w:b w:val="false"/>
          <w:color w:val="000000"/>
          <w:sz w:val="20"/>
        </w:rPr>
        <w:t xml:space="preserve">Oxy notified us of the claim under the indemnification provisions of the Separation and Distribution Agreement between us and Oxy. In September 2021, we accepted the indemnification claim from Oxy and we are now appealing the order from BSEE. Upon execution of a cost sharing agreement with former lessees, we will share in on-going maintenance costs during the pendency of the challenge to the BSEE order and have recognized a liability of $12 million included in accrued liabilities at December 31, 2023.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certain commitments under contracts, including purchase commitments for goods and services used in the normal course of business such as pipeline capacity, easements related to oil and natural gas operations, obligations under long-term service agreements and field equipment.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At December 31, 2023, total purchase obligations on a discounted basis were as follows:</w:t>
      </w:r>
    </w:p>
    <w:p>
      <w:pPr>
        <w:pStyle w:val="TextBody"/>
        <w:bidi w:val="0"/>
        <w:spacing w:before="0" w:after="0"/>
        <w:ind w:left="0" w:right="0" w:firstLine="360"/>
        <w:jc w:val="left"/>
        <w:rPr/>
      </w:pPr>
      <w:r>
        <w:rPr/>
      </w:r>
    </w:p>
    <w:tbl>
      <w:tblPr>
        <w:tblW w:w="5280" w:type="dxa"/>
        <w:jc w:val="left"/>
        <w:tblInd w:w="0" w:type="dxa"/>
        <w:tblLayout w:type="fixed"/>
        <w:tblCellMar>
          <w:top w:w="28" w:type="dxa"/>
          <w:left w:w="28" w:type="dxa"/>
          <w:bottom w:w="28" w:type="dxa"/>
          <w:right w:w="28" w:type="dxa"/>
        </w:tblCellMar>
      </w:tblPr>
      <w:tblGrid>
        <w:gridCol w:w="1226"/>
        <w:gridCol w:w="1074"/>
        <w:gridCol w:w="1090"/>
        <w:gridCol w:w="470"/>
        <w:gridCol w:w="1074"/>
        <w:gridCol w:w="346"/>
      </w:tblGrid>
      <w:tr>
        <w:trPr/>
        <w:tc>
          <w:tcPr>
            <w:tcW w:w="122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Interest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purchase obligations</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0520"/>
                <wp:effectExtent l="0" t="0" r="0" b="0"/>
                <wp:wrapNone/>
                <wp:docPr id="105"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6    DERIVATIVES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continue to maintain a commodity hedging program primarily focused on crude oil to help protect our cash flows, margins and capital program from the volatility of commodity prices. We also enter into natural gas swaps for the purpose of hedging our fuel consumption at one of our steamfloods as well as swaps for natural gas purchases and sales related to our marketing activities. We did not have any commodity derivatives designated as accounting hedges as of and during the years ended December 31, 2023, 2022 and 2021</w:t>
      </w:r>
      <w:r>
        <w:rPr>
          <w:rFonts w:ascii="Arial;sans-serif" w:hAnsi="Arial;sans-serif"/>
          <w:b w:val="false"/>
          <w:i/>
          <w:color w:val="000000"/>
          <w:sz w:val="20"/>
        </w:rPr>
        <w:t xml:space="preserve">. </w:t>
      </w:r>
      <w:r>
        <w:rPr>
          <w:rFonts w:ascii="Arial;sans-serif" w:hAnsi="Arial;sans-serif"/>
          <w:b w:val="false"/>
          <w:color w:val="000000"/>
          <w:sz w:val="20"/>
        </w:rPr>
        <w:t xml:space="preserve">Unless otherwise indicated, we use the term "hedge" to describe derivative instruments that are designed to achieve our hedging requirements and program goals, even though they are not accounted for as accounting hedges. Our Revolving Credit Facility includes covenants that require us to maintain a certain level of hedges unless the ratio of our indebtedness to Consolidated EBITDAX is less than or equal to 1.5:1.0. We have also entered into a limited number of hedges above and beyond these requirements and will continue to evaluate our hedging strategy based on prevailing market prices and conditions. For more information on the requirements of our Revolving Credit Facility, see </w:t>
      </w:r>
      <w:r>
        <w:rPr>
          <w:rFonts w:ascii="Arial;sans-serif" w:hAnsi="Arial;sans-serif"/>
          <w:b w:val="false"/>
          <w:i/>
          <w:color w:val="000000"/>
          <w:sz w:val="20"/>
        </w:rPr>
        <w:t>Note 4 Debt.</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Summary of Derivative Contracts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held the following Brent-based crude oil contracts as of December 31, 2023:</w:t>
      </w:r>
    </w:p>
    <w:tbl>
      <w:tblPr>
        <w:tblW w:w="9430" w:type="dxa"/>
        <w:jc w:val="center"/>
        <w:tblInd w:w="0" w:type="dxa"/>
        <w:tblLayout w:type="fixed"/>
        <w:tblCellMar>
          <w:top w:w="28" w:type="dxa"/>
          <w:left w:w="28" w:type="dxa"/>
          <w:bottom w:w="28" w:type="dxa"/>
          <w:right w:w="28" w:type="dxa"/>
        </w:tblCellMar>
      </w:tblPr>
      <w:tblGrid>
        <w:gridCol w:w="1473"/>
        <w:gridCol w:w="775"/>
        <w:gridCol w:w="781"/>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Q1</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Q2</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Q3</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Q4</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Calls: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Purchased Puts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Swaps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outcomes of the derivative positions are as follows: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Sold calls – we make settlement payments for prices above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Purchased puts – we receive settlement payments for prices below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Swaps – we make settlement payments for prices above the indicated weighted-average price per barrel and receive settlement payments for prices below the indicated weighted-average price per barrel.</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December 31, 2023, we also held the following swaps to hedge purchased natural gas used in our operations as shown in the table below. </w:t>
      </w:r>
    </w:p>
    <w:p>
      <w:pPr>
        <w:pStyle w:val="TextBody"/>
        <w:bidi w:val="0"/>
        <w:spacing w:before="0" w:after="0"/>
        <w:ind w:left="0" w:right="0" w:firstLine="360"/>
        <w:jc w:val="left"/>
        <w:rPr/>
      </w:pPr>
      <w:r>
        <w:rPr/>
      </w:r>
    </w:p>
    <w:tbl>
      <w:tblPr>
        <w:tblW w:w="7650" w:type="dxa"/>
        <w:jc w:val="left"/>
        <w:tblInd w:w="0" w:type="dxa"/>
        <w:tblLayout w:type="fixed"/>
        <w:tblCellMar>
          <w:top w:w="28" w:type="dxa"/>
          <w:left w:w="28" w:type="dxa"/>
          <w:bottom w:w="28" w:type="dxa"/>
          <w:right w:w="28" w:type="dxa"/>
        </w:tblCellMar>
      </w:tblPr>
      <w:tblGrid>
        <w:gridCol w:w="1167"/>
        <w:gridCol w:w="1033"/>
        <w:gridCol w:w="980"/>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Q1</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Q2</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Q3</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Q4</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Swaps: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MMBtu per day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Weighted-average price per MMBtu</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derivative contracts entered into related to our natural gas marketing activities are intended to lock in locational price spreads.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0520"/>
                <wp:effectExtent l="0" t="0" r="0" b="0"/>
                <wp:wrapNone/>
                <wp:docPr id="106" name="Frame1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Fair Value of Derivatives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Derivative instruments not designated as hedging instruments are required to be recorded on the balance sheet at fair value. We report gains and losses on our derivative contracts related to our oil production and our marketing activities in operating revenue on our consolidated statements of operations as shown in the table below: </w:t>
      </w:r>
    </w:p>
    <w:p>
      <w:pPr>
        <w:pStyle w:val="TextBody"/>
        <w:bidi w:val="0"/>
        <w:spacing w:before="0" w:after="0"/>
        <w:ind w:left="0" w:right="0" w:firstLine="360"/>
        <w:jc w:val="left"/>
        <w:rPr/>
      </w:pPr>
      <w:r>
        <w:rPr/>
      </w:r>
    </w:p>
    <w:tbl>
      <w:tblPr>
        <w:tblW w:w="7046" w:type="dxa"/>
        <w:jc w:val="center"/>
        <w:tblInd w:w="0" w:type="dxa"/>
        <w:tblLayout w:type="fixed"/>
        <w:tblCellMar>
          <w:top w:w="28" w:type="dxa"/>
          <w:left w:w="28" w:type="dxa"/>
          <w:bottom w:w="28" w:type="dxa"/>
          <w:right w:w="28" w:type="dxa"/>
        </w:tblCellMar>
      </w:tblPr>
      <w:tblGrid>
        <w:gridCol w:w="1383"/>
        <w:gridCol w:w="1213"/>
        <w:gridCol w:w="1228"/>
        <w:gridCol w:w="211"/>
        <w:gridCol w:w="481"/>
        <w:gridCol w:w="109"/>
        <w:gridCol w:w="109"/>
        <w:gridCol w:w="109"/>
        <w:gridCol w:w="109"/>
        <w:gridCol w:w="211"/>
        <w:gridCol w:w="541"/>
        <w:gridCol w:w="109"/>
        <w:gridCol w:w="109"/>
        <w:gridCol w:w="109"/>
        <w:gridCol w:w="109"/>
        <w:gridCol w:w="211"/>
        <w:gridCol w:w="541"/>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Non-cash commodity derivative gain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Settlements and amortized premiums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from commodity derivatives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report gains and losses on our derivative contracts for purchased natural gas used in our steamflood operations as a component of operating expense on our consolidated statement of operations. For the year ended December 31, 2023, we recognized a non-cash loss of $8 million which was included in other operating expenses, net on our consolidated statement of operations.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derivative contracts are measured at fair value using industry-standard models with various inputs, including quoted forward prices, and are classified as Level 2 in the required fair value hierarchy for the periods presented.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tables present the fair values of our outstanding commodity derivatives: </w:t>
      </w:r>
    </w:p>
    <w:tbl>
      <w:tblPr>
        <w:tblW w:w="10205" w:type="dxa"/>
        <w:jc w:val="center"/>
        <w:tblInd w:w="0" w:type="dxa"/>
        <w:tblLayout w:type="fixed"/>
        <w:tblCellMar>
          <w:top w:w="28" w:type="dxa"/>
          <w:left w:w="28" w:type="dxa"/>
          <w:bottom w:w="28" w:type="dxa"/>
          <w:right w:w="28" w:type="dxa"/>
        </w:tblCellMar>
      </w:tblPr>
      <w:tblGrid>
        <w:gridCol w:w="776"/>
        <w:gridCol w:w="683"/>
        <w:gridCol w:w="684"/>
        <w:gridCol w:w="109"/>
        <w:gridCol w:w="109"/>
        <w:gridCol w:w="109"/>
        <w:gridCol w:w="510"/>
        <w:gridCol w:w="908"/>
        <w:gridCol w:w="264"/>
        <w:gridCol w:w="109"/>
        <w:gridCol w:w="109"/>
        <w:gridCol w:w="109"/>
        <w:gridCol w:w="770"/>
        <w:gridCol w:w="1483"/>
        <w:gridCol w:w="399"/>
        <w:gridCol w:w="109"/>
        <w:gridCol w:w="109"/>
        <w:gridCol w:w="109"/>
        <w:gridCol w:w="780"/>
        <w:gridCol w:w="1389"/>
        <w:gridCol w:w="578"/>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r>
      <w:tr>
        <w:trPr/>
        <w:tc>
          <w:tcPr>
            <w:tcW w:w="2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Gross Amounts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Gross Amounts Offset on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Net Amounts Presented on the Consolidated Balance Sheet</w:t>
            </w:r>
          </w:p>
        </w:tc>
      </w:tr>
      <w:tr>
        <w:trPr/>
        <w:tc>
          <w:tcPr>
            <w:tcW w:w="2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 Fair value of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76"/>
        <w:gridCol w:w="683"/>
        <w:gridCol w:w="684"/>
        <w:gridCol w:w="109"/>
        <w:gridCol w:w="109"/>
        <w:gridCol w:w="109"/>
        <w:gridCol w:w="442"/>
        <w:gridCol w:w="1010"/>
        <w:gridCol w:w="229"/>
        <w:gridCol w:w="109"/>
        <w:gridCol w:w="109"/>
        <w:gridCol w:w="109"/>
        <w:gridCol w:w="770"/>
        <w:gridCol w:w="1483"/>
        <w:gridCol w:w="399"/>
        <w:gridCol w:w="109"/>
        <w:gridCol w:w="109"/>
        <w:gridCol w:w="109"/>
        <w:gridCol w:w="682"/>
        <w:gridCol w:w="1558"/>
        <w:gridCol w:w="508"/>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2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Gross Amounts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Gross Amounts Offset on the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Net Amounts Presented on the Consolidated Balance Sheet</w:t>
            </w:r>
          </w:p>
        </w:tc>
      </w:tr>
      <w:tr>
        <w:trPr/>
        <w:tc>
          <w:tcPr>
            <w:tcW w:w="2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 Fair value of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48" w:type="dxa"/>
            <w:gridSpan w:val="3"/>
            <w:tcBorders/>
            <w:vAlign w:val="center"/>
          </w:tcPr>
          <w:p>
            <w:pPr>
              <w:pStyle w:val="TableContents"/>
              <w:bidi w:val="0"/>
              <w:spacing w:before="0" w:after="283"/>
              <w:jc w:val="left"/>
              <w:rPr>
                <w:sz w:val="4"/>
                <w:szCs w:val="4"/>
              </w:rPr>
            </w:pPr>
            <w:r>
              <w:rPr>
                <w:sz w:val="4"/>
                <w:szCs w:val="4"/>
              </w:rPr>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Counterparty Credit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2023, all of our derivative financial instruments were with investment-grade counterparties. We actively evaluate the creditworthiness of our counterparties, assign credit limits and monitor exposure against those assigned limits. We believe exposure to credit-related losses was not significant for all periods presented. At December 31, 2023, and 2022, we did not have collateral posted for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107" name="Frame1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Net income before income taxes, for all periods presented, was generated from domestic operations. We recognized an income tax provision (benefit) for the periods presented as follows:</w:t>
      </w:r>
    </w:p>
    <w:tbl>
      <w:tblPr>
        <w:tblW w:w="6342" w:type="dxa"/>
        <w:jc w:val="left"/>
        <w:tblInd w:w="0" w:type="dxa"/>
        <w:tblLayout w:type="fixed"/>
        <w:tblCellMar>
          <w:top w:w="28" w:type="dxa"/>
          <w:left w:w="28" w:type="dxa"/>
          <w:bottom w:w="28" w:type="dxa"/>
          <w:right w:w="28" w:type="dxa"/>
        </w:tblCellMar>
      </w:tblPr>
      <w:tblGrid>
        <w:gridCol w:w="1152"/>
        <w:gridCol w:w="1009"/>
        <w:gridCol w:w="1019"/>
        <w:gridCol w:w="211"/>
        <w:gridCol w:w="481"/>
        <w:gridCol w:w="109"/>
        <w:gridCol w:w="109"/>
        <w:gridCol w:w="109"/>
        <w:gridCol w:w="109"/>
        <w:gridCol w:w="211"/>
        <w:gridCol w:w="481"/>
        <w:gridCol w:w="109"/>
        <w:gridCol w:w="109"/>
        <w:gridCol w:w="109"/>
        <w:gridCol w:w="109"/>
        <w:gridCol w:w="211"/>
        <w:gridCol w:w="54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2021</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income tax provision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income tax provision (benefit) differs from the amounts computed by applying the U.S. federal income tax statutory rate to income before income taxes as follows:</w:t>
      </w:r>
    </w:p>
    <w:tbl>
      <w:tblPr>
        <w:tblW w:w="8225" w:type="dxa"/>
        <w:jc w:val="left"/>
        <w:tblInd w:w="0" w:type="dxa"/>
        <w:tblLayout w:type="fixed"/>
        <w:tblCellMar>
          <w:top w:w="28" w:type="dxa"/>
          <w:left w:w="28" w:type="dxa"/>
          <w:bottom w:w="28" w:type="dxa"/>
          <w:right w:w="28" w:type="dxa"/>
        </w:tblCellMar>
      </w:tblPr>
      <w:tblGrid>
        <w:gridCol w:w="1848"/>
        <w:gridCol w:w="1623"/>
        <w:gridCol w:w="1629"/>
        <w:gridCol w:w="209"/>
        <w:gridCol w:w="197"/>
        <w:gridCol w:w="326"/>
        <w:gridCol w:w="124"/>
        <w:gridCol w:w="124"/>
        <w:gridCol w:w="124"/>
        <w:gridCol w:w="209"/>
        <w:gridCol w:w="197"/>
        <w:gridCol w:w="326"/>
        <w:gridCol w:w="124"/>
        <w:gridCol w:w="124"/>
        <w:gridCol w:w="124"/>
        <w:gridCol w:w="278"/>
        <w:gridCol w:w="262"/>
        <w:gridCol w:w="377"/>
      </w:tblGrid>
      <w:tr>
        <w:trP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2021</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federal statutory tax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State income taxes, net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Exclusion of income attributable to noncontrolling interest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tax attributes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Change in the U.S. federal valuation allowance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During the year ended December 31, 2023, we released a valuation allowance of $35 million for a portion of the tax loss on the sale of our Lost Hills assets after we jointly agreed to amend the original tax treatment with the buyer. See </w:t>
      </w:r>
      <w:r>
        <w:rPr>
          <w:rFonts w:ascii="Arial;sans-serif" w:hAnsi="Arial;sans-serif"/>
          <w:b w:val="false"/>
          <w:i/>
          <w:color w:val="000000"/>
          <w:sz w:val="20"/>
        </w:rPr>
        <w:t>Note 8 Divestitures and Acquisitions</w:t>
      </w:r>
      <w:r>
        <w:rPr>
          <w:color w:val="000000"/>
        </w:rPr>
        <w:t xml:space="preserve"> </w:t>
      </w:r>
      <w:r>
        <w:rPr>
          <w:rFonts w:ascii="Arial;sans-serif" w:hAnsi="Arial;sans-serif"/>
          <w:b w:val="false"/>
          <w:color w:val="000000"/>
          <w:sz w:val="20"/>
        </w:rPr>
        <w:t xml:space="preserve">for more information on the Lost Hills transaction. This valuation allowance was initially recorded during the year ended December 31, 2022 for the realizability of a capital loss on the sale of Lost Hills, the deductibility of which was limited. During the year ended December 31, 2021, we released all of our valuation allowance recorded against our net deferred tax assets given our anticipated future earnings trend at that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years ended December 31, 2022 and 2021, we recognized a tax benefit for tax credits related to our oil and gas operations. The tax benefit of these credits is presented as changes in tax attributes in our effective tax rate reconciliations.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108" name="Frame1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tax effects of temporary differences resulting in deferred income tax assets and liabilities at December 31, 2023 and 2022 were as follows:</w:t>
      </w:r>
    </w:p>
    <w:tbl>
      <w:tblPr>
        <w:tblW w:w="10205" w:type="dxa"/>
        <w:jc w:val="left"/>
        <w:tblInd w:w="0" w:type="dxa"/>
        <w:tblLayout w:type="fixed"/>
        <w:tblCellMar>
          <w:top w:w="28" w:type="dxa"/>
          <w:left w:w="28" w:type="dxa"/>
          <w:bottom w:w="28" w:type="dxa"/>
          <w:right w:w="28" w:type="dxa"/>
        </w:tblCellMar>
      </w:tblPr>
      <w:tblGrid>
        <w:gridCol w:w="1493"/>
        <w:gridCol w:w="1305"/>
        <w:gridCol w:w="1309"/>
        <w:gridCol w:w="332"/>
        <w:gridCol w:w="760"/>
        <w:gridCol w:w="172"/>
        <w:gridCol w:w="109"/>
        <w:gridCol w:w="109"/>
        <w:gridCol w:w="109"/>
        <w:gridCol w:w="332"/>
        <w:gridCol w:w="762"/>
        <w:gridCol w:w="173"/>
        <w:gridCol w:w="109"/>
        <w:gridCol w:w="109"/>
        <w:gridCol w:w="109"/>
        <w:gridCol w:w="332"/>
        <w:gridCol w:w="760"/>
        <w:gridCol w:w="172"/>
        <w:gridCol w:w="109"/>
        <w:gridCol w:w="109"/>
        <w:gridCol w:w="109"/>
        <w:gridCol w:w="326"/>
        <w:gridCol w:w="746"/>
        <w:gridCol w:w="250"/>
      </w:tblGrid>
      <w:tr>
        <w:trPr/>
        <w:tc>
          <w:tcPr>
            <w:tcW w:w="149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4834" w:type="dxa"/>
            <w:gridSpan w:val="18"/>
            <w:tcBorders/>
          </w:tcPr>
          <w:p>
            <w:pPr>
              <w:pStyle w:val="TableContents"/>
              <w:bidi w:val="0"/>
              <w:spacing w:before="0" w:after="283"/>
              <w:jc w:val="left"/>
              <w:rPr>
                <w:sz w:val="4"/>
                <w:szCs w:val="4"/>
              </w:rPr>
            </w:pPr>
            <w:r>
              <w:rPr>
                <w:sz w:val="4"/>
                <w:szCs w:val="4"/>
              </w:rPr>
            </w:r>
          </w:p>
        </w:tc>
      </w:tr>
      <w:tr>
        <w:trPr/>
        <w:tc>
          <w:tcPr>
            <w:tcW w:w="4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Deferred Tax</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Deferred Tax</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Deferred Tax</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Deferred Tax</w:t>
              <w:br/>
              <w:t>Liabilities</w:t>
            </w:r>
          </w:p>
        </w:tc>
      </w:tr>
      <w:tr>
        <w:trPr/>
        <w:tc>
          <w:tcPr>
            <w:tcW w:w="4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10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 and benefits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loss and tax credit carryforwards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interest expense carryforward</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 benefit of state income taxes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Subtotal</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Valuation allowance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Management expects to realize the recorded deferred tax assets primarily through future operating income and reversal of taxable temporary differences. The amount of deferred tax assets considered realizable is not assured and could be adjusted if estimates change or three-years of cumulative income is no longer present.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Carryforwards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2023, we had U.S. federal net operating loss carryforwards of $29 million, which begin to expire in 2037. Our carryforward for disallowed business interest of $765 million does not expire.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December 31, 2023, we had California net operating loss carryforwards of $2 billion, which begin to expire in 2026, and $20 million of tax credit carryforwards, which begin to expire in 2041.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ability to utilize a portion of our net operating loss, tax credit and interest expense carryforwards is subject to an annual limitation since we experienced an ownership change in connection with our emergence from bankruptcy. We recognized a tax benefit for $11 million of U.S. federal net operating loss carryforwards (that do not expire) and approximately $75 million for California net operating loss carryforwards. We expect our remaining carryforwards will expire unused. Additionally, we recognized a tax benefit for $6 million of California tax credit carryforwards.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did not record a liability for unrecognized tax benefits as of December 31, 2023 and 2022.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remain subject to audit by the Internal Revenue Service for calendar years 2020 through 2022 as well as 2019 through 2022 by the state of California.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8    DIVESTITURES AND ACQUISITIONS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Divestitures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Round Mountain Unit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On December 29, 2023, we entered into an agreement to sell our non-operated working interest in the Round Mountain Unit in the San Joaquin basin, recognizing a gain of $25 million. We retained an option to capture, transport and store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emissions from the production at Round Mountain Unit for future carbon management projects. This option can be terminated by the buyer after January 1, 2028.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0520"/>
                <wp:effectExtent l="0" t="0" r="0" b="0"/>
                <wp:wrapNone/>
                <wp:docPr id="109" name="Frame1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Ventura Basin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2021 and 2022, we entered into transactions to sell our Ventura basin assets. The transaction contemplates multiple closings that are subject to customary closing conditions. The closings that occurred in the second half of 2021 resulted in the divestiture of the vast majority of our Ventura basin assets. We recognized a gain of $120 million on the Ventura divestiture during the year ended December 31, 2021.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year ended December 31, 2022, we recognized a gain of $11 million related to the sale of additional Ventura basin assets.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closing of our remaining assets in the Ventura basin is subject to final approval from the State Lands Commission, we expect could occur in 2024. These remaining assets, consisting of property, plant and equipment and associated asset retirement obligations, are classified as held for sale on our consolidated balance sheet as of December 31,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Lost Hills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Arial;sans-serif" w:hAnsi="Arial;sans-serif"/>
          <w:b w:val="false"/>
          <w:color w:val="000000"/>
          <w:sz w:val="20"/>
        </w:rPr>
        <w:t>On February 1, 2022, we sold our 50% non-operated working interest in certain horizons within our Lost Hills field, located in the San Joaquin basin, recognizing a gain of $49 million. We retained an option to capture, transport and store 100% of the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from steam generators across the Lost Hills field for future carbon management projects. This option can be terminated by the buyer after January 1, 2026. We also retained 100% of the deep rights and related seismic data.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CRC Plaza</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2022, we sold our commercial office building located in Bakersfield, California for net proceeds of $13 million, recognizing no gain or loss on the sale following recognition of impairment charges in 2021 and 2022. We also leased back a portion of the building with a term of 18 months. See </w:t>
      </w:r>
      <w:r>
        <w:rPr>
          <w:rFonts w:ascii="Arial;sans-serif" w:hAnsi="Arial;sans-serif"/>
          <w:b w:val="false"/>
          <w:i/>
          <w:color w:val="000000"/>
          <w:sz w:val="20"/>
        </w:rPr>
        <w:t>Note 2 Property, Plant and Equipment</w:t>
      </w:r>
      <w:r>
        <w:rPr>
          <w:color w:val="000000"/>
        </w:rPr>
        <w:t xml:space="preserve"> </w:t>
      </w:r>
      <w:r>
        <w:rPr>
          <w:rFonts w:ascii="Arial;sans-serif" w:hAnsi="Arial;sans-serif"/>
          <w:b w:val="false"/>
          <w:color w:val="000000"/>
          <w:sz w:val="20"/>
        </w:rPr>
        <w:t>for details of impairment charges we recognized prior to the sale of this property.</w:t>
      </w:r>
    </w:p>
    <w:p>
      <w:pPr>
        <w:pStyle w:val="TextBody"/>
        <w:bidi w:val="0"/>
        <w:spacing w:before="0" w:after="0"/>
        <w:ind w:left="0" w:right="0" w:firstLine="360"/>
        <w:jc w:val="left"/>
        <w:rPr/>
      </w:pPr>
      <w:r>
        <w:rPr/>
      </w:r>
    </w:p>
    <w:p>
      <w:pPr>
        <w:pStyle w:val="TextBody"/>
        <w:bidi w:val="0"/>
        <w:spacing w:lineRule="auto" w:line="276" w:before="0" w:after="0"/>
        <w:jc w:val="left"/>
        <w:rPr>
          <w:rFonts w:ascii="Arial;sans-serif" w:hAnsi="Arial;sans-serif"/>
          <w:b w:val="false"/>
          <w:i/>
          <w:color w:val="000000"/>
          <w:sz w:val="20"/>
          <w:u w:val="single"/>
        </w:rPr>
      </w:pPr>
      <w:r>
        <w:rPr>
          <w:rFonts w:ascii="Arial;sans-serif" w:hAnsi="Arial;sans-serif"/>
          <w:b w:val="false"/>
          <w:i/>
          <w:color w:val="000000"/>
          <w:sz w:val="20"/>
          <w:u w:val="single"/>
        </w:rPr>
        <w:t>Other Divestitures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we sold a non-producing asset in exchange for the assumption of liabilities recognizing a $7 million gain. In 2022, we sold non-core assets recognizing a $1 million loss. In 2021, we also sold unimproved land and other non-core assets for $13 million in proceeds recognizing a $4 million gain.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Acquisitions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MIRA JV</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development joint venture with Macquarie Infrastructure and Real Assets Inc. (MIRA JV) contemplated that MIRA would fund the development of certain of our oil and natural gas properties in exchange for a 90% working interest. In August 2021, we purchased MIRA’s entire working interest share for $52 million. We accounted for this transaction as an asset acquisition. Prior to the acquisition, our consolidated results reflect only our 10% working interest share in the productive wells.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Other Acquisitions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we acquired properties for our carbon management business for approximately $5 million.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2022, we acquired properties for our carbon management business for approximately $17 million. In 2023, we recognized an impairment of $3 million to write these assets down to fair value (using Level 3 inputs in the fair value hierarchy) due to market conditions at that time (including inflation and rising interest rates). We intend to divest a portion of these assets, which are classified as held for sale as of December 31, 2023 on our consolidated balance sheet.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0520"/>
                <wp:effectExtent l="0" t="0" r="0" b="0"/>
                <wp:wrapNone/>
                <wp:docPr id="110" name="Frame1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9    STOCK-BASED COMPENSATION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January 18, 2021, our Board of Directors approved the California Resources Corporation 2021 Long Term Incentive Plan (Long Term Incentive Plan). The Long Term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Long Term Incentive Plan provides for the reservation of 9,257,740 shares of common stock for future issuances, subject to adjustment as provided in the Long Term Incentive Plan. Shares of stock subject to an award under the Long Term Incentive Plan that expires or is cancelled, forfeited, exchanged, settled in cash or otherwise terminated without the actual delivery of shares (restricted stock awards are not considered “delivered shares” for this purpose) will again be available for new awards under the Long Term Incentive Plan. However, (i) shares tendered or withheld in payment of any exercise or purchase price of an award or taxes relating to awards, (ii) shares that were subject to an option or a stock appreciation right but were not issued or delivered as a result of the net settlement or net exercise of the option or stock appreciation right, and (iii) shares repurchased on the open market with the proceeds from the exercise price of an option, will not, in each case, again be available for new awards under the Long Term Incentive Plan.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Shares of our common stock may be withheld by us in satisfaction of tax withholding obligations arising upon the vesting of restricted stock units (RSUs) and performance stock units (PSUs).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Stock-based compensation expense is recorded on our consolidated statements of operations based on job function of the employees receiving the grants as shown in the table below. </w:t>
      </w:r>
    </w:p>
    <w:p>
      <w:pPr>
        <w:pStyle w:val="TextBody"/>
        <w:bidi w:val="0"/>
        <w:spacing w:before="0" w:after="0"/>
        <w:ind w:left="0" w:right="0" w:firstLine="360"/>
        <w:jc w:val="left"/>
        <w:rPr/>
      </w:pPr>
      <w:r>
        <w:rPr/>
      </w:r>
    </w:p>
    <w:tbl>
      <w:tblPr>
        <w:tblW w:w="6567" w:type="dxa"/>
        <w:jc w:val="left"/>
        <w:tblInd w:w="0" w:type="dxa"/>
        <w:tblLayout w:type="fixed"/>
        <w:tblCellMar>
          <w:top w:w="28" w:type="dxa"/>
          <w:left w:w="28" w:type="dxa"/>
          <w:bottom w:w="28" w:type="dxa"/>
          <w:right w:w="28" w:type="dxa"/>
        </w:tblCellMar>
      </w:tblPr>
      <w:tblGrid>
        <w:gridCol w:w="1359"/>
        <w:gridCol w:w="1193"/>
        <w:gridCol w:w="1198"/>
        <w:gridCol w:w="211"/>
        <w:gridCol w:w="376"/>
        <w:gridCol w:w="109"/>
        <w:gridCol w:w="109"/>
        <w:gridCol w:w="109"/>
        <w:gridCol w:w="109"/>
        <w:gridCol w:w="211"/>
        <w:gridCol w:w="376"/>
        <w:gridCol w:w="109"/>
        <w:gridCol w:w="109"/>
        <w:gridCol w:w="109"/>
        <w:gridCol w:w="109"/>
        <w:gridCol w:w="211"/>
        <w:gridCol w:w="406"/>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 expenses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paid $11 million and $6 million for our long-term cash incentive awards for the year ended December 31, 2023 and December 31, 2022, respectively. No payments were made during the year ended December 31, 2021.</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Stock Settled Awards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Restricted Stock Units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Executives and non-employee directors were granted RSUs, which are in the form of, or equivalent in value to, actual shares of our common stock. The awards generally vest from two to three years following the grant date. Dividend equivalents are accumulated and paid when the shares are issued.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0520"/>
                <wp:effectExtent l="0" t="0" r="0" b="0"/>
                <wp:wrapNone/>
                <wp:docPr id="111" name="Frame1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RSU activity for the year ended December 31, 2023:</w:t>
      </w:r>
    </w:p>
    <w:tbl>
      <w:tblPr>
        <w:tblW w:w="8799" w:type="dxa"/>
        <w:jc w:val="left"/>
        <w:tblInd w:w="0" w:type="dxa"/>
        <w:tblLayout w:type="fixed"/>
        <w:tblCellMar>
          <w:top w:w="28" w:type="dxa"/>
          <w:left w:w="28" w:type="dxa"/>
          <w:bottom w:w="28" w:type="dxa"/>
          <w:right w:w="28" w:type="dxa"/>
        </w:tblCellMar>
      </w:tblPr>
      <w:tblGrid>
        <w:gridCol w:w="1058"/>
        <w:gridCol w:w="930"/>
        <w:gridCol w:w="936"/>
        <w:gridCol w:w="559"/>
        <w:gridCol w:w="559"/>
        <w:gridCol w:w="561"/>
        <w:gridCol w:w="109"/>
        <w:gridCol w:w="109"/>
        <w:gridCol w:w="109"/>
        <w:gridCol w:w="807"/>
        <w:gridCol w:w="2471"/>
        <w:gridCol w:w="591"/>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4196"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Number of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 Grant-Date Fair Value</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Unvested at December 31, 2022</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25.64 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39.95 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Forfeited or Cancelled</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Unvested at December 31, 2023</w:t>
            </w:r>
          </w:p>
        </w:tc>
        <w:tc>
          <w:tcPr>
            <w:tcW w:w="11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29.49 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Compensation expense was measured on the date of grant using the quoted market price of our common stock and is primarily recognized on a straight-line basis over the requisite service periods adjusted for actual forfeitures, if 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2023, the unrecognized compensation expense for our unvested RSUs was approximately $10 million and is expected to be recognized over a weighted-average remaining service period of approximately two years.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Performance Stock Units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2023, executives were granted PSUs which are earned based on our absolute total shareholder return and total shareholder return relative to the SPDR S&amp;P Oil and Gas Exploration and Production Exchange-Traded Fund listed on the New York Stock Exchange. The PSUs have payouts that range from 0% to 200% of the target award and settle in common shares once certified. Dividend equivalents for these awards are accumulated and paid out upon certification of the award.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2021 and 2022, executives were granted PSUs which are earned upon the attainment of specified 60-trading day volume weighted average prices for shares of our common stock generally during a three-year service period commencing on the grant date. Once units are earned, the earned units are not reduced for subsequent decreases in stock price. For the duration of the three-year period, a minimum of 0% and a maximum of 100% of the PSUs granted could be earned. The grant date fair value and associated equity compensation expense was measured using a Monte Carlo simulation model which runs a probabilistic assessment of the number of units that will be earned based on a projection of our stock price during the three-year service period. Although certain events may accelerate vesting, earned PSUs generally vest on the third anniversary of the grant date, and are settled in shares of our common stock at the three-year anniversary of the grant date. PSU grants made to certain executives in 2021 have been fully earned.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PSU activity for the year ended December 31, 2023:</w:t>
      </w:r>
    </w:p>
    <w:tbl>
      <w:tblPr>
        <w:tblW w:w="8799" w:type="dxa"/>
        <w:jc w:val="left"/>
        <w:tblInd w:w="0" w:type="dxa"/>
        <w:tblLayout w:type="fixed"/>
        <w:tblCellMar>
          <w:top w:w="28" w:type="dxa"/>
          <w:left w:w="28" w:type="dxa"/>
          <w:bottom w:w="28" w:type="dxa"/>
          <w:right w:w="28" w:type="dxa"/>
        </w:tblCellMar>
      </w:tblPr>
      <w:tblGrid>
        <w:gridCol w:w="1058"/>
        <w:gridCol w:w="930"/>
        <w:gridCol w:w="936"/>
        <w:gridCol w:w="559"/>
        <w:gridCol w:w="559"/>
        <w:gridCol w:w="561"/>
        <w:gridCol w:w="109"/>
        <w:gridCol w:w="109"/>
        <w:gridCol w:w="109"/>
        <w:gridCol w:w="807"/>
        <w:gridCol w:w="2471"/>
        <w:gridCol w:w="591"/>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4196"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Number of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 Grant-Date Fair Value</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Unvested at December 31, 2022</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20.19 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Vested</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Forfeited or Cancelled</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36.68 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Unvested at December 31, 2023</w:t>
            </w:r>
          </w:p>
        </w:tc>
        <w:tc>
          <w:tcPr>
            <w:tcW w:w="11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0520"/>
                <wp:effectExtent l="0" t="0" r="0" b="0"/>
                <wp:wrapNone/>
                <wp:docPr id="112" name="Frame1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range of assumptions used in the valuation of PSUs granted during 2023, 2022 and 2021 were as follows: </w:t>
      </w:r>
    </w:p>
    <w:tbl>
      <w:tblPr>
        <w:tblW w:w="7701" w:type="dxa"/>
        <w:jc w:val="left"/>
        <w:tblInd w:w="0" w:type="dxa"/>
        <w:tblLayout w:type="fixed"/>
        <w:tblCellMar>
          <w:top w:w="28" w:type="dxa"/>
          <w:left w:w="28" w:type="dxa"/>
          <w:bottom w:w="28" w:type="dxa"/>
          <w:right w:w="28" w:type="dxa"/>
        </w:tblCellMar>
      </w:tblPr>
      <w:tblGrid>
        <w:gridCol w:w="867"/>
        <w:gridCol w:w="764"/>
        <w:gridCol w:w="769"/>
        <w:gridCol w:w="343"/>
        <w:gridCol w:w="343"/>
        <w:gridCol w:w="918"/>
        <w:gridCol w:w="109"/>
        <w:gridCol w:w="109"/>
        <w:gridCol w:w="109"/>
        <w:gridCol w:w="476"/>
        <w:gridCol w:w="476"/>
        <w:gridCol w:w="442"/>
        <w:gridCol w:w="109"/>
        <w:gridCol w:w="109"/>
        <w:gridCol w:w="109"/>
        <w:gridCol w:w="325"/>
        <w:gridCol w:w="325"/>
        <w:gridCol w:w="999"/>
      </w:tblGrid>
      <w:tr>
        <w:trPr/>
        <w:tc>
          <w:tcPr>
            <w:tcW w:w="86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Expected volatility</w:t>
            </w:r>
            <w:r>
              <w:rPr>
                <w:rFonts w:ascii="Arial;sans-serif" w:hAnsi="Arial;sans-serif"/>
                <w:b w:val="false"/>
                <w:color w:val="000000"/>
                <w:sz w:val="13"/>
              </w:rPr>
              <w:t xml:space="preserve">(a) </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42.36% - 55.00%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60.00% - 65.00%</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Risk-free interest rate</w:t>
            </w:r>
            <w:r>
              <w:rPr>
                <w:rFonts w:ascii="Arial;sans-serif" w:hAnsi="Arial;sans-serif"/>
                <w:b w:val="false"/>
                <w:color w:val="000000"/>
                <w:sz w:val="13"/>
              </w:rPr>
              <w:t>(b)</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3.81% - 4.95%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1.59% - 2.55%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0.16% - 0.60%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Dividend yield</w:t>
            </w:r>
            <w:r>
              <w:rPr>
                <w:rFonts w:ascii="Arial;sans-serif" w:hAnsi="Arial;sans-serif"/>
                <w:b w:val="false"/>
                <w:color w:val="000000"/>
                <w:sz w:val="13"/>
              </w:rPr>
              <w:t>(c)</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Forecast period (in years) </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1.5 - 3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2 - 3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2 - 3</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(a)Expected volatility was calculated using the historic volatility of a peer group due to our limited trading history since our emergence from bankruptcy. For awards granted after June 2021, we included the historic volatility of our stock, excluding our first two trading months, in the peer group.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(b)Based on the U.S. Treasury yield for a two- or three-year term at the grant date, as applicable.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(c)A dividend adjusted stock price (assumed reinvestment of dividends during the performance period) was used.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Compensation expense is recognized on a straight-line basis over the requisite service periods adjusted for actual forfeitures, if any. Events that accelerate the vesting of an award have no effect on the requisite service period until such an event becomes probable.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December 31, 2023, the unrecognized compensation expense for our unvested PSUs was approximately $14 million and is expected to be recognized over a weighted-average remaining service period of approximately two years.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Incentive Awards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each of the years of 2023, 2022 and 2021, we granted performance cash-settled awards to approximately 500 non-executive employees where half of the award is variable with payouts ranging from 75% to 150% of the grant value. The variable portion of the award is determined based upon the attainment of specified 60-trading day volume weighted average prices for shares of our common stock preceding each vesting date. These awards vest ratably over a three-year service period, with one third of the grants vesting on each of the first three anniversaries of the grant date. The fair value of the awards is adjusted on a quarterly basis for the cumulative change in the value determined using a Monte Carlo simulation model which runs a probabilistic assessment of our stock price for each of the three-year service periods.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assumptions used in the valuation of our cash awards as of December 31, 2023 were as follows: </w:t>
      </w:r>
    </w:p>
    <w:p>
      <w:pPr>
        <w:pStyle w:val="TextBody"/>
        <w:bidi w:val="0"/>
        <w:spacing w:before="0" w:after="0"/>
        <w:jc w:val="left"/>
        <w:rPr/>
      </w:pPr>
      <w:r>
        <w:rPr/>
      </w:r>
    </w:p>
    <w:tbl>
      <w:tblPr>
        <w:tblW w:w="6963" w:type="dxa"/>
        <w:jc w:val="left"/>
        <w:tblInd w:w="0" w:type="dxa"/>
        <w:tblLayout w:type="fixed"/>
        <w:tblCellMar>
          <w:top w:w="28" w:type="dxa"/>
          <w:left w:w="28" w:type="dxa"/>
          <w:bottom w:w="28" w:type="dxa"/>
          <w:right w:w="28" w:type="dxa"/>
        </w:tblCellMar>
      </w:tblPr>
      <w:tblGrid>
        <w:gridCol w:w="867"/>
        <w:gridCol w:w="764"/>
        <w:gridCol w:w="769"/>
        <w:gridCol w:w="275"/>
        <w:gridCol w:w="275"/>
        <w:gridCol w:w="724"/>
        <w:gridCol w:w="109"/>
        <w:gridCol w:w="109"/>
        <w:gridCol w:w="109"/>
        <w:gridCol w:w="275"/>
        <w:gridCol w:w="275"/>
        <w:gridCol w:w="724"/>
        <w:gridCol w:w="109"/>
        <w:gridCol w:w="109"/>
        <w:gridCol w:w="109"/>
        <w:gridCol w:w="302"/>
        <w:gridCol w:w="260"/>
        <w:gridCol w:w="799"/>
      </w:tblGrid>
      <w:tr>
        <w:trPr/>
        <w:tc>
          <w:tcPr>
            <w:tcW w:w="86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688" w:type="dxa"/>
            <w:gridSpan w:val="6"/>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2023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 Awards</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Expected volatility</w:t>
            </w:r>
            <w:r>
              <w:rPr>
                <w:rFonts w:ascii="Arial;sans-serif" w:hAnsi="Arial;sans-serif"/>
                <w:b w:val="false"/>
                <w:color w:val="000000"/>
                <w:sz w:val="13"/>
              </w:rPr>
              <w:t xml:space="preserve">(a) </w:t>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Risk-free interest rate</w:t>
            </w:r>
            <w:r>
              <w:rPr>
                <w:rFonts w:ascii="Arial;sans-serif" w:hAnsi="Arial;sans-serif"/>
                <w:b w:val="false"/>
                <w:color w:val="000000"/>
                <w:sz w:val="13"/>
              </w:rPr>
              <w:t>(b)</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4.51 </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Dividend yield</w:t>
            </w:r>
            <w:r>
              <w:rPr>
                <w:rFonts w:ascii="Arial;sans-serif" w:hAnsi="Arial;sans-serif"/>
                <w:b w:val="false"/>
                <w:color w:val="000000"/>
                <w:sz w:val="13"/>
              </w:rPr>
              <w:t>(c)</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Forecast period (in years) </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(a)Expected volatility was calculated using the historical volatility of our stock.</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(b)Based on the U.S. Treasury yield for the remaining terms.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(c)A dividend adjusted stock price (assumed reinvestment of dividends during the performance period) was used.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December 31, 2023, the unrecognized compensation expense for all of our unvested cash-settled awards was $14 million and is expected to be recognized over a weighted-average remaining service period of approximately two years. The value of awards forfeited during the year ended December 31, 2023 was approximately $4 million.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Employee Stock Purchase Plan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May 2022, our shareholders approved a new California Resources Corporation Employee Stock Purchase Plan (ESPP), which took effect in July 2022. The ESPP provides our employees with the ability to purchase shares of our common stock at a price equal to 85% of the closing price of a share of our common stock as of the first or last day of each fiscal quarter, whichever amount is less. The maximum number of shares of our common stock which may be issued pursuant to the ESPP is subject to certain annual limits and has a cumulative limit of 1,250,000 shares.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2023, a total of 57,493 common shares were issued under our ESPP.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0520"/>
                <wp:effectExtent l="0" t="0" r="0" b="0"/>
                <wp:wrapNone/>
                <wp:docPr id="113" name="Frame1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10    STOCKHOLDERS' EQUITY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summary of changes in our common shares outstanding:</w:t>
      </w:r>
    </w:p>
    <w:tbl>
      <w:tblPr>
        <w:tblW w:w="8460" w:type="dxa"/>
        <w:jc w:val="center"/>
        <w:tblInd w:w="0" w:type="dxa"/>
        <w:tblLayout w:type="fixed"/>
        <w:tblCellMar>
          <w:top w:w="28" w:type="dxa"/>
          <w:left w:w="28" w:type="dxa"/>
          <w:bottom w:w="28" w:type="dxa"/>
          <w:right w:w="28" w:type="dxa"/>
        </w:tblCellMar>
      </w:tblPr>
      <w:tblGrid>
        <w:gridCol w:w="2011"/>
        <w:gridCol w:w="1766"/>
        <w:gridCol w:w="1773"/>
        <w:gridCol w:w="852"/>
        <w:gridCol w:w="852"/>
        <w:gridCol w:w="1206"/>
      </w:tblGrid>
      <w:tr>
        <w:trPr/>
        <w:tc>
          <w:tcPr>
            <w:tcW w:w="201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Shares Outstanding</w:t>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Balance, December 31, 2021 </w:t>
            </w:r>
          </w:p>
        </w:tc>
        <w:tc>
          <w:tcPr>
            <w:tcW w:w="1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79,299,222 </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warrant exercises</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issued under ESPP</w:t>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16,480 </w:t>
            </w:r>
          </w:p>
        </w:tc>
        <w:tc>
          <w:tcPr>
            <w:tcW w:w="1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stock - shares repurchased</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(7,366,272)</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December 31, 2022</w:t>
            </w:r>
          </w:p>
        </w:tc>
        <w:tc>
          <w:tcPr>
            <w:tcW w:w="1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71,949,742 </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for warrant exercises</w:t>
            </w:r>
          </w:p>
        </w:tc>
        <w:tc>
          <w:tcPr>
            <w:tcW w:w="1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35,441 </w:t>
            </w:r>
          </w:p>
        </w:tc>
        <w:tc>
          <w:tcPr>
            <w:tcW w:w="1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under ESPP</w:t>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41,013 </w:t>
            </w:r>
          </w:p>
        </w:tc>
        <w:tc>
          <w:tcPr>
            <w:tcW w:w="1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issued under stock-based compensation arrangements</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75,344 </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stock - shares repurchased</w:t>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(3,407,655)</w:t>
            </w:r>
          </w:p>
        </w:tc>
        <w:tc>
          <w:tcPr>
            <w:tcW w:w="1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December 31, 2023</w:t>
            </w:r>
          </w:p>
        </w:tc>
        <w:tc>
          <w:tcPr>
            <w:tcW w:w="17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68,693,885 </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Board of Directors authorized a Share Repurchase Program to acquire up to $1.1 billion of our common stock through June 30, 2024. The repurchases may be affected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94"/>
        <w:gridCol w:w="697"/>
        <w:gridCol w:w="702"/>
        <w:gridCol w:w="989"/>
        <w:gridCol w:w="846"/>
        <w:gridCol w:w="849"/>
        <w:gridCol w:w="109"/>
        <w:gridCol w:w="109"/>
        <w:gridCol w:w="109"/>
        <w:gridCol w:w="647"/>
        <w:gridCol w:w="1480"/>
        <w:gridCol w:w="337"/>
        <w:gridCol w:w="109"/>
        <w:gridCol w:w="109"/>
        <w:gridCol w:w="109"/>
        <w:gridCol w:w="460"/>
        <w:gridCol w:w="1409"/>
        <w:gridCol w:w="341"/>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Dollar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2021</w:t>
            </w:r>
          </w:p>
        </w:tc>
        <w:tc>
          <w:tcPr>
            <w:tcW w:w="1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4,089,988 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2022</w:t>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7,366,272 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Year ended December 31, 2023</w:t>
            </w:r>
          </w:p>
        </w:tc>
        <w:tc>
          <w:tcPr>
            <w:tcW w:w="1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3,407,655 </w:t>
            </w:r>
          </w:p>
        </w:tc>
        <w:tc>
          <w:tcPr>
            <w:tcW w:w="8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8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14,863,915 </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40.53 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Note: The total value of shares purchased includes approximately $1 million related to excise taxes on share repurchases, which was effective beginning in 2023. Commissions paid were not significant in all periods presented.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See </w:t>
      </w:r>
      <w:r>
        <w:rPr>
          <w:rFonts w:ascii="Arial;sans-serif" w:hAnsi="Arial;sans-serif"/>
          <w:b w:val="false"/>
          <w:i/>
          <w:color w:val="000000"/>
          <w:sz w:val="20"/>
          <w:shd w:fill="FFFFFF" w:val="clear"/>
        </w:rPr>
        <w:t>Note 17 Subsequent Events</w:t>
      </w:r>
      <w:r>
        <w:rPr>
          <w:color w:val="000000"/>
          <w:shd w:fill="FFFFFF" w:val="clear"/>
        </w:rPr>
        <w:t xml:space="preserve"> </w:t>
      </w:r>
      <w:r>
        <w:rPr>
          <w:rFonts w:ascii="Arial;sans-serif" w:hAnsi="Arial;sans-serif"/>
          <w:b w:val="false"/>
          <w:color w:val="000000"/>
          <w:sz w:val="20"/>
          <w:shd w:fill="FFFFFF" w:val="clear"/>
        </w:rPr>
        <w:t xml:space="preserve">for information on an increase and extension to our Share Repurchase Program.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Dividends are payable to shareholders in quarterly increments, subject to the quarterly approval of our Board of Directors. T</w:t>
      </w:r>
      <w:r>
        <w:rPr>
          <w:rFonts w:ascii="Arial;sans-serif" w:hAnsi="Arial;sans-serif"/>
          <w:b w:val="false"/>
          <w:color w:val="000000"/>
          <w:sz w:val="20"/>
          <w:shd w:fill="FFFFFF" w:val="clear"/>
        </w:rPr>
        <w:t xml:space="preserve">he actual declaration of future cash dividends, and the establishment of record and payment dates, is subject to final determination by our Board of Directors each quarter after reviewing our financial performance. See </w:t>
      </w:r>
      <w:r>
        <w:rPr>
          <w:rFonts w:ascii="Arial;sans-serif" w:hAnsi="Arial;sans-serif"/>
          <w:b w:val="false"/>
          <w:i/>
          <w:color w:val="000000"/>
          <w:sz w:val="20"/>
          <w:shd w:fill="FFFFFF" w:val="clear"/>
        </w:rPr>
        <w:t>Note 17 Subsequent Events</w:t>
      </w:r>
      <w:r>
        <w:rPr>
          <w:color w:val="000000"/>
          <w:shd w:fill="FFFFFF" w:val="clear"/>
        </w:rPr>
        <w:t xml:space="preserve"> </w:t>
      </w:r>
      <w:r>
        <w:rPr>
          <w:rFonts w:ascii="Arial;sans-serif" w:hAnsi="Arial;sans-serif"/>
          <w:b w:val="false"/>
          <w:color w:val="000000"/>
          <w:sz w:val="20"/>
          <w:shd w:fill="FFFFFF" w:val="clear"/>
        </w:rPr>
        <w:t xml:space="preserve">for information on future cash dividends.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0520"/>
                <wp:effectExtent l="0" t="0" r="0" b="0"/>
                <wp:wrapNone/>
                <wp:docPr id="114" name="Frame1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Board of Directors declared quarterly cash dividends </w:t>
      </w:r>
      <w:r>
        <w:rPr>
          <w:rFonts w:ascii="Arial;sans-serif" w:hAnsi="Arial;sans-serif"/>
          <w:b w:val="false"/>
          <w:color w:val="000000"/>
          <w:sz w:val="20"/>
          <w:shd w:fill="FFFFFF" w:val="clear"/>
        </w:rPr>
        <w:t xml:space="preserve">of $0.17 per share of common stock for the fourth quarter of 2021 and each of the first three quarters of 2022. On November 2, 2022, our Board of Directors </w:t>
      </w:r>
      <w:r>
        <w:rPr>
          <w:rFonts w:ascii="Arial;sans-serif" w:hAnsi="Arial;sans-serif"/>
          <w:b w:val="false"/>
          <w:color w:val="000000"/>
          <w:sz w:val="20"/>
        </w:rPr>
        <w:t>approved an increase in our dividend policy to an expected total annual dividend of</w:t>
      </w:r>
      <w:r>
        <w:rPr>
          <w:color w:val="000000"/>
          <w:shd w:fill="FFFFFF" w:val="clear"/>
        </w:rPr>
        <w:t xml:space="preserve"> </w:t>
      </w:r>
      <w:r>
        <w:rPr>
          <w:rFonts w:ascii="Arial;sans-serif" w:hAnsi="Arial;sans-serif"/>
          <w:b w:val="false"/>
          <w:color w:val="000000"/>
          <w:sz w:val="20"/>
          <w:shd w:fill="FFFFFF" w:val="clear"/>
        </w:rPr>
        <w:t>$1.13 per share. On November 1, 2023, our Board of Directors increased our dividend policy to an expected total annual dividend of $1.24 per share. Cash dividends paid</w:t>
      </w:r>
      <w:r>
        <w:rPr>
          <w:color w:val="000000"/>
        </w:rPr>
        <w:t xml:space="preserve"> </w:t>
      </w:r>
      <w:r>
        <w:rPr>
          <w:rFonts w:ascii="Arial;sans-serif" w:hAnsi="Arial;sans-serif"/>
          <w:b w:val="false"/>
          <w:color w:val="000000"/>
          <w:sz w:val="20"/>
        </w:rPr>
        <w:t xml:space="preserve">for each period is presented in the table below (excluding amounts accrued on share-based compensation awards). </w:t>
      </w:r>
    </w:p>
    <w:p>
      <w:pPr>
        <w:pStyle w:val="TextBody"/>
        <w:bidi w:val="0"/>
        <w:spacing w:before="0" w:after="0"/>
        <w:ind w:left="0" w:right="0" w:firstLine="360"/>
        <w:jc w:val="left"/>
        <w:rPr/>
      </w:pPr>
      <w:r>
        <w:rPr/>
      </w:r>
    </w:p>
    <w:tbl>
      <w:tblPr>
        <w:tblW w:w="6896" w:type="dxa"/>
        <w:jc w:val="left"/>
        <w:tblInd w:w="0" w:type="dxa"/>
        <w:tblLayout w:type="fixed"/>
        <w:tblCellMar>
          <w:top w:w="28" w:type="dxa"/>
          <w:left w:w="28" w:type="dxa"/>
          <w:bottom w:w="28" w:type="dxa"/>
          <w:right w:w="28" w:type="dxa"/>
        </w:tblCellMar>
      </w:tblPr>
      <w:tblGrid>
        <w:gridCol w:w="1037"/>
        <w:gridCol w:w="911"/>
        <w:gridCol w:w="917"/>
        <w:gridCol w:w="383"/>
        <w:gridCol w:w="874"/>
        <w:gridCol w:w="198"/>
        <w:gridCol w:w="109"/>
        <w:gridCol w:w="109"/>
        <w:gridCol w:w="109"/>
        <w:gridCol w:w="425"/>
        <w:gridCol w:w="1514"/>
        <w:gridCol w:w="310"/>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Total 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Annual Rate Per Share</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2021</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ended December 31, 2022</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0.7925 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Year ended December 31, 2023</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Noncontrolling Interests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BSP JV</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development joint venture with Benefit Street Partners (BSP JV) contemplated that BSP contributed funds to the development of our oil and natural gas properties in exchange for preferred interests in the BSP JV. In September 2021, BSP's preferred interest was automatically redeemed in full under the terms of the joint venture agreement. Prior to the redemption, we made aggregate distributions to BSP of $50 million in 2021 which reduced noncontrolling interest on our consolidated balance sheet and was reported as a financing cash outflow on our consolidated statement of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BSP's preferred interest was reported in equity on our consolidated balance sheets and BSP’s share of net income (loss) was reported in net income attributable to noncontrolling interests in our consolidated statements of operations for all periods prior to redemption. Upon redemption, we reallocated the remaining balance of $7 million in noncontrolling interest and increased our additional paid-in capital by the same amount.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Warrants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December 31, 2023, we had outstanding warrants exercisable into 4,182,521 shares of our common stock.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These warrants are exercisable at an exercise price of $36 per share until October 2024. The Warrant Agreement contains customary anti-dilution adjustments in the event of any stock split, reverse stock split, stock dividend, equity awards under our Management Incentive Plan or other distributions. The warrant holder may elect, in its sole discretion, to pay cash or to exercise on a cashless basis, pursuant to which the holder will not be required to pay cash for shares of common stock upon exercise of the warrant but will instead receive fewer shares.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0520"/>
                <wp:effectExtent l="0" t="0" r="0" b="0"/>
                <wp:wrapNone/>
                <wp:docPr id="115" name="Frame1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Accumulated Other Comprehensive Income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Accumulated other comprehensive income consists of after-tax amounts for our pension and postretirement benefit plans. See </w:t>
      </w:r>
      <w:r>
        <w:rPr>
          <w:rFonts w:ascii="Arial;sans-serif" w:hAnsi="Arial;sans-serif"/>
          <w:b w:val="false"/>
          <w:i/>
          <w:color w:val="000000"/>
          <w:sz w:val="20"/>
        </w:rPr>
        <w:t>Note 13 Pension and Postretirement Benefit Plans</w:t>
      </w:r>
      <w:r>
        <w:rPr>
          <w:color w:val="000000"/>
        </w:rPr>
        <w:t xml:space="preserve"> </w:t>
      </w:r>
      <w:r>
        <w:rPr>
          <w:rFonts w:ascii="Arial;sans-serif" w:hAnsi="Arial;sans-serif"/>
          <w:b w:val="false"/>
          <w:color w:val="000000"/>
          <w:sz w:val="20"/>
        </w:rPr>
        <w:t xml:space="preserve">for further information. </w:t>
      </w:r>
    </w:p>
    <w:p>
      <w:pPr>
        <w:pStyle w:val="TextBody"/>
        <w:bidi w:val="0"/>
        <w:spacing w:before="0" w:after="0"/>
        <w:ind w:left="0" w:right="0" w:firstLine="360"/>
        <w:jc w:val="left"/>
        <w:rPr/>
      </w:pPr>
      <w:r>
        <w:rPr/>
      </w:r>
    </w:p>
    <w:tbl>
      <w:tblPr>
        <w:tblW w:w="9086" w:type="dxa"/>
        <w:jc w:val="left"/>
        <w:tblInd w:w="0" w:type="dxa"/>
        <w:tblLayout w:type="fixed"/>
        <w:tblCellMar>
          <w:top w:w="28" w:type="dxa"/>
          <w:left w:w="28" w:type="dxa"/>
          <w:bottom w:w="28" w:type="dxa"/>
          <w:right w:w="28" w:type="dxa"/>
        </w:tblCellMar>
      </w:tblPr>
      <w:tblGrid>
        <w:gridCol w:w="2282"/>
        <w:gridCol w:w="2006"/>
        <w:gridCol w:w="2011"/>
        <w:gridCol w:w="211"/>
        <w:gridCol w:w="376"/>
        <w:gridCol w:w="109"/>
        <w:gridCol w:w="109"/>
        <w:gridCol w:w="109"/>
        <w:gridCol w:w="109"/>
        <w:gridCol w:w="211"/>
        <w:gridCol w:w="376"/>
        <w:gridCol w:w="109"/>
        <w:gridCol w:w="109"/>
        <w:gridCol w:w="109"/>
        <w:gridCol w:w="109"/>
        <w:gridCol w:w="211"/>
        <w:gridCol w:w="376"/>
        <w:gridCol w:w="154"/>
      </w:tblGrid>
      <w:tr>
        <w:trPr/>
        <w:tc>
          <w:tcPr>
            <w:tcW w:w="2282"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Beginning accumulated other comprehensive income (loss)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Actuarial (loss) gain associated with pension and postretirement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Prior service credit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Recognition of prior service credit due to curtailment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prior service credit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(loss) income</w:t>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recorded in accumulated other comprehensive income, before tax</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recorded in accumulated other comprehensive loss,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EARNINGS PER SHARE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Basic and diluted earnings per share (EPS) were calculated using the treasury stock method. Our restricted and performance stock unit awards, as described in </w:t>
      </w:r>
      <w:r>
        <w:rPr>
          <w:rFonts w:ascii="Arial;sans-serif" w:hAnsi="Arial;sans-serif"/>
          <w:b w:val="false"/>
          <w:i/>
          <w:color w:val="000000"/>
          <w:sz w:val="20"/>
        </w:rPr>
        <w:t>Note 9 Stock-Based Compensation</w:t>
      </w:r>
      <w:r>
        <w:rPr>
          <w:rFonts w:ascii="Arial;sans-serif" w:hAnsi="Arial;sans-serif"/>
          <w:b w:val="false"/>
          <w:color w:val="000000"/>
          <w:sz w:val="20"/>
        </w:rPr>
        <w:t xml:space="preserve">, are not considered participating securities since the dividend rights on unvested shares are forfeitable.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basic EPS, the weighted-average number of common shares outstanding excludes underlying shares related to equity-settled awards and warrants. For diluted EPS, the basic shares outstanding are adjusted by adding potential common shares, if dilutive. Under the treasury stock method, we assume that proceeds from the exercise of options, warrants and similar instruments are used to purchase common stock at average market price of our stock each period. For PSUs, we use the 60-trading day volume weighted-average prices of our common stock to determine the percentage earned for each period and the number of potential common shares included in diluted EPS. An insignificant number of potential common shares were not earned, and therefore were not treated as issued in our diluted EPS calculation for the year ended December 31, 2023.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116" name="Frame1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EPS.</w:t>
      </w:r>
    </w:p>
    <w:tbl>
      <w:tblPr>
        <w:tblW w:w="7826" w:type="dxa"/>
        <w:jc w:val="left"/>
        <w:tblInd w:w="0" w:type="dxa"/>
        <w:tblLayout w:type="fixed"/>
        <w:tblCellMar>
          <w:top w:w="28" w:type="dxa"/>
          <w:left w:w="28" w:type="dxa"/>
          <w:bottom w:w="28" w:type="dxa"/>
          <w:right w:w="28" w:type="dxa"/>
        </w:tblCellMar>
      </w:tblPr>
      <w:tblGrid>
        <w:gridCol w:w="1677"/>
        <w:gridCol w:w="1476"/>
        <w:gridCol w:w="1481"/>
        <w:gridCol w:w="211"/>
        <w:gridCol w:w="511"/>
        <w:gridCol w:w="109"/>
        <w:gridCol w:w="109"/>
        <w:gridCol w:w="109"/>
        <w:gridCol w:w="109"/>
        <w:gridCol w:w="211"/>
        <w:gridCol w:w="511"/>
        <w:gridCol w:w="109"/>
        <w:gridCol w:w="109"/>
        <w:gridCol w:w="109"/>
        <w:gridCol w:w="109"/>
        <w:gridCol w:w="211"/>
        <w:gridCol w:w="511"/>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millions, except per share amounts)</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Numerator for Basic and Diluted EPS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available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 for Basic EPS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Potential dilutive common shares: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Stock Units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 for Diluted Earnings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 diluted</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EPS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There were no potentially dilutive common shares for warrants in 2021 since the average market prices of our common stock at that time was below the warrant exercise price. See </w:t>
      </w:r>
      <w:r>
        <w:rPr>
          <w:rFonts w:ascii="Arial;sans-serif" w:hAnsi="Arial;sans-serif"/>
          <w:b w:val="false"/>
          <w:i/>
          <w:color w:val="000000"/>
          <w:sz w:val="20"/>
        </w:rPr>
        <w:t>Note 10 Stockholders' Equity</w:t>
      </w:r>
      <w:r>
        <w:rPr>
          <w:color w:val="000000"/>
        </w:rPr>
        <w:t xml:space="preserve"> </w:t>
      </w:r>
      <w:r>
        <w:rPr>
          <w:rFonts w:ascii="Arial;sans-serif" w:hAnsi="Arial;sans-serif"/>
          <w:b w:val="false"/>
          <w:color w:val="000000"/>
          <w:sz w:val="20"/>
        </w:rPr>
        <w:t xml:space="preserve">for a description of our warrants.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12    LEASES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operating leases primarily for carbon sequestration easements, drilling rigs, vehicles and commercial office space. We have recorded the following amounts on our balance sheet as of December 31, 2023 and 2022:</w:t>
      </w:r>
    </w:p>
    <w:tbl>
      <w:tblPr>
        <w:tblW w:w="6170" w:type="dxa"/>
        <w:jc w:val="center"/>
        <w:tblInd w:w="0" w:type="dxa"/>
        <w:tblLayout w:type="fixed"/>
        <w:tblCellMar>
          <w:top w:w="28" w:type="dxa"/>
          <w:left w:w="28" w:type="dxa"/>
          <w:bottom w:w="28" w:type="dxa"/>
          <w:right w:w="28" w:type="dxa"/>
        </w:tblCellMar>
      </w:tblPr>
      <w:tblGrid>
        <w:gridCol w:w="657"/>
        <w:gridCol w:w="578"/>
        <w:gridCol w:w="580"/>
        <w:gridCol w:w="754"/>
        <w:gridCol w:w="754"/>
        <w:gridCol w:w="756"/>
        <w:gridCol w:w="109"/>
        <w:gridCol w:w="109"/>
        <w:gridCol w:w="109"/>
        <w:gridCol w:w="211"/>
        <w:gridCol w:w="376"/>
        <w:gridCol w:w="109"/>
        <w:gridCol w:w="109"/>
        <w:gridCol w:w="109"/>
        <w:gridCol w:w="109"/>
        <w:gridCol w:w="211"/>
        <w:gridCol w:w="37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68" w:type="dxa"/>
            <w:gridSpan w:val="6"/>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liabilities</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liabilities</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determine if our arrangements contain a lease at inception.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combine lease and nonlease components in determining fixed minimum lease payments for our drilling rigs and commercial office space. If applicable, fixed minimum lease payments are reduced by lease incentives for our commercial office space and increased by mobilization and demobilization fees for our drilling rigs. Certain of our lease agreements include options to extend or terminate the lease, which we may exercise at our sole discretion. For our existing leases, we did not include these options in determining our fixed minimum lease payments over the lease term. Our leases do not include options to purchase the leased property. Lease agreements for our fleet vehicles include residual value guarantees, none of which are recognized in our financial statements until the underlying contingency is resolved.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Variable lease costs for our drilling rigs include costs to operate, move and repair the rigs. Variable lease costs for commercial office space includes utilities and common area maintenance charges. Variable lease costs for our fleet vehicles include other-than-routine maintenance and other various amounts in excess of our fixed minimum rental fee.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0520"/>
                <wp:effectExtent l="0" t="0" r="0" b="0"/>
                <wp:wrapNone/>
                <wp:docPr id="117" name="Frame1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lease costs, including amounts capitalized to PP&amp;E, shown in the table below are before joint-interest recoveries. Lease payments are reduced by joint interest recoveries on our consolidated statement of operations through our joint-interest billing process.</w:t>
      </w:r>
    </w:p>
    <w:tbl>
      <w:tblPr>
        <w:tblW w:w="7795" w:type="dxa"/>
        <w:jc w:val="left"/>
        <w:tblInd w:w="0" w:type="dxa"/>
        <w:tblLayout w:type="fixed"/>
        <w:tblCellMar>
          <w:top w:w="28" w:type="dxa"/>
          <w:left w:w="28" w:type="dxa"/>
          <w:bottom w:w="28" w:type="dxa"/>
          <w:right w:w="28" w:type="dxa"/>
        </w:tblCellMar>
      </w:tblPr>
      <w:tblGrid>
        <w:gridCol w:w="896"/>
        <w:gridCol w:w="788"/>
        <w:gridCol w:w="791"/>
        <w:gridCol w:w="750"/>
        <w:gridCol w:w="1335"/>
        <w:gridCol w:w="389"/>
        <w:gridCol w:w="109"/>
        <w:gridCol w:w="109"/>
        <w:gridCol w:w="109"/>
        <w:gridCol w:w="715"/>
        <w:gridCol w:w="1277"/>
        <w:gridCol w:w="527"/>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2846" w:type="dxa"/>
            <w:gridSpan w:val="6"/>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costs</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Short-term lease costs</w:t>
            </w:r>
            <w:r>
              <w:rPr>
                <w:rFonts w:ascii="Arial;sans-serif" w:hAnsi="Arial;sans-serif"/>
                <w:b w:val="false"/>
                <w:color w:val="000000"/>
                <w:sz w:val="13"/>
              </w:rPr>
              <w:t>(a)</w:t>
            </w:r>
          </w:p>
        </w:tc>
        <w:tc>
          <w:tcPr>
            <w:tcW w:w="2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costs</w:t>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lease costs</w:t>
            </w:r>
          </w:p>
        </w:tc>
        <w:tc>
          <w:tcPr>
            <w:tcW w:w="2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Sublease income</w:t>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costs</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(a)Contracts with terms of less than one month or less are excluded from our disclosure of short-term lease costs.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had two contracts treated as finance leases, where the terms ended in 2022. These leases were not material to our consolidated results of operations for the periods presented.</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sublease certain commercial office space to third parties where we are the primary obligor under the head lease. The lease terms on those subleases never extend past the term of the head lease and the subleases contain no extension options or residual value guarantees. Sublease income is recognized based on the contract terms and included as a reduction of operating lease cost under our head lease. </w:t>
      </w:r>
    </w:p>
    <w:p>
      <w:pPr>
        <w:pStyle w:val="TextBody"/>
        <w:bidi w:val="0"/>
        <w:spacing w:before="0" w:after="0"/>
        <w:ind w:left="0" w:right="0" w:firstLine="360"/>
        <w:jc w:val="left"/>
        <w:rPr/>
      </w:pPr>
      <w:r>
        <w:rPr/>
      </w:r>
    </w:p>
    <w:p>
      <w:pPr>
        <w:pStyle w:val="TextBody"/>
        <w:bidi w:val="0"/>
        <w:spacing w:lineRule="auto" w:line="288" w:before="0" w:after="160"/>
        <w:ind w:left="0" w:right="0" w:firstLine="360"/>
        <w:jc w:val="left"/>
        <w:rPr>
          <w:rFonts w:ascii="Arial;sans-serif" w:hAnsi="Arial;sans-serif"/>
          <w:b w:val="false"/>
          <w:color w:val="000000"/>
          <w:sz w:val="20"/>
        </w:rPr>
      </w:pPr>
      <w:r>
        <w:rPr>
          <w:rFonts w:ascii="Arial;sans-serif" w:hAnsi="Arial;sans-serif"/>
          <w:b w:val="false"/>
          <w:color w:val="000000"/>
          <w:sz w:val="20"/>
        </w:rPr>
        <w:t>Other supplemental information related to our operating leases as of December 31, 2023 and 2022 is provided below:</w:t>
      </w:r>
    </w:p>
    <w:tbl>
      <w:tblPr>
        <w:tblW w:w="10205" w:type="dxa"/>
        <w:jc w:val="left"/>
        <w:tblInd w:w="0" w:type="dxa"/>
        <w:tblLayout w:type="fixed"/>
        <w:tblCellMar>
          <w:top w:w="28" w:type="dxa"/>
          <w:left w:w="28" w:type="dxa"/>
          <w:bottom w:w="28" w:type="dxa"/>
          <w:right w:w="28" w:type="dxa"/>
        </w:tblCellMar>
      </w:tblPr>
      <w:tblGrid>
        <w:gridCol w:w="1929"/>
        <w:gridCol w:w="1672"/>
        <w:gridCol w:w="1684"/>
        <w:gridCol w:w="689"/>
        <w:gridCol w:w="1226"/>
        <w:gridCol w:w="357"/>
        <w:gridCol w:w="109"/>
        <w:gridCol w:w="109"/>
        <w:gridCol w:w="109"/>
        <w:gridCol w:w="658"/>
        <w:gridCol w:w="1175"/>
        <w:gridCol w:w="488"/>
      </w:tblGrid>
      <w:tr>
        <w:trPr/>
        <w:tc>
          <w:tcPr>
            <w:tcW w:w="192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5285"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2648" w:type="dxa"/>
            <w:gridSpan w:val="6"/>
            <w:tcBorders/>
          </w:tcPr>
          <w:p>
            <w:pPr>
              <w:pStyle w:val="TableContents"/>
              <w:bidi w:val="0"/>
              <w:spacing w:before="0" w:after="283"/>
              <w:jc w:val="left"/>
              <w:rPr>
                <w:sz w:val="4"/>
                <w:szCs w:val="4"/>
              </w:rPr>
            </w:pPr>
            <w:r>
              <w:rPr>
                <w:sz w:val="4"/>
                <w:szCs w:val="4"/>
              </w:rPr>
            </w:r>
          </w:p>
        </w:tc>
      </w:tr>
      <w:tr>
        <w:trPr/>
        <w:tc>
          <w:tcPr>
            <w:tcW w:w="5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lease liabilities</w:t>
            </w:r>
          </w:p>
        </w:tc>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 associated with operating activities</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 associated with investing activities</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r>
      <w:tr>
        <w:trPr/>
        <w:tc>
          <w:tcPr>
            <w:tcW w:w="5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 assets obtained in exchange for new operating lease liabilities</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r>
      <w:tr>
        <w:trPr/>
        <w:tc>
          <w:tcPr>
            <w:tcW w:w="5285"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0520"/>
                <wp:effectExtent l="0" t="0" r="0" b="0"/>
                <wp:wrapNone/>
                <wp:docPr id="118" name="Frame1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center"/>
        <w:rPr/>
      </w:pPr>
      <w:r>
        <w:rPr/>
      </w:r>
    </w:p>
    <w:tbl>
      <w:tblPr>
        <w:tblW w:w="6269" w:type="dxa"/>
        <w:jc w:val="center"/>
        <w:tblInd w:w="0" w:type="dxa"/>
        <w:tblLayout w:type="fixed"/>
        <w:tblCellMar>
          <w:top w:w="28" w:type="dxa"/>
          <w:left w:w="28" w:type="dxa"/>
          <w:bottom w:w="28" w:type="dxa"/>
          <w:right w:w="28" w:type="dxa"/>
        </w:tblCellMar>
      </w:tblPr>
      <w:tblGrid>
        <w:gridCol w:w="1602"/>
        <w:gridCol w:w="1409"/>
        <w:gridCol w:w="1414"/>
        <w:gridCol w:w="218"/>
        <w:gridCol w:w="218"/>
        <w:gridCol w:w="300"/>
        <w:gridCol w:w="109"/>
        <w:gridCol w:w="109"/>
        <w:gridCol w:w="109"/>
        <w:gridCol w:w="218"/>
        <w:gridCol w:w="218"/>
        <w:gridCol w:w="345"/>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108" w:type="dxa"/>
            <w:gridSpan w:val="6"/>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Leases</w:t>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remaining lease term (in years)</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discount rate</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operating lease payments are as follows:</w:t>
      </w:r>
    </w:p>
    <w:tbl>
      <w:tblPr>
        <w:tblW w:w="4988" w:type="dxa"/>
        <w:jc w:val="left"/>
        <w:tblInd w:w="0" w:type="dxa"/>
        <w:tblLayout w:type="fixed"/>
        <w:tblCellMar>
          <w:top w:w="28" w:type="dxa"/>
          <w:left w:w="28" w:type="dxa"/>
          <w:bottom w:w="28" w:type="dxa"/>
          <w:right w:w="28" w:type="dxa"/>
        </w:tblCellMar>
      </w:tblPr>
      <w:tblGrid>
        <w:gridCol w:w="1041"/>
        <w:gridCol w:w="913"/>
        <w:gridCol w:w="926"/>
        <w:gridCol w:w="559"/>
        <w:gridCol w:w="996"/>
        <w:gridCol w:w="290"/>
        <w:gridCol w:w="109"/>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As of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Interest</w:t>
            </w:r>
          </w:p>
        </w:tc>
        <w:tc>
          <w:tcPr>
            <w:tcW w:w="1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13    PENSION AND POSTRETIREMENT BENEFIT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various qualified and non-qualified benefit plans for our salaried and union and nonunion hourly employees.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Defined Contribution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All of our employees are eligible to participate in our tax-qualified, defined contribution retirement plan that provides for periodic cash contributions by us based on annual cash compensation and employee deferrals.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Certain salaried employees participate in supplemental plans that restore benefits lost due to government limitations on qualified plans. We recognized $24 million in other long-term liabilities for each of the years ended December 31, 2023 and 2022 related to these supplemental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expensed $19 million in 2023, $18 million in 2022, $19 million in 2021 under the provisions of these defined contribution and supplemental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Defined Benefit Plans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Participation in defined benefit pension plans sponsored by us is limited. During 2023, approximately 60 employees accrued benefits under these plans, all of whom were union employees.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Pension costs for the defined benefit pension plans, determined by independent actuarial valuations, are funded by us through payments to trust funds, which are administered by independent trustees.</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Postretirement Benefit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provide postretirement medical and dental benefits for our eligible former employees and their dependents. Our former employees are required to make monthly contributions for the coverage, but the benefits are primarily funded by us as claims are paid during the year.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19" name="Frame1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2021, we adopted a postretirement benefit design change, which terminated the employer cost sharing for post age 65 retiree health benefits effective as of January 1, 2022. Our retiree health care benefits provided up to age 65 to current and future retirees who meet certain eligibility requirements were not affected by this change. As a result of this change, our postretirement medical benefit obligation was remeasured as of September 30, 2021. The remeasurement resulted in a decrease to the benefit obligation of $65 million with a corresponding increase to accumulated other comprehensive income. The benefit from the change in plan design is recognized in our statements of operations over the average remaining years of future service for active employees as a component of other non-operating expenses, net. In 2023, we reduced our workforce and accelerated $3 million of the unrecognized prior service cost credit in the third quarter of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Obligations and Funded Status of our Defined Benefit Plans</w:t>
      </w:r>
    </w:p>
    <w:p>
      <w:pPr>
        <w:pStyle w:val="TextBody"/>
        <w:bidi w:val="0"/>
        <w:spacing w:before="0" w:after="6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shows the amounts recognized on our balance sheets related to pension and postretirement benefit plans, as well as plans that we or our subsidiaries sponsor (in millions):</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634"/>
        <w:gridCol w:w="1403"/>
        <w:gridCol w:w="1411"/>
        <w:gridCol w:w="310"/>
        <w:gridCol w:w="399"/>
        <w:gridCol w:w="162"/>
        <w:gridCol w:w="115"/>
        <w:gridCol w:w="115"/>
        <w:gridCol w:w="115"/>
        <w:gridCol w:w="427"/>
        <w:gridCol w:w="822"/>
        <w:gridCol w:w="222"/>
        <w:gridCol w:w="109"/>
        <w:gridCol w:w="109"/>
        <w:gridCol w:w="109"/>
        <w:gridCol w:w="310"/>
        <w:gridCol w:w="399"/>
        <w:gridCol w:w="162"/>
        <w:gridCol w:w="118"/>
        <w:gridCol w:w="118"/>
        <w:gridCol w:w="118"/>
        <w:gridCol w:w="414"/>
        <w:gridCol w:w="798"/>
        <w:gridCol w:w="306"/>
      </w:tblGrid>
      <w:tr>
        <w:trPr/>
        <w:tc>
          <w:tcPr>
            <w:tcW w:w="163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448"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4886" w:type="dxa"/>
            <w:gridSpan w:val="18"/>
            <w:tcBorders/>
          </w:tcPr>
          <w:p>
            <w:pPr>
              <w:pStyle w:val="TableContents"/>
              <w:bidi w:val="0"/>
              <w:spacing w:before="0" w:after="283"/>
              <w:jc w:val="left"/>
              <w:rPr>
                <w:sz w:val="4"/>
                <w:szCs w:val="4"/>
              </w:rPr>
            </w:pPr>
            <w:r>
              <w:rPr>
                <w:sz w:val="4"/>
                <w:szCs w:val="4"/>
              </w:rPr>
            </w:r>
          </w:p>
        </w:tc>
      </w:tr>
      <w:tr>
        <w:trPr/>
        <w:tc>
          <w:tcPr>
            <w:tcW w:w="4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2022</w:t>
            </w:r>
          </w:p>
        </w:tc>
      </w:tr>
      <w:tr>
        <w:trPr/>
        <w:tc>
          <w:tcPr>
            <w:tcW w:w="4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r>
          </w:p>
        </w:tc>
      </w:tr>
      <w:tr>
        <w:trPr/>
        <w:tc>
          <w:tcPr>
            <w:tcW w:w="4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recognized on the balance sheet</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Accumulated other comprehensive income, net of tax</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0520"/>
                <wp:effectExtent l="0" t="0" r="0" b="0"/>
                <wp:wrapNone/>
                <wp:docPr id="120" name="Frame1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shows the funding status of our pension and post-retirement benefit plans along with a reconciliation of our benefit obligations and changes in fair value of plan assets (in millions):</w:t>
      </w:r>
    </w:p>
    <w:p>
      <w:pPr>
        <w:pStyle w:val="TextBody"/>
        <w:bidi w:val="0"/>
        <w:spacing w:before="0" w:after="0"/>
        <w:ind w:left="0" w:right="0" w:firstLine="360"/>
        <w:jc w:val="left"/>
        <w:rPr/>
      </w:pPr>
      <w:r>
        <w:rPr/>
      </w:r>
    </w:p>
    <w:tbl>
      <w:tblPr>
        <w:tblW w:w="9565" w:type="dxa"/>
        <w:jc w:val="left"/>
        <w:tblInd w:w="0" w:type="dxa"/>
        <w:tblLayout w:type="fixed"/>
        <w:tblCellMar>
          <w:top w:w="28" w:type="dxa"/>
          <w:left w:w="28" w:type="dxa"/>
          <w:bottom w:w="28" w:type="dxa"/>
          <w:right w:w="28" w:type="dxa"/>
        </w:tblCellMar>
      </w:tblPr>
      <w:tblGrid>
        <w:gridCol w:w="1534"/>
        <w:gridCol w:w="1351"/>
        <w:gridCol w:w="1360"/>
        <w:gridCol w:w="719"/>
        <w:gridCol w:w="1383"/>
        <w:gridCol w:w="372"/>
        <w:gridCol w:w="109"/>
        <w:gridCol w:w="109"/>
        <w:gridCol w:w="109"/>
        <w:gridCol w:w="715"/>
        <w:gridCol w:w="1277"/>
        <w:gridCol w:w="527"/>
      </w:tblGrid>
      <w:tr>
        <w:trPr/>
        <w:tc>
          <w:tcPr>
            <w:tcW w:w="153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2846" w:type="dxa"/>
            <w:gridSpan w:val="6"/>
            <w:tcBorders/>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Year ended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2022</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Pension</w:t>
            </w:r>
          </w:p>
        </w:tc>
        <w:tc>
          <w:tcPr>
            <w:tcW w:w="2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Changes in the benefit obligation</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Benefit obligation—beginning of year</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 cost—benefits earned during the period</w:t>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cost on projected benefit obligation</w:t>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Actuarial loss (gain)</w:t>
            </w:r>
            <w:r>
              <w:rPr>
                <w:rFonts w:ascii="Arial;sans-serif" w:hAnsi="Arial;sans-serif"/>
                <w:b w:val="false"/>
                <w:color w:val="000000"/>
                <w:sz w:val="12"/>
              </w:rPr>
              <w:t>(a)</w:t>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Benefits paid</w:t>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Benefit obligation—end of year</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Changes in plan assets</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 value of plan assets—beginning of year</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Actual return on plan assets</w:t>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Employer contributions</w:t>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Benefits paid</w:t>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 value of plan assets—end of year</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benefit asset (liability)</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Postretirement</w:t>
            </w:r>
          </w:p>
        </w:tc>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Changes in the benefit obligation</w:t>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Benefit obligation—beginning of year</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Service cost—benefits earned during the period</w:t>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cost on projected benefit obligation</w:t>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Actuarial gain</w:t>
            </w:r>
            <w:r>
              <w:rPr>
                <w:rFonts w:ascii="Arial;sans-serif" w:hAnsi="Arial;sans-serif"/>
                <w:b w:val="false"/>
                <w:color w:val="000000"/>
                <w:sz w:val="12"/>
              </w:rPr>
              <w:t>(b)</w:t>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Benefits paid</w:t>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Benefit obligation—end of year</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Changes in plan assets</w:t>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 value of plan assets—beginning of year</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Employer contributions</w:t>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Benefits paid</w:t>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 value of plan assets—end of year</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benefit liability</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(a)The loss reflected in the changes in the pension benefit obligation for the year ended December 31, 2023 was primarily due to the decrease in the discount rate from 5.19% to 4.98% and other valuation assumption changes.</w:t>
      </w:r>
    </w:p>
    <w:p>
      <w:pPr>
        <w:pStyle w:val="TextBody"/>
        <w:bidi w:val="0"/>
        <w:spacing w:lineRule="auto" w:line="288" w:before="40" w:after="283"/>
        <w:ind w:left="0" w:right="0" w:hanging="360"/>
        <w:jc w:val="left"/>
        <w:rPr>
          <w:rFonts w:ascii="Arial;sans-serif" w:hAnsi="Arial;sans-serif"/>
          <w:b w:val="false"/>
          <w:color w:val="000000"/>
          <w:sz w:val="16"/>
        </w:rPr>
      </w:pPr>
      <w:r>
        <w:rPr>
          <w:rFonts w:ascii="Arial;sans-serif" w:hAnsi="Arial;sans-serif"/>
          <w:b w:val="false"/>
          <w:color w:val="000000"/>
          <w:sz w:val="16"/>
        </w:rPr>
        <w:t>(b)The gain reflected in the changes in the postretirement benefit obligation for the year ended December 31, 2023 was primarily due to lower than expected benefit payments during 2023.</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0520"/>
                <wp:effectExtent l="0" t="0" r="0" b="0"/>
                <wp:wrapNone/>
                <wp:docPr id="121" name="Frame1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6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 the details of our obligations and assets related to our defined benefit pension plans for the years ended December 31:</w:t>
      </w:r>
    </w:p>
    <w:tbl>
      <w:tblPr>
        <w:tblW w:w="4554" w:type="dxa"/>
        <w:jc w:val="center"/>
        <w:tblInd w:w="0" w:type="dxa"/>
        <w:tblLayout w:type="fixed"/>
        <w:tblCellMar>
          <w:top w:w="28" w:type="dxa"/>
          <w:left w:w="28" w:type="dxa"/>
          <w:bottom w:w="28" w:type="dxa"/>
          <w:right w:w="28" w:type="dxa"/>
        </w:tblCellMar>
      </w:tblPr>
      <w:tblGrid>
        <w:gridCol w:w="1009"/>
        <w:gridCol w:w="885"/>
        <w:gridCol w:w="896"/>
        <w:gridCol w:w="211"/>
        <w:gridCol w:w="376"/>
        <w:gridCol w:w="109"/>
        <w:gridCol w:w="109"/>
        <w:gridCol w:w="109"/>
        <w:gridCol w:w="109"/>
        <w:gridCol w:w="211"/>
        <w:gridCol w:w="376"/>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68" w:type="dxa"/>
            <w:gridSpan w:val="6"/>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Projected benefit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plan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Components of Net Periodic Benefit Cost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record the service cost component of net periodic pension cost with other employee compensation and all other components, including settlement costs, are reported as other non-operating income (expenses), net on our consolidated statements of operations. The following table set forth the components of our net periodic pension and postretirement benefit costs (in millions):</w:t>
      </w:r>
    </w:p>
    <w:tbl>
      <w:tblPr>
        <w:tblW w:w="6912" w:type="dxa"/>
        <w:jc w:val="left"/>
        <w:tblInd w:w="0" w:type="dxa"/>
        <w:tblLayout w:type="fixed"/>
        <w:tblCellMar>
          <w:top w:w="28" w:type="dxa"/>
          <w:left w:w="28" w:type="dxa"/>
          <w:bottom w:w="28" w:type="dxa"/>
          <w:right w:w="28" w:type="dxa"/>
        </w:tblCellMar>
      </w:tblPr>
      <w:tblGrid>
        <w:gridCol w:w="1538"/>
        <w:gridCol w:w="1352"/>
        <w:gridCol w:w="1355"/>
        <w:gridCol w:w="211"/>
        <w:gridCol w:w="406"/>
        <w:gridCol w:w="109"/>
        <w:gridCol w:w="109"/>
        <w:gridCol w:w="109"/>
        <w:gridCol w:w="109"/>
        <w:gridCol w:w="211"/>
        <w:gridCol w:w="331"/>
        <w:gridCol w:w="109"/>
        <w:gridCol w:w="109"/>
        <w:gridCol w:w="109"/>
        <w:gridCol w:w="109"/>
        <w:gridCol w:w="211"/>
        <w:gridCol w:w="271"/>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Pension</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periodic benefit costs </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cost—benefits earned during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Postretirement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periodic benefit costs </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cost—benefits earned during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 on projected benefit obligation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credit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net actuarial gain/loss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Curtailment gain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left"/>
        <w:rPr>
          <w:rFonts w:ascii="Arial;sans-serif" w:hAnsi="Arial;sans-serif"/>
          <w:b w:val="false"/>
          <w:color w:val="000000"/>
          <w:sz w:val="20"/>
        </w:rPr>
      </w:pPr>
      <w:r>
        <w:rPr>
          <w:rFonts w:ascii="Arial;sans-serif" w:hAnsi="Arial;sans-serif"/>
          <w:b w:val="false"/>
          <w:color w:val="000000"/>
          <w:sz w:val="20"/>
        </w:rPr>
        <w:t>Components of accumulated other comprehensive income (loss) (AOCI) are presented net of tax. The following table presents the changes in plan assets and benefit obligations recognized in other comprehensive (loss) income attributable to common stock (in millions):</w:t>
      </w:r>
    </w:p>
    <w:tbl>
      <w:tblPr>
        <w:tblW w:w="7362" w:type="dxa"/>
        <w:jc w:val="left"/>
        <w:tblInd w:w="0" w:type="dxa"/>
        <w:tblLayout w:type="fixed"/>
        <w:tblCellMar>
          <w:top w:w="28" w:type="dxa"/>
          <w:left w:w="28" w:type="dxa"/>
          <w:bottom w:w="28" w:type="dxa"/>
          <w:right w:w="28" w:type="dxa"/>
        </w:tblCellMar>
      </w:tblPr>
      <w:tblGrid>
        <w:gridCol w:w="1712"/>
        <w:gridCol w:w="1503"/>
        <w:gridCol w:w="1510"/>
        <w:gridCol w:w="211"/>
        <w:gridCol w:w="331"/>
        <w:gridCol w:w="109"/>
        <w:gridCol w:w="109"/>
        <w:gridCol w:w="109"/>
        <w:gridCol w:w="109"/>
        <w:gridCol w:w="211"/>
        <w:gridCol w:w="271"/>
        <w:gridCol w:w="109"/>
        <w:gridCol w:w="109"/>
        <w:gridCol w:w="109"/>
        <w:gridCol w:w="109"/>
        <w:gridCol w:w="211"/>
        <w:gridCol w:w="37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Pension</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actuarial (loss) gain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Postretirement</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actuarial gain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Prior service credit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prior service credit due to curtailment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Amortization of prior service credit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net actuarial gain/loss</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0520"/>
                <wp:effectExtent l="0" t="0" r="0" b="0"/>
                <wp:wrapNone/>
                <wp:docPr id="122" name="Frame1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sets forth the valuation assumptions, on a weighted-average basis, used to determine our benefit obligations and net periodic benefit cost:</w:t>
      </w:r>
    </w:p>
    <w:tbl>
      <w:tblPr>
        <w:tblW w:w="8847" w:type="dxa"/>
        <w:jc w:val="left"/>
        <w:tblInd w:w="0" w:type="dxa"/>
        <w:tblLayout w:type="fixed"/>
        <w:tblCellMar>
          <w:top w:w="28" w:type="dxa"/>
          <w:left w:w="28" w:type="dxa"/>
          <w:bottom w:w="28" w:type="dxa"/>
          <w:right w:w="28" w:type="dxa"/>
        </w:tblCellMar>
      </w:tblPr>
      <w:tblGrid>
        <w:gridCol w:w="1275"/>
        <w:gridCol w:w="1121"/>
        <w:gridCol w:w="1129"/>
        <w:gridCol w:w="535"/>
        <w:gridCol w:w="535"/>
        <w:gridCol w:w="1405"/>
        <w:gridCol w:w="109"/>
        <w:gridCol w:w="109"/>
        <w:gridCol w:w="109"/>
        <w:gridCol w:w="499"/>
        <w:gridCol w:w="499"/>
        <w:gridCol w:w="1522"/>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2847" w:type="dxa"/>
            <w:gridSpan w:val="6"/>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Pension</w:t>
            </w:r>
          </w:p>
        </w:tc>
        <w:tc>
          <w:tcPr>
            <w:tcW w:w="2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Benefit Obligation Assumptions</w:t>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1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Rate of compensation increase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Periodic Benefit Cost Assumptions</w:t>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6.98 </w:t>
            </w:r>
          </w:p>
        </w:tc>
        <w:tc>
          <w:tcPr>
            <w:tcW w:w="1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Rate of compensation increase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Postretirement</w:t>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Benefit Obligation Assumptions</w:t>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4.99 </w:t>
            </w:r>
          </w:p>
        </w:tc>
        <w:tc>
          <w:tcPr>
            <w:tcW w:w="1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Periodic Benefit Cost Assumptions</w:t>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For pension plans and postretirement benefit plans that we or our subsidiaries sponsor, we based the discount rate on the FTSE Above Median yield curve in 2023 and in 2022. The weighted-average rate of increase in future compensation levels is consistent with our past and anticipated future compensation increases for employees participating in pension plans that determine benefits using compensation. The assumed return on assets is estimated with regard to current market factors but within the context of historical returns for the asset mix that exists at year end.</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and 2022, we used the Society of Actuaries Pri-2012 mortality assumptions reflecting the MP-2021 scale which plan sponsors in the U.S. use in the actuarial valuations that determine a plan sponsor’s pension and postretirement obligations.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postretirement benefit obligation was determined by application of the terms of medical and dental benefits, including the effect of established maximums on covered costs, together with relevant actuarial assumptions and healthcare cost trend rates projected at an assumed U.S. Consumer Price Index (CPI) increase of 2.38% and 2.52% as of December 31, 2023 and 2022, respectively. Under the terms of our postretirement plans, participants other than certain union employees pay for all medical cost increases in excess of increases in the CPI. For those union employees, we projected that, as of December 31, 2023, health care cost trend rates would be 6.75% in 2024 decreasing until they reach 4.50% in 2033 and remain at 4.50% thereafter. For those union employees, we projected that, as of December 31, 2022, health care cost trend rates would be 7.00% in 2023 decreasing until they reach 4.50% in 2033 and remain at 4.50% thereafter.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actuarial assumptions used could change in the near term as a result of changes in expected future trends and other factors that, depending on the nature of the changes, could cause increases or decreases in the plan assets and liabilities.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0520"/>
                <wp:effectExtent l="0" t="0" r="0" b="0"/>
                <wp:wrapNone/>
                <wp:docPr id="123"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Fair Value of Plan Assets</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employ a total return investment approach that uses a diversified blend of equity and fixed-income investments to</w:t>
      </w:r>
      <w:r>
        <w:rPr>
          <w:color w:val="000000"/>
        </w:rPr>
        <w:t xml:space="preserve"> </w:t>
      </w:r>
      <w:r>
        <w:rPr>
          <w:rFonts w:ascii="Arial;sans-serif" w:hAnsi="Arial;sans-serif"/>
          <w:b w:val="false"/>
          <w:color w:val="000000"/>
          <w:sz w:val="20"/>
        </w:rPr>
        <w:t xml:space="preserve">optimize the long-term return of plan assets at a prudent level of risk. Equity investments were diversified across U.S. and non-U.S. stocks, as well as differing styles and market capitalizations. Other asset classes, such as private equity and real estate, may have been used with the goals of enhancing long-term returns and improving portfolio diversification. In 2023 and 2022, the target allocation of plan assets was 50% and 50% equity securities and 50% and 50% debt securities, respectively. Investment performance was measured and monitored on an ongoing basis through quarterly investment portfolio and manager guideline compliance reviews, annual liability measurements and periodic studies. Our postretirement benefit plan assets of $1 million are invested in mutual funds (Level 1 on the fair value hierarchy) with target allocations of 40% equities and 60% debt securities.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fair values of our pension plan assets by asset category are as follows:</w:t>
      </w:r>
    </w:p>
    <w:tbl>
      <w:tblPr>
        <w:tblW w:w="6528" w:type="dxa"/>
        <w:jc w:val="center"/>
        <w:tblInd w:w="0" w:type="dxa"/>
        <w:tblLayout w:type="fixed"/>
        <w:tblCellMar>
          <w:top w:w="28" w:type="dxa"/>
          <w:left w:w="28" w:type="dxa"/>
          <w:bottom w:w="28" w:type="dxa"/>
          <w:right w:w="28" w:type="dxa"/>
        </w:tblCellMar>
      </w:tblPr>
      <w:tblGrid>
        <w:gridCol w:w="852"/>
        <w:gridCol w:w="749"/>
        <w:gridCol w:w="754"/>
        <w:gridCol w:w="222"/>
        <w:gridCol w:w="428"/>
        <w:gridCol w:w="115"/>
        <w:gridCol w:w="109"/>
        <w:gridCol w:w="109"/>
        <w:gridCol w:w="109"/>
        <w:gridCol w:w="232"/>
        <w:gridCol w:w="413"/>
        <w:gridCol w:w="119"/>
        <w:gridCol w:w="109"/>
        <w:gridCol w:w="109"/>
        <w:gridCol w:w="109"/>
        <w:gridCol w:w="222"/>
        <w:gridCol w:w="428"/>
        <w:gridCol w:w="115"/>
        <w:gridCol w:w="109"/>
        <w:gridCol w:w="109"/>
        <w:gridCol w:w="109"/>
        <w:gridCol w:w="211"/>
        <w:gridCol w:w="376"/>
        <w:gridCol w:w="311"/>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7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 Value Measurements at</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2023</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Class</w:t>
            </w:r>
          </w:p>
        </w:tc>
        <w:tc>
          <w:tcPr>
            <w:tcW w:w="41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Comingled funds</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Bonds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Commodities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equity</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International equity</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pension plan assets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71" w:type="dxa"/>
        <w:jc w:val="center"/>
        <w:tblInd w:w="0" w:type="dxa"/>
        <w:tblLayout w:type="fixed"/>
        <w:tblCellMar>
          <w:top w:w="28" w:type="dxa"/>
          <w:left w:w="28" w:type="dxa"/>
          <w:bottom w:w="28" w:type="dxa"/>
          <w:right w:w="28" w:type="dxa"/>
        </w:tblCellMar>
      </w:tblPr>
      <w:tblGrid>
        <w:gridCol w:w="849"/>
        <w:gridCol w:w="749"/>
        <w:gridCol w:w="757"/>
        <w:gridCol w:w="222"/>
        <w:gridCol w:w="428"/>
        <w:gridCol w:w="115"/>
        <w:gridCol w:w="109"/>
        <w:gridCol w:w="109"/>
        <w:gridCol w:w="109"/>
        <w:gridCol w:w="232"/>
        <w:gridCol w:w="413"/>
        <w:gridCol w:w="119"/>
        <w:gridCol w:w="109"/>
        <w:gridCol w:w="109"/>
        <w:gridCol w:w="109"/>
        <w:gridCol w:w="222"/>
        <w:gridCol w:w="428"/>
        <w:gridCol w:w="115"/>
        <w:gridCol w:w="109"/>
        <w:gridCol w:w="109"/>
        <w:gridCol w:w="109"/>
        <w:gridCol w:w="211"/>
        <w:gridCol w:w="376"/>
        <w:gridCol w:w="154"/>
      </w:tblGrid>
      <w:tr>
        <w:trPr/>
        <w:tc>
          <w:tcPr>
            <w:tcW w:w="8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 Value Measurements at</w:t>
            </w:r>
          </w:p>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2022</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Class</w:t>
            </w:r>
          </w:p>
        </w:tc>
        <w:tc>
          <w:tcPr>
            <w:tcW w:w="40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Commingled funds</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Bonds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Commodities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U.S. equity</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International equity</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pension plan assets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Expected Contributions and Benefit Payments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2024, we do not expect to contribute to our pension plans and expect to contribute $4 million to our postretirement benefit plan. Estimated future undiscounted benefit payments by the plans, which reflect expected future service, as appropriate, are as follows: </w:t>
      </w:r>
    </w:p>
    <w:tbl>
      <w:tblPr>
        <w:tblW w:w="5999" w:type="dxa"/>
        <w:jc w:val="left"/>
        <w:tblInd w:w="0" w:type="dxa"/>
        <w:tblLayout w:type="fixed"/>
        <w:tblCellMar>
          <w:top w:w="28" w:type="dxa"/>
          <w:left w:w="28" w:type="dxa"/>
          <w:bottom w:w="28" w:type="dxa"/>
          <w:right w:w="28" w:type="dxa"/>
        </w:tblCellMar>
      </w:tblPr>
      <w:tblGrid>
        <w:gridCol w:w="1189"/>
        <w:gridCol w:w="1047"/>
        <w:gridCol w:w="1049"/>
        <w:gridCol w:w="264"/>
        <w:gridCol w:w="470"/>
        <w:gridCol w:w="137"/>
        <w:gridCol w:w="109"/>
        <w:gridCol w:w="109"/>
        <w:gridCol w:w="109"/>
        <w:gridCol w:w="431"/>
        <w:gridCol w:w="769"/>
        <w:gridCol w:w="316"/>
      </w:tblGrid>
      <w:tr>
        <w:trPr/>
        <w:tc>
          <w:tcPr>
            <w:tcW w:w="118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Pension</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Postretirement</w:t>
              <w:br/>
              <w:t>Benefits</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years ended December 31,</w:t>
            </w:r>
          </w:p>
        </w:tc>
        <w:tc>
          <w:tcPr>
            <w:tcW w:w="27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2029 - 2033</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0520"/>
                <wp:effectExtent l="0" t="0" r="0" b="0"/>
                <wp:wrapNone/>
                <wp:docPr id="124" name="Frame1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14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Revenue from customers is recognized when obligations under the terms of a contract are satisfied.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Sales of our Produced Oil, Natural Gas and NGLs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Revenue from sales of our oil, natural gas and NGL production is recognized upon delivery (and transfer of control) of the commodity to the customer. In certain instances, transportation and processing fees are incurred by us prior to delivery to customers. We record these transportation and processing fees as transportation costs on our consolidated statements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contracts with customers are generally less than a year and based on index prices. We recognize revenue in the amount that we expect to receive once we are able to adequately estimate the consideration (i.e., when market prices are known). Our contracts with customers typically require payment within 30 days following the month of delivery. Disaggregated revenue for sales of oil, natural gas and natural gas liquids (NGLs) to customers includes the following: </w:t>
      </w:r>
    </w:p>
    <w:p>
      <w:pPr>
        <w:pStyle w:val="TextBody"/>
        <w:bidi w:val="0"/>
        <w:spacing w:before="0" w:after="0"/>
        <w:ind w:left="0" w:right="0" w:firstLine="360"/>
        <w:jc w:val="left"/>
        <w:rPr/>
      </w:pPr>
      <w:r>
        <w:rPr/>
      </w:r>
    </w:p>
    <w:tbl>
      <w:tblPr>
        <w:tblW w:w="6446" w:type="dxa"/>
        <w:jc w:val="left"/>
        <w:tblInd w:w="0" w:type="dxa"/>
        <w:tblLayout w:type="fixed"/>
        <w:tblCellMar>
          <w:top w:w="28" w:type="dxa"/>
          <w:left w:w="28" w:type="dxa"/>
          <w:bottom w:w="28" w:type="dxa"/>
          <w:right w:w="28" w:type="dxa"/>
        </w:tblCellMar>
      </w:tblPr>
      <w:tblGrid>
        <w:gridCol w:w="1033"/>
        <w:gridCol w:w="904"/>
        <w:gridCol w:w="912"/>
        <w:gridCol w:w="211"/>
        <w:gridCol w:w="646"/>
        <w:gridCol w:w="109"/>
        <w:gridCol w:w="109"/>
        <w:gridCol w:w="109"/>
        <w:gridCol w:w="109"/>
        <w:gridCol w:w="211"/>
        <w:gridCol w:w="646"/>
        <w:gridCol w:w="109"/>
        <w:gridCol w:w="109"/>
        <w:gridCol w:w="109"/>
        <w:gridCol w:w="109"/>
        <w:gridCol w:w="211"/>
        <w:gridCol w:w="64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Oil, natural gas and NGL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also process third-party wet gas at one of our gas processing facilities, which is sold to customers. We recognized $15 million, $14 million and $10 million included in other revenue on our consolidated statements of operations for the years ended December 31, 2023, 2022 and 2021, respectively.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Electricity Sales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electrical output of our Elk Hills power plant that is not used in our operations is primarily sold to the wholesale power market and a utility under a power purchase and sales agreement (PPA), which included a monthly capacity payment plus a variable payment based on the quantity of power purchased each month. The PPA terminated in December 2023. Revenue is recognized when obligations under the terms of a contract are satisfied; generally, this occurs upon delivery of the electricity. Revenue is measured as the amount of consideration we expect to receive based on the California Independent System Operator (CAISO) market pricing with payment due the month following delivery. Payments under our PPA are settled monthly. We recognize revenue using the output method and consider our performance obligations to be satisfied upon delivery of electricity or as the contracted amount of energy is made available to the customer in the case of capacity payments.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Marketing of Purchased Natural Gas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 transport our natural gas as well as third-party volumes, we have entered into firm pipeline commitments. In addition, we may from time-to-time enter into natural gas purchase and sale agreements with third parties to move natural gas to areas with higher demand. We report sales of purchased natural gas in total operating revenues and associated purchased natural gas expense related to our marketing activities in total operating expenses on our consolidated statements of operations. We consider our performance obligations to be satisfied upon transfer of control of the commodity.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5" name="Frame1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15    SUPPLEMENTAL ACCOUNT BALANCES AND CASH FLOW INFORMATION</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 Current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Other current assets, net consisted of the following:</w:t>
      </w:r>
    </w:p>
    <w:tbl>
      <w:tblPr>
        <w:tblW w:w="8171" w:type="dxa"/>
        <w:jc w:val="center"/>
        <w:tblInd w:w="0" w:type="dxa"/>
        <w:tblLayout w:type="fixed"/>
        <w:tblCellMar>
          <w:top w:w="28" w:type="dxa"/>
          <w:left w:w="28" w:type="dxa"/>
          <w:bottom w:w="28" w:type="dxa"/>
          <w:right w:w="28" w:type="dxa"/>
        </w:tblCellMar>
      </w:tblPr>
      <w:tblGrid>
        <w:gridCol w:w="1486"/>
        <w:gridCol w:w="1307"/>
        <w:gridCol w:w="1316"/>
        <w:gridCol w:w="484"/>
        <w:gridCol w:w="1108"/>
        <w:gridCol w:w="253"/>
        <w:gridCol w:w="109"/>
        <w:gridCol w:w="109"/>
        <w:gridCol w:w="109"/>
        <w:gridCol w:w="470"/>
        <w:gridCol w:w="1074"/>
        <w:gridCol w:w="346"/>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2217"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2022</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amounts due from joint interest partners</w:t>
            </w:r>
            <w:r>
              <w:rPr>
                <w:rFonts w:ascii="Arial;sans-serif" w:hAnsi="Arial;sans-serif"/>
                <w:b w:val="false"/>
                <w:color w:val="000000"/>
                <w:sz w:val="13"/>
              </w:rPr>
              <w:t>(a)</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Prepaid greenhouse gas allowances, net</w:t>
            </w:r>
            <w:r>
              <w:rPr>
                <w:rFonts w:ascii="Arial;sans-serif" w:hAnsi="Arial;sans-serif"/>
                <w:b w:val="false"/>
                <w:color w:val="000000"/>
                <w:sz w:val="13"/>
              </w:rPr>
              <w:t>(b)</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margin deposits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(a)Included in the net amounts due from joint interest partners are allowances of $3 million and $1 million for December 31, 2023 and 2022, respectively.</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(b)Greenhouse gas allowances are purchased to meet California's cap-and-trade obligations. Our obligations are determined based on reported greenhouse gas emissions. As of December 31, 2023, we were in a net prepaid position due to the timing of the allowance purchases.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 Noncurrent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Other noncurrent assets consisted of the following:</w:t>
      </w:r>
    </w:p>
    <w:p>
      <w:pPr>
        <w:pStyle w:val="TextBody"/>
        <w:bidi w:val="0"/>
        <w:spacing w:before="0" w:after="0"/>
        <w:jc w:val="left"/>
        <w:rPr/>
      </w:pPr>
      <w:r>
        <w:rPr/>
      </w:r>
    </w:p>
    <w:tbl>
      <w:tblPr>
        <w:tblW w:w="9672" w:type="dxa"/>
        <w:jc w:val="left"/>
        <w:tblInd w:w="0" w:type="dxa"/>
        <w:tblLayout w:type="fixed"/>
        <w:tblCellMar>
          <w:top w:w="28" w:type="dxa"/>
          <w:left w:w="28" w:type="dxa"/>
          <w:bottom w:w="28" w:type="dxa"/>
          <w:right w:w="28" w:type="dxa"/>
        </w:tblCellMar>
      </w:tblPr>
      <w:tblGrid>
        <w:gridCol w:w="2031"/>
        <w:gridCol w:w="1786"/>
        <w:gridCol w:w="1793"/>
        <w:gridCol w:w="484"/>
        <w:gridCol w:w="1108"/>
        <w:gridCol w:w="253"/>
        <w:gridCol w:w="109"/>
        <w:gridCol w:w="109"/>
        <w:gridCol w:w="109"/>
        <w:gridCol w:w="470"/>
        <w:gridCol w:w="1074"/>
        <w:gridCol w:w="346"/>
      </w:tblGrid>
      <w:tr>
        <w:trPr/>
        <w:tc>
          <w:tcPr>
            <w:tcW w:w="203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2217" w:type="dxa"/>
            <w:gridSpan w:val="6"/>
            <w:tcBorders/>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2022</w:t>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Right-of-use assets</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financing costs related to our Revolving Credit Facility</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Emission reduction credits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power plant maintenance</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derivative contracts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Deposits and other</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Accrued Liabilities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Accrued liabilities consisted of the following:</w:t>
      </w:r>
    </w:p>
    <w:tbl>
      <w:tblPr>
        <w:tblW w:w="9057" w:type="dxa"/>
        <w:jc w:val="center"/>
        <w:tblInd w:w="0" w:type="dxa"/>
        <w:tblLayout w:type="fixed"/>
        <w:tblCellMar>
          <w:top w:w="28" w:type="dxa"/>
          <w:left w:w="28" w:type="dxa"/>
          <w:bottom w:w="28" w:type="dxa"/>
          <w:right w:w="28" w:type="dxa"/>
        </w:tblCellMar>
      </w:tblPr>
      <w:tblGrid>
        <w:gridCol w:w="1810"/>
        <w:gridCol w:w="1590"/>
        <w:gridCol w:w="1595"/>
        <w:gridCol w:w="484"/>
        <w:gridCol w:w="1108"/>
        <w:gridCol w:w="253"/>
        <w:gridCol w:w="109"/>
        <w:gridCol w:w="109"/>
        <w:gridCol w:w="109"/>
        <w:gridCol w:w="470"/>
        <w:gridCol w:w="1074"/>
        <w:gridCol w:w="346"/>
      </w:tblGrid>
      <w:tr>
        <w:trPr/>
        <w:tc>
          <w:tcPr>
            <w:tcW w:w="181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2217" w:type="dxa"/>
            <w:gridSpan w:val="6"/>
            <w:tcBorders/>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2022</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employee-related costs</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 other than on income</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 asset retirement obligations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 operating lease liability</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due on derivative contracts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Liability for settlement payments on derivative contracts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payable</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Signal Hill (maintenance expense)</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0520"/>
                <wp:effectExtent l="0" t="0" r="0" b="0"/>
                <wp:wrapNone/>
                <wp:docPr id="126" name="Frame1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 Long-Term Liabilities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Other long-term liabilities consisted of the following:</w:t>
      </w:r>
    </w:p>
    <w:p>
      <w:pPr>
        <w:pStyle w:val="TextBody"/>
        <w:bidi w:val="0"/>
        <w:spacing w:before="0" w:after="0"/>
        <w:jc w:val="left"/>
        <w:rPr/>
      </w:pPr>
      <w:r>
        <w:rPr/>
      </w:r>
    </w:p>
    <w:tbl>
      <w:tblPr>
        <w:tblW w:w="10182" w:type="dxa"/>
        <w:jc w:val="left"/>
        <w:tblInd w:w="0" w:type="dxa"/>
        <w:tblLayout w:type="fixed"/>
        <w:tblCellMar>
          <w:top w:w="28" w:type="dxa"/>
          <w:left w:w="28" w:type="dxa"/>
          <w:bottom w:w="28" w:type="dxa"/>
          <w:right w:w="28" w:type="dxa"/>
        </w:tblCellMar>
      </w:tblPr>
      <w:tblGrid>
        <w:gridCol w:w="2219"/>
        <w:gridCol w:w="1947"/>
        <w:gridCol w:w="1954"/>
        <w:gridCol w:w="484"/>
        <w:gridCol w:w="1108"/>
        <w:gridCol w:w="253"/>
        <w:gridCol w:w="109"/>
        <w:gridCol w:w="109"/>
        <w:gridCol w:w="109"/>
        <w:gridCol w:w="470"/>
        <w:gridCol w:w="1074"/>
        <w:gridCol w:w="346"/>
      </w:tblGrid>
      <w:tr>
        <w:trPr/>
        <w:tc>
          <w:tcPr>
            <w:tcW w:w="2219"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2217" w:type="dxa"/>
            <w:gridSpan w:val="6"/>
            <w:tcBorders/>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December 31, 2022</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Pension and postretirement benefit plans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Lease liability</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due on derivative contracts</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liability related to Carbon TerraVault JV put and call rights</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Supplemental Cash Flow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Supplemental disclosures to our consolidated statements of cash flows, excluding leases and ARO, are presented below:</w:t>
      </w:r>
    </w:p>
    <w:p>
      <w:pPr>
        <w:pStyle w:val="TextBody"/>
        <w:bidi w:val="0"/>
        <w:spacing w:before="0" w:after="0"/>
        <w:ind w:left="0" w:right="0" w:firstLine="360"/>
        <w:jc w:val="left"/>
        <w:rPr/>
      </w:pPr>
      <w:r>
        <w:rPr/>
      </w:r>
    </w:p>
    <w:tbl>
      <w:tblPr>
        <w:tblW w:w="9627" w:type="dxa"/>
        <w:jc w:val="left"/>
        <w:tblInd w:w="0" w:type="dxa"/>
        <w:tblLayout w:type="fixed"/>
        <w:tblCellMar>
          <w:top w:w="28" w:type="dxa"/>
          <w:left w:w="28" w:type="dxa"/>
          <w:bottom w:w="28" w:type="dxa"/>
          <w:right w:w="28" w:type="dxa"/>
        </w:tblCellMar>
      </w:tblPr>
      <w:tblGrid>
        <w:gridCol w:w="2400"/>
        <w:gridCol w:w="2100"/>
        <w:gridCol w:w="2130"/>
        <w:gridCol w:w="211"/>
        <w:gridCol w:w="466"/>
        <w:gridCol w:w="109"/>
        <w:gridCol w:w="109"/>
        <w:gridCol w:w="109"/>
        <w:gridCol w:w="109"/>
        <w:gridCol w:w="211"/>
        <w:gridCol w:w="436"/>
        <w:gridCol w:w="109"/>
        <w:gridCol w:w="109"/>
        <w:gridCol w:w="109"/>
        <w:gridCol w:w="109"/>
        <w:gridCol w:w="211"/>
        <w:gridCol w:w="436"/>
        <w:gridCol w:w="154"/>
      </w:tblGrid>
      <w:tr>
        <w:trPr/>
        <w:tc>
          <w:tcPr>
            <w:tcW w:w="240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Year ended December 31,</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Cash Flow Information</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 net of amount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taxes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Supplemental Disclosure of Non-cash Investing and Financing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related to additional earn-out consideration for the Ventura divestiture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 from affiliate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accrued for stock-based compensation awards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Contribution to the Carbon TerraVault JV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16    CONDENSED CONSOLIDATING FINANCIAL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designated certain of our subsidiaries as Unrestricted Subsidiaries under the indenture governing our Senior Notes (Senior Notes Indenture). Unrestricted Subsidiaries (as defined in the Senior Notes Indenture) are subject to fewer restrictions under the Senior Notes Indenture. We are required under the Senior Notes indenture to present the financial condition and results of operations of CRC and its Restricted Subsidiaries (as defined in the Senior Notes Indenture) separate from the financial condition and results of operations of its Unrestricted Subsidiaries. The following consolidating balance sheets as of December 31, 2023 and 2022 and the consolidating statements of operations for the year ended December 31, 2023, 2022 and 2021, as applicable, reflect the consolidating financial information of our parent company,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0520"/>
                <wp:effectExtent l="0" t="0" r="0" b="0"/>
                <wp:wrapNone/>
                <wp:docPr id="127" name="Frame1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December 31, 2023 and 2022</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37"/>
        <w:gridCol w:w="414"/>
        <w:gridCol w:w="418"/>
        <w:gridCol w:w="211"/>
        <w:gridCol w:w="646"/>
        <w:gridCol w:w="109"/>
        <w:gridCol w:w="109"/>
        <w:gridCol w:w="109"/>
        <w:gridCol w:w="109"/>
        <w:gridCol w:w="518"/>
        <w:gridCol w:w="925"/>
        <w:gridCol w:w="269"/>
        <w:gridCol w:w="109"/>
        <w:gridCol w:w="109"/>
        <w:gridCol w:w="109"/>
        <w:gridCol w:w="364"/>
        <w:gridCol w:w="1119"/>
        <w:gridCol w:w="190"/>
        <w:gridCol w:w="109"/>
        <w:gridCol w:w="109"/>
        <w:gridCol w:w="109"/>
        <w:gridCol w:w="281"/>
        <w:gridCol w:w="863"/>
        <w:gridCol w:w="147"/>
        <w:gridCol w:w="109"/>
        <w:gridCol w:w="109"/>
        <w:gridCol w:w="109"/>
        <w:gridCol w:w="288"/>
        <w:gridCol w:w="882"/>
        <w:gridCol w:w="216"/>
      </w:tblGrid>
      <w:tr>
        <w:trPr/>
        <w:tc>
          <w:tcPr>
            <w:tcW w:w="10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As of December 31, 2023</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4,589 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(3,647)</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7"/>
        <w:gridCol w:w="414"/>
        <w:gridCol w:w="418"/>
        <w:gridCol w:w="211"/>
        <w:gridCol w:w="646"/>
        <w:gridCol w:w="109"/>
        <w:gridCol w:w="109"/>
        <w:gridCol w:w="109"/>
        <w:gridCol w:w="109"/>
        <w:gridCol w:w="518"/>
        <w:gridCol w:w="925"/>
        <w:gridCol w:w="269"/>
        <w:gridCol w:w="109"/>
        <w:gridCol w:w="109"/>
        <w:gridCol w:w="109"/>
        <w:gridCol w:w="364"/>
        <w:gridCol w:w="1119"/>
        <w:gridCol w:w="190"/>
        <w:gridCol w:w="109"/>
        <w:gridCol w:w="109"/>
        <w:gridCol w:w="109"/>
        <w:gridCol w:w="281"/>
        <w:gridCol w:w="863"/>
        <w:gridCol w:w="147"/>
        <w:gridCol w:w="109"/>
        <w:gridCol w:w="109"/>
        <w:gridCol w:w="109"/>
        <w:gridCol w:w="288"/>
        <w:gridCol w:w="882"/>
        <w:gridCol w:w="216"/>
      </w:tblGrid>
      <w:tr>
        <w:trPr/>
        <w:tc>
          <w:tcPr>
            <w:tcW w:w="10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 2022</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0520"/>
                <wp:effectExtent l="0" t="0" r="0" b="0"/>
                <wp:wrapNone/>
                <wp:docPr id="128" name="Frame1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Statement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year ended December 31, 2023 and 2022</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75"/>
        <w:gridCol w:w="721"/>
        <w:gridCol w:w="195"/>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 2023</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75"/>
        <w:gridCol w:w="721"/>
        <w:gridCol w:w="195"/>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 2022</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5"/>
        <w:gridCol w:w="563"/>
        <w:gridCol w:w="567"/>
        <w:gridCol w:w="211"/>
        <w:gridCol w:w="481"/>
        <w:gridCol w:w="109"/>
        <w:gridCol w:w="109"/>
        <w:gridCol w:w="109"/>
        <w:gridCol w:w="109"/>
        <w:gridCol w:w="507"/>
        <w:gridCol w:w="905"/>
        <w:gridCol w:w="264"/>
        <w:gridCol w:w="109"/>
        <w:gridCol w:w="109"/>
        <w:gridCol w:w="109"/>
        <w:gridCol w:w="357"/>
        <w:gridCol w:w="1097"/>
        <w:gridCol w:w="186"/>
        <w:gridCol w:w="109"/>
        <w:gridCol w:w="109"/>
        <w:gridCol w:w="109"/>
        <w:gridCol w:w="375"/>
        <w:gridCol w:w="721"/>
        <w:gridCol w:w="195"/>
        <w:gridCol w:w="109"/>
        <w:gridCol w:w="109"/>
        <w:gridCol w:w="109"/>
        <w:gridCol w:w="288"/>
        <w:gridCol w:w="882"/>
        <w:gridCol w:w="214"/>
      </w:tblGrid>
      <w:tr>
        <w:trPr/>
        <w:tc>
          <w:tcPr>
            <w:tcW w:w="97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 2021</w:t>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 attributable to noncontrolling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 ATTRIBUTABLE TO COMMON STOCK</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29" name="Frame1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17    SUBSEQUENT EVENTS</w:t>
      </w:r>
    </w:p>
    <w:p>
      <w:pPr>
        <w:pStyle w:val="TextBody"/>
        <w:bidi w:val="0"/>
        <w:spacing w:before="0" w:after="0"/>
        <w:ind w:left="0" w:right="0" w:firstLine="36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Pending Aera Merger</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7, 2024, we entered into a definitive agreement and plan of merger (Merger Agreement) to combine with Aera Energy, LLC (Aera) in an all-stock transaction (Aera Merger) with an effective date of January 1, 2024. Aera is a leading operator of mature fields in California, primarily in the San Joaquin and Ventura basins, with high oil-weighted production.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the Merger Agreement, we have agreed to issue 21,170,357 shares of common stock (subject to customary adjustments in the event of stock splits, dividend paid in stock and similar items) plus an additional number of shares determined by reference to the dividends declared by us having a record date between the effective date and closing as more fully described in the Merger Agreement. Under the terms of the Merger Agreement, we have also agreed to assume Aera’s outstanding long-term indebtedness of $950 million at closing. We expect to repay a significant portion of this indebtedness with cash on hand and borrowings under our Revolving Credit Facility. We intend to refinance the balance through one or more debt capital markets transactions and, only to the extent necessary, borrowings under a bridge loan facility provided by Citigroup Global Markets, Inc. (the Bank). Under the terms of our debt commitment letter with the Bank, it has committed, subject to satisfaction of customary conditions, to provide us with an unsecured 364-day bridge loan facility in an aggregate principal amount of $500 million (Bridge Loan Facility).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Closing of the Aera Merger is subject to certain conditions, including, among others, approval of the stock issuance by our stockholders, expiration of the applicable waiting period under the Hart-Scott-Rodino Antitrust Improvements Act of 1976, as amended, prior authorization by the Federal Energy Regulatory Commission under Section 203 of the Federal Power Act and other customary closing conditions.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Upon completion of the transaction, we currently expect our existing stockholders to own approximately 77.1% of the combined company and the existing Aera owners to own approximately 22.9% of the combined company, on a fully diluted basis. The Aera Merger is expected to close in the second half of 2024.</w:t>
      </w:r>
    </w:p>
    <w:p>
      <w:pPr>
        <w:pStyle w:val="TextBody"/>
        <w:bidi w:val="0"/>
        <w:spacing w:before="0" w:after="0"/>
        <w:ind w:left="0" w:right="0" w:firstLine="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February 6, 2024 our Board of Directors increased the Share Repurchase Program by $250 million to $1.35 billion and extended the program through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Amendment to our Revolving Credit Facility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the Merger Agreement, on February 9, 2024, we entered into a second amendment to our Revolving Credit Facility to permit us to incur indebtedness under the Bridge Loan Facility.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February 27, 2024, our Board of Directors declared a cash dividend of $0.31 per share of common stock. The dividend is payable to shareholders of record at the close of business on March 6, 2024 and is expected to be paid on March 18, 2024.</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February 2024, certain of our executives were granted an aggregate of approximately 182,000 RSUs and 273,000 PSUs. The PSUs cliff vest on the third anniversary of the grant date. The RSUs vest ratably over three years, with units vesting on the anniversary date of each grant, generally subject to continued employment through the applicable vesting dates.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Sale of Fort Apache in Huntington Beach</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February 2024, we entered into an agreement to sell our 0.9-acre Fort Apache real estate property in Huntington Beach, California for approximately $10 million.</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0520"/>
                <wp:effectExtent l="0" t="0" r="0" b="0"/>
                <wp:wrapNone/>
                <wp:docPr id="130"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Supplemental Oil and Gas Information (Unaudited) </w:t>
      </w:r>
    </w:p>
    <w:p>
      <w:pPr>
        <w:pStyle w:val="TextBody"/>
        <w:bidi w:val="0"/>
        <w:spacing w:lineRule="auto" w:line="288" w:before="160" w:after="16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sets forth our net operating and non-operating interests in quantities of proved developed and undeveloped reserves of oil (including condensate), NGLs and natural gas and changes in such quantities. Estimated reserves include our economic interests under PSCs in our Long Beach operations in the Wilmington field. All of our proved reserves are located within the state of California.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PROVED DEVELOPED AND UNDEVELOPED RESERVES</w:t>
      </w:r>
    </w:p>
    <w:tbl>
      <w:tblPr>
        <w:tblW w:w="8062" w:type="dxa"/>
        <w:jc w:val="left"/>
        <w:tblInd w:w="0" w:type="dxa"/>
        <w:tblLayout w:type="fixed"/>
        <w:tblCellMar>
          <w:top w:w="28" w:type="dxa"/>
          <w:left w:w="28" w:type="dxa"/>
          <w:bottom w:w="28" w:type="dxa"/>
          <w:right w:w="28" w:type="dxa"/>
        </w:tblCellMar>
      </w:tblPr>
      <w:tblGrid>
        <w:gridCol w:w="1314"/>
        <w:gridCol w:w="1156"/>
        <w:gridCol w:w="1159"/>
        <w:gridCol w:w="240"/>
        <w:gridCol w:w="241"/>
        <w:gridCol w:w="243"/>
        <w:gridCol w:w="109"/>
        <w:gridCol w:w="109"/>
        <w:gridCol w:w="109"/>
        <w:gridCol w:w="238"/>
        <w:gridCol w:w="238"/>
        <w:gridCol w:w="243"/>
        <w:gridCol w:w="109"/>
        <w:gridCol w:w="109"/>
        <w:gridCol w:w="109"/>
        <w:gridCol w:w="394"/>
        <w:gridCol w:w="394"/>
        <w:gridCol w:w="396"/>
        <w:gridCol w:w="109"/>
        <w:gridCol w:w="109"/>
        <w:gridCol w:w="109"/>
        <w:gridCol w:w="241"/>
        <w:gridCol w:w="241"/>
        <w:gridCol w:w="343"/>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Oil</w:t>
            </w:r>
            <w:r>
              <w:rPr>
                <w:rFonts w:ascii="Arial;sans-serif" w:hAnsi="Arial;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Total</w:t>
            </w:r>
            <w:r>
              <w:rPr>
                <w:rFonts w:ascii="Arial;sans-serif" w:hAnsi="Arial;sans-serif"/>
                <w:b/>
                <w:color w:val="000000"/>
                <w:sz w:val="13"/>
              </w:rPr>
              <w:t>(b)</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(MMBoe)</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2020</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Revisions of previous estimates</w:t>
            </w:r>
            <w:r>
              <w:rPr>
                <w:rFonts w:ascii="Arial;sans-serif" w:hAnsi="Arial;sans-serif"/>
                <w:b w:val="false"/>
                <w:color w:val="000000"/>
                <w:sz w:val="13"/>
              </w:rPr>
              <w:t>(c)</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Improved recovery</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Extensions and discoveries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 and divestitures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2021</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Revisions of previous estimates</w:t>
            </w:r>
            <w:r>
              <w:rPr>
                <w:rFonts w:ascii="Arial;sans-serif" w:hAnsi="Arial;sans-serif"/>
                <w:b w:val="false"/>
                <w:color w:val="000000"/>
                <w:sz w:val="13"/>
              </w:rPr>
              <w:t>(c)</w:t>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Improved recovery</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Extensions and discoveries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 and divestitures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2022</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Revisions of previous estimates</w:t>
            </w:r>
            <w:r>
              <w:rPr>
                <w:rFonts w:ascii="Arial;sans-serif" w:hAnsi="Arial;sans-serif"/>
                <w:b w:val="false"/>
                <w:color w:val="000000"/>
                <w:sz w:val="13"/>
              </w:rPr>
              <w:t>(c)</w:t>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Improved recovery</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Extensions and discoveries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 and divestitures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Balance at December 31, 2023</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PROVED DEVELOPED RESERVES</w:t>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2020</w:t>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2021</w:t>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3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405 </w:t>
            </w:r>
          </w:p>
        </w:tc>
        <w:tc>
          <w:tcPr>
            <w:tcW w:w="3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2022</w:t>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December 31, 2023</w:t>
            </w:r>
            <w:r>
              <w:rPr>
                <w:rFonts w:ascii="Arial;sans-serif" w:hAnsi="Arial;sans-serif"/>
                <w:b/>
                <w:color w:val="000000"/>
                <w:sz w:val="13"/>
              </w:rPr>
              <w:t>(d)</w:t>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3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3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PROVED UNDEVELOPED RESERVES</w:t>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2020</w:t>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2021</w:t>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3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3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2022</w:t>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31, 2023</w:t>
            </w:r>
          </w:p>
        </w:tc>
        <w:tc>
          <w:tcPr>
            <w:tcW w:w="4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3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3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(a)Includes proved reserves related to economic arrangements similar to PSCs of 76 MMBbl, 92 MMBbl, 111 MMBbl and 85 MMBbl at December 31, 2023, 2022, 2021 and 2020, respectively.</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(b)Natural gas volumes have been converted to Boe based on the equivalence of energy content of six Mcf of natural gas to one Bbl of oil. Barrels of oil equivalence does not necessarily result in price equivalence.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(c)Commodity price changes affect the proved reserves we record. For example, higher prices generally increase the economically recoverable reserves in all of our operations, because the extra margin extends their expected lives and renders more projects economic. Partially offsetting this effect, higher prices decrease our share of proved cost recovery reserves under arrangements similar to production-sharing contracts at our Long Beach operations in the Wilmington field because fewer reserves are required to recover costs. Conversely, when prices drop, we experience the opposite effects. Performance-related revisions can include upward or downward changes to previous proved reserves estimates due to the evaluation or interpretation of recent geologic, production decline or operating performance data.</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(d)Approximately 18% of proved developed oil reserves, 7% of proved developed NGLs reserves, 10% of proved developed natural gas reserves and, overall, 15% of total proved developed reserves at December 31, 2023 are non-producing. A majority of our non-producing reserves relate to steamfloods and waterfloods where full production response has not yet occurred due to the nature of such projects.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0520"/>
                <wp:effectExtent l="0" t="0" r="0" b="0"/>
                <wp:wrapNone/>
                <wp:docPr id="131" name="Frame1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2023</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Revisions of previous estimates </w:t>
      </w:r>
      <w:r>
        <w:rPr>
          <w:color w:val="000000"/>
        </w:rPr>
        <w:t xml:space="preserve">– </w:t>
      </w:r>
      <w:r>
        <w:rPr>
          <w:rFonts w:ascii="Arial;sans-serif" w:hAnsi="Arial;sans-serif"/>
          <w:b w:val="false"/>
          <w:color w:val="000000"/>
          <w:sz w:val="20"/>
        </w:rPr>
        <w:t xml:space="preserve">We had net negative price-related revisions of 13 MMBoe primarily resulting from a lower commodity price environment in 2023 compared to 2022. Negative price-related revisions of 22 MMBoe were partially offset by 9 MMBoe of positive revisions from operating cost efficiencies.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had 23 MMBoe of net positive performance-related revisions which included positive performance-related revisions of 38 MMBoe and negative performance-related revisions of 15 MMBoe. Our negative performance-related revisions primarily were due to wells and incremental waterflood response that underperformed forecasts and removal of proved undeveloped locations due to unsuccessful drilling results in certain areas. Our positive performance-related revisions primarily related to better-than-expected well performance. The majority of these revisions were located in the San Joaquin basin.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had 12 MMBoe of negative revisions to our proved reserves due to the uncertainty of the outcome of the referendum and potential impact of Senate Bill No. 1137. The majority of these volumes are in the Los Angeles Basin. See </w:t>
      </w:r>
      <w:r>
        <w:rPr>
          <w:rFonts w:ascii="Arial;sans-serif" w:hAnsi="Arial;sans-serif"/>
          <w:b w:val="false"/>
          <w:i/>
          <w:color w:val="000000"/>
          <w:sz w:val="20"/>
        </w:rPr>
        <w:t>Part I, Item 1 &amp; 2 Business and Properties, Regulation of the Industries in Which We Operate, Regulation of Exploration and Production Activities</w:t>
      </w:r>
      <w:r>
        <w:rPr>
          <w:rFonts w:ascii="Arial;sans-serif" w:hAnsi="Arial;sans-serif"/>
          <w:b w:val="false"/>
          <w:color w:val="000000"/>
          <w:sz w:val="2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Extensions </w:t>
      </w:r>
      <w:r>
        <w:rPr>
          <w:color w:val="000000"/>
        </w:rPr>
        <w:t xml:space="preserve">– </w:t>
      </w:r>
      <w:r>
        <w:rPr>
          <w:rFonts w:ascii="Arial;sans-serif" w:hAnsi="Arial;sans-serif"/>
          <w:b w:val="false"/>
          <w:color w:val="000000"/>
          <w:sz w:val="20"/>
        </w:rPr>
        <w:t xml:space="preserve">We added 5 MMBoe from extensions resulting from successful drilling and workovers in the San Joaquin, Los Angeles and Sacramento basins.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Acquisitions and Divestitures</w:t>
      </w:r>
      <w:r>
        <w:rPr>
          <w:color w:val="000000"/>
        </w:rPr>
        <w:t xml:space="preserve"> – </w:t>
      </w:r>
      <w:r>
        <w:rPr>
          <w:rFonts w:ascii="Arial;sans-serif" w:hAnsi="Arial;sans-serif"/>
          <w:b w:val="false"/>
          <w:color w:val="000000"/>
          <w:sz w:val="20"/>
        </w:rPr>
        <w:t>We had a reduction of 12 MMBoe which related to our Round Mountain Unit divestiture. See</w:t>
      </w:r>
      <w:r>
        <w:rPr>
          <w:color w:val="000000"/>
        </w:rPr>
        <w:t xml:space="preserve"> </w:t>
      </w:r>
      <w:r>
        <w:rPr>
          <w:rFonts w:ascii="Arial;sans-serif" w:hAnsi="Arial;sans-serif"/>
          <w:b w:val="false"/>
          <w:i/>
          <w:color w:val="000000"/>
          <w:sz w:val="20"/>
        </w:rPr>
        <w:t>Note 8 Divestitures and Acquisitions</w:t>
      </w:r>
      <w:r>
        <w:rPr>
          <w:color w:val="000000"/>
        </w:rPr>
        <w:t xml:space="preserve"> </w:t>
      </w:r>
      <w:r>
        <w:rPr>
          <w:rFonts w:ascii="Arial;sans-serif" w:hAnsi="Arial;sans-serif"/>
          <w:b w:val="false"/>
          <w:color w:val="000000"/>
          <w:sz w:val="20"/>
        </w:rPr>
        <w:t>for more information on this transaction.</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2022</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Revisions of previous estimates </w:t>
      </w:r>
      <w:r>
        <w:rPr>
          <w:color w:val="000000"/>
        </w:rPr>
        <w:t xml:space="preserve">– </w:t>
      </w:r>
      <w:r>
        <w:rPr>
          <w:rFonts w:ascii="Arial;sans-serif" w:hAnsi="Arial;sans-serif"/>
          <w:b w:val="false"/>
          <w:color w:val="000000"/>
          <w:sz w:val="20"/>
        </w:rPr>
        <w:t>We had net positive price-related revisions of 6 MMBoe primarily resulting from a higher commodity price environment in 2022 compared to 2021. The price revision reflects the extended economic lives of our fields, estimated using 2022 SEC pricing. Additionally, we have experienced higher vendor-related pricing and compensation-related cost increases due to inflation.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had 16 MMBoe of net negative performance-related revisions which included negative performance-related revisions of 31 MMBoe and positive performance-related revisions of 15 MMBoe. Our negative performance-related revisions primarily were due to wells and incremental waterflood response that underperformed forecasts and removal of proved undeveloped locations due to unsuccessful drilling results in certain areas. Our positive performance-related revisions primarily related to better-than-expected well performance and addition of proved undeveloped locations due to positive drilling results in certain areas. The majority of these revisions were located in the San Joaquin and Los Angeles basins.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had 34 MMBoe of negative revisions to our proved reserves due to the impact of California regulatory changes and court challenges on our development plans. Of this amount, negative revisions of 20 MMBoe of proved reserves were due to the uncertainty of the outcome of the referendum and potential impact of Senate Bill No. 1137. The majority of these volumes are in the LA Basin. Negative revisions of 14 MMBoe to our proved reserves were due to challenges to Kern County's ability to issue well permits in reliance on an existing EIR for CEQA purposes. The volumes affected by these court challenges are in Kern County. See </w:t>
      </w:r>
      <w:r>
        <w:rPr>
          <w:rFonts w:ascii="Arial;sans-serif" w:hAnsi="Arial;sans-serif"/>
          <w:b w:val="false"/>
          <w:i/>
          <w:color w:val="000000"/>
          <w:sz w:val="20"/>
        </w:rPr>
        <w:t>Part I, Item 1 &amp; 2 Business and Properties, Regulation of the Industries in Which We Operate, Regulation of Exploration and Production Activities</w:t>
      </w:r>
      <w:r>
        <w:rPr>
          <w:rFonts w:ascii="Arial;sans-serif" w:hAnsi="Arial;sans-serif"/>
          <w:b w:val="false"/>
          <w:color w:val="000000"/>
          <w:sz w:val="2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Extensions and discoveries </w:t>
      </w:r>
      <w:r>
        <w:rPr>
          <w:color w:val="000000"/>
        </w:rPr>
        <w:t xml:space="preserve">– </w:t>
      </w:r>
      <w:r>
        <w:rPr>
          <w:rFonts w:ascii="Arial;sans-serif" w:hAnsi="Arial;sans-serif"/>
          <w:b w:val="false"/>
          <w:color w:val="000000"/>
          <w:sz w:val="20"/>
        </w:rPr>
        <w:t xml:space="preserve">We added 16 MMBoe from extensions and discoveries resulting from successful drilling and workovers in the San Joaquin and Los Angeles basins.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Acquisitions and Divestitures</w:t>
      </w:r>
      <w:r>
        <w:rPr>
          <w:color w:val="000000"/>
        </w:rPr>
        <w:t xml:space="preserve"> – </w:t>
      </w:r>
      <w:r>
        <w:rPr>
          <w:rFonts w:ascii="Arial;sans-serif" w:hAnsi="Arial;sans-serif"/>
          <w:b w:val="false"/>
          <w:color w:val="000000"/>
          <w:sz w:val="20"/>
        </w:rPr>
        <w:t xml:space="preserve">We had a reduction of 8 MMBoe which primarily related to our Lost Hills divestiture. See </w:t>
      </w:r>
      <w:r>
        <w:rPr>
          <w:rFonts w:ascii="Arial;sans-serif" w:hAnsi="Arial;sans-serif"/>
          <w:b w:val="false"/>
          <w:i/>
          <w:color w:val="000000"/>
          <w:sz w:val="20"/>
        </w:rPr>
        <w:t>Note 8 Divestitures and Acquisitions</w:t>
      </w:r>
      <w:r>
        <w:rPr>
          <w:color w:val="000000"/>
        </w:rPr>
        <w:t xml:space="preserve"> </w:t>
      </w:r>
      <w:r>
        <w:rPr>
          <w:rFonts w:ascii="Arial;sans-serif" w:hAnsi="Arial;sans-serif"/>
          <w:b w:val="false"/>
          <w:color w:val="000000"/>
          <w:sz w:val="20"/>
        </w:rPr>
        <w:t xml:space="preserve">for more information on these transactions.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0520"/>
                <wp:effectExtent l="0" t="0" r="0" b="0"/>
                <wp:wrapNone/>
                <wp:docPr id="132" name="Frame1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2021</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Revisions of previous estimates </w:t>
      </w:r>
      <w:r>
        <w:rPr>
          <w:color w:val="000000"/>
        </w:rPr>
        <w:t xml:space="preserve">– </w:t>
      </w:r>
      <w:r>
        <w:rPr>
          <w:rFonts w:ascii="Arial;sans-serif" w:hAnsi="Arial;sans-serif"/>
          <w:b w:val="false"/>
          <w:color w:val="000000"/>
          <w:sz w:val="20"/>
        </w:rPr>
        <w:t>We had positive price-related revisions of 64 MMBoe primarily resulting from a higher commodity price environment in 2021 compared to 2020. The net price revision reflects the extended economic lives of our fields, estimated using 2021 SEC pricing, partially offset by higher operating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had 9 MMBoe of net positive performance-related revisions which included positive performance-related revisions of 21 MMBoe and negative performance-related revisions of 12 MMBoe. Our positive performance-related revisions of 21 MMBoe primarily related to better-than-expected well performance and adding proved undeveloped locations due to positive drilling results in certain areas. The positive revision also included proved undeveloped reserves added to our five-year development plans in 2021. Our negative performance-related revisions primarily relate to wells and incremental waterflood response that underperformed forecasts and removal of proved undeveloped locations due to unsuccessful drilling results in certain areas. The majority of these revisions were located in the San Joaquin and Los Angeles basins.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Extensions and discoveries </w:t>
      </w:r>
      <w:r>
        <w:rPr>
          <w:color w:val="000000"/>
        </w:rPr>
        <w:t xml:space="preserve">– </w:t>
      </w:r>
      <w:r>
        <w:rPr>
          <w:rFonts w:ascii="Arial;sans-serif" w:hAnsi="Arial;sans-serif"/>
          <w:b w:val="false"/>
          <w:color w:val="000000"/>
          <w:sz w:val="20"/>
        </w:rPr>
        <w:t xml:space="preserve">We added 5 MMBoe from extensions and discoveries resulting from successful drilling and workovers in the San Joaquin and Los Angeles basins.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Acquisitions and Divestitures</w:t>
      </w:r>
      <w:r>
        <w:rPr>
          <w:color w:val="000000"/>
        </w:rPr>
        <w:t xml:space="preserve"> – </w:t>
      </w:r>
      <w:r>
        <w:rPr>
          <w:rFonts w:ascii="Arial;sans-serif" w:hAnsi="Arial;sans-serif"/>
          <w:b w:val="false"/>
          <w:color w:val="000000"/>
          <w:sz w:val="20"/>
        </w:rPr>
        <w:t xml:space="preserve">We had a reduction of 11 MMBoe in connection with our Ventura divestiture and added 6 MMBoe in connection with our acquisition of the working interest in certain wells from MIRA. See </w:t>
      </w:r>
      <w:r>
        <w:rPr>
          <w:rFonts w:ascii="Arial;sans-serif" w:hAnsi="Arial;sans-serif"/>
          <w:b w:val="false"/>
          <w:i/>
          <w:color w:val="000000"/>
          <w:sz w:val="20"/>
        </w:rPr>
        <w:t>Note 8 Divestitures and Acquisitions</w:t>
      </w:r>
      <w:r>
        <w:rPr>
          <w:color w:val="000000"/>
        </w:rPr>
        <w:t xml:space="preserve"> </w:t>
      </w:r>
      <w:r>
        <w:rPr>
          <w:rFonts w:ascii="Arial;sans-serif" w:hAnsi="Arial;sans-serif"/>
          <w:b w:val="false"/>
          <w:color w:val="000000"/>
          <w:sz w:val="20"/>
        </w:rPr>
        <w:t xml:space="preserve">for more information on these transactions. </w:t>
      </w:r>
    </w:p>
    <w:p>
      <w:pPr>
        <w:pStyle w:val="TextBody"/>
        <w:bidi w:val="0"/>
        <w:spacing w:before="0" w:after="0"/>
        <w:ind w:left="0" w:right="0" w:firstLine="36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CAPITALIZED COSTS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Capitalized costs relating to oil and natural gas producing activities and related accumulated depreciation, depletion and amortization (DD&amp;A) were as follows:</w:t>
      </w:r>
    </w:p>
    <w:tbl>
      <w:tblPr>
        <w:tblW w:w="8832" w:type="dxa"/>
        <w:jc w:val="left"/>
        <w:tblInd w:w="0" w:type="dxa"/>
        <w:tblLayout w:type="fixed"/>
        <w:tblCellMar>
          <w:top w:w="28" w:type="dxa"/>
          <w:left w:w="28" w:type="dxa"/>
          <w:bottom w:w="28" w:type="dxa"/>
          <w:right w:w="28" w:type="dxa"/>
        </w:tblCellMar>
      </w:tblPr>
      <w:tblGrid>
        <w:gridCol w:w="1726"/>
        <w:gridCol w:w="1521"/>
        <w:gridCol w:w="1523"/>
        <w:gridCol w:w="402"/>
        <w:gridCol w:w="1233"/>
        <w:gridCol w:w="210"/>
        <w:gridCol w:w="109"/>
        <w:gridCol w:w="109"/>
        <w:gridCol w:w="109"/>
        <w:gridCol w:w="393"/>
        <w:gridCol w:w="1207"/>
        <w:gridCol w:w="290"/>
      </w:tblGrid>
      <w:tr>
        <w:trPr/>
        <w:tc>
          <w:tcPr>
            <w:tcW w:w="1726"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Proved properties</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Unproved properties</w:t>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capitalized costs</w:t>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2,974 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 depletion and amortization</w:t>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capitalized costs</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COSTS INCURRED</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Costs incurred relating to oil and natural gas activities include capital investments, exploration (whether expensed or capitalized), acquisitions and asset retirement obligations but exclude corporate items. The following table summarizes our costs incurred:</w:t>
      </w:r>
    </w:p>
    <w:tbl>
      <w:tblPr>
        <w:tblW w:w="5486" w:type="dxa"/>
        <w:jc w:val="left"/>
        <w:tblInd w:w="0" w:type="dxa"/>
        <w:tblLayout w:type="fixed"/>
        <w:tblCellMar>
          <w:top w:w="28" w:type="dxa"/>
          <w:left w:w="28" w:type="dxa"/>
          <w:bottom w:w="28" w:type="dxa"/>
          <w:right w:w="28" w:type="dxa"/>
        </w:tblCellMar>
      </w:tblPr>
      <w:tblGrid>
        <w:gridCol w:w="864"/>
        <w:gridCol w:w="758"/>
        <w:gridCol w:w="762"/>
        <w:gridCol w:w="211"/>
        <w:gridCol w:w="481"/>
        <w:gridCol w:w="109"/>
        <w:gridCol w:w="109"/>
        <w:gridCol w:w="109"/>
        <w:gridCol w:w="109"/>
        <w:gridCol w:w="211"/>
        <w:gridCol w:w="481"/>
        <w:gridCol w:w="109"/>
        <w:gridCol w:w="109"/>
        <w:gridCol w:w="109"/>
        <w:gridCol w:w="109"/>
        <w:gridCol w:w="211"/>
        <w:gridCol w:w="48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acquisition costs</w:t>
            </w:r>
          </w:p>
        </w:tc>
        <w:tc>
          <w:tcPr>
            <w:tcW w:w="31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Proved properties</w:t>
            </w:r>
            <w:r>
              <w:rPr>
                <w:rFonts w:ascii="Arial;sans-serif" w:hAnsi="Arial;sans-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Unproved properties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Development costs</w:t>
            </w:r>
            <w:r>
              <w:rPr>
                <w:rFonts w:ascii="Arial;sans-serif" w:hAnsi="Arial;sans-serif"/>
                <w:b w:val="false"/>
                <w:color w:val="000000"/>
                <w:sz w:val="13"/>
              </w:rPr>
              <w:t>(b)</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incurred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(a)Acquisition costs relates to our acquisition of MIRA's working interests in certain wells in 2021.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(b)Development costs include a $44 million increase, $24 million increase and $19 million increase in ARO (including assets held for sale) in 2023, 2022 and 2021,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0520"/>
                <wp:effectExtent l="0" t="0" r="0" b="0"/>
                <wp:wrapNone/>
                <wp:docPr id="133"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oil and natural gas producing activities, which exclude items such as asset dispositions, corporate overhead and interest, were as follows:</w:t>
      </w:r>
    </w:p>
    <w:tbl>
      <w:tblPr>
        <w:tblW w:w="10205" w:type="dxa"/>
        <w:jc w:val="center"/>
        <w:tblInd w:w="0" w:type="dxa"/>
        <w:tblLayout w:type="fixed"/>
        <w:tblCellMar>
          <w:top w:w="28" w:type="dxa"/>
          <w:left w:w="28" w:type="dxa"/>
          <w:bottom w:w="28" w:type="dxa"/>
          <w:right w:w="28" w:type="dxa"/>
        </w:tblCellMar>
      </w:tblPr>
      <w:tblGrid>
        <w:gridCol w:w="1032"/>
        <w:gridCol w:w="860"/>
        <w:gridCol w:w="835"/>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6"/>
      </w:tblGrid>
      <w:tr>
        <w:trPr/>
        <w:tc>
          <w:tcPr>
            <w:tcW w:w="10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($/Boe)</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Revenues</w:t>
            </w:r>
            <w:r>
              <w:rPr>
                <w:rFonts w:ascii="Arial;sans-serif" w:hAnsi="Arial;sans-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Operating costs</w:t>
            </w:r>
            <w:r>
              <w:rPr>
                <w:rFonts w:ascii="Arial;sans-serif" w:hAnsi="Arial;sans-serif"/>
                <w:b w:val="false"/>
                <w:color w:val="000000"/>
                <w:sz w:val="13"/>
              </w:rPr>
              <w:t>(b)</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operating expenses</w:t>
            </w:r>
            <w:r>
              <w:rPr>
                <w:rFonts w:ascii="Arial;sans-serif" w:hAnsi="Arial;sans-serif"/>
                <w:b w:val="false"/>
                <w:color w:val="000000"/>
                <w:sz w:val="13"/>
              </w:rPr>
              <w:t>(c)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Pretax income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Income tax provision</w:t>
            </w:r>
            <w:r>
              <w:rPr>
                <w:rFonts w:ascii="Arial;sans-serif" w:hAnsi="Arial;sans-serif"/>
                <w:b w:val="false"/>
                <w:color w:val="000000"/>
                <w:sz w:val="13"/>
              </w:rPr>
              <w:t>(d)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Results of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(a)Revenues include oil, natural gas and NGL sales, cash settlements on our commodity derivatives and other revenue related to our oil and natural gas operations.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(b)Operating costs are the costs incurred in lifting the oil and natural gas to the surface and include gathering, processing, field storage and insurance on proved properties.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(c)Other operating expenses primarily include transportation costs.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(d)Income taxes are calculated on the basis of a stand-alone tax filing entity. The combined U.S. federal and California statutory tax rate was 28%. The effective tax rate for 2022 and 2021 includes the benefit of enhanced oil recovery and marginal well tax credits.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0520"/>
                <wp:effectExtent l="0" t="0" r="0" b="0"/>
                <wp:wrapNone/>
                <wp:docPr id="134" name="Frame1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20"/>
        </w:rPr>
      </w:pPr>
      <w:r>
        <w:rPr>
          <w:rFonts w:ascii="Arial;sans-serif" w:hAnsi="Arial;sans-serif"/>
          <w:b/>
          <w:color w:val="000000"/>
          <w:sz w:val="20"/>
        </w:rPr>
        <w:t xml:space="preserve">STANDARDIZED MEASURE, INCLUDING YEAR-TO-YEAR CHANGES THEREIN, OF DISCOUNTED FUTURE NET CASH FLOWS </w:t>
      </w:r>
    </w:p>
    <w:p>
      <w:pPr>
        <w:pStyle w:val="TextBody"/>
        <w:bidi w:val="0"/>
        <w:spacing w:lineRule="auto" w:line="288" w:before="160" w:after="160"/>
        <w:ind w:left="0" w:right="0" w:firstLine="360"/>
        <w:jc w:val="left"/>
        <w:rPr>
          <w:rFonts w:ascii="Arial;sans-serif" w:hAnsi="Arial;sans-serif"/>
          <w:b w:val="false"/>
          <w:color w:val="000000"/>
          <w:sz w:val="20"/>
        </w:rPr>
      </w:pPr>
      <w:r>
        <w:rPr>
          <w:rFonts w:ascii="Arial;sans-serif" w:hAnsi="Arial;sans-serif"/>
          <w:b w:val="false"/>
          <w:color w:val="000000"/>
          <w:sz w:val="20"/>
        </w:rPr>
        <w:t>For purposes of the following disclosures, discounted future net cash flows were computed by applying to our proved oil and natural gas reserves the unweighted arithmetic average of the first-day-of-the-month price for each month within the years ended December 31, 2023, 2022 and 2021, respectively. The realized prices used to calculate future cash flows vary by producing area and market conditions. Future operating and capital costs were determined using the current cost environment applied to expectations of future operating and development activities. Future income tax expense was computed by applying, generally, year-end statutory tax rates (adjusted for permanent differences and tax credits) to the estimated net future pre-tax cash flows, after allowing for the deductions for intangible drilling costs and tax DD&amp;A. The cash flows were discounted using a 10% discount factor. The calculations assumed the continuation of existing economic, operating and contractual conditions at December 31, 2023, 2022 and 2021. Such assumptions, which are prescribed by regulation, have not always proven accurate in the past. Other valid assumptions would give rise to substantially different results.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Standardized Measure of Discounted Future Net Cash Flows</w:t>
      </w:r>
    </w:p>
    <w:tbl>
      <w:tblPr>
        <w:tblW w:w="10205" w:type="dxa"/>
        <w:jc w:val="center"/>
        <w:tblInd w:w="0" w:type="dxa"/>
        <w:tblLayout w:type="fixed"/>
        <w:tblCellMar>
          <w:top w:w="28" w:type="dxa"/>
          <w:left w:w="28" w:type="dxa"/>
          <w:bottom w:w="28" w:type="dxa"/>
          <w:right w:w="28" w:type="dxa"/>
        </w:tblCellMar>
      </w:tblPr>
      <w:tblGrid>
        <w:gridCol w:w="1704"/>
        <w:gridCol w:w="1429"/>
        <w:gridCol w:w="1396"/>
        <w:gridCol w:w="326"/>
        <w:gridCol w:w="1163"/>
        <w:gridCol w:w="168"/>
        <w:gridCol w:w="109"/>
        <w:gridCol w:w="109"/>
        <w:gridCol w:w="109"/>
        <w:gridCol w:w="326"/>
        <w:gridCol w:w="1163"/>
        <w:gridCol w:w="168"/>
        <w:gridCol w:w="109"/>
        <w:gridCol w:w="109"/>
        <w:gridCol w:w="109"/>
        <w:gridCol w:w="321"/>
        <w:gridCol w:w="1146"/>
        <w:gridCol w:w="241"/>
      </w:tblGrid>
      <w:tr>
        <w:trPr/>
        <w:tc>
          <w:tcPr>
            <w:tcW w:w="170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2021</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Future cash inflows</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Future costs</w:t>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Operating costs</w:t>
            </w:r>
            <w:r>
              <w:rPr>
                <w:rFonts w:ascii="Arial;sans-serif" w:hAnsi="Arial;sans-serif"/>
                <w:b w:val="false"/>
                <w:color w:val="000000"/>
                <w:sz w:val="13"/>
              </w:rPr>
              <w:t>(a)</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Development costs</w:t>
            </w:r>
            <w:r>
              <w:rPr>
                <w:rFonts w:ascii="Arial;sans-serif" w:hAnsi="Arial;sans-serif"/>
                <w:b w:val="false"/>
                <w:color w:val="000000"/>
                <w:sz w:val="13"/>
              </w:rPr>
              <w:t>(b)</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Future income tax expense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Future net cash flows</w:t>
            </w:r>
          </w:p>
        </w:tc>
        <w:tc>
          <w:tcPr>
            <w:tcW w:w="1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 percent discount factor</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Standardized measure of discounted future net cash flows</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(a)Includes general and administrative expenses related to our field operations and taxes other than on income.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(b)Includes asset retirement costs.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the Standardized Measure of Discounted Future Net Cash Flows from Proved Reserve Quantities</w:t>
      </w:r>
    </w:p>
    <w:tbl>
      <w:tblPr>
        <w:tblW w:w="9926" w:type="dxa"/>
        <w:jc w:val="left"/>
        <w:tblInd w:w="0" w:type="dxa"/>
        <w:tblLayout w:type="fixed"/>
        <w:tblCellMar>
          <w:top w:w="28" w:type="dxa"/>
          <w:left w:w="28" w:type="dxa"/>
          <w:bottom w:w="28" w:type="dxa"/>
          <w:right w:w="28" w:type="dxa"/>
        </w:tblCellMar>
      </w:tblPr>
      <w:tblGrid>
        <w:gridCol w:w="2290"/>
        <w:gridCol w:w="2007"/>
        <w:gridCol w:w="2032"/>
        <w:gridCol w:w="211"/>
        <w:gridCol w:w="646"/>
        <w:gridCol w:w="109"/>
        <w:gridCol w:w="109"/>
        <w:gridCol w:w="109"/>
        <w:gridCol w:w="109"/>
        <w:gridCol w:w="211"/>
        <w:gridCol w:w="646"/>
        <w:gridCol w:w="109"/>
        <w:gridCol w:w="109"/>
        <w:gridCol w:w="109"/>
        <w:gridCol w:w="109"/>
        <w:gridCol w:w="211"/>
        <w:gridCol w:w="646"/>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 of oil and natural gas, net of production and other operating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price, net of production and other operating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Previously estimated development costs incurred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estimated future development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Extensions, discoveries and improved recovery, net of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Revisions of previous quantity estimates</w:t>
            </w:r>
            <w:r>
              <w:rPr>
                <w:rFonts w:ascii="Arial;sans-serif" w:hAnsi="Arial;sans-serif"/>
                <w:b w:val="false"/>
                <w:color w:val="000000"/>
                <w:sz w:val="13"/>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of discount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and sales of reserves in place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timing of estimated future production and 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change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(a)Includes revisions related to performance and price changes.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0520"/>
                <wp:effectExtent l="0" t="0" r="0" b="0"/>
                <wp:wrapNone/>
                <wp:docPr id="135" name="Frame1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SCHEDULE II - VALUATION AND QUALIFYING ACCOUNTS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32"/>
        <w:gridCol w:w="466"/>
        <w:gridCol w:w="473"/>
        <w:gridCol w:w="408"/>
        <w:gridCol w:w="933"/>
        <w:gridCol w:w="212"/>
        <w:gridCol w:w="109"/>
        <w:gridCol w:w="109"/>
        <w:gridCol w:w="109"/>
        <w:gridCol w:w="466"/>
        <w:gridCol w:w="1063"/>
        <w:gridCol w:w="241"/>
        <w:gridCol w:w="109"/>
        <w:gridCol w:w="109"/>
        <w:gridCol w:w="109"/>
        <w:gridCol w:w="481"/>
        <w:gridCol w:w="926"/>
        <w:gridCol w:w="250"/>
        <w:gridCol w:w="109"/>
        <w:gridCol w:w="109"/>
        <w:gridCol w:w="109"/>
        <w:gridCol w:w="335"/>
        <w:gridCol w:w="646"/>
        <w:gridCol w:w="175"/>
        <w:gridCol w:w="109"/>
        <w:gridCol w:w="109"/>
        <w:gridCol w:w="109"/>
        <w:gridCol w:w="350"/>
        <w:gridCol w:w="675"/>
        <w:gridCol w:w="265"/>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Charged (Credited)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Charged (Credited) to Other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Balance at End of Period</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5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w:t>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valuation allowance</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 valuation allowance</w:t>
            </w:r>
          </w:p>
        </w:tc>
        <w:tc>
          <w:tcPr>
            <w:tcW w:w="4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2022</w:t>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valuation allowance</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 valuation allowance</w:t>
            </w:r>
          </w:p>
        </w:tc>
        <w:tc>
          <w:tcPr>
            <w:tcW w:w="4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2021</w:t>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valuation allowance</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 valuation allowance</w:t>
            </w:r>
          </w:p>
        </w:tc>
        <w:tc>
          <w:tcPr>
            <w:tcW w:w="4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36" name="Frame1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both"/>
        <w:rPr>
          <w:rFonts w:ascii="Arial;sans-serif" w:hAnsi="Arial;sans-serif"/>
          <w:b/>
          <w:color w:val="000000"/>
          <w:sz w:val="20"/>
        </w:rPr>
      </w:pPr>
      <w:r>
        <w:rPr>
          <w:rFonts w:ascii="Arial;sans-serif" w:hAnsi="Arial;sans-serif"/>
          <w:b/>
          <w:color w:val="000000"/>
          <w:sz w:val="20"/>
        </w:rPr>
        <w:t xml:space="preserve">ITEM 9CHANGES IN AND DISAGREEMENTS WITH ACCOUNTANTS ON ACCOUNTING AND FINANCIAL DISCLOSURE </w:t>
      </w:r>
    </w:p>
    <w:p>
      <w:pPr>
        <w:pStyle w:val="TextBody"/>
        <w:bidi w:val="0"/>
        <w:spacing w:before="0" w:after="0"/>
        <w:ind w:left="0" w:right="0" w:firstLine="315"/>
        <w:jc w:val="both"/>
        <w:rPr/>
      </w:pPr>
      <w:r>
        <w:rPr/>
      </w:r>
    </w:p>
    <w:p>
      <w:pPr>
        <w:pStyle w:val="TextBody"/>
        <w:bidi w:val="0"/>
        <w:spacing w:lineRule="auto" w:line="288" w:before="0" w:after="0"/>
        <w:ind w:left="0" w:right="0" w:firstLine="315"/>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Arial;sans-serif" w:hAnsi="Arial;sans-serif"/>
          <w:b/>
          <w:color w:val="000000"/>
          <w:sz w:val="20"/>
        </w:rPr>
      </w:pPr>
      <w:r>
        <w:rPr>
          <w:rFonts w:ascii="Arial;sans-serif" w:hAnsi="Arial;sans-serif"/>
          <w:b/>
          <w:color w:val="000000"/>
          <w:sz w:val="20"/>
        </w:rPr>
        <w:t xml:space="preserve">ITEM 9ACONTROLS AND PROCEDURES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Management's Annual Assessment of and Report on Internal Control Over Financial Reporting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Our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management has assessed the effectiveness of our internal control system as of December 31, 2023 based on the criteria for effective internal control over financial reporting described in Internal Control – Integrated Framework issued in 2013 by the Committee of Sponsoring Organizations of the Treadway Commission (COSO). Based on this assessment, our management believes that, as of December 31, 2023, our system of internal control over financial reporting is effective.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independent auditors, KPMG LLP, have issued a report on our internal control over financial reporting, which is set forth in </w:t>
      </w:r>
      <w:r>
        <w:rPr>
          <w:rFonts w:ascii="Arial;sans-serif" w:hAnsi="Arial;sans-serif"/>
          <w:b w:val="false"/>
          <w:i/>
          <w:color w:val="000000"/>
          <w:sz w:val="20"/>
        </w:rPr>
        <w:t>Item 8 – Financial Statements and Supplementary Data.</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Evaluation of Disclosure Controls and Procedures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Our management, with the participation of our Chief Executive Officer (CEO) and Chief Financial Officer (CFO), has evaluated the effectiveness of our disclosure controls and procedures (as defined in Rules 13a-15(e) and 15d- 15(e) under the Securities Exchange Act of 1934, as amended (Exchange Act)), as of the end of the period covered by this Annual Report on Form 10-K. Based on that evaluation, our CEO and CFO have concluded that, as of December 31, 2023, our disclosure controls and procedures are effective and are designed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(as defined in Rules 13a-15(f) and 15d-15(f) of the Exchange Act of 1934) identified in management's evaluation pursuant to Rules 13a-15(d) or 15d-15(d) of the Exchange Act during the three months ended December 31, 2023 that have materially affected, or are reasonably likely to materially affect, our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Limitations on Effectiveness of Controls and Procedures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37" name="Frame1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Arial;sans-serif" w:hAnsi="Arial;sans-serif"/>
          <w:b/>
          <w:color w:val="000000"/>
          <w:sz w:val="20"/>
        </w:rPr>
      </w:pPr>
      <w:r>
        <w:rPr>
          <w:rFonts w:ascii="Arial;sans-serif" w:hAnsi="Arial;sans-serif"/>
          <w:b/>
          <w:color w:val="000000"/>
          <w:sz w:val="20"/>
        </w:rPr>
        <w:t xml:space="preserve">ITEM 9BOTHER INFORMATION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Director Departure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23, 2024, Julio M. Quintana informed the Board of Directors of his decision not to seek reelection as a director at the Company’s 2024 Annual Meeting of Stockholders (the “2024 Annual Meeting”). Mr. Quintana will continue to serve on the Board of Directors and applicable committees thereof for the remainder of his term as a director until the 2024 Annual Meeting. Mr. Quintana’s decision not to stand for reelection was not due to any disagreements with the Company on any matter regarding its operations, policies or practices. The Board thanks Mr. Quintana for his board service.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Rule 10b5-1 Trading Arrangements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During the year ended December 31, 2023, none of our directors or officers adopted or terminated a “Rule 10b5-1 trading arrangement” or “non-Rule 10b5-1 trading arrangement,” as each term is defined in Item 408 of Regulation S-K.</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Arial;sans-serif" w:hAnsi="Arial;sans-serif"/>
          <w:b/>
          <w:color w:val="000000"/>
          <w:sz w:val="20"/>
        </w:rPr>
      </w:pPr>
      <w:r>
        <w:rPr>
          <w:rFonts w:ascii="Arial;sans-serif" w:hAnsi="Arial;sans-serif"/>
          <w:b/>
          <w:color w:val="000000"/>
          <w:sz w:val="20"/>
        </w:rPr>
        <w:t xml:space="preserve">ITEM 9CDISCLOSURE REGARDING FOREIGN JURISDICTIONS THAT PREVENT INSPECTIONS </w:t>
      </w:r>
    </w:p>
    <w:p>
      <w:pPr>
        <w:pStyle w:val="TextBody"/>
        <w:bidi w:val="0"/>
        <w:spacing w:before="0" w:after="0"/>
        <w:jc w:val="left"/>
        <w:rPr/>
      </w:pPr>
      <w:r>
        <w:rPr/>
      </w:r>
    </w:p>
    <w:p>
      <w:pPr>
        <w:pStyle w:val="TextBody"/>
        <w:bidi w:val="0"/>
        <w:spacing w:lineRule="auto" w:line="288" w:before="0" w:after="160"/>
        <w:ind w:left="0" w:right="0" w:firstLine="36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38" name="Frame1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both"/>
        <w:rPr>
          <w:rFonts w:ascii="Arial;sans-serif" w:hAnsi="Arial;sans-serif"/>
          <w:b/>
          <w:color w:val="000000"/>
          <w:sz w:val="20"/>
        </w:rPr>
      </w:pPr>
      <w:r>
        <w:rPr>
          <w:rFonts w:ascii="Arial;sans-serif" w:hAnsi="Arial;sans-serif"/>
          <w:b/>
          <w:color w:val="000000"/>
          <w:sz w:val="20"/>
        </w:rPr>
        <w:t xml:space="preserve">ITEM 10DIRECTORS, EXECUTIVE OFFICERS AND CORPORATE GOVERNANCE </w:t>
      </w:r>
    </w:p>
    <w:p>
      <w:pPr>
        <w:pStyle w:val="TextBody"/>
        <w:bidi w:val="0"/>
        <w:spacing w:before="0" w:after="0"/>
        <w:ind w:left="0" w:right="0" w:firstLine="315"/>
        <w:jc w:val="both"/>
        <w:rPr/>
      </w:pPr>
      <w:r>
        <w:rPr/>
      </w:r>
    </w:p>
    <w:p>
      <w:pPr>
        <w:pStyle w:val="TextBody"/>
        <w:bidi w:val="0"/>
        <w:spacing w:lineRule="auto" w:line="288" w:before="0" w:after="0"/>
        <w:ind w:left="0" w:right="0" w:firstLine="315"/>
        <w:jc w:val="left"/>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Proxy Statement for the 2024 Annual Meeting of Stockholders, which will be filed with the SEC within 120 days of the fiscal year ended December 31, 2023 (2024 Proxy Statement). See the list of our executive officers and related information below.</w:t>
      </w:r>
    </w:p>
    <w:p>
      <w:pPr>
        <w:pStyle w:val="TextBody"/>
        <w:bidi w:val="0"/>
        <w:spacing w:before="0" w:after="0"/>
        <w:ind w:left="0" w:right="0" w:firstLine="315"/>
        <w:jc w:val="left"/>
        <w:rPr/>
      </w:pPr>
      <w:r>
        <w:rPr/>
      </w:r>
    </w:p>
    <w:p>
      <w:pPr>
        <w:pStyle w:val="TextBody"/>
        <w:bidi w:val="0"/>
        <w:spacing w:lineRule="auto" w:line="288" w:before="0" w:after="0"/>
        <w:ind w:left="0" w:right="0" w:firstLine="315"/>
        <w:jc w:val="left"/>
        <w:rPr>
          <w:rFonts w:ascii="Arial;sans-serif" w:hAnsi="Arial;sans-serif"/>
          <w:b w:val="false"/>
          <w:color w:val="000000"/>
          <w:sz w:val="20"/>
        </w:rPr>
      </w:pPr>
      <w:r>
        <w:rPr>
          <w:rFonts w:ascii="Arial;sans-serif" w:hAnsi="Arial;sans-serif"/>
          <w:b w:val="false"/>
          <w:color w:val="000000"/>
          <w:sz w:val="20"/>
        </w:rPr>
        <w:t xml:space="preserve">Our board of directors has adopted a code of business conduct applicable to all officers, directors and employees, which is available on our website (www.crc.com). We intend to satisfy the disclosure requirement under Item 5.05 of Form 8-K regarding amendment to, or waiver from, a provision of our code of business conduct by posting such information on our website at the address specified above. </w:t>
      </w:r>
    </w:p>
    <w:p>
      <w:pPr>
        <w:pStyle w:val="TextBody"/>
        <w:bidi w:val="0"/>
        <w:spacing w:before="0" w:after="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EXECUTIVE OFFICERS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Executive officers are appointed annually by the Board of Directors. The following table sets forth our current executive officers:</w:t>
      </w:r>
    </w:p>
    <w:tbl>
      <w:tblPr>
        <w:tblW w:w="10205" w:type="dxa"/>
        <w:jc w:val="center"/>
        <w:tblInd w:w="0" w:type="dxa"/>
        <w:tblLayout w:type="fixed"/>
        <w:tblCellMar>
          <w:top w:w="28" w:type="dxa"/>
          <w:left w:w="28" w:type="dxa"/>
          <w:bottom w:w="28" w:type="dxa"/>
          <w:right w:w="28" w:type="dxa"/>
        </w:tblCellMar>
      </w:tblPr>
      <w:tblGrid>
        <w:gridCol w:w="409"/>
        <w:gridCol w:w="358"/>
        <w:gridCol w:w="363"/>
        <w:gridCol w:w="109"/>
        <w:gridCol w:w="109"/>
        <w:gridCol w:w="109"/>
        <w:gridCol w:w="2351"/>
        <w:gridCol w:w="2299"/>
        <w:gridCol w:w="2306"/>
        <w:gridCol w:w="109"/>
        <w:gridCol w:w="109"/>
        <w:gridCol w:w="109"/>
        <w:gridCol w:w="427"/>
        <w:gridCol w:w="427"/>
        <w:gridCol w:w="611"/>
      </w:tblGrid>
      <w:tr>
        <w:trPr/>
        <w:tc>
          <w:tcPr>
            <w:tcW w:w="4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Employment History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Age at February 28, 2024</w:t>
            </w:r>
          </w:p>
        </w:tc>
      </w:tr>
      <w:tr>
        <w:trPr/>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Francisco J. Leon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President, Chief Executive Officer and Director since 2023; Executive Vice President and Chief Financial Officer 2020-2023; Executive Vice President - Corporate Development and Strategic Planning 2018 to 2020; Vice President - Portfolio Management and Strategic Planning 2014 to 2018; Occidental Director - Portfolio Management 2012 to 2014; Occidental Director of Corporate Development and M&amp;A 2010 to 2012; Occidental Manager of Business Development 2008 to 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Manuela (Nelly) Molina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since 2023; Sempra Energy Vice President of Audit Services 2022 to 2023 and Vice President Investor Relations 2020 to 2022; IEnova (a Sempra company) Chief Financial Officer 2017 to 2020 and Vice President Finance 2010 to 2017; El Paso Corp. Vice President Finance and Controller 2001 to 2010; Gas Natural de Noroeste General Manager 1999 to 2001 and Controller 1997 to 1999.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Omar Hayat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Operations since 2023; Senior Vice President Operations 2023; Vice President of Operations for Elk Hills production complex from 2021 - 2023; Operations Manager 2019 to 2021; various technical and operational positions with the Company, Occidental Petroleum, Aera Energy and Engro Chemical (formerly Exxon Chemical) 1997 - 2019.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L. Preston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Chief Strategy Officer and General Counsel since 2023; Executive Vice President, Chief Administrative Officer and General Counsel 2019 to 2023; Executive Vice President, General Counsel and Corporate Secretary 2014 to 2019; Occidental Oil and Gas Vice President and General Counsel 2001 to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Jay A. Bys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Commercial Officer since 2021; Private Energy Advisor 2019 to 2020 and 2015 to 2016; GenOn Energy and affiliate companies Chief Commercial Officer 2017 to 2018; Luminant Energy Vice President Origination and Capital Management 2007 to 2014; TXU, Enserch Energy various positions 1997 to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 D. Gould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Sustainability Officer since 2021; Exelon Corporation Senior Vice President Corporate Strategy and Chief Innovation and Sustainability Officer 2010 to 2021; Exelon Corporation Vice President, Corporate Financial Planning and Analysis 2008 to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39" name="Frame1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left"/>
        <w:rPr>
          <w:rFonts w:ascii="Arial;sans-serif" w:hAnsi="Arial;sans-serif"/>
          <w:b/>
          <w:color w:val="000000"/>
          <w:sz w:val="20"/>
        </w:rPr>
      </w:pPr>
      <w:r>
        <w:rPr>
          <w:rFonts w:ascii="Arial;sans-serif" w:hAnsi="Arial;sans-serif"/>
          <w:b/>
          <w:color w:val="000000"/>
          <w:sz w:val="20"/>
        </w:rPr>
        <w:t xml:space="preserve">ITEM 11EXECUTIVE COMPENSATION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information required by this item is incorporated by reference from our 2024 Proxy Statement. Pursuant to the rules and regulations under the Exchange Act, the information in the </w:t>
      </w:r>
      <w:r>
        <w:rPr>
          <w:rFonts w:ascii="Arial;sans-serif" w:hAnsi="Arial;sans-serif"/>
          <w:b w:val="false"/>
          <w:i/>
          <w:color w:val="000000"/>
          <w:sz w:val="20"/>
        </w:rPr>
        <w:t xml:space="preserve">Compensation Discussion and Analysis – Compensation Committee Report </w:t>
      </w:r>
      <w:r>
        <w:rPr>
          <w:rFonts w:ascii="Arial;sans-serif" w:hAnsi="Arial;sans-serif"/>
          <w:b w:val="false"/>
          <w:color w:val="000000"/>
          <w:sz w:val="20"/>
        </w:rPr>
        <w:t xml:space="preserve">section shall not be deemed to be "soliciting material," or to be "filed" with the SEC, or subject to Regulation 14A or 14C under the Exchange Act or to the liabilities under Section 18 of the Exchange Act, nor shall it be deemed incorporated by reference into any filing under the Securities Act of 1933.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both"/>
        <w:rPr>
          <w:rFonts w:ascii="Arial;sans-serif" w:hAnsi="Arial;sans-serif"/>
          <w:b/>
          <w:color w:val="000000"/>
          <w:sz w:val="20"/>
        </w:rPr>
      </w:pPr>
      <w:r>
        <w:rPr>
          <w:rFonts w:ascii="Arial;sans-serif" w:hAnsi="Arial;sans-serif"/>
          <w:b/>
          <w:color w:val="000000"/>
          <w:sz w:val="20"/>
        </w:rPr>
        <w:t xml:space="preserve">ITEM 12SECURITY OWNERSHIP OF CERTAIN BENEFICIAL OWNERS AND MANAGEMENT AND RELATED STOCKHOLDER MATTERS </w:t>
      </w:r>
    </w:p>
    <w:p>
      <w:pPr>
        <w:pStyle w:val="TextBody"/>
        <w:bidi w:val="0"/>
        <w:spacing w:before="0" w:after="0"/>
        <w:ind w:left="0" w:right="0" w:firstLine="315"/>
        <w:jc w:val="both"/>
        <w:rPr/>
      </w:pPr>
      <w:r>
        <w:rPr/>
      </w:r>
    </w:p>
    <w:p>
      <w:pPr>
        <w:pStyle w:val="TextBody"/>
        <w:bidi w:val="0"/>
        <w:spacing w:lineRule="auto" w:line="288" w:before="0" w:after="0"/>
        <w:ind w:left="0" w:right="0" w:firstLine="315"/>
        <w:jc w:val="left"/>
        <w:rPr/>
      </w:pPr>
      <w:r>
        <w:rPr>
          <w:rFonts w:ascii="Arial;sans-serif" w:hAnsi="Arial;sans-serif"/>
          <w:b w:val="false"/>
          <w:color w:val="000000"/>
          <w:sz w:val="20"/>
        </w:rPr>
        <w:t xml:space="preserve">The information required by this item is incorporated by reference from our 2024 Proxy Statement. See also </w:t>
      </w:r>
      <w:r>
        <w:rPr>
          <w:rFonts w:ascii="Arial;sans-serif" w:hAnsi="Arial;sans-serif"/>
          <w:b w:val="false"/>
          <w:i/>
          <w:color w:val="000000"/>
          <w:sz w:val="20"/>
        </w:rPr>
        <w:t>Part II, Item 5 – Market for Registrant's Common Equity, Related Stockholder Matters and Issuer Purchases of Equity Securities – Securities Authorized for Issuance Under Equity Compensation Plans</w:t>
      </w:r>
      <w:r>
        <w:rPr>
          <w:rFonts w:ascii="Arial;sans-serif" w:hAnsi="Arial;sans-serif"/>
          <w:b w:val="false"/>
          <w:color w:val="000000"/>
          <w:sz w:val="20"/>
        </w:rPr>
        <w:t>.</w:t>
      </w:r>
    </w:p>
    <w:p>
      <w:pPr>
        <w:pStyle w:val="TextBody"/>
        <w:bidi w:val="0"/>
        <w:spacing w:before="0" w:after="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both"/>
        <w:rPr>
          <w:rFonts w:ascii="Arial;sans-serif" w:hAnsi="Arial;sans-serif"/>
          <w:b/>
          <w:color w:val="000000"/>
          <w:sz w:val="20"/>
        </w:rPr>
      </w:pPr>
      <w:r>
        <w:rPr>
          <w:rFonts w:ascii="Arial;sans-serif" w:hAnsi="Arial;sans-serif"/>
          <w:b/>
          <w:color w:val="000000"/>
          <w:sz w:val="20"/>
        </w:rPr>
        <w:t xml:space="preserve">ITEM 13CERTAIN RELATIONSHIPS AND RELATED TRANSACTIONS AND DIRECTOR INDEPENDENCE </w:t>
      </w:r>
    </w:p>
    <w:p>
      <w:pPr>
        <w:pStyle w:val="TextBody"/>
        <w:bidi w:val="0"/>
        <w:spacing w:before="0" w:after="0"/>
        <w:ind w:left="0" w:right="0" w:firstLine="315"/>
        <w:jc w:val="both"/>
        <w:rPr/>
      </w:pPr>
      <w:r>
        <w:rPr/>
      </w:r>
    </w:p>
    <w:p>
      <w:pPr>
        <w:pStyle w:val="TextBody"/>
        <w:bidi w:val="0"/>
        <w:spacing w:lineRule="auto" w:line="288" w:before="0" w:after="0"/>
        <w:ind w:left="0" w:right="0" w:firstLine="315"/>
        <w:jc w:val="left"/>
        <w:rPr/>
      </w:pPr>
      <w:r>
        <w:rPr>
          <w:rFonts w:ascii="Arial;sans-serif" w:hAnsi="Arial;sans-serif"/>
          <w:b w:val="false"/>
          <w:color w:val="000000"/>
          <w:sz w:val="20"/>
        </w:rPr>
        <w:t>The information required by this item is incorporated by reference from our 2024 Proxy Statement</w:t>
      </w:r>
      <w:r>
        <w:rPr>
          <w:rFonts w:ascii="Arial;sans-serif" w:hAnsi="Arial;sans-serif"/>
          <w:b w:val="false"/>
          <w:i/>
          <w:color w:val="000000"/>
          <w:sz w:val="20"/>
        </w:rPr>
        <w:t>.</w:t>
      </w:r>
      <w:r>
        <w:rPr>
          <w:color w:val="000000"/>
        </w:rPr>
        <w:t xml:space="preserve"> </w:t>
      </w:r>
    </w:p>
    <w:p>
      <w:pPr>
        <w:pStyle w:val="TextBody"/>
        <w:bidi w:val="0"/>
        <w:spacing w:before="0" w:after="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both"/>
        <w:rPr>
          <w:rFonts w:ascii="Arial;sans-serif" w:hAnsi="Arial;sans-serif"/>
          <w:b/>
          <w:color w:val="000000"/>
          <w:sz w:val="20"/>
        </w:rPr>
      </w:pPr>
      <w:r>
        <w:rPr>
          <w:rFonts w:ascii="Arial;sans-serif" w:hAnsi="Arial;sans-serif"/>
          <w:b/>
          <w:color w:val="000000"/>
          <w:sz w:val="20"/>
        </w:rPr>
        <w:t xml:space="preserve">ITEM 14PRINCIPAL ACCOUNTANT FEES AND SERVICES </w:t>
      </w:r>
    </w:p>
    <w:p>
      <w:pPr>
        <w:pStyle w:val="TextBody"/>
        <w:bidi w:val="0"/>
        <w:spacing w:before="0" w:after="0"/>
        <w:ind w:left="0" w:right="0" w:firstLine="315"/>
        <w:jc w:val="both"/>
        <w:rPr/>
      </w:pPr>
      <w:r>
        <w:rPr/>
      </w:r>
    </w:p>
    <w:p>
      <w:pPr>
        <w:pStyle w:val="TextBody"/>
        <w:bidi w:val="0"/>
        <w:spacing w:lineRule="auto" w:line="288" w:before="0" w:after="0"/>
        <w:ind w:left="0" w:right="0" w:firstLine="315"/>
        <w:jc w:val="left"/>
        <w:rPr>
          <w:rFonts w:ascii="Arial;sans-serif" w:hAnsi="Arial;sans-serif"/>
          <w:b w:val="false"/>
          <w:color w:val="000000"/>
          <w:sz w:val="20"/>
        </w:rPr>
      </w:pPr>
      <w:r>
        <w:rPr>
          <w:rFonts w:ascii="Arial;sans-serif" w:hAnsi="Arial;sans-serif"/>
          <w:b w:val="false"/>
          <w:color w:val="000000"/>
          <w:sz w:val="20"/>
        </w:rPr>
        <w:t>Our independent registered public accounting firm is KPMG LLP, Los Angeles, CA, Auditor ID: 185.</w:t>
      </w:r>
    </w:p>
    <w:p>
      <w:pPr>
        <w:pStyle w:val="TextBody"/>
        <w:bidi w:val="0"/>
        <w:spacing w:before="0" w:after="0"/>
        <w:ind w:left="0" w:right="0" w:firstLine="315"/>
        <w:jc w:val="left"/>
        <w:rPr/>
      </w:pPr>
      <w:r>
        <w:rPr/>
      </w:r>
    </w:p>
    <w:p>
      <w:pPr>
        <w:pStyle w:val="TextBody"/>
        <w:bidi w:val="0"/>
        <w:spacing w:lineRule="auto" w:line="288" w:before="0" w:after="0"/>
        <w:ind w:left="0" w:right="0" w:firstLine="315"/>
        <w:jc w:val="left"/>
        <w:rPr>
          <w:rFonts w:ascii="Arial;sans-serif" w:hAnsi="Arial;sans-serif"/>
          <w:b w:val="false"/>
          <w:color w:val="000000"/>
          <w:sz w:val="20"/>
        </w:rPr>
      </w:pPr>
      <w:r>
        <w:rPr>
          <w:rFonts w:ascii="Arial;sans-serif" w:hAnsi="Arial;sans-serif"/>
          <w:b w:val="false"/>
          <w:color w:val="000000"/>
          <w:sz w:val="20"/>
        </w:rPr>
        <w:t xml:space="preserve">The information required by this item is incorporated by reference from our 2024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0520"/>
                <wp:effectExtent l="0" t="0" r="0" b="0"/>
                <wp:wrapNone/>
                <wp:docPr id="140" name="Frame1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ITEM 15</w:t>
      </w:r>
      <w:r>
        <w:rPr>
          <w:rFonts w:ascii="Arial;sans-serif" w:hAnsi="Arial;sans-serif"/>
          <w:b/>
          <w:color w:val="000000"/>
          <w:sz w:val="20"/>
        </w:rPr>
        <w:t xml:space="preserve">EXHIBITS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agreements included as exhibits to this report are included to provide information about their terms and not to provide any other factual or disclosure information about us or the other parties to the agreements. The agreements contain representations and warranties by each of the parties to the applicable agreement that were made solely for the benefit of the other agreement parties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should not be treated as categorical statements of fact, but rather as a way of allocating the risk among the parties if those statements prove to be inaccurate;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have been qualified by disclosures that were made to the other party in connection with the negotiation of the applicable agreement, which disclosures are not necessarily reflected in the agreement;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may apply standards of materiality in a way that is different from the way the Company and investors may view materiality;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were made only as of the date of the applicable agreement or such other date or dates as may be specified in the agreement and are subject to more recent developments.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 (1) and (2). Financial Statements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Reference is made to Item 8 of the Table of Contents of this report where these documents are listed.</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 (3). Exhibits</w:t>
      </w:r>
    </w:p>
    <w:tbl>
      <w:tblPr>
        <w:tblW w:w="10205" w:type="dxa"/>
        <w:jc w:val="center"/>
        <w:tblInd w:w="0" w:type="dxa"/>
        <w:tblLayout w:type="fixed"/>
        <w:tblCellMar>
          <w:top w:w="28" w:type="dxa"/>
          <w:left w:w="28" w:type="dxa"/>
          <w:bottom w:w="28" w:type="dxa"/>
          <w:right w:w="28" w:type="dxa"/>
        </w:tblCellMar>
      </w:tblPr>
      <w:tblGrid>
        <w:gridCol w:w="302"/>
        <w:gridCol w:w="265"/>
        <w:gridCol w:w="267"/>
        <w:gridCol w:w="2945"/>
        <w:gridCol w:w="2649"/>
        <w:gridCol w:w="3777"/>
      </w:tblGrid>
      <w:tr>
        <w:trPr/>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Number</w:t>
            </w:r>
          </w:p>
        </w:tc>
        <w:tc>
          <w:tcPr>
            <w:tcW w:w="93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Description</w:t>
            </w:r>
          </w:p>
        </w:tc>
      </w:tr>
      <w:tr>
        <w:trPr/>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9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Separation and Distribution Agreement, dated as of November 25, 2014, between Occidental Petroleum Corporation and California Resources Corporation (filed as Exhibit 2.1 to the Registrant’s Current Report on Form 8-K filed December 1, 2014 and incorporated herein by reference).</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Amended Debtors’ Joint Plan of Reorganization Under Chapter 11 of the Bankruptcy Code (filed as Exhibit 2.1 to the Registrant’s Current Report on Form 8-K filed October 19, 2020 and incorporated herein by reference).</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80"/>
                  <w:sz w:val="20"/>
                  <w:u w:val="single"/>
                </w:rPr>
                <w:t xml:space="preserve">Agreement and Plan of Merger, dated February 7, 2024, </w:t>
              </w:r>
            </w:hyperlink>
            <w:hyperlink r:id="rId6">
              <w:r>
                <w:rPr>
                  <w:rStyle w:val="InternetLink"/>
                  <w:rFonts w:ascii="Arial;sans-serif" w:hAnsi="Arial;sans-serif"/>
                  <w:b w:val="false"/>
                  <w:color w:val="000080"/>
                  <w:sz w:val="20"/>
                  <w:u w:val="single"/>
                </w:rPr>
                <w:t>between</w:t>
              </w:r>
            </w:hyperlink>
            <w:hyperlink r:id="rId7">
              <w:r>
                <w:rPr>
                  <w:rStyle w:val="InternetLink"/>
                  <w:rFonts w:ascii="Arial;sans-serif" w:hAnsi="Arial;sans-serif"/>
                  <w:b w:val="false"/>
                  <w:color w:val="000080"/>
                  <w:sz w:val="20"/>
                  <w:u w:val="single"/>
                </w:rPr>
                <w:t xml:space="preserve"> California Resources Corporation</w:t>
              </w:r>
            </w:hyperlink>
            <w:hyperlink r:id="rId8">
              <w:r>
                <w:rPr>
                  <w:rStyle w:val="InternetLink"/>
                  <w:rFonts w:ascii="Arial;sans-serif" w:hAnsi="Arial;sans-serif"/>
                  <w:b w:val="false"/>
                  <w:color w:val="000080"/>
                  <w:sz w:val="20"/>
                  <w:u w:val="single"/>
                </w:rPr>
                <w:t xml:space="preserve"> and </w:t>
              </w:r>
            </w:hyperlink>
            <w:hyperlink r:id="rId9">
              <w:r>
                <w:rPr>
                  <w:rStyle w:val="InternetLink"/>
                  <w:rFonts w:ascii="Arial;sans-serif" w:hAnsi="Arial;sans-serif"/>
                  <w:b w:val="false"/>
                  <w:color w:val="000080"/>
                  <w:sz w:val="20"/>
                  <w:u w:val="single"/>
                </w:rPr>
                <w:t>Petra Merger Sub I, LLC, Petra Merger Sub C, LLC, Petra Merger Sub O, LLC, Petra Merger Sub O2, LLC, Petra Merger Sub O3, LLC, each a Delaware limited liability company and a wholly-owned direct subsidiary of the Company, Petra Merger Sub S, LLC, a Delaware limited liability company and a wholly-owned direct subsidiary of the Company,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(as defined in the Merger Agreement), IKAV Impact S.a.r.l., a Luxembourg corporation, Simlog Inc., a Delaware corporation, and IKAV Energy Inc., a Delaware corporation, CPP Investment Board Private Holdings (6), Inc., a Canadian corporation, OCM Opps Xb AIF Holdings (Delaware), L.P., a Delaware limited partnership, Oaktree Huntington Investment Fund II AIF (Delaware), L.P. – Class C, a Delaware limited partnership, OCM Opps XI AIV Holdings (Delaware), L.P., a Delaware limited partnership and OCM Aera E Holdings, LLC, a Delaware limited liability company.</w:t>
              </w:r>
            </w:hyperlink>
            <w:hyperlink r:id="rId10">
              <w:r>
                <w:rPr>
                  <w:rStyle w:val="InternetLink"/>
                  <w:rFonts w:ascii="Arial;sans-serif" w:hAnsi="Arial;sans-serif"/>
                  <w:b w:val="false"/>
                  <w:color w:val="000080"/>
                  <w:sz w:val="20"/>
                  <w:u w:val="single"/>
                </w:rPr>
                <w:t xml:space="preserve"> </w:t>
              </w:r>
            </w:hyperlink>
            <w:hyperlink r:id="rId11">
              <w:r>
                <w:rPr>
                  <w:rStyle w:val="InternetLink"/>
                  <w:rFonts w:ascii="Arial;sans-serif" w:hAnsi="Arial;sans-serif"/>
                  <w:b w:val="false"/>
                  <w:color w:val="000080"/>
                  <w:sz w:val="20"/>
                  <w:u w:val="single"/>
                </w:rPr>
                <w:t>(filed as Exhi</w:t>
              </w:r>
            </w:hyperlink>
            <w:hyperlink r:id="rId12">
              <w:r>
                <w:rPr>
                  <w:rStyle w:val="InternetLink"/>
                  <w:rFonts w:ascii="Arial;sans-serif" w:hAnsi="Arial;sans-serif"/>
                  <w:b w:val="false"/>
                  <w:color w:val="000080"/>
                  <w:sz w:val="20"/>
                  <w:u w:val="single"/>
                </w:rPr>
                <w:t>bit 10.1 to the Registrant's Cur</w:t>
              </w:r>
            </w:hyperlink>
            <w:hyperlink r:id="rId13">
              <w:r>
                <w:rPr>
                  <w:rStyle w:val="InternetLink"/>
                  <w:rFonts w:ascii="Arial;sans-serif" w:hAnsi="Arial;sans-serif"/>
                  <w:b w:val="false"/>
                  <w:color w:val="000080"/>
                  <w:sz w:val="20"/>
                  <w:u w:val="single"/>
                </w:rPr>
                <w:t>rent Report on Form 8-K fi</w:t>
              </w:r>
            </w:hyperlink>
            <w:hyperlink r:id="rId14">
              <w:r>
                <w:rPr>
                  <w:rStyle w:val="InternetLink"/>
                  <w:rFonts w:ascii="Arial;sans-serif" w:hAnsi="Arial;sans-serif"/>
                  <w:b w:val="false"/>
                  <w:color w:val="000080"/>
                  <w:sz w:val="20"/>
                  <w:u w:val="single"/>
                </w:rPr>
                <w:t xml:space="preserve">led February </w:t>
              </w:r>
            </w:hyperlink>
            <w:hyperlink r:id="rId15">
              <w:r>
                <w:rPr>
                  <w:rStyle w:val="InternetLink"/>
                  <w:rFonts w:ascii="Arial;sans-serif" w:hAnsi="Arial;sans-serif"/>
                  <w:b w:val="false"/>
                  <w:color w:val="000080"/>
                  <w:sz w:val="20"/>
                  <w:u w:val="single"/>
                </w:rPr>
                <w:t>9, 2024 and incorporated herein by re</w:t>
              </w:r>
            </w:hyperlink>
            <w:hyperlink r:id="rId16">
              <w:r>
                <w:rPr>
                  <w:rStyle w:val="InternetLink"/>
                  <w:rFonts w:ascii="Arial;sans-serif" w:hAnsi="Arial;sans-serif"/>
                  <w:b w:val="false"/>
                  <w:color w:val="000080"/>
                  <w:sz w:val="20"/>
                  <w:u w:val="single"/>
                </w:rPr>
                <w:t>ference).</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Amended and Restated Certificate of Incorporation of California Resources Corporation (filed as Exhibit 3.1 to the Registrant’s Registration Statement on Form 8-A filed October 27, 2020 and incorporated herein by reference).</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80"/>
                  <w:sz w:val="20"/>
                  <w:u w:val="single"/>
                </w:rPr>
                <w:t xml:space="preserve">Certificate of Amendment of Amended and Restated Certificate of Incorporation of California Resources Corporation (filed as Exhibit 3.1 to Registrant’s Current Report on Form 8-K filed on May 6, 2022 and incorporated </w:t>
              </w:r>
            </w:hyperlink>
            <w:hyperlink r:id="rId19">
              <w:r>
                <w:rPr>
                  <w:rStyle w:val="InternetLink"/>
                  <w:rFonts w:ascii="Arial;sans-serif" w:hAnsi="Arial;sans-serif"/>
                  <w:b w:val="false"/>
                  <w:color w:val="000080"/>
                  <w:sz w:val="20"/>
                  <w:u w:val="single"/>
                </w:rPr>
                <w:t xml:space="preserve">herein </w:t>
              </w:r>
            </w:hyperlink>
            <w:hyperlink r:id="rId20">
              <w:r>
                <w:rPr>
                  <w:rStyle w:val="InternetLink"/>
                  <w:rFonts w:ascii="Arial;sans-serif" w:hAnsi="Arial;sans-serif"/>
                  <w:b w:val="false"/>
                  <w:color w:val="000080"/>
                  <w:sz w:val="20"/>
                  <w:u w:val="single"/>
                </w:rPr>
                <w:t>by reference).</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1, 2023 and incorporated herein by reference).</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3.4</w:t>
            </w:r>
          </w:p>
        </w:tc>
        <w:tc>
          <w:tcPr>
            <w:tcW w:w="93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Amended and Restated Bylaws of California Resources Corporation (filed as Exhibit 3.2 to the Registrant’s Registration Statement on Form 8-A filed October 27, 2020 and incorporated herein by reference).</w:t>
              </w:r>
            </w:hyperlink>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0520"/>
                <wp:effectExtent l="0" t="0" r="0" b="0"/>
                <wp:wrapNone/>
                <wp:docPr id="141" name="Frame1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33"/>
        <w:gridCol w:w="293"/>
        <w:gridCol w:w="295"/>
        <w:gridCol w:w="2950"/>
        <w:gridCol w:w="2611"/>
        <w:gridCol w:w="3723"/>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23" w:type="dxa"/>
            <w:tcBorders/>
            <w:vAlign w:val="center"/>
          </w:tcPr>
          <w:p>
            <w:pPr>
              <w:pStyle w:val="TableContents"/>
              <w:bidi w:val="0"/>
              <w:spacing w:before="0" w:after="283"/>
              <w:jc w:val="left"/>
              <w:rPr>
                <w:sz w:val="4"/>
                <w:szCs w:val="4"/>
              </w:rPr>
            </w:pPr>
            <w:r>
              <w:rPr>
                <w:sz w:val="4"/>
                <w:szCs w:val="4"/>
              </w:rPr>
            </w:r>
          </w:p>
        </w:tc>
      </w:tr>
      <w:tr>
        <w:trPr/>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Number</w:t>
            </w:r>
          </w:p>
        </w:tc>
        <w:tc>
          <w:tcPr>
            <w:tcW w:w="92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Description</w:t>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20"/>
                  <w:u w:val="single"/>
                </w:rPr>
                <w:t>Description of Registrant's Securities (filed as Exhibit 4.1 to the Registrant's Annual Report on Form 10-K filed March 11, 2021 and incorporated herein by reference).</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20"/>
                  <w:u w:val="single"/>
                </w:rPr>
                <w:t>Indenture, dated January 20, 2021, by and among California Resources Corporation, the Guarantors and Wilmington Trust, National Association (filed as Exhibit 4.1 to the Registrant's Current Report on Form 8-K filed January 21, 2021 and incorporated herein by reference).</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First Supplemental Indenture, dated January 20, 2021, by and among California Resources Corporation, the Guarantors, Elk Hills Power, LLC, EHP Midco Holding Company, LLC, EHP Topco Holding Company, LLC and Wilmington Trust, National Association (filed as Exhibit 4.2 to the Registrant's Current Report on Form 8-K filed January 21, 2021 and incorporated herein by reference).</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20"/>
                  <w:u w:val="single"/>
                </w:rPr>
                <w:t>Contractors' Agreement, by and between the City of Long Beach, Humble Oil &amp; Refining Company, Shell Oil Company, Socony Mobil Oil Company, Inc., Texaco, Inc., Union Oil Company of California, Pauley Petroleum, Inc., Allied Chemical Corporation, Richfield Oil Corporation and Standard Oil Company of California (filed as Exhibit 10.12 to Amendment No. 2 to the Registrant's Registration Statement on Form 10 filed August 20, 2014, and incorporated herein by reference).</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20"/>
                  <w:u w:val="single"/>
                </w:rPr>
                <w:t>Agreement for Implementation of an Optimized Waterflood Program for the Long Beach Unit, dated November 5, 1991, by and among the State of California, by and through the State Lands Commission, the City of Long Beach, Atlantic Richfield Company and ARCO Long Beach, Inc. (filed as Exhibit 10.10 to Amendment No. 2 to the Registrant's Registration Statement on Form 10 filed August 20, 2014 and incorporated herein by reference.</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20"/>
                  <w:u w:val="single"/>
                </w:rPr>
                <w:t xml:space="preserve">Amendment to the Agreement for Implementation of an Optimized Waterflood Program for the Long Beach Unit, dated January 16, 2009, by and among the State of California, by and through the State Lands Commission, the City of Long Beach, and Oxy Long Beach, Inc. (filed as Exhibit 10.11 to Amendment No. 2 to the Registrant's Registration Statement on Form 10 filed August 20, 2014, and incorporated herein by reference). </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20"/>
                  <w:u w:val="single"/>
                </w:rPr>
                <w:t xml:space="preserve">Intellectual Property License Agreement, dated November 25, 2014, between Occidental Petroleum Corporation and California Resources Corporation (filed as Exhibit 10.7 to the Registrant's Current Report on Form 8-K filed December 1, 2014 and incorporated herein by reference). </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20"/>
                  <w:u w:val="single"/>
                </w:rPr>
                <w:t xml:space="preserve">Area of Mutual Interest Agreement, dated November 25, 2014, between Occidental Petroleum Corporation and California Resources Corporation (filed as Exhibit 10.5 to the Registrant's Current Report on Form 8-K filed December 1, 2014 and incorporated herein by reference). </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20"/>
                  <w:u w:val="single"/>
                </w:rPr>
                <w:t>Confidentiality and Trade Secret Protection Agreement, dated November 25, 2014, by and between Occidental Petroleum Corporation and California Resources Corporation, dated November 24, 2014 (filed as Exhibit 10.6 to the Registrant's Current Report on Form 8-K filed on December 1, 2014, and incorporated herein by reference).</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20"/>
                  <w:u w:val="single"/>
                </w:rPr>
                <w:t>Warrant Agreement, dated as of October 27, 2020, by and between California Resources Corporation and American Stock Transfer &amp; Trust Company, LLC, as Warrant Agent (filed as Exhibit 10.4 to the Registrant’s Current Report on Form 8-K filed November 2, 2020 and incorporated herein by reference).</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10.8</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20"/>
                  <w:u w:val="single"/>
                </w:rPr>
                <w:t>Registration Rights Agreement, dated as of October 27, 2020, by and among California Resources Corporation and the holders party thereto (filed as Exhibit 10.1 to the Registrant's Registration Statement on Form 8-A filed October 27, 2020 and incorporated herein by reference).</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10.9</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80"/>
                  <w:sz w:val="20"/>
                  <w:u w:val="single"/>
                </w:rPr>
                <w:t xml:space="preserve">Amended and Restated </w:t>
              </w:r>
            </w:hyperlink>
            <w:hyperlink r:id="rId35">
              <w:r>
                <w:rPr>
                  <w:rStyle w:val="InternetLink"/>
                  <w:rFonts w:ascii="Arial;sans-serif" w:hAnsi="Arial;sans-serif"/>
                  <w:b w:val="false"/>
                  <w:color w:val="000080"/>
                  <w:sz w:val="20"/>
                  <w:u w:val="single"/>
                </w:rPr>
                <w:t xml:space="preserve">Credit Agreement, dated as of </w:t>
              </w:r>
            </w:hyperlink>
            <w:hyperlink r:id="rId36">
              <w:r>
                <w:rPr>
                  <w:rStyle w:val="InternetLink"/>
                  <w:rFonts w:ascii="Arial;sans-serif" w:hAnsi="Arial;sans-serif"/>
                  <w:b w:val="false"/>
                  <w:color w:val="000080"/>
                  <w:sz w:val="20"/>
                  <w:u w:val="single"/>
                </w:rPr>
                <w:t>April 26, 2023</w:t>
              </w:r>
            </w:hyperlink>
            <w:hyperlink r:id="rId37">
              <w:r>
                <w:rPr>
                  <w:rStyle w:val="InternetLink"/>
                  <w:rFonts w:ascii="Arial;sans-serif" w:hAnsi="Arial;sans-serif"/>
                  <w:b w:val="false"/>
                  <w:color w:val="000080"/>
                  <w:sz w:val="20"/>
                  <w:u w:val="single"/>
                </w:rPr>
                <w:t>,</w:t>
              </w:r>
            </w:hyperlink>
            <w:hyperlink r:id="rId38">
              <w:r>
                <w:rPr>
                  <w:rStyle w:val="InternetLink"/>
                  <w:rFonts w:ascii="Arial;sans-serif" w:hAnsi="Arial;sans-serif"/>
                  <w:b w:val="false"/>
                  <w:color w:val="000080"/>
                  <w:sz w:val="20"/>
                  <w:u w:val="single"/>
                </w:rPr>
                <w:t xml:space="preserve"> by and among California Resources Corporation, as the Borrower, the several lenders from time to time parties thereto and Citibank, N.A., as Administrative Agent, Collateral Agent and an Issuing Bank (filed as Exhibit 10.</w:t>
              </w:r>
            </w:hyperlink>
            <w:hyperlink r:id="rId39">
              <w:r>
                <w:rPr>
                  <w:rStyle w:val="InternetLink"/>
                  <w:rFonts w:ascii="Arial;sans-serif" w:hAnsi="Arial;sans-serif"/>
                  <w:b w:val="false"/>
                  <w:color w:val="000080"/>
                  <w:sz w:val="20"/>
                  <w:u w:val="single"/>
                </w:rPr>
                <w:t>5</w:t>
              </w:r>
            </w:hyperlink>
            <w:hyperlink r:id="rId40">
              <w:r>
                <w:rPr>
                  <w:rStyle w:val="InternetLink"/>
                  <w:rFonts w:ascii="Arial;sans-serif" w:hAnsi="Arial;sans-serif"/>
                  <w:b w:val="false"/>
                  <w:color w:val="000080"/>
                  <w:sz w:val="20"/>
                  <w:u w:val="single"/>
                </w:rPr>
                <w:t xml:space="preserve"> to the Registrant's </w:t>
              </w:r>
            </w:hyperlink>
            <w:hyperlink r:id="rId41">
              <w:r>
                <w:rPr>
                  <w:rStyle w:val="InternetLink"/>
                  <w:rFonts w:ascii="Arial;sans-serif" w:hAnsi="Arial;sans-serif"/>
                  <w:b w:val="false"/>
                  <w:color w:val="000080"/>
                  <w:sz w:val="20"/>
                  <w:u w:val="single"/>
                </w:rPr>
                <w:t>Quarterly</w:t>
              </w:r>
            </w:hyperlink>
            <w:hyperlink r:id="rId42">
              <w:r>
                <w:rPr>
                  <w:rStyle w:val="InternetLink"/>
                  <w:rFonts w:ascii="Arial;sans-serif" w:hAnsi="Arial;sans-serif"/>
                  <w:b w:val="false"/>
                  <w:color w:val="000080"/>
                  <w:sz w:val="20"/>
                  <w:u w:val="single"/>
                </w:rPr>
                <w:t xml:space="preserve"> Report on Form </w:t>
              </w:r>
            </w:hyperlink>
            <w:hyperlink r:id="rId43">
              <w:r>
                <w:rPr>
                  <w:rStyle w:val="InternetLink"/>
                  <w:rFonts w:ascii="Arial;sans-serif" w:hAnsi="Arial;sans-serif"/>
                  <w:b w:val="false"/>
                  <w:color w:val="000080"/>
                  <w:sz w:val="20"/>
                  <w:u w:val="single"/>
                </w:rPr>
                <w:t>10</w:t>
              </w:r>
            </w:hyperlink>
            <w:hyperlink r:id="rId44">
              <w:r>
                <w:rPr>
                  <w:rStyle w:val="InternetLink"/>
                  <w:rFonts w:ascii="Arial;sans-serif" w:hAnsi="Arial;sans-serif"/>
                  <w:b w:val="false"/>
                  <w:color w:val="000080"/>
                  <w:sz w:val="20"/>
                  <w:u w:val="single"/>
                </w:rPr>
                <w:t>-</w:t>
              </w:r>
            </w:hyperlink>
            <w:hyperlink r:id="rId45">
              <w:r>
                <w:rPr>
                  <w:rStyle w:val="InternetLink"/>
                  <w:rFonts w:ascii="Arial;sans-serif" w:hAnsi="Arial;sans-serif"/>
                  <w:b w:val="false"/>
                  <w:color w:val="000080"/>
                  <w:sz w:val="20"/>
                  <w:u w:val="single"/>
                </w:rPr>
                <w:t>Q</w:t>
              </w:r>
            </w:hyperlink>
            <w:hyperlink r:id="rId46">
              <w:r>
                <w:rPr>
                  <w:rStyle w:val="InternetLink"/>
                  <w:rFonts w:ascii="Arial;sans-serif" w:hAnsi="Arial;sans-serif"/>
                  <w:b w:val="false"/>
                  <w:color w:val="000080"/>
                  <w:sz w:val="20"/>
                  <w:u w:val="single"/>
                </w:rPr>
                <w:t xml:space="preserve"> filed </w:t>
              </w:r>
            </w:hyperlink>
            <w:hyperlink r:id="rId47">
              <w:r>
                <w:rPr>
                  <w:rStyle w:val="InternetLink"/>
                  <w:rFonts w:ascii="Arial;sans-serif" w:hAnsi="Arial;sans-serif"/>
                  <w:b w:val="false"/>
                  <w:color w:val="000080"/>
                  <w:sz w:val="20"/>
                  <w:u w:val="single"/>
                </w:rPr>
                <w:t>May 4, 2023</w:t>
              </w:r>
            </w:hyperlink>
            <w:hyperlink r:id="rId48">
              <w:r>
                <w:rPr>
                  <w:rStyle w:val="InternetLink"/>
                  <w:rFonts w:ascii="Arial;sans-serif" w:hAnsi="Arial;sans-serif"/>
                  <w:b w:val="false"/>
                  <w:color w:val="000080"/>
                  <w:sz w:val="20"/>
                  <w:u w:val="single"/>
                </w:rPr>
                <w:t xml:space="preserve"> and incorporated herein by reference</w:t>
              </w:r>
            </w:hyperlink>
            <w:hyperlink r:id="rId49">
              <w:r>
                <w:rPr>
                  <w:rStyle w:val="InternetLink"/>
                  <w:rFonts w:ascii="Arial;sans-serif" w:hAnsi="Arial;sans-serif"/>
                  <w:b w:val="false"/>
                  <w:color w:val="000080"/>
                  <w:sz w:val="20"/>
                  <w:u w:val="single"/>
                </w:rPr>
                <w:t>)</w:t>
              </w:r>
            </w:hyperlink>
            <w:hyperlink r:id="rId50">
              <w:r>
                <w:rPr>
                  <w:rStyle w:val="InternetLink"/>
                  <w:rFonts w:ascii="Arial;sans-serif" w:hAnsi="Arial;sans-serif"/>
                  <w:b w:val="false"/>
                  <w:color w:val="000080"/>
                  <w:sz w:val="20"/>
                  <w:u w:val="single"/>
                </w:rPr>
                <w:t>.</w:t>
              </w:r>
            </w:hyperlink>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10.10**</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Arial;sans-serif" w:hAnsi="Arial;sans-serif"/>
                  <w:b w:val="false"/>
                  <w:color w:val="000080"/>
                  <w:sz w:val="20"/>
                  <w:u w:val="single"/>
                </w:rPr>
                <w:t xml:space="preserve">First Amendment to the </w:t>
              </w:r>
            </w:hyperlink>
            <w:hyperlink r:id="rId52">
              <w:r>
                <w:rPr>
                  <w:rStyle w:val="InternetLink"/>
                  <w:rFonts w:ascii="Arial;sans-serif" w:hAnsi="Arial;sans-serif"/>
                  <w:b w:val="false"/>
                  <w:color w:val="000080"/>
                  <w:sz w:val="20"/>
                  <w:u w:val="single"/>
                </w:rPr>
                <w:t xml:space="preserve">Amended and Restated Credit Agreement, dated as of </w:t>
              </w:r>
            </w:hyperlink>
            <w:hyperlink r:id="rId53">
              <w:r>
                <w:rPr>
                  <w:rStyle w:val="InternetLink"/>
                  <w:rFonts w:ascii="Arial;sans-serif" w:hAnsi="Arial;sans-serif"/>
                  <w:b w:val="false"/>
                  <w:color w:val="000080"/>
                  <w:sz w:val="20"/>
                  <w:u w:val="single"/>
                </w:rPr>
                <w:t>October 30</w:t>
              </w:r>
            </w:hyperlink>
            <w:hyperlink r:id="rId54">
              <w:r>
                <w:rPr>
                  <w:rStyle w:val="InternetLink"/>
                  <w:rFonts w:ascii="Arial;sans-serif" w:hAnsi="Arial;sans-serif"/>
                  <w:b w:val="false"/>
                  <w:color w:val="000080"/>
                  <w:sz w:val="20"/>
                  <w:u w:val="single"/>
                </w:rPr>
                <w:t>, 2023, by and among California Resources Corporation, as the Borrower, the several lenders from time to time parties thereto and Citibank, N.A., as Administrative Agent, Collateral Agent and an Issuing Bank (filed as Exhibit 10.</w:t>
              </w:r>
            </w:hyperlink>
            <w:hyperlink r:id="rId55">
              <w:r>
                <w:rPr>
                  <w:rStyle w:val="InternetLink"/>
                  <w:rFonts w:ascii="Arial;sans-serif" w:hAnsi="Arial;sans-serif"/>
                  <w:b w:val="false"/>
                  <w:color w:val="000080"/>
                  <w:sz w:val="20"/>
                  <w:u w:val="single"/>
                </w:rPr>
                <w:t>1</w:t>
              </w:r>
            </w:hyperlink>
            <w:hyperlink r:id="rId56">
              <w:r>
                <w:rPr>
                  <w:rStyle w:val="InternetLink"/>
                  <w:rFonts w:ascii="Arial;sans-serif" w:hAnsi="Arial;sans-serif"/>
                  <w:b w:val="false"/>
                  <w:color w:val="000080"/>
                  <w:sz w:val="20"/>
                  <w:u w:val="single"/>
                </w:rPr>
                <w:t xml:space="preserve"> to the Registrant’s Quarterly Report on Form 10-Q filed</w:t>
              </w:r>
            </w:hyperlink>
            <w:hyperlink r:id="rId57">
              <w:r>
                <w:rPr>
                  <w:rStyle w:val="InternetLink"/>
                  <w:rFonts w:ascii="Arial;sans-serif" w:hAnsi="Arial;sans-serif"/>
                  <w:b w:val="false"/>
                  <w:color w:val="000080"/>
                  <w:sz w:val="20"/>
                  <w:u w:val="single"/>
                </w:rPr>
                <w:t xml:space="preserve"> </w:t>
              </w:r>
            </w:hyperlink>
            <w:hyperlink r:id="rId58">
              <w:r>
                <w:rPr>
                  <w:rStyle w:val="InternetLink"/>
                  <w:rFonts w:ascii="Arial;sans-serif" w:hAnsi="Arial;sans-serif"/>
                  <w:b w:val="false"/>
                  <w:color w:val="000080"/>
                  <w:sz w:val="20"/>
                  <w:u w:val="single"/>
                </w:rPr>
                <w:t>Nove</w:t>
              </w:r>
            </w:hyperlink>
            <w:hyperlink r:id="rId59">
              <w:r>
                <w:rPr>
                  <w:rStyle w:val="InternetLink"/>
                  <w:rFonts w:ascii="Arial;sans-serif" w:hAnsi="Arial;sans-serif"/>
                  <w:b w:val="false"/>
                  <w:color w:val="000080"/>
                  <w:sz w:val="20"/>
                  <w:u w:val="single"/>
                </w:rPr>
                <w:t xml:space="preserve">mber 2, </w:t>
              </w:r>
            </w:hyperlink>
            <w:hyperlink r:id="rId60">
              <w:r>
                <w:rPr>
                  <w:rStyle w:val="InternetLink"/>
                  <w:rFonts w:ascii="Arial;sans-serif" w:hAnsi="Arial;sans-serif"/>
                  <w:b w:val="false"/>
                  <w:color w:val="000080"/>
                  <w:sz w:val="20"/>
                  <w:u w:val="single"/>
                </w:rPr>
                <w:t>2023 and incorporated herein by reference).</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10.11</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Arial;sans-serif" w:hAnsi="Arial;sans-serif"/>
                  <w:b w:val="false"/>
                  <w:color w:val="000080"/>
                  <w:sz w:val="20"/>
                  <w:u w:val="single"/>
                </w:rPr>
                <w:t>S</w:t>
              </w:r>
            </w:hyperlink>
            <w:hyperlink r:id="rId62">
              <w:r>
                <w:rPr>
                  <w:rStyle w:val="InternetLink"/>
                  <w:rFonts w:ascii="Arial;sans-serif" w:hAnsi="Arial;sans-serif"/>
                  <w:b w:val="false"/>
                  <w:color w:val="000080"/>
                  <w:sz w:val="20"/>
                  <w:u w:val="single"/>
                </w:rPr>
                <w:t>eco</w:t>
              </w:r>
            </w:hyperlink>
            <w:hyperlink r:id="rId63">
              <w:r>
                <w:rPr>
                  <w:rStyle w:val="InternetLink"/>
                  <w:rFonts w:ascii="Arial;sans-serif" w:hAnsi="Arial;sans-serif"/>
                  <w:b w:val="false"/>
                  <w:color w:val="000080"/>
                  <w:sz w:val="20"/>
                  <w:u w:val="single"/>
                </w:rPr>
                <w:t>nd Amendment to the Amended and Restated Credit Agreement, entered into effective as of February 2, 2024</w:t>
              </w:r>
            </w:hyperlink>
            <w:hyperlink r:id="rId64">
              <w:r>
                <w:rPr>
                  <w:rStyle w:val="InternetLink"/>
                  <w:rFonts w:ascii="Arial;sans-serif" w:hAnsi="Arial;sans-serif"/>
                  <w:b w:val="false"/>
                  <w:color w:val="000080"/>
                  <w:sz w:val="20"/>
                  <w:u w:val="single"/>
                </w:rPr>
                <w:t xml:space="preserve">, by and among California Resources Corporation, as </w:t>
              </w:r>
            </w:hyperlink>
            <w:hyperlink r:id="rId65">
              <w:r>
                <w:rPr>
                  <w:rStyle w:val="InternetLink"/>
                  <w:rFonts w:ascii="Arial;sans-serif" w:hAnsi="Arial;sans-serif"/>
                  <w:b w:val="false"/>
                  <w:color w:val="000080"/>
                  <w:sz w:val="20"/>
                  <w:u w:val="single"/>
                </w:rPr>
                <w:t xml:space="preserve">the </w:t>
              </w:r>
            </w:hyperlink>
            <w:hyperlink r:id="rId66">
              <w:r>
                <w:rPr>
                  <w:rStyle w:val="InternetLink"/>
                  <w:rFonts w:ascii="Arial;sans-serif" w:hAnsi="Arial;sans-serif"/>
                  <w:b w:val="false"/>
                  <w:color w:val="000080"/>
                  <w:sz w:val="20"/>
                  <w:u w:val="single"/>
                </w:rPr>
                <w:t xml:space="preserve">Borrower, </w:t>
              </w:r>
            </w:hyperlink>
            <w:hyperlink r:id="rId67">
              <w:r>
                <w:rPr>
                  <w:rStyle w:val="InternetLink"/>
                  <w:rFonts w:ascii="Arial;sans-serif" w:hAnsi="Arial;sans-serif"/>
                  <w:b w:val="false"/>
                  <w:color w:val="000080"/>
                  <w:sz w:val="20"/>
                  <w:u w:val="single"/>
                </w:rPr>
                <w:t>the se</w:t>
              </w:r>
            </w:hyperlink>
            <w:hyperlink r:id="rId68">
              <w:r>
                <w:rPr>
                  <w:rStyle w:val="InternetLink"/>
                  <w:rFonts w:ascii="Arial;sans-serif" w:hAnsi="Arial;sans-serif"/>
                  <w:b w:val="false"/>
                  <w:color w:val="000080"/>
                  <w:sz w:val="20"/>
                  <w:u w:val="single"/>
                </w:rPr>
                <w:t>veral lenders from time to time parties thereto and Citibank</w:t>
              </w:r>
            </w:hyperlink>
            <w:hyperlink r:id="rId69">
              <w:r>
                <w:rPr>
                  <w:rStyle w:val="InternetLink"/>
                  <w:rFonts w:ascii="Arial;sans-serif" w:hAnsi="Arial;sans-serif"/>
                  <w:b w:val="false"/>
                  <w:color w:val="000080"/>
                  <w:sz w:val="20"/>
                  <w:u w:val="single"/>
                </w:rPr>
                <w:t>, N.A., as Administrative Agen</w:t>
              </w:r>
            </w:hyperlink>
            <w:hyperlink r:id="rId70">
              <w:r>
                <w:rPr>
                  <w:rStyle w:val="InternetLink"/>
                  <w:rFonts w:ascii="Arial;sans-serif" w:hAnsi="Arial;sans-serif"/>
                  <w:b w:val="false"/>
                  <w:color w:val="000080"/>
                  <w:sz w:val="20"/>
                  <w:u w:val="single"/>
                </w:rPr>
                <w:t>t (filed as Exhibit 10.1 to the Regist</w:t>
              </w:r>
            </w:hyperlink>
            <w:hyperlink r:id="rId71">
              <w:r>
                <w:rPr>
                  <w:rStyle w:val="InternetLink"/>
                  <w:rFonts w:ascii="Arial;sans-serif" w:hAnsi="Arial;sans-serif"/>
                  <w:b w:val="false"/>
                  <w:color w:val="000080"/>
                  <w:sz w:val="20"/>
                  <w:u w:val="single"/>
                </w:rPr>
                <w:t>rant's Curre</w:t>
              </w:r>
            </w:hyperlink>
            <w:hyperlink r:id="rId72">
              <w:r>
                <w:rPr>
                  <w:rStyle w:val="InternetLink"/>
                  <w:rFonts w:ascii="Arial;sans-serif" w:hAnsi="Arial;sans-serif"/>
                  <w:b w:val="false"/>
                  <w:color w:val="000080"/>
                  <w:sz w:val="20"/>
                  <w:u w:val="single"/>
                </w:rPr>
                <w:t xml:space="preserve">nt Report on Form </w:t>
              </w:r>
            </w:hyperlink>
            <w:hyperlink r:id="rId73">
              <w:r>
                <w:rPr>
                  <w:rStyle w:val="InternetLink"/>
                  <w:rFonts w:ascii="Arial;sans-serif" w:hAnsi="Arial;sans-serif"/>
                  <w:b w:val="false"/>
                  <w:color w:val="000080"/>
                  <w:sz w:val="20"/>
                  <w:u w:val="single"/>
                </w:rPr>
                <w:t>8-K filed February 14, 2024 and incorporated herein by reference).</w:t>
              </w:r>
            </w:hyperlink>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2" name="Frame1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67"/>
        <w:gridCol w:w="323"/>
        <w:gridCol w:w="325"/>
        <w:gridCol w:w="2803"/>
        <w:gridCol w:w="2658"/>
        <w:gridCol w:w="3729"/>
      </w:tblGrid>
      <w:tr>
        <w:trPr/>
        <w:tc>
          <w:tcPr>
            <w:tcW w:w="3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10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Number</w:t>
            </w:r>
          </w:p>
        </w:tc>
        <w:tc>
          <w:tcPr>
            <w:tcW w:w="9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Description</w:t>
            </w:r>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following are management contracts and compensatory plans required to be identified specifically as responsive to Item 601(b)(10)(iii)(A) of Regulation S-K pursuant to Item 15(b) of Form 10-K.</w:t>
            </w:r>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10.12</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Arial;sans-serif" w:hAnsi="Arial;sans-serif"/>
                  <w:b w:val="false"/>
                  <w:color w:val="0000FF"/>
                  <w:sz w:val="20"/>
                  <w:u w:val="single"/>
                </w:rPr>
                <w:t>Form of Indemnification Agreement by and between California Resources Corporation and its directors and executive officers (filed as Exhibit 10.1 to the Registrant’s Current Report on Form 8-K filed October 27, 2020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10.13</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Arial;sans-serif" w:hAnsi="Arial;sans-serif"/>
                  <w:b w:val="false"/>
                  <w:color w:val="0000FF"/>
                  <w:sz w:val="20"/>
                  <w:u w:val="single"/>
                </w:rPr>
                <w:t>California Resources Corporation 2021 Long Term Incentive Plan (filed as Exhibit 10.1 to the Registrant's Current Report on Form 8-K filed January 22, 2021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10.14</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Arial;sans-serif" w:hAnsi="Arial;sans-serif"/>
                  <w:b w:val="false"/>
                  <w:color w:val="0000FF"/>
                  <w:sz w:val="20"/>
                  <w:u w:val="single"/>
                </w:rPr>
                <w:t>Form of California Resources Corporation 2021 Long Term Incentive Plan Restricted Stock Unit Award for Non-Employee Directors Grant Agreement (filed as Exhibit 10.45 to the Registrant’s Annual Report on Form 10-K filed March 11, 2021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10.15</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Arial;sans-serif" w:hAnsi="Arial;sans-serif"/>
                  <w:b w:val="false"/>
                  <w:color w:val="0000FF"/>
                  <w:sz w:val="20"/>
                  <w:u w:val="single"/>
                </w:rPr>
                <w:t>Form of California Resources Corporation 2021 Long Term Incentive Plan Restricted Stock Unit Award Term and Conditions (filed as Exhibit 10.46 to the Registrant’s Annual Report on Form 10-K filed March 11, 2021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10.16</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Arial;sans-serif" w:hAnsi="Arial;sans-serif"/>
                  <w:b w:val="false"/>
                  <w:color w:val="0000FF"/>
                  <w:sz w:val="20"/>
                  <w:u w:val="single"/>
                </w:rPr>
                <w:t>Form of California Resources Corporation 2021 Long Term Incentive Plan Restricted Stock Unit Award Term and Conditions (filed as Exhibit 10.47 to the Registrant’s Annual Report on Form 10-K filed March 11, 2021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10.17</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Arial;sans-serif" w:hAnsi="Arial;sans-serif"/>
                  <w:b w:val="false"/>
                  <w:color w:val="0000FF"/>
                  <w:sz w:val="20"/>
                  <w:u w:val="single"/>
                </w:rPr>
                <w:t>Form of California Resources Corporation 2021 Long Term Incentive Plan Performance Stock Unit Award Term and Conditions (filed as Exhibit 10.48 to the Registrant’s Annual Report on Form 10-K filed March 11, 2021 and incorporated herein by reference).</w:t>
              </w:r>
            </w:hyperlink>
            <w:r>
              <w:rPr>
                <w:color w:val="000000"/>
              </w:rPr>
              <w:t xml:space="preserve"> </w:t>
            </w:r>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10.18</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Arial;sans-serif" w:hAnsi="Arial;sans-serif"/>
                  <w:b w:val="false"/>
                  <w:color w:val="0000FF"/>
                  <w:sz w:val="20"/>
                  <w:u w:val="single"/>
                </w:rPr>
                <w:t>Employment Agreement by and between Mark A. McFarland and California Resources Corporation, dated March 22, 2021 (filed as Exhibit 10.1 to the Registrant's Current Report on Form 8-K filed March 22, 2021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10.19</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Arial;sans-serif" w:hAnsi="Arial;sans-serif"/>
                  <w:b w:val="false"/>
                  <w:color w:val="0000FF"/>
                  <w:sz w:val="20"/>
                  <w:u w:val="single"/>
                </w:rPr>
                <w:t>Employment Agreement by and between Michael L. Preston and California Resources Corporation, dated June 8, 2021 (filed as Exhibit 10.4 to the Registrant's Quarterly Report on Form 10-Q filed August 5, 2021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10.20</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Arial;sans-serif" w:hAnsi="Arial;sans-serif"/>
                  <w:b w:val="false"/>
                  <w:color w:val="0000FF"/>
                  <w:sz w:val="20"/>
                  <w:u w:val="single"/>
                </w:rPr>
                <w:t>Employment Agreement by and between Jay A. Bys and California Resources Corporation, dated June 8, 2021 (filed as Exhibit 10.5 to the Registrant's Quarterly Report on Form 10-Q filed August 5, 2021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10.21</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Arial;sans-serif" w:hAnsi="Arial;sans-serif"/>
                  <w:b w:val="false"/>
                  <w:color w:val="000080"/>
                  <w:sz w:val="20"/>
                  <w:u w:val="single"/>
                </w:rPr>
                <w:t>Employment Agreement by and between Francisco J. Leon and California Resources Corporation, dated February 23, 2023</w:t>
              </w:r>
            </w:hyperlink>
            <w:hyperlink r:id="rId84">
              <w:r>
                <w:rPr>
                  <w:rStyle w:val="InternetLink"/>
                  <w:rFonts w:ascii="Arial;sans-serif" w:hAnsi="Arial;sans-serif"/>
                  <w:b w:val="false"/>
                  <w:color w:val="000080"/>
                  <w:sz w:val="20"/>
                  <w:u w:val="single"/>
                </w:rPr>
                <w:t xml:space="preserve"> (filed as Exhibit 10.25 to Registrant's Annual Report on Form 10-K filed on F</w:t>
              </w:r>
            </w:hyperlink>
            <w:hyperlink r:id="rId85">
              <w:r>
                <w:rPr>
                  <w:rStyle w:val="InternetLink"/>
                  <w:rFonts w:ascii="Arial;sans-serif" w:hAnsi="Arial;sans-serif"/>
                  <w:b w:val="false"/>
                  <w:color w:val="000080"/>
                  <w:sz w:val="20"/>
                  <w:u w:val="single"/>
                </w:rPr>
                <w:t>ebruary 24, 2023 a</w:t>
              </w:r>
            </w:hyperlink>
            <w:hyperlink r:id="rId86">
              <w:r>
                <w:rPr>
                  <w:rStyle w:val="InternetLink"/>
                  <w:rFonts w:ascii="Arial;sans-serif" w:hAnsi="Arial;sans-serif"/>
                  <w:b w:val="false"/>
                  <w:color w:val="000080"/>
                  <w:sz w:val="20"/>
                  <w:u w:val="single"/>
                </w:rPr>
                <w:t>nd incorpo</w:t>
              </w:r>
            </w:hyperlink>
            <w:hyperlink r:id="rId87">
              <w:r>
                <w:rPr>
                  <w:rStyle w:val="InternetLink"/>
                  <w:rFonts w:ascii="Arial;sans-serif" w:hAnsi="Arial;sans-serif"/>
                  <w:b w:val="false"/>
                  <w:color w:val="000080"/>
                  <w:sz w:val="20"/>
                  <w:u w:val="single"/>
                </w:rPr>
                <w:t xml:space="preserve">rated herein by reference). </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10.22**</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Arial;sans-serif" w:hAnsi="Arial;sans-serif"/>
                  <w:b w:val="false"/>
                  <w:color w:val="0000FF"/>
                  <w:sz w:val="20"/>
                  <w:u w:val="single"/>
                </w:rPr>
                <w:t>Employment Agreement by and between Manuela Molina and California Resources Corporation, dated May 8, 2023 (filed as Exhibit 10.1 to the Registrant's Current Report on Form 8-K filed on May 1, 2023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10.23**</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Arial;sans-serif" w:hAnsi="Arial;sans-serif"/>
                  <w:b w:val="false"/>
                  <w:color w:val="000080"/>
                  <w:sz w:val="20"/>
                  <w:u w:val="single"/>
                </w:rPr>
                <w:t>Employment Agreement by and between Omar Hayat and California Resources Corporation, dated July 27, 2023</w:t>
              </w:r>
            </w:hyperlink>
            <w:hyperlink r:id="rId90">
              <w:r>
                <w:rPr>
                  <w:rStyle w:val="InternetLink"/>
                  <w:rFonts w:ascii="Arial;sans-serif" w:hAnsi="Arial;sans-serif"/>
                  <w:b w:val="false"/>
                  <w:color w:val="000080"/>
                  <w:sz w:val="20"/>
                  <w:u w:val="single"/>
                </w:rPr>
                <w:t xml:space="preserve"> (filed as Exhibit 10.3 to the Registrant's Quarterly Report on </w:t>
              </w:r>
            </w:hyperlink>
            <w:hyperlink r:id="rId91">
              <w:r>
                <w:rPr>
                  <w:rStyle w:val="InternetLink"/>
                  <w:rFonts w:ascii="Arial;sans-serif" w:hAnsi="Arial;sans-serif"/>
                  <w:b w:val="false"/>
                  <w:color w:val="000080"/>
                  <w:sz w:val="20"/>
                  <w:u w:val="single"/>
                </w:rPr>
                <w:t>Form 10-Q filed on August 1, 2023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10.24**</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Arial;sans-serif" w:hAnsi="Arial;sans-serif"/>
                  <w:b w:val="false"/>
                  <w:color w:val="000080"/>
                  <w:sz w:val="20"/>
                  <w:u w:val="single"/>
                </w:rPr>
                <w:t>Amended and Re</w:t>
              </w:r>
            </w:hyperlink>
            <w:hyperlink r:id="rId93">
              <w:r>
                <w:rPr>
                  <w:rStyle w:val="InternetLink"/>
                  <w:rFonts w:ascii="Arial;sans-serif" w:hAnsi="Arial;sans-serif"/>
                  <w:b w:val="false"/>
                  <w:color w:val="000080"/>
                  <w:sz w:val="20"/>
                  <w:u w:val="single"/>
                </w:rPr>
                <w:t xml:space="preserve">stated </w:t>
              </w:r>
            </w:hyperlink>
            <w:hyperlink r:id="rId94">
              <w:r>
                <w:rPr>
                  <w:rStyle w:val="InternetLink"/>
                  <w:rFonts w:ascii="Arial;sans-serif" w:hAnsi="Arial;sans-serif"/>
                  <w:b w:val="false"/>
                  <w:color w:val="000080"/>
                  <w:sz w:val="20"/>
                  <w:u w:val="single"/>
                </w:rPr>
                <w:t>Employment Agreement by and between Chris</w:t>
              </w:r>
            </w:hyperlink>
            <w:hyperlink r:id="rId95">
              <w:r>
                <w:rPr>
                  <w:rStyle w:val="InternetLink"/>
                  <w:rFonts w:ascii="Arial;sans-serif" w:hAnsi="Arial;sans-serif"/>
                  <w:b w:val="false"/>
                  <w:color w:val="000080"/>
                  <w:sz w:val="20"/>
                  <w:u w:val="single"/>
                </w:rPr>
                <w:t>topher D</w:t>
              </w:r>
            </w:hyperlink>
            <w:hyperlink r:id="rId96">
              <w:r>
                <w:rPr>
                  <w:rStyle w:val="InternetLink"/>
                  <w:rFonts w:ascii="Arial;sans-serif" w:hAnsi="Arial;sans-serif"/>
                  <w:b w:val="false"/>
                  <w:color w:val="000080"/>
                  <w:sz w:val="20"/>
                  <w:u w:val="single"/>
                </w:rPr>
                <w:t>.</w:t>
              </w:r>
            </w:hyperlink>
            <w:hyperlink r:id="rId97">
              <w:r>
                <w:rPr>
                  <w:rStyle w:val="InternetLink"/>
                  <w:rFonts w:ascii="Arial;sans-serif" w:hAnsi="Arial;sans-serif"/>
                  <w:b w:val="false"/>
                  <w:color w:val="000080"/>
                  <w:sz w:val="20"/>
                  <w:u w:val="single"/>
                </w:rPr>
                <w:t xml:space="preserve"> Gould and California Resources Corporation, dated </w:t>
              </w:r>
            </w:hyperlink>
            <w:hyperlink r:id="rId98">
              <w:r>
                <w:rPr>
                  <w:rStyle w:val="InternetLink"/>
                  <w:rFonts w:ascii="Arial;sans-serif" w:hAnsi="Arial;sans-serif"/>
                  <w:b w:val="false"/>
                  <w:color w:val="000080"/>
                  <w:sz w:val="20"/>
                  <w:u w:val="single"/>
                </w:rPr>
                <w:t>Ju</w:t>
              </w:r>
            </w:hyperlink>
            <w:hyperlink r:id="rId99">
              <w:r>
                <w:rPr>
                  <w:rStyle w:val="InternetLink"/>
                  <w:rFonts w:ascii="Arial;sans-serif" w:hAnsi="Arial;sans-serif"/>
                  <w:b w:val="false"/>
                  <w:color w:val="000080"/>
                  <w:sz w:val="20"/>
                  <w:u w:val="single"/>
                </w:rPr>
                <w:t>ly 27, 2023</w:t>
              </w:r>
            </w:hyperlink>
            <w:hyperlink r:id="rId100">
              <w:r>
                <w:rPr>
                  <w:rStyle w:val="InternetLink"/>
                  <w:rFonts w:ascii="Arial;sans-serif" w:hAnsi="Arial;sans-serif"/>
                  <w:b w:val="false"/>
                  <w:color w:val="000080"/>
                  <w:sz w:val="20"/>
                  <w:u w:val="single"/>
                </w:rPr>
                <w:t xml:space="preserve"> </w:t>
              </w:r>
            </w:hyperlink>
            <w:hyperlink r:id="rId101">
              <w:r>
                <w:rPr>
                  <w:rStyle w:val="InternetLink"/>
                  <w:rFonts w:ascii="Arial;sans-serif" w:hAnsi="Arial;sans-serif"/>
                  <w:b w:val="false"/>
                  <w:color w:val="000080"/>
                  <w:sz w:val="20"/>
                  <w:u w:val="single"/>
                </w:rPr>
                <w:t xml:space="preserve">(filed as Exhibit 10.4 to the Registrant's Quarterly Report on Form 10-Q </w:t>
              </w:r>
            </w:hyperlink>
            <w:hyperlink r:id="rId102">
              <w:r>
                <w:rPr>
                  <w:rStyle w:val="InternetLink"/>
                  <w:rFonts w:ascii="Arial;sans-serif" w:hAnsi="Arial;sans-serif"/>
                  <w:b w:val="false"/>
                  <w:color w:val="000080"/>
                  <w:sz w:val="20"/>
                  <w:u w:val="single"/>
                </w:rPr>
                <w:t xml:space="preserve">filed on August 1, 2023 and incorporated herein by reference). </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10.25</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Arial;sans-serif" w:hAnsi="Arial;sans-serif"/>
                  <w:b w:val="false"/>
                  <w:color w:val="000080"/>
                  <w:sz w:val="20"/>
                  <w:u w:val="single"/>
                </w:rPr>
                <w:t>2023 Form of California Resources Corporation 2021 Long Term Incentive Plan Restricted Stock Unit Award Term</w:t>
              </w:r>
            </w:hyperlink>
            <w:hyperlink r:id="rId104">
              <w:r>
                <w:rPr>
                  <w:rStyle w:val="InternetLink"/>
                  <w:rFonts w:ascii="Arial;sans-serif" w:hAnsi="Arial;sans-serif"/>
                  <w:b w:val="false"/>
                  <w:color w:val="000080"/>
                  <w:sz w:val="20"/>
                  <w:u w:val="single"/>
                </w:rPr>
                <w:t xml:space="preserve">s </w:t>
              </w:r>
            </w:hyperlink>
            <w:hyperlink r:id="rId105">
              <w:r>
                <w:rPr>
                  <w:rStyle w:val="InternetLink"/>
                  <w:rFonts w:ascii="Arial;sans-serif" w:hAnsi="Arial;sans-serif"/>
                  <w:b w:val="false"/>
                  <w:color w:val="000080"/>
                  <w:sz w:val="20"/>
                  <w:u w:val="single"/>
                </w:rPr>
                <w:t>and Conditions</w:t>
              </w:r>
            </w:hyperlink>
            <w:hyperlink r:id="rId106">
              <w:r>
                <w:rPr>
                  <w:rStyle w:val="InternetLink"/>
                  <w:rFonts w:ascii="Arial;sans-serif" w:hAnsi="Arial;sans-serif"/>
                  <w:b w:val="false"/>
                  <w:color w:val="000080"/>
                  <w:sz w:val="20"/>
                  <w:u w:val="single"/>
                </w:rPr>
                <w:t xml:space="preserve"> (</w:t>
              </w:r>
            </w:hyperlink>
            <w:hyperlink r:id="rId107">
              <w:r>
                <w:rPr>
                  <w:rStyle w:val="InternetLink"/>
                  <w:rFonts w:ascii="Arial;sans-serif" w:hAnsi="Arial;sans-serif"/>
                  <w:b w:val="false"/>
                  <w:color w:val="000080"/>
                  <w:sz w:val="20"/>
                  <w:u w:val="single"/>
                </w:rPr>
                <w:t xml:space="preserve">filed as Exhibit 10.26 to Registrant's Annual Report </w:t>
              </w:r>
            </w:hyperlink>
            <w:hyperlink r:id="rId108">
              <w:r>
                <w:rPr>
                  <w:rStyle w:val="InternetLink"/>
                  <w:rFonts w:ascii="Arial;sans-serif" w:hAnsi="Arial;sans-serif"/>
                  <w:b w:val="false"/>
                  <w:color w:val="000080"/>
                  <w:sz w:val="20"/>
                  <w:u w:val="single"/>
                </w:rPr>
                <w:t>on Form 10-K filed on February 24, 2023 and incorporated herein by reference)</w:t>
              </w:r>
            </w:hyperlink>
            <w:hyperlink r:id="rId109">
              <w:r>
                <w:rPr>
                  <w:rStyle w:val="InternetLink"/>
                  <w:rFonts w:ascii="Arial;sans-serif" w:hAnsi="Arial;sans-serif"/>
                  <w:b w:val="false"/>
                  <w:color w:val="000080"/>
                  <w:sz w:val="20"/>
                  <w:u w:val="single"/>
                </w:rPr>
                <w:t>.</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10.26</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0">
              <w:r>
                <w:rPr>
                  <w:rStyle w:val="InternetLink"/>
                  <w:rFonts w:ascii="Arial;sans-serif" w:hAnsi="Arial;sans-serif"/>
                  <w:b w:val="false"/>
                  <w:color w:val="000080"/>
                  <w:sz w:val="20"/>
                  <w:u w:val="single"/>
                </w:rPr>
                <w:t>2023 Form of California Resources Corporation 2021 Long Term Incentive Plan Performance Stock Unit Award Term</w:t>
              </w:r>
            </w:hyperlink>
            <w:hyperlink r:id="rId111">
              <w:r>
                <w:rPr>
                  <w:rStyle w:val="InternetLink"/>
                  <w:rFonts w:ascii="Arial;sans-serif" w:hAnsi="Arial;sans-serif"/>
                  <w:b w:val="false"/>
                  <w:color w:val="000080"/>
                  <w:sz w:val="20"/>
                  <w:u w:val="single"/>
                </w:rPr>
                <w:t>s</w:t>
              </w:r>
            </w:hyperlink>
            <w:hyperlink r:id="rId112">
              <w:r>
                <w:rPr>
                  <w:rStyle w:val="InternetLink"/>
                  <w:rFonts w:ascii="Arial;sans-serif" w:hAnsi="Arial;sans-serif"/>
                  <w:b w:val="false"/>
                  <w:color w:val="000080"/>
                  <w:sz w:val="20"/>
                  <w:u w:val="single"/>
                </w:rPr>
                <w:t xml:space="preserve"> and Conditions</w:t>
              </w:r>
            </w:hyperlink>
            <w:hyperlink r:id="rId113">
              <w:r>
                <w:rPr>
                  <w:rStyle w:val="InternetLink"/>
                  <w:rFonts w:ascii="Arial;sans-serif" w:hAnsi="Arial;sans-serif"/>
                  <w:b w:val="false"/>
                  <w:color w:val="000080"/>
                  <w:sz w:val="20"/>
                  <w:u w:val="single"/>
                </w:rPr>
                <w:t xml:space="preserve"> (filed as Exhibit 10.2</w:t>
              </w:r>
            </w:hyperlink>
            <w:hyperlink r:id="rId114">
              <w:r>
                <w:rPr>
                  <w:rStyle w:val="InternetLink"/>
                  <w:rFonts w:ascii="Arial;sans-serif" w:hAnsi="Arial;sans-serif"/>
                  <w:b w:val="false"/>
                  <w:color w:val="000080"/>
                  <w:sz w:val="20"/>
                  <w:u w:val="single"/>
                </w:rPr>
                <w:t>7</w:t>
              </w:r>
            </w:hyperlink>
            <w:hyperlink r:id="rId115">
              <w:r>
                <w:rPr>
                  <w:rStyle w:val="InternetLink"/>
                  <w:rFonts w:ascii="Arial;sans-serif" w:hAnsi="Arial;sans-serif"/>
                  <w:b w:val="false"/>
                  <w:color w:val="000080"/>
                  <w:sz w:val="20"/>
                  <w:u w:val="single"/>
                </w:rPr>
                <w:t xml:space="preserve"> to Registrant's Annual Report on Form 10-K filed on Feb</w:t>
              </w:r>
            </w:hyperlink>
            <w:hyperlink r:id="rId116">
              <w:r>
                <w:rPr>
                  <w:rStyle w:val="InternetLink"/>
                  <w:rFonts w:ascii="Arial;sans-serif" w:hAnsi="Arial;sans-serif"/>
                  <w:b w:val="false"/>
                  <w:color w:val="000080"/>
                  <w:sz w:val="20"/>
                  <w:u w:val="single"/>
                </w:rPr>
                <w:t>ruary 24, 2023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10.27</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7">
              <w:r>
                <w:rPr>
                  <w:rStyle w:val="InternetLink"/>
                  <w:rFonts w:ascii="Arial;sans-serif" w:hAnsi="Arial;sans-serif"/>
                  <w:b w:val="false"/>
                  <w:color w:val="000080"/>
                  <w:sz w:val="20"/>
                  <w:u w:val="single"/>
                </w:rPr>
                <w:t>Form of Cash Retention Bonus Agreement</w:t>
              </w:r>
            </w:hyperlink>
            <w:hyperlink r:id="rId118">
              <w:r>
                <w:rPr>
                  <w:rStyle w:val="InternetLink"/>
                  <w:rFonts w:ascii="Arial;sans-serif" w:hAnsi="Arial;sans-serif"/>
                  <w:b w:val="false"/>
                  <w:color w:val="000080"/>
                  <w:sz w:val="20"/>
                  <w:u w:val="single"/>
                </w:rPr>
                <w:t xml:space="preserve"> (filed as Exhibit 10.28 to Registrant's Annual Report on Form 10-K filed on February 24, 2023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10.28</w:t>
            </w:r>
          </w:p>
        </w:tc>
        <w:tc>
          <w:tcPr>
            <w:tcW w:w="919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9">
              <w:r>
                <w:rPr>
                  <w:rStyle w:val="InternetLink"/>
                  <w:rFonts w:ascii="Arial;sans-serif" w:hAnsi="Arial;sans-serif"/>
                  <w:b w:val="false"/>
                  <w:color w:val="0000FF"/>
                  <w:sz w:val="20"/>
                  <w:u w:val="single"/>
                </w:rPr>
                <w:t>California Resources Corporation Employee Stock Purchase Plan (filed as Exhibit 10.1 to the Registrant's Current Report on Form 8-K filed on May 6, 2022 and incorporated herein by reference).</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10.29*</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29formofrestrictedstock.htm">
              <w:r>
                <w:rPr>
                  <w:rStyle w:val="InternetLink"/>
                  <w:rFonts w:ascii="Arial;sans-serif" w:hAnsi="Arial;sans-serif"/>
                  <w:b w:val="false"/>
                  <w:color w:val="000080"/>
                  <w:sz w:val="20"/>
                  <w:u w:val="single"/>
                </w:rPr>
                <w:t>2</w:t>
              </w:r>
            </w:hyperlink>
            <w:hyperlink w:anchor="a1029formofrestrictedstock.htm">
              <w:r>
                <w:rPr>
                  <w:rStyle w:val="InternetLink"/>
                  <w:rFonts w:ascii="Arial;sans-serif" w:hAnsi="Arial;sans-serif"/>
                  <w:b w:val="false"/>
                  <w:color w:val="000080"/>
                  <w:sz w:val="20"/>
                  <w:u w:val="single"/>
                </w:rPr>
                <w:t>024 Form of California Resources Corporation 2021 Long Term Incentive Plan Restr</w:t>
              </w:r>
            </w:hyperlink>
            <w:hyperlink w:anchor="a1029formofrestrictedstock.htm">
              <w:r>
                <w:rPr>
                  <w:rStyle w:val="InternetLink"/>
                  <w:rFonts w:ascii="Arial;sans-serif" w:hAnsi="Arial;sans-serif"/>
                  <w:b w:val="false"/>
                  <w:color w:val="000080"/>
                  <w:sz w:val="20"/>
                  <w:u w:val="single"/>
                </w:rPr>
                <w:t>icted Stock Unit A</w:t>
              </w:r>
            </w:hyperlink>
            <w:hyperlink w:anchor="a1029formofrestrictedstock.htm">
              <w:r>
                <w:rPr>
                  <w:rStyle w:val="InternetLink"/>
                  <w:rFonts w:ascii="Arial;sans-serif" w:hAnsi="Arial;sans-serif"/>
                  <w:b w:val="false"/>
                  <w:color w:val="000080"/>
                  <w:sz w:val="20"/>
                  <w:u w:val="single"/>
                </w:rPr>
                <w:t>ward Terms and Conditions.</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10.30*</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30formofperformancestoc.htm">
              <w:r>
                <w:rPr>
                  <w:rStyle w:val="InternetLink"/>
                  <w:rFonts w:ascii="Arial;sans-serif" w:hAnsi="Arial;sans-serif"/>
                  <w:b w:val="false"/>
                  <w:color w:val="000080"/>
                  <w:sz w:val="20"/>
                  <w:u w:val="single"/>
                </w:rPr>
                <w:t xml:space="preserve">2024 Form of California Resources Corporation 2021 Long Term Incentive Plan </w:t>
              </w:r>
            </w:hyperlink>
            <w:hyperlink w:anchor="a1030formofperformancestoc.htm">
              <w:r>
                <w:rPr>
                  <w:rStyle w:val="InternetLink"/>
                  <w:rFonts w:ascii="Arial;sans-serif" w:hAnsi="Arial;sans-serif"/>
                  <w:b w:val="false"/>
                  <w:color w:val="000080"/>
                  <w:sz w:val="20"/>
                  <w:u w:val="single"/>
                </w:rPr>
                <w:t>Performance</w:t>
              </w:r>
            </w:hyperlink>
            <w:hyperlink w:anchor="a1030formofperformancestoc.htm">
              <w:r>
                <w:rPr>
                  <w:rStyle w:val="InternetLink"/>
                  <w:rFonts w:ascii="Arial;sans-serif" w:hAnsi="Arial;sans-serif"/>
                  <w:b w:val="false"/>
                  <w:color w:val="000080"/>
                  <w:sz w:val="20"/>
                  <w:u w:val="single"/>
                </w:rPr>
                <w:t xml:space="preserve"> Stock Unit Award Terms and Conditions</w:t>
              </w:r>
            </w:hyperlink>
            <w:hyperlink w:anchor="a1030formofperformancestoc.htm">
              <w:r>
                <w:rPr>
                  <w:rStyle w:val="InternetLink"/>
                  <w:rFonts w:ascii="Arial;sans-serif" w:hAnsi="Arial;sans-serif"/>
                  <w:b w:val="false"/>
                  <w:color w:val="000080"/>
                  <w:sz w:val="20"/>
                  <w:u w:val="single"/>
                </w:rPr>
                <w:t>.</w:t>
              </w:r>
            </w:hyperlink>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91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yeex21listofsubsidiar.htm">
              <w:r>
                <w:rPr>
                  <w:rStyle w:val="InternetLink"/>
                  <w:rFonts w:ascii="Arial;sans-serif" w:hAnsi="Arial;sans-serif"/>
                  <w:b w:val="false"/>
                  <w:color w:val="0000FF"/>
                  <w:sz w:val="20"/>
                  <w:u w:val="single"/>
                </w:rPr>
                <w:t>List of Subsidiaries of California Resources Corporation.</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0520"/>
                <wp:effectExtent l="0" t="0" r="0" b="0"/>
                <wp:wrapNone/>
                <wp:docPr id="143" name="Frame1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42"/>
        <w:gridCol w:w="388"/>
        <w:gridCol w:w="391"/>
        <w:gridCol w:w="2731"/>
        <w:gridCol w:w="2578"/>
        <w:gridCol w:w="3675"/>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75"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Number</w:t>
            </w:r>
          </w:p>
        </w:tc>
        <w:tc>
          <w:tcPr>
            <w:tcW w:w="89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Description</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yeex231kpmgconsent-q4.htm">
              <w:r>
                <w:rPr>
                  <w:rStyle w:val="InternetLink"/>
                  <w:rFonts w:ascii="Arial;sans-serif" w:hAnsi="Arial;sans-serif"/>
                  <w:b w:val="false"/>
                  <w:color w:val="0000FF"/>
                  <w:sz w:val="20"/>
                  <w:u w:val="single"/>
                </w:rPr>
                <w:t>Consent of Independent Registered Public Accounting Firm.</w:t>
              </w:r>
            </w:hyperlink>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23.2*</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yeex232nsaiconsent-q4.htm">
              <w:r>
                <w:rPr>
                  <w:rStyle w:val="InternetLink"/>
                  <w:rFonts w:ascii="Arial;sans-serif" w:hAnsi="Arial;sans-serif"/>
                  <w:b w:val="false"/>
                  <w:color w:val="0000FF"/>
                  <w:sz w:val="20"/>
                  <w:u w:val="single"/>
                </w:rPr>
                <w:t>Consent of Independent Petroleum Engineers, Netherland, Sewell &amp; Associates, Inc.</w:t>
              </w:r>
            </w:hyperlink>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yeex311ceocertificati.htm">
              <w:r>
                <w:rPr>
                  <w:rStyle w:val="InternetLink"/>
                  <w:rFonts w:ascii="Arial;sans-serif" w:hAnsi="Arial;sans-serif"/>
                  <w:b w:val="false"/>
                  <w:color w:val="0000FF"/>
                  <w:sz w:val="20"/>
                  <w:u w:val="single"/>
                </w:rPr>
                <w:t>Certification of Chief Executive Officer pursuant to Section 302 of the Sarbanes-Oxley Act of 2002.</w:t>
              </w:r>
            </w:hyperlink>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yeex312cfocertificati.htm">
              <w:r>
                <w:rPr>
                  <w:rStyle w:val="InternetLink"/>
                  <w:rFonts w:ascii="Arial;sans-serif" w:hAnsi="Arial;sans-serif"/>
                  <w:b w:val="false"/>
                  <w:color w:val="0000FF"/>
                  <w:sz w:val="20"/>
                  <w:u w:val="single"/>
                </w:rPr>
                <w:t>Certification of Chief Financial Officer pursuant to Section 302 of the Sarbanes-Oxley Act of 2002.</w:t>
              </w:r>
            </w:hyperlink>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yeex321ceoandcfocerti.htm">
              <w:r>
                <w:rPr>
                  <w:rStyle w:val="InternetLink"/>
                  <w:rFonts w:ascii="Arial;sans-serif" w:hAnsi="Arial;sans-serif"/>
                  <w:b w:val="false"/>
                  <w:color w:val="0000FF"/>
                  <w:sz w:val="20"/>
                  <w:u w:val="single"/>
                </w:rPr>
                <w:t>Certifications of Chief Executive Officer and Chief Financial Officer pursuant to Section 906 of the Sarbanes-Oxley Act of 2002.</w:t>
              </w:r>
            </w:hyperlink>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97.1*</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yeex971incentive-base.htm">
              <w:r>
                <w:rPr>
                  <w:rStyle w:val="InternetLink"/>
                  <w:rFonts w:ascii="Arial;sans-serif" w:hAnsi="Arial;sans-serif"/>
                  <w:b w:val="false"/>
                  <w:color w:val="0000FF"/>
                  <w:sz w:val="20"/>
                  <w:u w:val="single"/>
                </w:rPr>
                <w:t>California Resources Corporation Incentive-Based Compensation Recoupment Policy</w:t>
              </w:r>
            </w:hyperlink>
            <w:r>
              <w:rPr>
                <w:rFonts w:ascii="Arial;sans-serif" w:hAnsi="Arial;sans-serif"/>
                <w:b w:val="false"/>
                <w:color w:val="000000"/>
                <w:sz w:val="20"/>
              </w:rPr>
              <w:t>.</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99.1*</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yeex991nsaiye23auditl.htm">
              <w:r>
                <w:rPr>
                  <w:rStyle w:val="InternetLink"/>
                  <w:rFonts w:ascii="Arial;sans-serif" w:hAnsi="Arial;sans-serif"/>
                  <w:b w:val="false"/>
                  <w:color w:val="000080"/>
                  <w:sz w:val="20"/>
                  <w:u w:val="single"/>
                </w:rPr>
                <w:t>Netherland, Sewell &amp; Associates, Inc. Estimated Future Reserves Attributable to Certain Leasehold and Royalty Interests as of December 31, 202</w:t>
              </w:r>
            </w:hyperlink>
            <w:hyperlink w:anchor="a2023yeex991nsaiye23auditl.htm">
              <w:r>
                <w:rPr>
                  <w:rStyle w:val="InternetLink"/>
                  <w:rFonts w:ascii="Arial;sans-serif" w:hAnsi="Arial;sans-serif"/>
                  <w:b w:val="false"/>
                  <w:color w:val="000080"/>
                  <w:sz w:val="20"/>
                  <w:u w:val="single"/>
                </w:rPr>
                <w:t>3</w:t>
              </w:r>
            </w:hyperlink>
            <w:hyperlink w:anchor="a2023yeex991nsaiye23auditl.htm">
              <w:r>
                <w:rPr>
                  <w:rStyle w:val="InternetLink"/>
                  <w:rFonts w:ascii="Arial;sans-serif" w:hAnsi="Arial;sans-serif"/>
                  <w:b w:val="false"/>
                  <w:color w:val="000080"/>
                  <w:sz w:val="20"/>
                  <w:u w:val="single"/>
                </w:rPr>
                <w:t>.</w:t>
              </w:r>
            </w:hyperlink>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in inline XBRL and contained in Exhibits 101).</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 Filed herewith.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**Certain portions of this exhibit (indicated by "[*****]") have been omitted pursuant to Item 601(b)(10)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4" name="Frame1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899" w:type="dxa"/>
        <w:jc w:val="left"/>
        <w:tblInd w:w="0" w:type="dxa"/>
        <w:tblLayout w:type="fixed"/>
        <w:tblCellMar>
          <w:top w:w="28" w:type="dxa"/>
          <w:left w:w="28" w:type="dxa"/>
          <w:bottom w:w="28" w:type="dxa"/>
          <w:right w:w="28" w:type="dxa"/>
        </w:tblCellMar>
      </w:tblPr>
      <w:tblGrid>
        <w:gridCol w:w="614"/>
        <w:gridCol w:w="539"/>
        <w:gridCol w:w="541"/>
        <w:gridCol w:w="640"/>
        <w:gridCol w:w="640"/>
        <w:gridCol w:w="640"/>
        <w:gridCol w:w="962"/>
        <w:gridCol w:w="962"/>
        <w:gridCol w:w="1361"/>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CALIFORNIA RESOURCES CORPORATION</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Francisco J. Leon</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Francisco J. Leon</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 xml:space="preserve">President, </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Director</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633" w:type="dxa"/>
        <w:jc w:val="left"/>
        <w:tblInd w:w="0" w:type="dxa"/>
        <w:tblLayout w:type="fixed"/>
        <w:tblCellMar>
          <w:top w:w="28" w:type="dxa"/>
          <w:left w:w="28" w:type="dxa"/>
          <w:bottom w:w="28" w:type="dxa"/>
          <w:right w:w="28" w:type="dxa"/>
        </w:tblCellMar>
      </w:tblPr>
      <w:tblGrid>
        <w:gridCol w:w="124"/>
        <w:gridCol w:w="109"/>
        <w:gridCol w:w="109"/>
        <w:gridCol w:w="869"/>
        <w:gridCol w:w="869"/>
        <w:gridCol w:w="872"/>
        <w:gridCol w:w="109"/>
        <w:gridCol w:w="109"/>
        <w:gridCol w:w="109"/>
        <w:gridCol w:w="1203"/>
        <w:gridCol w:w="1203"/>
        <w:gridCol w:w="1223"/>
        <w:gridCol w:w="503"/>
        <w:gridCol w:w="503"/>
        <w:gridCol w:w="7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President,</w:t>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Francisco J. Leon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 and Director</w:t>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Manuela (Nelly) Molina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Executive Vice President and</w:t>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Manuela (Nelly) Molina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Noelle M. Repetti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Senior Vice President and Controller and</w:t>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Noelle M. Repetti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Accounting Officer</w:t>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Tiffany (TJ) Thom Cepak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Chair of the Board</w:t>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Tiffany (TJ) Thom Cepak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continue"/>
            <w:tcBorders/>
            <w:tcMar>
              <w:top w:w="0" w:type="dxa"/>
              <w:left w:w="0" w:type="dxa"/>
              <w:bottom w:w="0" w:type="dxa"/>
              <w:right w:w="0" w:type="dxa"/>
            </w:tcMar>
            <w:vAlign w:val="center"/>
          </w:tcPr>
          <w:p>
            <w:pPr>
              <w:pStyle w:val="Normal"/>
              <w:bidi w:val="0"/>
              <w:jc w:val="left"/>
              <w:rPr/>
            </w:pPr>
            <w:r>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Andrew B. Bremner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Andrew B. Bremner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continue"/>
            <w:tcBorders/>
            <w:tcMar>
              <w:top w:w="0" w:type="dxa"/>
              <w:left w:w="0" w:type="dxa"/>
              <w:bottom w:w="0" w:type="dxa"/>
              <w:right w:w="0" w:type="dxa"/>
            </w:tcMar>
            <w:vAlign w:val="center"/>
          </w:tcPr>
          <w:p>
            <w:pPr>
              <w:pStyle w:val="Normal"/>
              <w:bidi w:val="0"/>
              <w:jc w:val="left"/>
              <w:rPr/>
            </w:pPr>
            <w:r>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James N. Chapman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James N. Chapman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continue"/>
            <w:tcBorders/>
            <w:tcMar>
              <w:top w:w="0" w:type="dxa"/>
              <w:left w:w="0" w:type="dxa"/>
              <w:bottom w:w="0" w:type="dxa"/>
              <w:right w:w="0" w:type="dxa"/>
            </w:tcMar>
            <w:vAlign w:val="center"/>
          </w:tcPr>
          <w:p>
            <w:pPr>
              <w:pStyle w:val="Normal"/>
              <w:bidi w:val="0"/>
              <w:jc w:val="left"/>
              <w:rPr/>
            </w:pPr>
            <w:r>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Mark A. (Mac) McFarland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Mark A. (Mac) McFarland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continue"/>
            <w:tcBorders/>
            <w:tcMar>
              <w:top w:w="0" w:type="dxa"/>
              <w:left w:w="0" w:type="dxa"/>
              <w:bottom w:w="0" w:type="dxa"/>
              <w:right w:w="0" w:type="dxa"/>
            </w:tcMar>
            <w:vAlign w:val="center"/>
          </w:tcPr>
          <w:p>
            <w:pPr>
              <w:pStyle w:val="Normal"/>
              <w:bidi w:val="0"/>
              <w:jc w:val="left"/>
              <w:rPr/>
            </w:pPr>
            <w:r>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Nicole Neeman Brady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Nicole Neeman Brady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continue"/>
            <w:tcBorders/>
            <w:tcMar>
              <w:top w:w="0" w:type="dxa"/>
              <w:left w:w="0" w:type="dxa"/>
              <w:bottom w:w="0" w:type="dxa"/>
              <w:right w:w="0" w:type="dxa"/>
            </w:tcMar>
            <w:vAlign w:val="center"/>
          </w:tcPr>
          <w:p>
            <w:pPr>
              <w:pStyle w:val="Normal"/>
              <w:bidi w:val="0"/>
              <w:jc w:val="left"/>
              <w:rPr/>
            </w:pPr>
            <w:r>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Julio M. Quintana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Julio M. Quintana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continue"/>
            <w:tcBorders/>
            <w:tcMar>
              <w:top w:w="0" w:type="dxa"/>
              <w:left w:w="0" w:type="dxa"/>
              <w:bottom w:w="0" w:type="dxa"/>
              <w:right w:w="0" w:type="dxa"/>
            </w:tcMar>
            <w:vAlign w:val="center"/>
          </w:tcPr>
          <w:p>
            <w:pPr>
              <w:pStyle w:val="Normal"/>
              <w:bidi w:val="0"/>
              <w:jc w:val="left"/>
              <w:rPr/>
            </w:pPr>
            <w:r>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William B. Roby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William B. Roby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continue"/>
            <w:tcBorders/>
            <w:tcMar>
              <w:top w:w="0" w:type="dxa"/>
              <w:left w:w="0" w:type="dxa"/>
              <w:bottom w:w="0" w:type="dxa"/>
              <w:right w:w="0" w:type="dxa"/>
            </w:tcMar>
            <w:vAlign w:val="center"/>
          </w:tcPr>
          <w:p>
            <w:pPr>
              <w:pStyle w:val="Normal"/>
              <w:bidi w:val="0"/>
              <w:jc w:val="left"/>
              <w:rPr/>
            </w:pPr>
            <w:r>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A. Alejandra Veltmann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 Alejandra Veltmann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vMerge w:val="continue"/>
            <w:tcBorders/>
            <w:tcMar>
              <w:top w:w="0" w:type="dxa"/>
              <w:left w:w="0" w:type="dxa"/>
              <w:bottom w:w="0" w:type="dxa"/>
              <w:right w:w="0" w:type="dxa"/>
            </w:tcMar>
            <w:vAlign w:val="center"/>
          </w:tcPr>
          <w:p>
            <w:pPr>
              <w:pStyle w:val="Normal"/>
              <w:bidi w:val="0"/>
              <w:jc w:val="left"/>
              <w:rPr/>
            </w:pPr>
            <w:r>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libri;sans-serif" w:hAnsi="Calibri;sans-serif"/>
          <w:b/>
          <w:color w:val="000000"/>
          <w:sz w:val="24"/>
        </w:rPr>
      </w:pPr>
      <w:r>
        <w:rPr>
          <w:rFonts w:ascii="Calibri;sans-serif" w:hAnsi="Calibri;sans-serif"/>
          <w:b/>
          <w:color w:val="000000"/>
          <w:sz w:val="24"/>
        </w:rPr>
        <w:t>Exhibit 10.29</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5" name="Frame1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7.4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Calibri;sans-serif" w:hAnsi="Calibri;sans-serif"/>
          <w:b/>
          <w:color w:val="000000"/>
          <w:sz w:val="24"/>
        </w:rPr>
      </w:pPr>
      <w:r>
        <w:rPr>
          <w:rFonts w:ascii="Calibri;sans-serif" w:hAnsi="Calibri;sans-serif"/>
          <w:b/>
          <w:color w:val="000000"/>
          <w:sz w:val="24"/>
        </w:rPr>
        <w:t xml:space="preserve">CALIFORNIA RESOURCES CORPORATION </w:t>
      </w:r>
    </w:p>
    <w:p>
      <w:pPr>
        <w:pStyle w:val="TextBody"/>
        <w:bidi w:val="0"/>
        <w:spacing w:lineRule="auto" w:line="240" w:before="0" w:after="240"/>
        <w:jc w:val="center"/>
        <w:rPr>
          <w:rFonts w:ascii="Calibri;sans-serif" w:hAnsi="Calibri;sans-serif"/>
          <w:b/>
          <w:color w:val="000000"/>
          <w:sz w:val="24"/>
        </w:rPr>
      </w:pPr>
      <w:r>
        <w:rPr>
          <w:rFonts w:ascii="Calibri;sans-serif" w:hAnsi="Calibri;sans-serif"/>
          <w:b/>
          <w:color w:val="000000"/>
          <w:sz w:val="24"/>
        </w:rPr>
        <w:t>2021 LONG TERM INCENTIVE PLAN</w:t>
      </w:r>
    </w:p>
    <w:p>
      <w:pPr>
        <w:pStyle w:val="TextBody"/>
        <w:bidi w:val="0"/>
        <w:spacing w:lineRule="auto" w:line="240" w:before="0" w:after="240"/>
        <w:jc w:val="center"/>
        <w:rPr>
          <w:rFonts w:ascii="Calibri;sans-serif" w:hAnsi="Calibri;sans-serif"/>
          <w:b/>
          <w:color w:val="000000"/>
          <w:sz w:val="24"/>
        </w:rPr>
      </w:pPr>
      <w:r>
        <w:rPr>
          <w:rFonts w:ascii="Calibri;sans-serif" w:hAnsi="Calibri;sans-serif"/>
          <w:b/>
          <w:color w:val="000000"/>
          <w:sz w:val="24"/>
        </w:rPr>
        <w:t xml:space="preserve">RESTRICTED STOCK UNIT AWARD </w:t>
        <w:br/>
        <w:t>TERMS AND CONDITIONS</w:t>
      </w:r>
    </w:p>
    <w:p>
      <w:pPr>
        <w:pStyle w:val="TextBody"/>
        <w:bidi w:val="0"/>
        <w:spacing w:lineRule="auto" w:line="240" w:before="0" w:after="240"/>
        <w:ind w:left="0" w:right="0" w:hanging="3240"/>
        <w:jc w:val="both"/>
        <w:rPr>
          <w:rFonts w:ascii="Calibri;sans-serif" w:hAnsi="Calibri;sans-serif"/>
          <w:b w:val="false"/>
          <w:color w:val="000000"/>
          <w:sz w:val="24"/>
        </w:rPr>
      </w:pPr>
      <w:r>
        <w:rPr>
          <w:rFonts w:ascii="Calibri;sans-serif" w:hAnsi="Calibri;sans-serif"/>
          <w:b w:val="false"/>
          <w:color w:val="000000"/>
          <w:sz w:val="24"/>
        </w:rPr>
        <w:t>Grantee:    &lt;&lt;Grantee Name&gt;&gt;</w:t>
      </w:r>
    </w:p>
    <w:p>
      <w:pPr>
        <w:pStyle w:val="TextBody"/>
        <w:bidi w:val="0"/>
        <w:spacing w:lineRule="auto" w:line="240" w:before="0" w:after="240"/>
        <w:ind w:left="0" w:right="0" w:hanging="3240"/>
        <w:jc w:val="both"/>
        <w:rPr>
          <w:rFonts w:ascii="Calibri;sans-serif" w:hAnsi="Calibri;sans-serif"/>
          <w:b w:val="false"/>
          <w:color w:val="000000"/>
          <w:sz w:val="24"/>
        </w:rPr>
      </w:pPr>
      <w:r>
        <w:rPr>
          <w:rFonts w:ascii="Calibri;sans-serif" w:hAnsi="Calibri;sans-serif"/>
          <w:b w:val="false"/>
          <w:color w:val="000000"/>
          <w:sz w:val="24"/>
        </w:rPr>
        <w:t>Date of Grant:    &lt;&lt;Grant Date&gt;&gt;</w:t>
      </w:r>
    </w:p>
    <w:p>
      <w:pPr>
        <w:pStyle w:val="TextBody"/>
        <w:bidi w:val="0"/>
        <w:spacing w:lineRule="auto" w:line="240" w:before="0" w:after="0"/>
        <w:ind w:left="0" w:right="0" w:hanging="3240"/>
        <w:jc w:val="left"/>
        <w:rPr>
          <w:rFonts w:ascii="Calibri;sans-serif" w:hAnsi="Calibri;sans-serif"/>
          <w:b w:val="false"/>
          <w:color w:val="000000"/>
          <w:sz w:val="24"/>
        </w:rPr>
      </w:pPr>
      <w:r>
        <w:rPr>
          <w:rFonts w:ascii="Calibri;sans-serif" w:hAnsi="Calibri;sans-serif"/>
          <w:b w:val="false"/>
          <w:color w:val="000000"/>
          <w:sz w:val="24"/>
        </w:rPr>
        <w:t>Restricted Stock Units    &lt;&lt;Units Granted&gt;&gt;</w:t>
      </w:r>
    </w:p>
    <w:p>
      <w:pPr>
        <w:pStyle w:val="TextBody"/>
        <w:bidi w:val="0"/>
        <w:spacing w:before="0" w:after="0"/>
        <w:ind w:left="0" w:right="0" w:hanging="3240"/>
        <w:jc w:val="left"/>
        <w:rPr/>
      </w:pPr>
      <w:r>
        <w:rPr/>
      </w:r>
    </w:p>
    <w:p>
      <w:pPr>
        <w:pStyle w:val="TextBody"/>
        <w:bidi w:val="0"/>
        <w:spacing w:lineRule="auto" w:line="240" w:before="0" w:after="240"/>
        <w:ind w:left="0" w:right="0" w:hanging="3240"/>
        <w:jc w:val="both"/>
        <w:rPr>
          <w:rFonts w:ascii="Calibri;sans-serif" w:hAnsi="Calibri;sans-serif"/>
          <w:b w:val="false"/>
          <w:color w:val="000000"/>
          <w:sz w:val="24"/>
        </w:rPr>
      </w:pPr>
      <w:r>
        <w:rPr>
          <w:rFonts w:ascii="Calibri;sans-serif" w:hAnsi="Calibri;sans-serif"/>
          <w:b w:val="false"/>
          <w:color w:val="000000"/>
          <w:sz w:val="24"/>
        </w:rPr>
        <w:t>Vesting Schedule:    Subject to the terms and conditions set forth herein, the Restricted Stock Units shall vest according to the following schedule, so long as the Grantee remains continuously employed by the Company or an Affiliate, as applicable, from the Date of Grant through each such vesting date:</w:t>
      </w:r>
    </w:p>
    <w:p>
      <w:pPr>
        <w:pStyle w:val="TextBody"/>
        <w:bidi w:val="0"/>
        <w:spacing w:lineRule="auto" w:line="240" w:before="0" w:after="240"/>
        <w:jc w:val="both"/>
        <w:rPr/>
      </w:pPr>
      <w:r>
        <w:rPr>
          <w:rFonts w:ascii="Calibri;sans-serif" w:hAnsi="Calibri;sans-serif"/>
          <w:b w:val="false"/>
          <w:color w:val="000000"/>
          <w:sz w:val="24"/>
        </w:rPr>
        <w:t>(i) 33-1/3% of the Restricted Stock Units on the first annual anniversary of the Date of Grant; (ii) 33-1/3% of the Restricted Stock Units on the second annual anniversary of the Date of Grant; and (iii) 33-1/3% of the Restricted Stock Units on the third annual anniversary of the Date of Grant (each being a “</w:t>
      </w:r>
      <w:r>
        <w:rPr>
          <w:rFonts w:ascii="Calibri;sans-serif" w:hAnsi="Calibri;sans-serif"/>
          <w:b/>
          <w:color w:val="000000"/>
          <w:sz w:val="24"/>
        </w:rPr>
        <w:t>Vesting Date</w:t>
      </w:r>
      <w:r>
        <w:rPr>
          <w:color w:val="000000"/>
        </w:rPr>
        <w:t>”</w:t>
      </w:r>
      <w:r>
        <w:rPr>
          <w:rFonts w:ascii="Calibri;sans-serif" w:hAnsi="Calibri;sans-serif"/>
          <w:b w:val="false"/>
          <w:color w:val="000000"/>
          <w:sz w:val="24"/>
        </w:rPr>
        <w:t>)</w:t>
      </w:r>
    </w:p>
    <w:p>
      <w:pPr>
        <w:pStyle w:val="TextBody"/>
        <w:bidi w:val="0"/>
        <w:spacing w:lineRule="auto" w:line="240" w:before="0" w:after="240"/>
        <w:ind w:left="0" w:right="0" w:firstLine="720"/>
        <w:jc w:val="both"/>
        <w:rPr/>
      </w:pPr>
      <w:r>
        <w:rPr>
          <w:rFonts w:ascii="Calibri;sans-serif" w:hAnsi="Calibri;sans-serif"/>
          <w:b w:val="false"/>
          <w:color w:val="000000"/>
          <w:sz w:val="24"/>
        </w:rPr>
        <w:t>The following Terms and Conditions (these “</w:t>
      </w:r>
      <w:r>
        <w:rPr>
          <w:rFonts w:ascii="Calibri;sans-serif" w:hAnsi="Calibri;sans-serif"/>
          <w:b/>
          <w:color w:val="000000"/>
          <w:sz w:val="24"/>
        </w:rPr>
        <w:t>Terms and Conditions</w:t>
      </w:r>
      <w:r>
        <w:rPr>
          <w:color w:val="000000"/>
        </w:rPr>
        <w:t>”</w:t>
      </w:r>
      <w:r>
        <w:rPr>
          <w:rFonts w:ascii="Calibri;sans-serif" w:hAnsi="Calibri;sans-serif"/>
          <w:b w:val="false"/>
          <w:color w:val="000000"/>
          <w:sz w:val="24"/>
        </w:rPr>
        <w:t>) are set forth as of the Date of Grant between CALIFORNIA RESOURCES CORPORATION, a Delaware corporation (“</w:t>
      </w:r>
      <w:r>
        <w:rPr>
          <w:rFonts w:ascii="Calibri;sans-serif" w:hAnsi="Calibri;sans-serif"/>
          <w:b/>
          <w:color w:val="000000"/>
          <w:sz w:val="24"/>
        </w:rPr>
        <w:t>CRC</w:t>
      </w:r>
      <w:r>
        <w:rPr>
          <w:color w:val="000000"/>
        </w:rPr>
        <w:t xml:space="preserve">” </w:t>
      </w:r>
      <w:r>
        <w:rPr>
          <w:rFonts w:ascii="Calibri;sans-serif" w:hAnsi="Calibri;sans-serif"/>
          <w:b w:val="false"/>
          <w:color w:val="000000"/>
          <w:sz w:val="24"/>
        </w:rPr>
        <w:t>and, with its subsidiaries, the “</w:t>
      </w:r>
      <w:r>
        <w:rPr>
          <w:rFonts w:ascii="Calibri;sans-serif" w:hAnsi="Calibri;sans-serif"/>
          <w:b/>
          <w:color w:val="000000"/>
          <w:sz w:val="24"/>
        </w:rPr>
        <w:t>Company</w:t>
      </w:r>
      <w:r>
        <w:rPr>
          <w:color w:val="000000"/>
        </w:rPr>
        <w:t>”</w:t>
      </w:r>
      <w:r>
        <w:rPr>
          <w:rFonts w:ascii="Calibri;sans-serif" w:hAnsi="Calibri;sans-serif"/>
          <w:b w:val="false"/>
          <w:color w:val="000000"/>
          <w:sz w:val="24"/>
        </w:rPr>
        <w:t>), and the eligible employee receiving this award (the “</w:t>
      </w:r>
      <w:r>
        <w:rPr>
          <w:rFonts w:ascii="Calibri;sans-serif" w:hAnsi="Calibri;sans-serif"/>
          <w:b/>
          <w:color w:val="000000"/>
          <w:sz w:val="24"/>
        </w:rPr>
        <w:t>Grantee</w:t>
      </w:r>
      <w:r>
        <w:rPr>
          <w:color w:val="000000"/>
        </w:rPr>
        <w:t>”</w:t>
      </w:r>
      <w:r>
        <w:rPr>
          <w:rFonts w:ascii="Calibri;sans-serif" w:hAnsi="Calibri;sans-serif"/>
          <w:b w:val="false"/>
          <w:color w:val="000000"/>
          <w:sz w:val="24"/>
        </w:rPr>
        <w:t>).</w:t>
      </w:r>
    </w:p>
    <w:p>
      <w:pPr>
        <w:pStyle w:val="TextBody"/>
        <w:bidi w:val="0"/>
        <w:spacing w:lineRule="auto" w:line="240" w:before="0" w:after="240"/>
        <w:ind w:left="0" w:right="0" w:firstLine="720"/>
        <w:jc w:val="both"/>
        <w:rPr/>
      </w:pPr>
      <w:r>
        <w:rPr>
          <w:rFonts w:ascii="Calibri;sans-serif" w:hAnsi="Calibri;sans-serif"/>
          <w:b/>
          <w:color w:val="000000"/>
          <w:sz w:val="24"/>
        </w:rPr>
        <w:t>1.</w:t>
      </w:r>
      <w:r>
        <w:rPr>
          <w:rFonts w:ascii="Calibri;sans-serif" w:hAnsi="Calibri;sans-serif"/>
          <w:b/>
          <w:color w:val="000000"/>
          <w:sz w:val="24"/>
        </w:rPr>
        <w:t>Definitions</w:t>
      </w:r>
      <w:r>
        <w:rPr>
          <w:rFonts w:ascii="Calibri;sans-serif" w:hAnsi="Calibri;sans-serif"/>
          <w:b w:val="false"/>
          <w:color w:val="000000"/>
          <w:sz w:val="24"/>
        </w:rPr>
        <w:t>. For purposes of these Terms and Conditions, the following terms shall have the meanings specified below.</w:t>
      </w:r>
    </w:p>
    <w:p>
      <w:pPr>
        <w:pStyle w:val="TextBody"/>
        <w:bidi w:val="0"/>
        <w:spacing w:lineRule="auto" w:line="240" w:before="0" w:after="120"/>
        <w:ind w:left="0" w:right="0" w:firstLine="720"/>
        <w:jc w:val="both"/>
        <w:rPr/>
      </w:pPr>
      <w:r>
        <w:rPr>
          <w:rFonts w:ascii="Calibri;sans-serif" w:hAnsi="Calibri;sans-serif"/>
          <w:b w:val="false"/>
          <w:color w:val="000000"/>
          <w:sz w:val="24"/>
        </w:rPr>
        <w:t>(a)</w:t>
      </w:r>
      <w:r>
        <w:rPr>
          <w:color w:val="000000"/>
        </w:rPr>
        <w:t>    “</w:t>
      </w:r>
      <w:r>
        <w:rPr>
          <w:rFonts w:ascii="Calibri;sans-serif" w:hAnsi="Calibri;sans-serif"/>
          <w:b/>
          <w:color w:val="000000"/>
          <w:sz w:val="24"/>
        </w:rPr>
        <w:t>Cause</w:t>
      </w:r>
      <w:r>
        <w:rPr>
          <w:color w:val="000000"/>
        </w:rPr>
        <w:t xml:space="preserve">” </w:t>
      </w:r>
      <w:r>
        <w:rPr>
          <w:rFonts w:ascii="Calibri;sans-serif" w:hAnsi="Calibri;sans-serif"/>
          <w:b w:val="false"/>
          <w:color w:val="000000"/>
          <w:sz w:val="24"/>
        </w:rPr>
        <w:t xml:space="preserve">means “cause” (or a term of like import) as defined in the Grantee’s individual employment, consulting or severance agreement with the Company or an Affiliate in effect at the time of the Grantee’s termination of employment or, in the absence of such an agreement or definition, shall mean (i) the Grantee’s material breach of this Agreement or any other written agreement between the Grantee and the Company or an Affiliate, including the Grantee’s breach of any representation, warranty or covenant made under any such agreement; (ii) the Grantee’s material breach of any law applicable to the workplace or employment relationship, or the Grantee’s material breach of any policy or code of conduct established by the Company or an Affiliate and applicable to the Grantee; (iii) the Grantee’s gross negligence, willful misconduct, breach of fiduciary duty, fraud, theft or embezzlement; (iv) the commission by the Grantee of, or conviction or indictment of the Grantee for, or plea of nolo contendere by the Grantee to, any crime involving moral turpitude or any felony (or state law equivalent); or (v) the Grantee’s willful failure or refusal, other than due to disability, to follow any lawful directive from the Company, as determined by the Company; provided, however, that if the Grantee’s actions or omissions as set forth in this clause (v) are of such a nature that the Company determines that they are curable by the Grantee, such actions or omissions must remain uncured 30 days after the Company first provided the Grantee written notice of the obligation to cure such actions or omissions. </w:t>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887095"/>
                <wp:effectExtent l="0" t="0" r="0" b="0"/>
                <wp:wrapNone/>
                <wp:docPr id="146" name="Frame145"/>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1</w:t>
                            </w:r>
                            <w:r>
                              <w:br w:type="page"/>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1</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120"/>
        <w:ind w:left="0" w:right="0" w:firstLine="720"/>
        <w:jc w:val="both"/>
        <w:rPr/>
      </w:pPr>
      <w:r>
        <w:rPr>
          <w:rFonts w:ascii="Calibri;sans-serif" w:hAnsi="Calibri;sans-serif"/>
          <w:b w:val="false"/>
          <w:color w:val="000000"/>
          <w:sz w:val="24"/>
        </w:rPr>
        <w:t>(b)    “</w:t>
      </w:r>
      <w:r>
        <w:rPr>
          <w:rFonts w:ascii="Calibri;sans-serif" w:hAnsi="Calibri;sans-serif"/>
          <w:b/>
          <w:color w:val="000000"/>
          <w:sz w:val="24"/>
        </w:rPr>
        <w:t>Good Reason</w:t>
      </w:r>
      <w:r>
        <w:rPr>
          <w:color w:val="000000"/>
        </w:rPr>
        <w:t xml:space="preserve">” </w:t>
      </w:r>
      <w:r>
        <w:rPr>
          <w:rFonts w:ascii="Calibri;sans-serif" w:hAnsi="Calibri;sans-serif"/>
          <w:b w:val="false"/>
          <w:color w:val="000000"/>
          <w:sz w:val="24"/>
        </w:rPr>
        <w:t>means “good reason” (or a term of like import) as defined in the Grantee’s individual employment, consulting or severance agreement with the Company or an Affiliate in effect at the time of the Grantee’s termination of employment or, in the absence of such an agreement or definition, shall mean the occurrence of any of the following without the Grantee’s consent: (i) a material adverse change in the Grantee’s title, duties or responsibilities (including reporting responsibilities); (ii) a material reduction in the Grantee’s base salary; (iii) any relocation of the Grantee’s principal place of employment by more than 50 miles from the location of the Grantee’s principal place of employment as of the date upon which a Qualifying Change of Control occurs; or (iv) a material breach by the Company of any of its obligations under this Agreement. The Company and the Grantee agree that “Good Reason” shall not exist unless and until the Grantee provides the Company with written notice of the acts alleged to constitute Good Reason within 90 days of the Grantee’s knowledge of the occurrence of such event, and Company fails to cure such acts within 30 days of receipt of such notice. The Grantee must terminate employment within 60 days following the expiration of such cure period for the termination to be on account of Good Reason. Notwithstanding the foregoing or any other provision of these Terms and Conditions, if the Grantee does not have an individual employment, consulting or severance agreement with the Company or an Affiliate in effect at the time of the Grantee’s termination of employment, or if any such agreement does not include a definition of the term “good reason” (or a term of like import), then all of the terms and provisions in these Terms and Conditions that are conditioned upon a termination of employment for Good Reason shall be disregarded and of no force or effect; provided, however, that the provisions of Section 4(e) relating to a Qualifying Termination following a Qualifying Change in Control under certain circumstances shall be applied by including a termination of the Grantee’s employment by the Grantee for Good Reason within the meaning of a Qualifying Termination.</w:t>
      </w:r>
    </w:p>
    <w:p>
      <w:pPr>
        <w:pStyle w:val="TextBody"/>
        <w:bidi w:val="0"/>
        <w:spacing w:lineRule="auto" w:line="240" w:before="0" w:after="120"/>
        <w:ind w:left="0" w:right="0" w:firstLine="720"/>
        <w:jc w:val="both"/>
        <w:rPr/>
      </w:pPr>
      <w:r>
        <w:rPr>
          <w:rFonts w:ascii="Calibri;sans-serif" w:hAnsi="Calibri;sans-serif"/>
          <w:b w:val="false"/>
          <w:color w:val="000000"/>
          <w:sz w:val="24"/>
        </w:rPr>
        <w:t>(c)    “</w:t>
      </w:r>
      <w:r>
        <w:rPr>
          <w:rFonts w:ascii="Calibri;sans-serif" w:hAnsi="Calibri;sans-serif"/>
          <w:b/>
          <w:color w:val="000000"/>
          <w:sz w:val="24"/>
        </w:rPr>
        <w:t>Qualifying Change in Control</w:t>
      </w:r>
      <w:r>
        <w:rPr>
          <w:color w:val="000000"/>
        </w:rPr>
        <w:t xml:space="preserve">” </w:t>
      </w:r>
      <w:r>
        <w:rPr>
          <w:rFonts w:ascii="Calibri;sans-serif" w:hAnsi="Calibri;sans-serif"/>
          <w:b w:val="false"/>
          <w:color w:val="000000"/>
          <w:sz w:val="24"/>
        </w:rPr>
        <w:t>means</w:t>
      </w:r>
      <w:r>
        <w:rPr>
          <w:color w:val="000000"/>
        </w:rPr>
        <w:t xml:space="preserve"> </w:t>
      </w:r>
      <w:r>
        <w:rPr>
          <w:rFonts w:ascii="Calibri;sans-serif" w:hAnsi="Calibri;sans-serif"/>
          <w:b w:val="false"/>
          <w:color w:val="000000"/>
          <w:sz w:val="24"/>
        </w:rPr>
        <w:t>a Change in Control, but excluding any event that would otherwise constitute a Change in Control and that relates solely to any acquisition of securities of the Company by a stockholder of the Company that owns 20% or more of either the Outstanding Stock or the Outstanding Company Voting Securities as of the Date of Grant (or by such a stockholder and/or one or more of its affiliates).</w:t>
      </w:r>
    </w:p>
    <w:p>
      <w:pPr>
        <w:pStyle w:val="TextBody"/>
        <w:bidi w:val="0"/>
        <w:spacing w:lineRule="auto" w:line="240" w:before="0" w:after="120"/>
        <w:ind w:left="0" w:right="0" w:firstLine="720"/>
        <w:jc w:val="both"/>
        <w:rPr/>
      </w:pPr>
      <w:r>
        <w:rPr>
          <w:rFonts w:ascii="Calibri;sans-serif" w:hAnsi="Calibri;sans-serif"/>
          <w:b w:val="false"/>
          <w:color w:val="000000"/>
          <w:sz w:val="24"/>
        </w:rPr>
        <w:t>(d)    “</w:t>
      </w:r>
      <w:r>
        <w:rPr>
          <w:rFonts w:ascii="Calibri;sans-serif" w:hAnsi="Calibri;sans-serif"/>
          <w:b/>
          <w:color w:val="000000"/>
          <w:sz w:val="24"/>
        </w:rPr>
        <w:t>Qualifying Termination</w:t>
      </w:r>
      <w:r>
        <w:rPr>
          <w:color w:val="000000"/>
        </w:rPr>
        <w:t xml:space="preserve">” </w:t>
      </w:r>
      <w:r>
        <w:rPr>
          <w:rFonts w:ascii="Calibri;sans-serif" w:hAnsi="Calibri;sans-serif"/>
          <w:b w:val="false"/>
          <w:color w:val="000000"/>
          <w:sz w:val="24"/>
        </w:rPr>
        <w:t>means a termination of the Grantee’s employment with the Company or an Affiliate (i) by the Company or an Affiliate without Cause, (ii) by the Grantee for Good Reason (if applicable), or (iii) due to the Grantee’s disability within the meaning of Treasury regulation section 1.409A-3(i)(4).</w:t>
      </w:r>
    </w:p>
    <w:p>
      <w:pPr>
        <w:pStyle w:val="TextBody"/>
        <w:bidi w:val="0"/>
        <w:spacing w:lineRule="auto" w:line="240" w:before="0" w:after="240"/>
        <w:ind w:left="0" w:right="0" w:firstLine="720"/>
        <w:jc w:val="both"/>
        <w:rPr/>
      </w:pPr>
      <w:r>
        <w:rPr>
          <w:rFonts w:ascii="Calibri;sans-serif" w:hAnsi="Calibri;sans-serif"/>
          <w:b/>
          <w:color w:val="000000"/>
          <w:sz w:val="24"/>
        </w:rPr>
        <w:t>2.</w:t>
      </w:r>
      <w:r>
        <w:rPr>
          <w:rFonts w:ascii="Calibri;sans-serif" w:hAnsi="Calibri;sans-serif"/>
          <w:b/>
          <w:color w:val="000000"/>
          <w:sz w:val="24"/>
        </w:rPr>
        <w:t>Grant of Restricted Stock Units.</w:t>
      </w:r>
      <w:r>
        <w:rPr>
          <w:color w:val="000000"/>
        </w:rPr>
        <w:t xml:space="preserve"> </w:t>
      </w:r>
      <w:r>
        <w:rPr>
          <w:rFonts w:ascii="Calibri;sans-serif" w:hAnsi="Calibri;sans-serif"/>
          <w:b w:val="false"/>
          <w:color w:val="000000"/>
          <w:sz w:val="24"/>
        </w:rPr>
        <w:t>In accordance with these Terms and Conditions and the California Resources Corporation 2021 Long Term Incentive Plan, as the same may be amended from time to time (the “</w:t>
      </w:r>
      <w:r>
        <w:rPr>
          <w:rFonts w:ascii="Calibri;sans-serif" w:hAnsi="Calibri;sans-serif"/>
          <w:b/>
          <w:color w:val="000000"/>
          <w:sz w:val="24"/>
        </w:rPr>
        <w:t>Plan</w:t>
      </w:r>
      <w:r>
        <w:rPr>
          <w:color w:val="000000"/>
        </w:rPr>
        <w:t>”</w:t>
      </w:r>
      <w:r>
        <w:rPr>
          <w:rFonts w:ascii="Calibri;sans-serif" w:hAnsi="Calibri;sans-serif"/>
          <w:b w:val="false"/>
          <w:color w:val="000000"/>
          <w:sz w:val="24"/>
        </w:rPr>
        <w:t>), CRC grants to the Grantee as of the Date of Grant, the number of Restricted Stock Units (“</w:t>
      </w:r>
      <w:r>
        <w:rPr>
          <w:rFonts w:ascii="Calibri;sans-serif" w:hAnsi="Calibri;sans-serif"/>
          <w:b/>
          <w:color w:val="000000"/>
          <w:sz w:val="24"/>
        </w:rPr>
        <w:t>RS Units</w:t>
      </w:r>
      <w:r>
        <w:rPr>
          <w:color w:val="000000"/>
        </w:rPr>
        <w:t>”</w:t>
      </w:r>
      <w:r>
        <w:rPr>
          <w:rFonts w:ascii="Calibri;sans-serif" w:hAnsi="Calibri;sans-serif"/>
          <w:b w:val="false"/>
          <w:color w:val="000000"/>
          <w:sz w:val="24"/>
        </w:rPr>
        <w:t>) set forth above, subject to adjustment under the Plan and Section 7 of these Terms and Conditions. An RS Unit is a bookkeeping entry that represents the right to receive upon vesting, as set forth in Section 4, one share of CRC common stock, $0.01 par value (the “</w:t>
      </w:r>
      <w:r>
        <w:rPr>
          <w:rFonts w:ascii="Calibri;sans-serif" w:hAnsi="Calibri;sans-serif"/>
          <w:b/>
          <w:color w:val="000000"/>
          <w:sz w:val="24"/>
        </w:rPr>
        <w:t>Common Stock</w:t>
      </w:r>
      <w:r>
        <w:rPr>
          <w:color w:val="000000"/>
        </w:rPr>
        <w:t>”</w:t>
      </w:r>
      <w:r>
        <w:rPr>
          <w:rFonts w:ascii="Calibri;sans-serif" w:hAnsi="Calibri;sans-serif"/>
          <w:b w:val="false"/>
          <w:color w:val="000000"/>
          <w:sz w:val="24"/>
        </w:rPr>
        <w:t xml:space="preserve">), at the time provided in Section 5. RS Units are not Common Stock and have no voting rights or, except as stated in Section 6, dividend equivalent rights. </w:t>
      </w:r>
    </w:p>
    <w:p>
      <w:pPr>
        <w:pStyle w:val="TextBody"/>
        <w:bidi w:val="0"/>
        <w:spacing w:lineRule="auto" w:line="240" w:before="0" w:after="240"/>
        <w:ind w:left="0" w:right="0" w:firstLine="720"/>
        <w:jc w:val="both"/>
        <w:rPr/>
      </w:pPr>
      <w:r>
        <w:rPr>
          <w:rFonts w:ascii="Calibri;sans-serif" w:hAnsi="Calibri;sans-serif"/>
          <w:b/>
          <w:color w:val="000000"/>
          <w:sz w:val="24"/>
        </w:rPr>
        <w:t>3.</w:t>
      </w:r>
      <w:r>
        <w:rPr>
          <w:rFonts w:ascii="Calibri;sans-serif" w:hAnsi="Calibri;sans-serif"/>
          <w:b/>
          <w:color w:val="000000"/>
          <w:sz w:val="24"/>
        </w:rPr>
        <w:t>Restrictions on Transfer.</w:t>
      </w:r>
      <w:r>
        <w:rPr>
          <w:color w:val="000000"/>
        </w:rPr>
        <w:t xml:space="preserve"> </w:t>
      </w:r>
      <w:r>
        <w:rPr>
          <w:rFonts w:ascii="Calibri;sans-serif" w:hAnsi="Calibri;sans-serif"/>
          <w:b w:val="false"/>
          <w:color w:val="000000"/>
          <w:sz w:val="24"/>
        </w:rPr>
        <w:t xml:space="preserve">Neither these Terms and Conditions nor any right to receive Common Stock pursuant to these Terms and Conditions may be transferred or assigned by the Grantee other than (i) to a beneficiary designated on a form approved by CRC (if enforceable under local law), by will or, if the Grantee dies without designating a beneficiary of a valid will, by the laws of descent and distribution, or (ii) pursuant to any applicable domestic relations order (if approved or ratified by the Committee). Any purported transfer, </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36575"/>
                <wp:effectExtent l="0" t="0" r="0" b="0"/>
                <wp:wrapNone/>
                <wp:docPr id="147" name="Frame146"/>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p>
                            <w:pPr>
                              <w:pStyle w:val="TextBody"/>
                              <w:bidi w:val="0"/>
                              <w:spacing w:lineRule="auto" w:line="240" w:before="0" w:after="0"/>
                              <w:jc w:val="both"/>
                              <w:rPr/>
                            </w:pPr>
                            <w:r>
                              <w:rPr>
                                <w:color w:val="000000"/>
                              </w:rPr>
                              <w:t>    </w:t>
                            </w:r>
                            <w:r>
                              <w:rPr>
                                <w:rFonts w:ascii="Calibri;sans-serif" w:hAnsi="Calibri;sans-serif"/>
                                <w:b w:val="false"/>
                                <w:color w:val="000000"/>
                                <w:sz w:val="24"/>
                              </w:rPr>
                              <w:t>2</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pPr>
                      <w:r>
                        <w:rPr>
                          <w:color w:val="000000"/>
                        </w:rPr>
                        <w:t>    </w:t>
                      </w:r>
                      <w:r>
                        <w:rPr>
                          <w:rFonts w:ascii="Calibri;sans-serif" w:hAnsi="Calibri;sans-serif"/>
                          <w:b w:val="false"/>
                          <w:color w:val="000000"/>
                          <w:sz w:val="24"/>
                        </w:rPr>
                        <w:t>2</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encumbrance or other disposition of the Grantee’s rights under these Terms and Conditions that is in violation of this Section 3 shall be null and void.</w:t>
      </w:r>
    </w:p>
    <w:p>
      <w:pPr>
        <w:pStyle w:val="TextBody"/>
        <w:bidi w:val="0"/>
        <w:spacing w:lineRule="auto" w:line="240" w:before="0" w:after="240"/>
        <w:ind w:left="0" w:right="0" w:firstLine="720"/>
        <w:jc w:val="both"/>
        <w:rPr/>
      </w:pPr>
      <w:r>
        <w:rPr>
          <w:rFonts w:ascii="Calibri;sans-serif" w:hAnsi="Calibri;sans-serif"/>
          <w:b/>
          <w:color w:val="000000"/>
          <w:sz w:val="24"/>
        </w:rPr>
        <w:t>4.</w:t>
      </w:r>
      <w:r>
        <w:rPr>
          <w:rFonts w:ascii="Calibri;sans-serif" w:hAnsi="Calibri;sans-serif"/>
          <w:b/>
          <w:color w:val="000000"/>
          <w:sz w:val="24"/>
        </w:rPr>
        <w:t>Vesting and Forfeiture of Restricted Stock Unit Award.</w:t>
      </w:r>
      <w:r>
        <w:rPr>
          <w:color w:val="000000"/>
        </w:rPr>
        <w:t xml:space="preserve"> </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(a)If the Grantee fails to accept this award prior to &lt;&lt;Accept by Date&gt;&gt;, then, notwithstanding any other provision of this award, the Grantee shall forfeit this award and all rights hereunder and this award will become null and void. For purposes of these Terms and Conditions, acceptance of the award shall occur on the date the Grantee accepts this Restricted Stock Unit Award through Fidelity NetBenefits or any on-line system designated by the Company.</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(b)Except as otherwise set forth in Sections 4(c), (d), (e) and (f), the RS Units shall vest in accordance with the Vesting Schedule set forth above. Upon a termination of the Grantee’s employment with the Company or an Affiliate prior to the vesting of all of the RS Units (but after giving effect to any accelerated vesting pursuant to Sections 4(c), (d) and (e)), any unvested RS Units (and all rights arising from such RS Units and from being a holder thereof) will terminate automatically without any further action by the Company and will be forfeited without further notice and at no cost to the Company.</w:t>
      </w:r>
    </w:p>
    <w:p>
      <w:pPr>
        <w:pStyle w:val="TextBody"/>
        <w:bidi w:val="0"/>
        <w:spacing w:lineRule="auto" w:line="240" w:before="0" w:after="240"/>
        <w:ind w:left="0" w:right="0" w:firstLine="720"/>
        <w:jc w:val="both"/>
        <w:rPr/>
      </w:pPr>
      <w:r>
        <w:rPr>
          <w:rFonts w:ascii="Calibri;sans-serif" w:hAnsi="Calibri;sans-serif"/>
          <w:b w:val="false"/>
          <w:color w:val="000000"/>
          <w:sz w:val="24"/>
        </w:rPr>
        <w:t>(c)If the Grantee’s employment with the Company or an Affiliate is terminated prior to the vesting of all RS Units due to a Qualifying Termination, then an additional number of RS Units shall immediately vest and become nonforfeitable as of the date of such termination of employment, which number shall equal (i) the number of RS Units that would have become vested as of the next scheduled Vesting Date occurring after the date of such termination (the “</w:t>
      </w:r>
      <w:r>
        <w:rPr>
          <w:rFonts w:ascii="Calibri;sans-serif" w:hAnsi="Calibri;sans-serif"/>
          <w:b/>
          <w:color w:val="000000"/>
          <w:sz w:val="24"/>
        </w:rPr>
        <w:t>Next Vesting Date</w:t>
      </w:r>
      <w:r>
        <w:rPr>
          <w:color w:val="000000"/>
        </w:rPr>
        <w:t>”</w:t>
      </w:r>
      <w:r>
        <w:rPr>
          <w:rFonts w:ascii="Calibri;sans-serif" w:hAnsi="Calibri;sans-serif"/>
          <w:b w:val="false"/>
          <w:color w:val="000000"/>
          <w:sz w:val="24"/>
        </w:rPr>
        <w:t xml:space="preserve">) had the Grantee continued in the employment of the Company or an Affiliate, </w:t>
      </w:r>
      <w:r>
        <w:rPr>
          <w:rFonts w:ascii="Calibri;sans-serif" w:hAnsi="Calibri;sans-serif"/>
          <w:b w:val="false"/>
          <w:color w:val="000000"/>
          <w:sz w:val="24"/>
          <w:u w:val="single"/>
        </w:rPr>
        <w:t>multiplied by</w:t>
      </w:r>
      <w:r>
        <w:rPr>
          <w:color w:val="000000"/>
        </w:rPr>
        <w:t xml:space="preserve"> </w:t>
      </w:r>
      <w:r>
        <w:rPr>
          <w:rFonts w:ascii="Calibri;sans-serif" w:hAnsi="Calibri;sans-serif"/>
          <w:b w:val="false"/>
          <w:color w:val="000000"/>
          <w:sz w:val="24"/>
        </w:rPr>
        <w:t>(ii) a fraction, the numerator of which is the number of days the Grantee was continuously employed by the Company or an Affiliate during the period beginning on the first day after the Vesting Date next preceding the Next Vesting Date and ending on the Next Vesting Date, and the denominator of which is the total number of days in the period beginning on the first day after the Vesting Date next preceding the Next Vesting Date and ending on the Next Vesting Date. Any RS Units that remain unvested after giving effect to the preceding sentence (and all rights arising from such RS Units and from being a holder thereof) will terminate automatically without any further action by the Company and will be forfeited without further notice and at no cost to the Company. Notwithstanding the foregoing, the provisions of this Section 4(c) shall not apply if Section 4(e) applies.</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(d)If the Grantee’s employment with the Company or an Affiliate is terminated prior to the vesting of all RS Units due to the Grantee’s death, then all of the then unvested RS Units shall immediately vest and become nonforfeitable as of the date of such termination of employment.</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 xml:space="preserve">(e)If the Grantee’s employment with the Company or an Affiliate is terminated on or within 12 months (or within such greater post-change in control protection period, if any, that may be provided in the Grantee’s individual employment, consulting or severance agreement with the Company or an Affiliate in effect at the time of the Grantee’s termination of employment) after the date upon which a Qualifying Change in Control occurs and prior to the last scheduled Vesting Date due to a Qualifying Termination or the Grantee’s death, then all of the then unvested RS Units </w:t>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36575"/>
                <wp:effectExtent l="0" t="0" r="0" b="0"/>
                <wp:wrapNone/>
                <wp:docPr id="148" name="Frame147"/>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p>
                            <w:pPr>
                              <w:pStyle w:val="TextBody"/>
                              <w:bidi w:val="0"/>
                              <w:spacing w:lineRule="auto" w:line="240" w:before="0" w:after="0"/>
                              <w:jc w:val="both"/>
                              <w:rPr/>
                            </w:pPr>
                            <w:r>
                              <w:rPr>
                                <w:color w:val="000000"/>
                              </w:rPr>
                              <w:t>    </w:t>
                            </w:r>
                            <w:r>
                              <w:rPr>
                                <w:rFonts w:ascii="Calibri;sans-serif" w:hAnsi="Calibri;sans-serif"/>
                                <w:b w:val="false"/>
                                <w:color w:val="000000"/>
                                <w:sz w:val="24"/>
                              </w:rPr>
                              <w:t>3</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pPr>
                      <w:r>
                        <w:rPr>
                          <w:color w:val="000000"/>
                        </w:rPr>
                        <w:t>    </w:t>
                      </w:r>
                      <w:r>
                        <w:rPr>
                          <w:rFonts w:ascii="Calibri;sans-serif" w:hAnsi="Calibri;sans-serif"/>
                          <w:b w:val="false"/>
                          <w:color w:val="000000"/>
                          <w:sz w:val="24"/>
                        </w:rPr>
                        <w:t>3</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 xml:space="preserve">shall immediately vest and become nonforfeitable as of the date of such Qualifying Termination or death. </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(f)Notwithstanding the preceding provisions of this Section 4 or anything to the contrary in this award, in the event of the Grantee’s termination of employment for Cause at any time prior to the settlement of all of the RS Units pursuant to Section 5, the Grantee will forfeit for no consideration all of the RS Units that have not yet been so settled as of the date of such termination of employment (including those that may have become vested pursuant to the preceding paragraphs) and all rights arising from such RS Units without any further action or notice by the Company. In addition, in the event that all or a portion of the RS Units have become vested pursuant to the preceding paragraphs but, after such vesting and prior to the settlement of such RS Units, the Committee acquires evidence or determines that a Cause condition existed at any time prior to the settlement of all of the RS Units (whether or not the Company or an Affiliate was aware of the condition), then the Grantee will forfeit for no consideration all of the RS Units that have not been so settled and all rights arising from such RS Units.</w:t>
      </w:r>
    </w:p>
    <w:p>
      <w:pPr>
        <w:pStyle w:val="TextBody"/>
        <w:bidi w:val="0"/>
        <w:spacing w:lineRule="auto" w:line="240" w:before="0" w:after="240"/>
        <w:ind w:left="0" w:right="0" w:firstLine="720"/>
        <w:jc w:val="both"/>
        <w:rPr/>
      </w:pPr>
      <w:r>
        <w:rPr>
          <w:rFonts w:ascii="Calibri;sans-serif" w:hAnsi="Calibri;sans-serif"/>
          <w:b/>
          <w:color w:val="000000"/>
          <w:sz w:val="24"/>
        </w:rPr>
        <w:t>5.</w:t>
      </w:r>
      <w:r>
        <w:rPr>
          <w:rFonts w:ascii="Calibri;sans-serif" w:hAnsi="Calibri;sans-serif"/>
          <w:b/>
          <w:color w:val="000000"/>
          <w:sz w:val="24"/>
        </w:rPr>
        <w:t>Payment of Awards.</w:t>
      </w:r>
      <w:r>
        <w:rPr>
          <w:color w:val="000000"/>
        </w:rPr>
        <w:t xml:space="preserve"> </w:t>
      </w:r>
      <w:r>
        <w:rPr>
          <w:rFonts w:ascii="Calibri;sans-serif" w:hAnsi="Calibri;sans-serif"/>
          <w:b w:val="false"/>
          <w:color w:val="000000"/>
          <w:sz w:val="24"/>
        </w:rPr>
        <w:t xml:space="preserve">RS Units that become vested in accordance with Section 4 shall be paid as promptly as practicable after the scheduled or accelerated vesting event set forth in Section 4 (or within 45 days thereafter); provided, however, that (i) if the Grantee’s employment with the Company or an Affiliate is terminated prior to the vesting of all RS Units due to the Grantee’s death, then the vested RS Units shall be paid within 90 days following the date of such termination of employment, (ii) if a Qualifying Change in Control occurs prior to the last scheduled Vesting Date and such Qualifying Change in Control also constitutes a change in control event within the meaning of Treasury regulation section 1.409A-3(i)(5), then unpaid and outstanding RS Units that have become vested in accordance with Section 4 on or before the date upon which such Qualifying Change in Control occurs shall be paid on the date upon which such Qualifying Change in Control occurs (or within 45 days thereafter), and (iii) if the Grantee’s employment with the Company or an Affiliate is terminated under the circumstances described in Section 4(e), then, subject to Section 23, the vested and unpaid RS Units shall be paid within 45 days following the date upon which the Grantee’s Qualifying Termination or death occurs. Payment shall be made in the form of shares of Common Stock equal to the number of RS Units with respect to which payment is being made on that date, plus cash for any fractional share units based on the Fair Market Value of a share of Common Stock as of the date immediately preceding the date of such payment. </w:t>
      </w:r>
    </w:p>
    <w:p>
      <w:pPr>
        <w:pStyle w:val="TextBody"/>
        <w:bidi w:val="0"/>
        <w:spacing w:lineRule="auto" w:line="240" w:before="0" w:after="240"/>
        <w:ind w:left="0" w:right="0" w:firstLine="720"/>
        <w:jc w:val="both"/>
        <w:rPr/>
      </w:pPr>
      <w:r>
        <w:rPr>
          <w:rFonts w:ascii="Calibri;sans-serif" w:hAnsi="Calibri;sans-serif"/>
          <w:b/>
          <w:color w:val="000000"/>
          <w:sz w:val="24"/>
        </w:rPr>
        <w:t>6.</w:t>
      </w:r>
      <w:r>
        <w:rPr>
          <w:rFonts w:ascii="Calibri;sans-serif" w:hAnsi="Calibri;sans-serif"/>
          <w:b/>
          <w:color w:val="000000"/>
          <w:sz w:val="24"/>
        </w:rPr>
        <w:t>Crediting and Payment of Dividend Equivalents.</w:t>
      </w:r>
      <w:r>
        <w:rPr>
          <w:color w:val="000000"/>
        </w:rPr>
        <w:t xml:space="preserve"> </w:t>
      </w:r>
      <w:r>
        <w:rPr>
          <w:rFonts w:ascii="Calibri;sans-serif" w:hAnsi="Calibri;sans-serif"/>
          <w:b w:val="false"/>
          <w:color w:val="000000"/>
          <w:sz w:val="24"/>
        </w:rPr>
        <w:t>With respect to the number of RS Units listed above that have not been paid pursuant to Section 5, the Grantee will be credited on the books and records of CRC with an amount (the “</w:t>
      </w:r>
      <w:r>
        <w:rPr>
          <w:rFonts w:ascii="Calibri;sans-serif" w:hAnsi="Calibri;sans-serif"/>
          <w:b/>
          <w:color w:val="000000"/>
          <w:sz w:val="24"/>
        </w:rPr>
        <w:t>Dividend Equivalent</w:t>
      </w:r>
      <w:r>
        <w:rPr>
          <w:color w:val="000000"/>
        </w:rPr>
        <w:t>”</w:t>
      </w:r>
      <w:r>
        <w:rPr>
          <w:rFonts w:ascii="Calibri;sans-serif" w:hAnsi="Calibri;sans-serif"/>
          <w:b w:val="false"/>
          <w:color w:val="000000"/>
          <w:sz w:val="24"/>
        </w:rPr>
        <w:t>) equal to the amount per share of any cash dividends declared by the Board on the outstanding Common Stock as and when declared during the period beginning on the Date of Grant and ending, with respect to any portion of the RS Units covered by these Terms and Conditions, on the applicable payment date set forth in Section 5. CRC will pay in cash to the Grantee an amount equal to the Dividend Equivalents credited to such Grantee on the same date that the RS Units to which they are attributable are settled and paid in accordance with Section 5. If the RS Units (or any portion thereof) are forfeited by the Grantee pursuant to these Terms and Conditions, then the Grantee shall also forfeit the Dividend Equivalents, if any, accrued and unpaid with respect to such forfeited RS Units. No interest will accrue on the Dividend Equivalents between the declaration and payment of the applicable dividends and the settlement of the Dividend Equivalents.</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36575"/>
                <wp:effectExtent l="0" t="0" r="0" b="0"/>
                <wp:wrapNone/>
                <wp:docPr id="149" name="Frame148"/>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p>
                            <w:pPr>
                              <w:pStyle w:val="TextBody"/>
                              <w:bidi w:val="0"/>
                              <w:spacing w:lineRule="auto" w:line="240" w:before="0" w:after="0"/>
                              <w:jc w:val="both"/>
                              <w:rPr/>
                            </w:pPr>
                            <w:r>
                              <w:rPr>
                                <w:color w:val="000000"/>
                              </w:rPr>
                              <w:t>    </w:t>
                            </w:r>
                            <w:r>
                              <w:rPr>
                                <w:rFonts w:ascii="Calibri;sans-serif" w:hAnsi="Calibri;sans-serif"/>
                                <w:b w:val="false"/>
                                <w:color w:val="000000"/>
                                <w:sz w:val="24"/>
                              </w:rPr>
                              <w:t>4</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pPr>
                      <w:r>
                        <w:rPr>
                          <w:color w:val="000000"/>
                        </w:rPr>
                        <w:t>    </w:t>
                      </w:r>
                      <w:r>
                        <w:rPr>
                          <w:rFonts w:ascii="Calibri;sans-serif" w:hAnsi="Calibri;sans-serif"/>
                          <w:b w:val="false"/>
                          <w:color w:val="000000"/>
                          <w:sz w:val="24"/>
                        </w:rPr>
                        <w:t>4</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Calibri;sans-serif" w:hAnsi="Calibri;sans-serif"/>
          <w:b/>
          <w:color w:val="000000"/>
          <w:sz w:val="24"/>
        </w:rPr>
        <w:t>7.</w:t>
      </w:r>
      <w:r>
        <w:rPr>
          <w:rFonts w:ascii="Calibri;sans-serif" w:hAnsi="Calibri;sans-serif"/>
          <w:b/>
          <w:color w:val="000000"/>
          <w:sz w:val="24"/>
        </w:rPr>
        <w:t>Adjustments.</w:t>
      </w:r>
      <w:r>
        <w:rPr>
          <w:color w:val="000000"/>
        </w:rPr>
        <w:t xml:space="preserve"> </w:t>
      </w:r>
      <w:r>
        <w:rPr>
          <w:rFonts w:ascii="Calibri;sans-serif" w:hAnsi="Calibri;sans-serif"/>
          <w:b w:val="false"/>
          <w:color w:val="000000"/>
          <w:sz w:val="24"/>
        </w:rPr>
        <w:t>The number of RS Units covered by these Terms and Conditions may be adjusted as the Committee determines pursuant to the Plan in order to prevent dilution or expansion of the Grantee’s rights under these Terms and Conditions as a result of a Change in Control or other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w:t>
      </w:r>
    </w:p>
    <w:p>
      <w:pPr>
        <w:pStyle w:val="TextBody"/>
        <w:bidi w:val="0"/>
        <w:spacing w:lineRule="auto" w:line="240" w:before="0" w:after="240"/>
        <w:ind w:left="0" w:right="0" w:firstLine="720"/>
        <w:jc w:val="both"/>
        <w:rPr/>
      </w:pPr>
      <w:r>
        <w:rPr>
          <w:rFonts w:ascii="Calibri;sans-serif" w:hAnsi="Calibri;sans-serif"/>
          <w:b/>
          <w:color w:val="000000"/>
          <w:sz w:val="24"/>
        </w:rPr>
        <w:t>8.</w:t>
      </w:r>
      <w:r>
        <w:rPr>
          <w:rFonts w:ascii="Calibri;sans-serif" w:hAnsi="Calibri;sans-serif"/>
          <w:b/>
          <w:color w:val="000000"/>
          <w:sz w:val="24"/>
        </w:rPr>
        <w:t>Compensation Recoupment.</w:t>
      </w:r>
      <w:r>
        <w:rPr>
          <w:color w:val="000000"/>
        </w:rPr>
        <w:t xml:space="preserve"> </w:t>
      </w:r>
      <w:r>
        <w:rPr>
          <w:rFonts w:ascii="Calibri;sans-serif" w:hAnsi="Calibri;sans-serif"/>
          <w:b w:val="false"/>
          <w:color w:val="000000"/>
          <w:sz w:val="24"/>
        </w:rPr>
        <w:t>The Grantee’s receipt of this award is expressly conditioned on the Grantee’s agreement to the terms and provisions of this Section, and the Grantee acknowledges that the Grantee would not have received this award in the absence of such agreement. By accepting this award, the Grantee acknowledges and agrees that:</w:t>
      </w:r>
    </w:p>
    <w:p>
      <w:pPr>
        <w:pStyle w:val="TextBody"/>
        <w:bidi w:val="0"/>
        <w:spacing w:lineRule="auto" w:line="240" w:before="0" w:after="240"/>
        <w:ind w:left="0" w:right="0" w:firstLine="720"/>
        <w:jc w:val="both"/>
        <w:rPr/>
      </w:pPr>
      <w:r>
        <w:rPr>
          <w:rFonts w:ascii="Calibri;sans-serif" w:hAnsi="Calibri;sans-serif"/>
          <w:b w:val="false"/>
          <w:color w:val="000000"/>
          <w:sz w:val="24"/>
        </w:rPr>
        <w:t xml:space="preserve">(a)    the compensation (or any portion thereof) payable pursuant to this award and any other award granted to the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color w:val="000000"/>
        </w:rPr>
        <w:t>“</w:t>
      </w:r>
      <w:r>
        <w:rPr>
          <w:rFonts w:ascii="Calibri;sans-serif" w:hAnsi="Calibri;sans-serif"/>
          <w:b/>
          <w:color w:val="000000"/>
          <w:sz w:val="24"/>
        </w:rPr>
        <w:t>Act”</w:t>
      </w:r>
      <w:r>
        <w:rPr>
          <w:rFonts w:ascii="Calibri;sans-serif" w:hAnsi="Calibri;sans-serif"/>
          <w:b w:val="false"/>
          <w:color w:val="000000"/>
          <w:sz w:val="24"/>
        </w:rPr>
        <w:t>), (ii) any rules or regulations promulgated under the Act or by any stock exchange on which the Company’s common stock is listed (collectively, the “</w:t>
      </w:r>
      <w:r>
        <w:rPr>
          <w:rFonts w:ascii="Calibri;sans-serif" w:hAnsi="Calibri;sans-serif"/>
          <w:b/>
          <w:color w:val="000000"/>
          <w:sz w:val="24"/>
        </w:rPr>
        <w:t>Rules</w:t>
      </w:r>
      <w:r>
        <w:rPr>
          <w:color w:val="000000"/>
        </w:rPr>
        <w:t>”</w:t>
      </w:r>
      <w:r>
        <w:rPr>
          <w:rFonts w:ascii="Calibri;sans-serif" w:hAnsi="Calibri;sans-serif"/>
          <w:b w:val="false"/>
          <w:color w:val="000000"/>
          <w:sz w:val="24"/>
        </w:rPr>
        <w:t>), or (iii) any compensation recoupment or clawback policies or procedures adopted by CRC or any of its Affiliates, in each case with respect to clauses (i), (ii) and (iii) above as such provisions, rules, regulations, policies and procedures may be adopted and amended from time to time (including with retroactive effect); and</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(b)    any other compensation or benefit (or any portion thereof) payable to or on behalf of the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CRC or any of its Affiliates in accordance with the requirements of the Act and the Rules, in each case as the Act, the Rules and such policies and procedures may be adopted and amended from time to time (including with retroactive effect).</w:t>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In addition, the Grantee hereby agrees (on behalf of the Grantee and any other individual, entity or other person claiming under or through the Grantee) that: (a) compensation payable pursuant to this award and any other compensation or benefit payable to or on behalf of the Grantee (whether under the Plan or otherwise) shall be subject to recovery, revocation, recoupment or clawback as provided in the preceding provisions of this Section; and (b) the Grantee (or any such individual, entity or other person) shall not seek indemnification or contribution from the Company or any of its Affiliates with respect to any amount so recovered, revoked, recouped or clawed back.</w:t>
      </w:r>
    </w:p>
    <w:p>
      <w:pPr>
        <w:pStyle w:val="TextBody"/>
        <w:bidi w:val="0"/>
        <w:spacing w:lineRule="auto" w:line="240" w:before="240" w:after="240"/>
        <w:ind w:left="0" w:right="0" w:firstLine="720"/>
        <w:jc w:val="both"/>
        <w:rPr/>
      </w:pPr>
      <w:r>
        <w:rPr>
          <w:rFonts w:ascii="Calibri;sans-serif" w:hAnsi="Calibri;sans-serif"/>
          <w:b/>
          <w:color w:val="000000"/>
          <w:sz w:val="24"/>
        </w:rPr>
        <w:t>9.</w:t>
      </w:r>
      <w:r>
        <w:rPr>
          <w:rFonts w:ascii="Calibri;sans-serif" w:hAnsi="Calibri;sans-serif"/>
          <w:b/>
          <w:color w:val="000000"/>
          <w:sz w:val="24"/>
        </w:rPr>
        <w:t>No Employment Contract.</w:t>
      </w:r>
      <w:r>
        <w:rPr>
          <w:color w:val="000000"/>
        </w:rPr>
        <w:t xml:space="preserve"> </w:t>
      </w:r>
      <w:r>
        <w:rPr>
          <w:rFonts w:ascii="Calibri;sans-serif" w:hAnsi="Calibri;sans-serif"/>
          <w:b w:val="false"/>
          <w:color w:val="000000"/>
          <w:sz w:val="24"/>
        </w:rPr>
        <w:t>Nothing in these Terms and Conditions confers upon the Grantee any right with 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36575"/>
                <wp:effectExtent l="0" t="0" r="0" b="0"/>
                <wp:wrapNone/>
                <wp:docPr id="150" name="Frame149"/>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p>
                            <w:pPr>
                              <w:pStyle w:val="TextBody"/>
                              <w:bidi w:val="0"/>
                              <w:spacing w:lineRule="auto" w:line="240" w:before="0" w:after="0"/>
                              <w:jc w:val="both"/>
                              <w:rPr/>
                            </w:pPr>
                            <w:r>
                              <w:rPr>
                                <w:color w:val="000000"/>
                              </w:rPr>
                              <w:t>    </w:t>
                            </w:r>
                            <w:r>
                              <w:rPr>
                                <w:rFonts w:ascii="Calibri;sans-serif" w:hAnsi="Calibri;sans-serif"/>
                                <w:b w:val="false"/>
                                <w:color w:val="000000"/>
                                <w:sz w:val="24"/>
                              </w:rPr>
                              <w:t>5</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pPr>
                      <w:r>
                        <w:rPr>
                          <w:color w:val="000000"/>
                        </w:rPr>
                        <w:t>    </w:t>
                      </w:r>
                      <w:r>
                        <w:rPr>
                          <w:rFonts w:ascii="Calibri;sans-serif" w:hAnsi="Calibri;sans-serif"/>
                          <w:b w:val="false"/>
                          <w:color w:val="000000"/>
                          <w:sz w:val="24"/>
                        </w:rPr>
                        <w:t>5</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Calibri;sans-serif" w:hAnsi="Calibri;sans-serif"/>
          <w:b/>
          <w:color w:val="000000"/>
          <w:sz w:val="24"/>
        </w:rPr>
        <w:t>10.</w:t>
      </w:r>
      <w:r>
        <w:rPr>
          <w:rFonts w:ascii="Calibri;sans-serif" w:hAnsi="Calibri;sans-serif"/>
          <w:b/>
          <w:color w:val="000000"/>
          <w:sz w:val="24"/>
        </w:rPr>
        <w:t>Taxes and Withholding.</w:t>
      </w:r>
      <w:r>
        <w:rPr>
          <w:color w:val="000000"/>
        </w:rPr>
        <w:t xml:space="preserve"> </w:t>
      </w:r>
      <w:r>
        <w:rPr>
          <w:rFonts w:ascii="Calibri;sans-serif" w:hAnsi="Calibri;sans-serif"/>
          <w:b w:val="false"/>
          <w:color w:val="000000"/>
          <w:sz w:val="24"/>
        </w:rPr>
        <w:t>Regardless of any action the Company takes with respect to any or all income tax (including U.S. federal, state and local tax and non-U.S. tax), social insurance, payroll tax, payment on account or other tax-related items related to the Grantee’s participation in the Plan and legally applicable to the Grantee (“</w:t>
      </w:r>
      <w:r>
        <w:rPr>
          <w:rFonts w:ascii="Calibri;sans-serif" w:hAnsi="Calibri;sans-serif"/>
          <w:b/>
          <w:color w:val="000000"/>
          <w:sz w:val="24"/>
        </w:rPr>
        <w:t>Tax-Related Items</w:t>
      </w:r>
      <w:r>
        <w:rPr>
          <w:color w:val="000000"/>
        </w:rPr>
        <w:t>”</w:t>
      </w:r>
      <w:r>
        <w:rPr>
          <w:rFonts w:ascii="Calibri;sans-serif" w:hAnsi="Calibri;sans-serif"/>
          <w:b w:val="false"/>
          <w:color w:val="000000"/>
          <w:sz w:val="24"/>
        </w:rPr>
        <w:t>), the Grantee acknowledges that the ultimate liability for all Tax-Related Items is and remains the Grantee’s responsibility and may exceed the amount actually withheld by the Company. The Grantee further acknowledges that the Company (i) makes no representations or undertakings regarding the treatment of any Tax-Related Items in connection with any aspect of this Restricted Stock Unit Award, including the grant or vesting of the Restricted Stock Unit Award and the receipt of Dividend Equivalents; and (ii) does not commit to and is under no obligation to structure the terms of the grant or any aspect of the Restricted Stock Unit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Prior to the relevant taxable event, the Grantee shall pay or make adequate arrangements satisfactory to the Company to satisfy all Tax-Related Items in such manner as may be determined by the Committee in its sole discretion. In this regard, the Grantee authorizes the Company to withhold all applicable Tax-Related Items legally payable by the Grantee from any of the following as determined by the Committee in its sole discretion: (i) any cash payable pursuant to this Restricted Stock Unit Award (including Dividend Equivalents); (ii) any Common Stock payable pursuant to this Restricted Stock Unit Award (including a reduction in the number of shares of Common Stock deliverable hereunder); and (iii) any wages or other cash compensation payable to the Grantee. The Grantee shall pay to the Company any amount of Tax-Related Items that the Company may be required to withhold as a result of the Grantee’s receipt of this Restricted Stock Unit Award that cannot be satisfied by the means previously described.</w:t>
      </w:r>
    </w:p>
    <w:p>
      <w:pPr>
        <w:pStyle w:val="TextBody"/>
        <w:bidi w:val="0"/>
        <w:spacing w:lineRule="auto" w:line="240" w:before="0" w:after="240"/>
        <w:ind w:left="0" w:right="0" w:firstLine="720"/>
        <w:jc w:val="both"/>
        <w:rPr/>
      </w:pPr>
      <w:r>
        <w:rPr>
          <w:rFonts w:ascii="Calibri;sans-serif" w:hAnsi="Calibri;sans-serif"/>
          <w:b/>
          <w:color w:val="000000"/>
          <w:sz w:val="24"/>
        </w:rPr>
        <w:t>11.</w:t>
      </w:r>
      <w:r>
        <w:rPr>
          <w:rFonts w:ascii="Calibri;sans-serif" w:hAnsi="Calibri;sans-serif"/>
          <w:b/>
          <w:color w:val="000000"/>
          <w:sz w:val="24"/>
        </w:rPr>
        <w:t>Compliance With Law.</w:t>
      </w:r>
      <w:r>
        <w:rPr>
          <w:color w:val="000000"/>
        </w:rPr>
        <w:t xml:space="preserve"> </w:t>
      </w:r>
      <w:r>
        <w:rPr>
          <w:rFonts w:ascii="Calibri;sans-serif" w:hAnsi="Calibri;sans-serif"/>
          <w:b w:val="false"/>
          <w:color w:val="000000"/>
          <w:sz w:val="24"/>
        </w:rPr>
        <w:t>The Company will make reasonable efforts to comply with all federal, state and 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pStyle w:val="TextBody"/>
        <w:bidi w:val="0"/>
        <w:spacing w:lineRule="auto" w:line="240" w:before="0" w:after="240"/>
        <w:ind w:left="0" w:right="0" w:firstLine="720"/>
        <w:jc w:val="both"/>
        <w:rPr/>
      </w:pPr>
      <w:r>
        <w:rPr>
          <w:rFonts w:ascii="Calibri;sans-serif" w:hAnsi="Calibri;sans-serif"/>
          <w:b/>
          <w:color w:val="000000"/>
          <w:sz w:val="24"/>
        </w:rPr>
        <w:t>12.</w:t>
      </w:r>
      <w:r>
        <w:rPr>
          <w:rFonts w:ascii="Calibri;sans-serif" w:hAnsi="Calibri;sans-serif"/>
          <w:b/>
          <w:color w:val="000000"/>
          <w:sz w:val="24"/>
        </w:rPr>
        <w:t>Relation to Other Benefits.</w:t>
      </w:r>
      <w:r>
        <w:rPr>
          <w:color w:val="000000"/>
        </w:rPr>
        <w:t xml:space="preserve"> </w:t>
      </w:r>
      <w:r>
        <w:rPr>
          <w:rFonts w:ascii="Calibri;sans-serif" w:hAnsi="Calibri;sans-serif"/>
          <w:b w:val="false"/>
          <w:color w:val="000000"/>
          <w:sz w:val="24"/>
        </w:rPr>
        <w:t>The benefits received by the Grantee under these Terms and Conditions will 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Restricted Stock Unit Award is not part of normal or expected compensation or salary for any purposes, including, but not limited to calculation of any severance, resignation, termination, redundancy, end of service payments, bonuses or long-service awards. The grant of this Restricted Stock Unit Award does not create any contractual or other right to receive future grants of Restricted Stock Unit Awards or benefits in lieu of Restricted Stock Unit Awards, even if the Grantee has a history of receiving Restricted Stock Unit Awards or other cash or stock awards.</w:t>
      </w:r>
    </w:p>
    <w:p>
      <w:pPr>
        <w:pStyle w:val="TextBody"/>
        <w:bidi w:val="0"/>
        <w:spacing w:lineRule="auto" w:line="240" w:before="0" w:after="240"/>
        <w:ind w:left="0" w:right="0" w:firstLine="720"/>
        <w:jc w:val="both"/>
        <w:rPr/>
      </w:pPr>
      <w:r>
        <w:rPr>
          <w:rFonts w:ascii="Calibri;sans-serif" w:hAnsi="Calibri;sans-serif"/>
          <w:b/>
          <w:color w:val="000000"/>
          <w:sz w:val="24"/>
        </w:rPr>
        <w:t>13.</w:t>
      </w:r>
      <w:r>
        <w:rPr>
          <w:rFonts w:ascii="Calibri;sans-serif" w:hAnsi="Calibri;sans-serif"/>
          <w:b/>
          <w:color w:val="000000"/>
          <w:sz w:val="24"/>
        </w:rPr>
        <w:t>Amendments.</w:t>
      </w:r>
      <w:r>
        <w:rPr>
          <w:color w:val="000000"/>
        </w:rPr>
        <w:t xml:space="preserve"> </w:t>
      </w:r>
      <w:r>
        <w:rPr>
          <w:rFonts w:ascii="Calibri;sans-serif" w:hAnsi="Calibri;sans-serif"/>
          <w:b w:val="false"/>
          <w:color w:val="000000"/>
          <w:sz w:val="24"/>
        </w:rPr>
        <w:t xml:space="preserve">The Plan may be modified, amended, suspended or terminated by the Board at any time, as provided in the Plan. Any amendment to the Plan will be deemed to be an amendment to these Terms and Conditions to the extent it is applicable to these Terms </w:t>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36575"/>
                <wp:effectExtent l="0" t="0" r="0" b="0"/>
                <wp:wrapNone/>
                <wp:docPr id="151" name="Frame150"/>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p>
                            <w:pPr>
                              <w:pStyle w:val="TextBody"/>
                              <w:bidi w:val="0"/>
                              <w:spacing w:lineRule="auto" w:line="240" w:before="0" w:after="0"/>
                              <w:jc w:val="both"/>
                              <w:rPr/>
                            </w:pPr>
                            <w:r>
                              <w:rPr>
                                <w:color w:val="000000"/>
                              </w:rPr>
                              <w:t>    </w:t>
                            </w:r>
                            <w:r>
                              <w:rPr>
                                <w:rFonts w:ascii="Calibri;sans-serif" w:hAnsi="Calibri;sans-serif"/>
                                <w:b w:val="false"/>
                                <w:color w:val="000000"/>
                                <w:sz w:val="24"/>
                              </w:rPr>
                              <w:t>6</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pPr>
                      <w:r>
                        <w:rPr>
                          <w:color w:val="000000"/>
                        </w:rPr>
                        <w:t>    </w:t>
                      </w:r>
                      <w:r>
                        <w:rPr>
                          <w:rFonts w:ascii="Calibri;sans-serif" w:hAnsi="Calibri;sans-serif"/>
                          <w:b w:val="false"/>
                          <w:color w:val="000000"/>
                          <w:sz w:val="24"/>
                        </w:rPr>
                        <w:t>6</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 xml:space="preserve">and Conditions; however, except to the extent necessary to comply with applicable law, no amendment will adversely affect the rights of the Grantee under these Terms and Conditions in any material respect without the Grantee’s consent. </w:t>
      </w:r>
    </w:p>
    <w:p>
      <w:pPr>
        <w:pStyle w:val="TextBody"/>
        <w:bidi w:val="0"/>
        <w:spacing w:lineRule="auto" w:line="240" w:before="0" w:after="240"/>
        <w:ind w:left="0" w:right="0" w:firstLine="720"/>
        <w:jc w:val="both"/>
        <w:rPr/>
      </w:pPr>
      <w:r>
        <w:rPr>
          <w:rFonts w:ascii="Calibri;sans-serif" w:hAnsi="Calibri;sans-serif"/>
          <w:b/>
          <w:color w:val="000000"/>
          <w:sz w:val="24"/>
        </w:rPr>
        <w:t>14.</w:t>
      </w:r>
      <w:r>
        <w:rPr>
          <w:rFonts w:ascii="Calibri;sans-serif" w:hAnsi="Calibri;sans-serif"/>
          <w:b/>
          <w:color w:val="000000"/>
          <w:sz w:val="24"/>
        </w:rPr>
        <w:t>Severability.</w:t>
      </w:r>
      <w:r>
        <w:rPr>
          <w:color w:val="000000"/>
        </w:rPr>
        <w:t xml:space="preserve"> </w:t>
      </w:r>
      <w:r>
        <w:rPr>
          <w:rFonts w:ascii="Calibri;sans-serif" w:hAnsi="Calibri;sans-serif"/>
          <w:b w:val="false"/>
          <w:color w:val="000000"/>
          <w:sz w:val="24"/>
        </w:rPr>
        <w:t>If one or more of the provisions of these Terms and Conditions is invalidated for any reason by any tribunal, the invalidated provisions shall be deemed to be separable from the other provisions of these Terms and Conditions, and the remaining provisions of these Terms and Conditions will continue to be valid and fully enforceable.</w:t>
      </w:r>
    </w:p>
    <w:p>
      <w:pPr>
        <w:pStyle w:val="TextBody"/>
        <w:bidi w:val="0"/>
        <w:spacing w:lineRule="auto" w:line="240" w:before="0" w:after="240"/>
        <w:ind w:left="0" w:right="0" w:firstLine="720"/>
        <w:jc w:val="both"/>
        <w:rPr/>
      </w:pPr>
      <w:r>
        <w:rPr>
          <w:rFonts w:ascii="Calibri;sans-serif" w:hAnsi="Calibri;sans-serif"/>
          <w:b/>
          <w:color w:val="000000"/>
          <w:sz w:val="24"/>
        </w:rPr>
        <w:t>15.</w:t>
      </w:r>
      <w:r>
        <w:rPr>
          <w:rFonts w:ascii="Calibri;sans-serif" w:hAnsi="Calibri;sans-serif"/>
          <w:b/>
          <w:color w:val="000000"/>
          <w:sz w:val="24"/>
        </w:rPr>
        <w:t>Entire Agreement; Relation to Plan; Interpretation.</w:t>
      </w:r>
      <w:r>
        <w:rPr>
          <w:color w:val="000000"/>
        </w:rPr>
        <w:t xml:space="preserve"> </w:t>
      </w:r>
      <w:r>
        <w:rPr>
          <w:rFonts w:ascii="Calibri;sans-serif" w:hAnsi="Calibri;sans-serif"/>
          <w:b w:val="false"/>
          <w:color w:val="000000"/>
          <w:sz w:val="24"/>
        </w:rPr>
        <w:t>Except as specifically provided in this Section, these Terms and Conditions and the Attachments incorporated in these Terms and Conditions constitute the entire agreement between the Company and the Grantee with respect to this Restricted Stock Unit Award.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pStyle w:val="TextBody"/>
        <w:bidi w:val="0"/>
        <w:spacing w:lineRule="auto" w:line="240" w:before="0" w:after="240"/>
        <w:ind w:left="0" w:right="0" w:firstLine="720"/>
        <w:jc w:val="both"/>
        <w:rPr/>
      </w:pPr>
      <w:r>
        <w:rPr>
          <w:rFonts w:ascii="Calibri;sans-serif" w:hAnsi="Calibri;sans-serif"/>
          <w:b/>
          <w:color w:val="000000"/>
          <w:sz w:val="24"/>
        </w:rPr>
        <w:t>16.</w:t>
      </w:r>
      <w:r>
        <w:rPr>
          <w:rFonts w:ascii="Calibri;sans-serif" w:hAnsi="Calibri;sans-serif"/>
          <w:b/>
          <w:color w:val="000000"/>
          <w:sz w:val="24"/>
        </w:rPr>
        <w:t>Successors and Assigns.</w:t>
      </w:r>
      <w:r>
        <w:rPr>
          <w:color w:val="000000"/>
        </w:rPr>
        <w:t xml:space="preserve"> </w:t>
      </w:r>
      <w:r>
        <w:rPr>
          <w:rFonts w:ascii="Calibri;sans-serif" w:hAnsi="Calibri;sans-serif"/>
          <w:b w:val="false"/>
          <w:color w:val="000000"/>
          <w:sz w:val="24"/>
        </w:rPr>
        <w:t>Subject to Sections 3 and 4, the provisions of these Terms and Conditions shall be for the benefit of, and be binding upon, the successors, administrators, heirs, legal representatives and assigns of the Grantee, and the successors and assigns of the Company.</w:t>
      </w:r>
    </w:p>
    <w:p>
      <w:pPr>
        <w:pStyle w:val="TextBody"/>
        <w:bidi w:val="0"/>
        <w:spacing w:lineRule="auto" w:line="240" w:before="0" w:after="240"/>
        <w:ind w:left="0" w:right="0" w:firstLine="720"/>
        <w:jc w:val="both"/>
        <w:rPr/>
      </w:pPr>
      <w:r>
        <w:rPr>
          <w:rFonts w:ascii="Calibri;sans-serif" w:hAnsi="Calibri;sans-serif"/>
          <w:b/>
          <w:color w:val="000000"/>
          <w:sz w:val="24"/>
        </w:rPr>
        <w:t>17.</w:t>
      </w:r>
      <w:r>
        <w:rPr>
          <w:rFonts w:ascii="Calibri;sans-serif" w:hAnsi="Calibri;sans-serif"/>
          <w:b/>
          <w:color w:val="000000"/>
          <w:sz w:val="24"/>
        </w:rPr>
        <w:t>Governing Law.</w:t>
      </w:r>
      <w:r>
        <w:rPr>
          <w:color w:val="000000"/>
        </w:rPr>
        <w:t xml:space="preserve"> </w:t>
      </w:r>
      <w:r>
        <w:rPr>
          <w:rFonts w:ascii="Calibri;sans-serif" w:hAnsi="Calibri;sans-serif"/>
          <w:b w:val="false"/>
          <w:color w:val="000000"/>
          <w:sz w:val="24"/>
        </w:rPr>
        <w:t>The laws of the State of Delaware govern the interpretation, performance, and enforcement of these Terms and Conditions.</w:t>
      </w:r>
    </w:p>
    <w:p>
      <w:pPr>
        <w:pStyle w:val="TextBody"/>
        <w:bidi w:val="0"/>
        <w:spacing w:lineRule="auto" w:line="240" w:before="0" w:after="240"/>
        <w:ind w:left="0" w:right="0" w:firstLine="720"/>
        <w:jc w:val="both"/>
        <w:rPr/>
      </w:pPr>
      <w:r>
        <w:rPr>
          <w:rFonts w:ascii="Calibri;sans-serif" w:hAnsi="Calibri;sans-serif"/>
          <w:b/>
          <w:color w:val="000000"/>
          <w:sz w:val="24"/>
        </w:rPr>
        <w:t>18.</w:t>
      </w:r>
      <w:r>
        <w:rPr>
          <w:rFonts w:ascii="Calibri;sans-serif" w:hAnsi="Calibri;sans-serif"/>
          <w:b/>
          <w:color w:val="000000"/>
          <w:sz w:val="24"/>
        </w:rPr>
        <w:t>Privacy Rights.</w:t>
      </w:r>
      <w:r>
        <w:rPr>
          <w:color w:val="000000"/>
        </w:rPr>
        <w:t xml:space="preserve"> </w:t>
      </w:r>
      <w:r>
        <w:rPr>
          <w:rFonts w:ascii="Calibri;sans-serif" w:hAnsi="Calibri;sans-serif"/>
          <w:b w:val="false"/>
          <w:color w:val="000000"/>
          <w:sz w:val="24"/>
        </w:rPr>
        <w:t>By accepting this Restricted Stock Unit Award, the Grantee explicitly and unambiguously 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Restricted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Calibri;sans-serif" w:hAnsi="Calibri;sans-serif"/>
          <w:b/>
          <w:color w:val="000000"/>
          <w:sz w:val="24"/>
        </w:rPr>
        <w:t>Data</w:t>
      </w:r>
      <w:r>
        <w:rPr>
          <w:color w:val="000000"/>
        </w:rPr>
        <w:t>”</w:t>
      </w:r>
      <w:r>
        <w:rPr>
          <w:rFonts w:ascii="Calibri;sans-serif" w:hAnsi="Calibri;sans-serif"/>
          <w:b w:val="false"/>
          <w:color w:val="000000"/>
          <w:sz w:val="24"/>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pStyle w:val="TextBody"/>
        <w:bidi w:val="0"/>
        <w:spacing w:lineRule="auto" w:line="240" w:before="0" w:after="240"/>
        <w:ind w:left="0" w:right="0" w:firstLine="720"/>
        <w:jc w:val="both"/>
        <w:rPr/>
      </w:pPr>
      <w:r>
        <w:rPr>
          <w:rFonts w:ascii="Calibri;sans-serif" w:hAnsi="Calibri;sans-serif"/>
          <w:b/>
          <w:color w:val="000000"/>
          <w:sz w:val="24"/>
        </w:rPr>
        <w:t>19.</w:t>
      </w:r>
      <w:r>
        <w:rPr>
          <w:rFonts w:ascii="Calibri;sans-serif" w:hAnsi="Calibri;sans-serif"/>
          <w:b/>
          <w:color w:val="000000"/>
          <w:sz w:val="24"/>
        </w:rPr>
        <w:t>Electronic Delivery and Acceptance.</w:t>
      </w:r>
      <w:r>
        <w:rPr>
          <w:color w:val="000000"/>
        </w:rPr>
        <w:t xml:space="preserve"> </w:t>
      </w:r>
      <w:r>
        <w:rPr>
          <w:rFonts w:ascii="Calibri;sans-serif" w:hAnsi="Calibri;sans-serif"/>
          <w:b w:val="false"/>
          <w:color w:val="000000"/>
          <w:sz w:val="24"/>
        </w:rPr>
        <w:t xml:space="preserve">The Company may, in its sole discretion, decide to deliver any documents related to this Restricted Stock Unit Award granted under the </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36575"/>
                <wp:effectExtent l="0" t="0" r="0" b="0"/>
                <wp:wrapNone/>
                <wp:docPr id="152" name="Frame151"/>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p>
                            <w:pPr>
                              <w:pStyle w:val="TextBody"/>
                              <w:bidi w:val="0"/>
                              <w:spacing w:lineRule="auto" w:line="240" w:before="0" w:after="0"/>
                              <w:jc w:val="both"/>
                              <w:rPr/>
                            </w:pPr>
                            <w:r>
                              <w:rPr>
                                <w:color w:val="000000"/>
                              </w:rPr>
                              <w:t>    </w:t>
                            </w:r>
                            <w:r>
                              <w:rPr>
                                <w:rFonts w:ascii="Calibri;sans-serif" w:hAnsi="Calibri;sans-serif"/>
                                <w:b w:val="false"/>
                                <w:color w:val="000000"/>
                                <w:sz w:val="24"/>
                              </w:rPr>
                              <w:t>7</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pPr>
                      <w:r>
                        <w:rPr>
                          <w:color w:val="000000"/>
                        </w:rPr>
                        <w:t>    </w:t>
                      </w:r>
                      <w:r>
                        <w:rPr>
                          <w:rFonts w:ascii="Calibri;sans-serif" w:hAnsi="Calibri;sans-serif"/>
                          <w:b w:val="false"/>
                          <w:color w:val="000000"/>
                          <w:sz w:val="24"/>
                        </w:rPr>
                        <w:t>7</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pStyle w:val="TextBody"/>
        <w:bidi w:val="0"/>
        <w:spacing w:lineRule="auto" w:line="240" w:before="0" w:after="240"/>
        <w:ind w:left="0" w:right="0" w:firstLine="720"/>
        <w:jc w:val="both"/>
        <w:rPr/>
      </w:pPr>
      <w:r>
        <w:rPr>
          <w:rFonts w:ascii="Calibri;sans-serif" w:hAnsi="Calibri;sans-serif"/>
          <w:b/>
          <w:color w:val="000000"/>
          <w:sz w:val="24"/>
        </w:rPr>
        <w:t>20.</w:t>
      </w:r>
      <w:r>
        <w:rPr>
          <w:rFonts w:ascii="Calibri;sans-serif" w:hAnsi="Calibri;sans-serif"/>
          <w:b/>
          <w:color w:val="000000"/>
          <w:sz w:val="24"/>
        </w:rPr>
        <w:t>Grantee’s Representations and Releases.</w:t>
      </w:r>
      <w:r>
        <w:rPr>
          <w:color w:val="000000"/>
        </w:rPr>
        <w:t xml:space="preserve"> </w:t>
      </w:r>
      <w:r>
        <w:rPr>
          <w:rFonts w:ascii="Calibri;sans-serif" w:hAnsi="Calibri;sans-serif"/>
          <w:b w:val="false"/>
          <w:color w:val="000000"/>
          <w:sz w:val="24"/>
        </w:rPr>
        <w:t>By accepting this Restricted Stock Unit Award, the Grantee acknowledges that the Grantee has read these Terms and Conditions and understands that (i) the grant of this Restricted Stock Unit Award is made voluntarily by CRC in its discretion with no liability on the part of any of its direct or indirect subsidiaries and that, if the Grantee is not an employee of CRC, the Grantee is not, and will not be considered, an employee of CRC but the Grantee is a third party (employee of a subsidiary) to whom this Restricted Stock Unit Award is granted; (ii) all decisions with respect to future awards, if any, will be at the sole discretion of CRC; (iii) the Grantee’s participation in the Plan is voluntary; (iv) this Restricted Stock Unit Award is an extraordinary item that does not constitute a regular and recurring item of base compensation; (v) the future amount of any payment pursuant to this Restricted Stock Unit Award cannot be predicted and CRC does not assume liability in the event this Restricted Stock Unit Award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Restricted Stock Unit Award or the Grantee’s participation in the Plan.</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In consideration of the grant of this Restricted Stock Unit Award, no claim or entitlement to compensation or damages shall arise from termination of this Restricted Stock Unit Award or diminution in value of this Restricted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tribunal to have arisen, then, by accepting this Restricted Stock Unit Award, the Grantee shall be deemed irrevocably to have waived his or her entitlement to pursue such claim.</w:t>
      </w:r>
    </w:p>
    <w:p>
      <w:pPr>
        <w:pStyle w:val="TextBody"/>
        <w:bidi w:val="0"/>
        <w:spacing w:lineRule="auto" w:line="240" w:before="0" w:after="240"/>
        <w:ind w:left="0" w:right="0" w:firstLine="720"/>
        <w:jc w:val="both"/>
        <w:rPr/>
      </w:pPr>
      <w:r>
        <w:rPr>
          <w:rFonts w:ascii="Calibri;sans-serif" w:hAnsi="Calibri;sans-serif"/>
          <w:b/>
          <w:color w:val="000000"/>
          <w:sz w:val="24"/>
        </w:rPr>
        <w:t>21.</w:t>
      </w:r>
      <w:r>
        <w:rPr>
          <w:rFonts w:ascii="Calibri;sans-serif" w:hAnsi="Calibri;sans-serif"/>
          <w:b/>
          <w:color w:val="000000"/>
          <w:sz w:val="24"/>
        </w:rPr>
        <w:t>Grantee’s Agreement to General Terms of Employment.</w:t>
      </w:r>
      <w:r>
        <w:rPr>
          <w:color w:val="000000"/>
        </w:rPr>
        <w:t xml:space="preserve"> </w:t>
      </w:r>
      <w:r>
        <w:rPr>
          <w:rFonts w:ascii="Calibri;sans-serif" w:hAnsi="Calibri;sans-serif"/>
          <w:b w:val="false"/>
          <w:color w:val="000000"/>
          <w:sz w:val="24"/>
        </w:rPr>
        <w:t>By accepting this Restricted Stock Unit Award, the Grantee agrees, to the extent not contrary to applicable law, to the General Terms of Employment set out on Attachment 1, which is incorporated in these Terms and Conditions by reference.</w:t>
      </w:r>
    </w:p>
    <w:p>
      <w:pPr>
        <w:pStyle w:val="TextBody"/>
        <w:bidi w:val="0"/>
        <w:spacing w:lineRule="auto" w:line="240" w:before="0" w:after="240"/>
        <w:ind w:left="0" w:right="0" w:firstLine="720"/>
        <w:jc w:val="both"/>
        <w:rPr/>
      </w:pPr>
      <w:r>
        <w:rPr>
          <w:rFonts w:ascii="Calibri;sans-serif" w:hAnsi="Calibri;sans-serif"/>
          <w:b/>
          <w:color w:val="000000"/>
          <w:sz w:val="24"/>
        </w:rPr>
        <w:t>22.</w:t>
      </w:r>
      <w:r>
        <w:rPr>
          <w:rFonts w:ascii="Calibri;sans-serif" w:hAnsi="Calibri;sans-serif"/>
          <w:b/>
          <w:color w:val="000000"/>
          <w:sz w:val="24"/>
        </w:rPr>
        <w:t>Imposition of Other Requirements.</w:t>
      </w:r>
      <w:r>
        <w:rPr>
          <w:color w:val="000000"/>
        </w:rPr>
        <w:t xml:space="preserve"> </w:t>
      </w:r>
      <w:r>
        <w:rPr>
          <w:rFonts w:ascii="Calibri;sans-serif" w:hAnsi="Calibri;sans-serif"/>
          <w:b w:val="false"/>
          <w:color w:val="000000"/>
          <w:sz w:val="24"/>
        </w:rPr>
        <w:t>CRC reserves the right to impose other requirements on the Grantee’s participation in the Plan and on this Restricted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pStyle w:val="TextBody"/>
        <w:bidi w:val="0"/>
        <w:spacing w:lineRule="auto" w:line="240" w:before="0" w:after="240"/>
        <w:ind w:left="0" w:right="0" w:firstLine="720"/>
        <w:jc w:val="both"/>
        <w:rPr/>
      </w:pPr>
      <w:r>
        <w:rPr>
          <w:rFonts w:ascii="Calibri;sans-serif" w:hAnsi="Calibri;sans-serif"/>
          <w:b/>
          <w:color w:val="000000"/>
          <w:sz w:val="24"/>
        </w:rPr>
        <w:t>23.</w:t>
      </w:r>
      <w:r>
        <w:rPr>
          <w:rFonts w:ascii="Calibri;sans-serif" w:hAnsi="Calibri;sans-serif"/>
          <w:b/>
          <w:color w:val="000000"/>
          <w:sz w:val="24"/>
        </w:rPr>
        <w:t>Compliance With Section 409A of the Code.</w:t>
      </w:r>
      <w:r>
        <w:rPr>
          <w:color w:val="000000"/>
        </w:rPr>
        <w:t xml:space="preserve"> </w:t>
      </w:r>
      <w:r>
        <w:rPr>
          <w:rFonts w:ascii="Calibri;sans-serif" w:hAnsi="Calibri;sans-serif"/>
          <w:b w:val="false"/>
          <w:color w:val="000000"/>
          <w:sz w:val="24"/>
        </w:rPr>
        <w:t>These Terms and Conditions shall be interpreted and administered in such a way as to comply with the applicable provisions of Section 409A of the Code (“</w:t>
      </w:r>
      <w:r>
        <w:rPr>
          <w:rFonts w:ascii="Calibri;sans-serif" w:hAnsi="Calibri;sans-serif"/>
          <w:b/>
          <w:color w:val="000000"/>
          <w:sz w:val="24"/>
        </w:rPr>
        <w:t>Section 409A</w:t>
      </w:r>
      <w:r>
        <w:rPr>
          <w:color w:val="000000"/>
        </w:rPr>
        <w:t>”</w:t>
      </w:r>
      <w:r>
        <w:rPr>
          <w:rFonts w:ascii="Calibri;sans-serif" w:hAnsi="Calibri;sans-serif"/>
          <w:b w:val="false"/>
          <w:color w:val="000000"/>
          <w:sz w:val="24"/>
        </w:rPr>
        <w:t xml:space="preserve">) to the maximum extent possible. In addition, (i) if the Grantee must be treated as a “specified employee” within the meaning of Section 409A, any payment made on account of the Grantee’s separation from service (as defined for purposes of Section 409A) (other than by reason of death) will be made at the later of (A) the time specified above in these Terms and Conditions or (B) the earlier of the date that is six (6) months and one (1) day following the date of the Grantee’s separation from service or the date </w:t>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36575"/>
                <wp:effectExtent l="0" t="0" r="0" b="0"/>
                <wp:wrapNone/>
                <wp:docPr id="153" name="Frame152"/>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p>
                            <w:pPr>
                              <w:pStyle w:val="TextBody"/>
                              <w:bidi w:val="0"/>
                              <w:spacing w:lineRule="auto" w:line="240" w:before="0" w:after="0"/>
                              <w:jc w:val="both"/>
                              <w:rPr/>
                            </w:pPr>
                            <w:r>
                              <w:rPr>
                                <w:color w:val="000000"/>
                              </w:rPr>
                              <w:t>    </w:t>
                            </w:r>
                            <w:r>
                              <w:rPr>
                                <w:rFonts w:ascii="Calibri;sans-serif" w:hAnsi="Calibri;sans-serif"/>
                                <w:b w:val="false"/>
                                <w:color w:val="000000"/>
                                <w:sz w:val="24"/>
                              </w:rPr>
                              <w:t>8</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pPr>
                      <w:r>
                        <w:rPr>
                          <w:color w:val="000000"/>
                        </w:rPr>
                        <w:t>    </w:t>
                      </w:r>
                      <w:r>
                        <w:rPr>
                          <w:rFonts w:ascii="Calibri;sans-serif" w:hAnsi="Calibri;sans-serif"/>
                          <w:b w:val="false"/>
                          <w:color w:val="000000"/>
                          <w:sz w:val="24"/>
                        </w:rPr>
                        <w:t>8</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of the Grantee’s death; and (ii) any payment on a Qualifying Change in Control event will be made only if the Qualifying Change in Control also qualifies as a change in control event within the meaning of Section 409A. To the extent that the Committee determines that the Plan or this award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 References in these Terms and Conditions to a termination of employment shall be deemed to mean a “separation from service,” within the meaning of Section 409A.</w:t>
      </w:r>
    </w:p>
    <w:p>
      <w:pPr>
        <w:pStyle w:val="TextBody"/>
        <w:bidi w:val="0"/>
        <w:spacing w:before="0" w:after="120"/>
        <w:jc w:val="both"/>
        <w:rPr/>
      </w:pPr>
      <w:r>
        <w:rPr/>
      </w:r>
    </w:p>
    <w:p>
      <w:pPr>
        <w:pStyle w:val="TextBody"/>
        <w:bidi w:val="0"/>
        <w:spacing w:before="0" w:after="24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36575"/>
                <wp:effectExtent l="0" t="0" r="0" b="0"/>
                <wp:wrapNone/>
                <wp:docPr id="154" name="Frame153"/>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p>
                            <w:pPr>
                              <w:pStyle w:val="TextBody"/>
                              <w:bidi w:val="0"/>
                              <w:spacing w:lineRule="auto" w:line="240" w:before="0" w:after="0"/>
                              <w:jc w:val="both"/>
                              <w:rPr/>
                            </w:pPr>
                            <w:r>
                              <w:rPr>
                                <w:color w:val="000000"/>
                              </w:rPr>
                              <w:t>    </w:t>
                            </w:r>
                            <w:r>
                              <w:rPr>
                                <w:rFonts w:ascii="Calibri;sans-serif" w:hAnsi="Calibri;sans-serif"/>
                                <w:b w:val="false"/>
                                <w:color w:val="000000"/>
                                <w:sz w:val="24"/>
                              </w:rPr>
                              <w:t>9</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pPr>
                      <w:r>
                        <w:rPr>
                          <w:color w:val="000000"/>
                        </w:rPr>
                        <w:t>    </w:t>
                      </w:r>
                      <w:r>
                        <w:rPr>
                          <w:rFonts w:ascii="Calibri;sans-serif" w:hAnsi="Calibri;sans-serif"/>
                          <w:b w:val="false"/>
                          <w:color w:val="000000"/>
                          <w:sz w:val="24"/>
                        </w:rPr>
                        <w:t>9</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36575"/>
                <wp:effectExtent l="0" t="0" r="0" b="0"/>
                <wp:wrapNone/>
                <wp:docPr id="155" name="Frame154"/>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p>
                            <w:pPr>
                              <w:pStyle w:val="TextBody"/>
                              <w:bidi w:val="0"/>
                              <w:spacing w:lineRule="auto" w:line="240" w:before="0" w:after="0"/>
                              <w:jc w:val="both"/>
                              <w:rPr/>
                            </w:pPr>
                            <w:r>
                              <w:rPr>
                                <w:color w:val="000000"/>
                              </w:rPr>
                              <w:t>    </w:t>
                            </w:r>
                            <w:r>
                              <w:rPr>
                                <w:rFonts w:ascii="Calibri;sans-serif" w:hAnsi="Calibri;sans-serif"/>
                                <w:b w:val="false"/>
                                <w:color w:val="000000"/>
                                <w:sz w:val="24"/>
                              </w:rPr>
                              <w:t>10</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pPr>
                      <w:r>
                        <w:rPr>
                          <w:color w:val="000000"/>
                        </w:rPr>
                        <w:t>    </w:t>
                      </w:r>
                      <w:r>
                        <w:rPr>
                          <w:rFonts w:ascii="Calibri;sans-serif" w:hAnsi="Calibri;sans-serif"/>
                          <w:b w:val="false"/>
                          <w:color w:val="000000"/>
                          <w:sz w:val="24"/>
                        </w:rPr>
                        <w:t>10</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480"/>
        <w:jc w:val="center"/>
        <w:rPr/>
      </w:pPr>
      <w:r>
        <w:rPr>
          <w:rFonts w:ascii="Calibri;sans-serif" w:hAnsi="Calibri;sans-serif"/>
          <w:b/>
          <w:color w:val="000000"/>
          <w:sz w:val="24"/>
        </w:rPr>
        <w:t>Attachment 1</w:t>
      </w:r>
      <w:r>
        <w:rPr>
          <w:rFonts w:ascii="Calibri;sans-serif" w:hAnsi="Calibri;sans-serif"/>
          <w:b/>
          <w:color w:val="000000"/>
          <w:sz w:val="24"/>
        </w:rPr>
        <w:br/>
      </w:r>
      <w:r>
        <w:rPr>
          <w:rFonts w:ascii="Calibri;sans-serif" w:hAnsi="Calibri;sans-serif"/>
          <w:b/>
          <w:color w:val="000000"/>
          <w:sz w:val="24"/>
          <w:u w:val="single"/>
        </w:rPr>
        <w:t>GENERAL TERMS OF EMPLOYMENT</w:t>
      </w:r>
    </w:p>
    <w:p>
      <w:pPr>
        <w:pStyle w:val="TextBody"/>
        <w:bidi w:val="0"/>
        <w:spacing w:lineRule="auto" w:line="240" w:before="0" w:after="240"/>
        <w:ind w:left="0" w:right="0" w:firstLine="720"/>
        <w:jc w:val="both"/>
        <w:rPr/>
      </w:pPr>
      <w:r>
        <w:rPr>
          <w:rFonts w:ascii="Calibri;sans-serif" w:hAnsi="Calibri;sans-serif"/>
          <w:b/>
          <w:color w:val="000000"/>
          <w:sz w:val="24"/>
        </w:rPr>
        <w:t>A.</w:t>
      </w:r>
      <w:r>
        <w:rPr>
          <w:rFonts w:ascii="Calibri;sans-serif" w:hAnsi="Calibri;sans-serif"/>
          <w:b w:val="false"/>
          <w:color w:val="000000"/>
          <w:sz w:val="24"/>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Calibri;sans-serif" w:hAnsi="Calibri;sans-serif"/>
          <w:b/>
          <w:color w:val="000000"/>
          <w:sz w:val="24"/>
        </w:rPr>
        <w:t>CRC Parties</w:t>
      </w:r>
      <w:r>
        <w:rPr>
          <w:color w:val="000000"/>
        </w:rPr>
        <w:t>”</w:t>
      </w:r>
      <w:r>
        <w:rPr>
          <w:rFonts w:ascii="Calibri;sans-serif" w:hAnsi="Calibri;sans-serif"/>
          <w:b w:val="false"/>
          <w:color w:val="000000"/>
          <w:sz w:val="24"/>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pStyle w:val="TextBody"/>
        <w:bidi w:val="0"/>
        <w:spacing w:lineRule="auto" w:line="240" w:before="0" w:after="240"/>
        <w:ind w:left="0" w:right="0" w:firstLine="720"/>
        <w:jc w:val="both"/>
        <w:rPr/>
      </w:pPr>
      <w:r>
        <w:rPr>
          <w:rFonts w:ascii="Calibri;sans-serif" w:hAnsi="Calibri;sans-serif"/>
          <w:b/>
          <w:color w:val="000000"/>
          <w:sz w:val="24"/>
        </w:rPr>
        <w:t>B.</w:t>
      </w:r>
      <w:r>
        <w:rPr>
          <w:rFonts w:ascii="Calibri;sans-serif" w:hAnsi="Calibri;sans-serif"/>
          <w:b w:val="false"/>
          <w:color w:val="000000"/>
          <w:sz w:val="24"/>
        </w:rPr>
        <w:t>At the time of leaving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pStyle w:val="TextBody"/>
        <w:bidi w:val="0"/>
        <w:spacing w:lineRule="auto" w:line="240" w:before="0" w:after="240"/>
        <w:ind w:left="0" w:right="0" w:firstLine="720"/>
        <w:jc w:val="both"/>
        <w:rPr/>
      </w:pPr>
      <w:r>
        <w:rPr>
          <w:rFonts w:ascii="Calibri;sans-serif" w:hAnsi="Calibri;sans-serif"/>
          <w:b/>
          <w:color w:val="000000"/>
          <w:sz w:val="24"/>
        </w:rPr>
        <w:t>C.</w:t>
      </w:r>
      <w:r>
        <w:rPr>
          <w:rFonts w:ascii="Calibri;sans-serif" w:hAnsi="Calibri;sans-serif"/>
          <w:b w:val="false"/>
          <w:color w:val="000000"/>
          <w:sz w:val="24"/>
        </w:rPr>
        <w:t>The Grantee will, during the Grantee’s employment by the Company, comply with the provisions of CRC’s ethics code and other corporate policies.</w:t>
      </w:r>
    </w:p>
    <w:p>
      <w:pPr>
        <w:pStyle w:val="TextBody"/>
        <w:bidi w:val="0"/>
        <w:spacing w:lineRule="auto" w:line="240" w:before="0" w:after="240"/>
        <w:ind w:left="0" w:right="0" w:firstLine="720"/>
        <w:jc w:val="both"/>
        <w:rPr/>
      </w:pPr>
      <w:r>
        <w:rPr>
          <w:rFonts w:ascii="Calibri;sans-serif" w:hAnsi="Calibri;sans-serif"/>
          <w:b/>
          <w:color w:val="000000"/>
          <w:sz w:val="24"/>
        </w:rPr>
        <w:t>D.</w:t>
      </w:r>
      <w:r>
        <w:rPr>
          <w:rFonts w:ascii="Calibri;sans-serif" w:hAnsi="Calibri;sans-serif"/>
          <w:b w:val="false"/>
          <w:color w:val="000000"/>
          <w:sz w:val="24"/>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an officer of the Company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pStyle w:val="TextBody"/>
        <w:bidi w:val="0"/>
        <w:spacing w:lineRule="auto" w:line="240" w:before="0" w:after="240"/>
        <w:ind w:left="0" w:right="0" w:firstLine="720"/>
        <w:jc w:val="both"/>
        <w:rPr/>
      </w:pPr>
      <w:r>
        <w:rPr>
          <w:rFonts w:ascii="Calibri;sans-serif" w:hAnsi="Calibri;sans-serif"/>
          <w:b/>
          <w:color w:val="000000"/>
          <w:sz w:val="24"/>
        </w:rPr>
        <w:t>E.</w:t>
      </w:r>
      <w:r>
        <w:rPr>
          <w:rFonts w:ascii="Calibri;sans-serif" w:hAnsi="Calibri;sans-serif"/>
          <w:b w:val="false"/>
          <w:color w:val="000000"/>
          <w:sz w:val="24"/>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a work-for-hire and become and remain the property of CRC, its successors and assigns.</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pStyle w:val="TextBody"/>
        <w:bidi w:val="0"/>
        <w:spacing w:lineRule="auto" w:line="240" w:before="0" w:after="240"/>
        <w:ind w:left="0" w:right="0" w:firstLine="720"/>
        <w:jc w:val="both"/>
        <w:rPr/>
      </w:pPr>
      <w:r>
        <w:rPr>
          <w:rFonts w:ascii="Calibri;sans-serif" w:hAnsi="Calibri;sans-serif"/>
          <w:b/>
          <w:color w:val="000000"/>
          <w:sz w:val="24"/>
        </w:rPr>
        <w:t>F.</w:t>
      </w:r>
      <w:r>
        <w:rPr>
          <w:rFonts w:ascii="Calibri;sans-serif" w:hAnsi="Calibri;sans-serif"/>
          <w:b w:val="false"/>
          <w:color w:val="000000"/>
          <w:sz w:val="24"/>
        </w:rPr>
        <w:t>The Grantee has executed a Mutual Agreement to Arbitrate with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36575"/>
                <wp:effectExtent l="0" t="0" r="0" b="0"/>
                <wp:wrapNone/>
                <wp:docPr id="156" name="Frame155"/>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11</w:t>
                            </w:r>
                            <w:r>
                              <w:br w:type="page"/>
                            </w:r>
                          </w:p>
                          <w:p>
                            <w:pPr>
                              <w:pStyle w:val="TextBody"/>
                              <w:bidi w:val="0"/>
                              <w:spacing w:before="0" w:after="0"/>
                              <w:jc w:val="center"/>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11</w:t>
                      </w:r>
                    </w:p>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Calibri;sans-serif" w:hAnsi="Calibri;sans-serif"/>
          <w:b/>
          <w:color w:val="000000"/>
          <w:sz w:val="24"/>
        </w:rPr>
        <w:t>G.</w:t>
      </w:r>
      <w:r>
        <w:rPr>
          <w:rFonts w:ascii="Calibri;sans-serif" w:hAnsi="Calibri;sans-serif"/>
          <w:b w:val="false"/>
          <w:color w:val="000000"/>
          <w:sz w:val="24"/>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Restricted Stock Unit Award granted pursuant to these Terms and Conditions and termination of employment.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Calibri;sans-serif" w:hAnsi="Calibri;sans-serif"/>
          <w:b/>
          <w:color w:val="000000"/>
          <w:sz w:val="24"/>
        </w:rPr>
      </w:pPr>
      <w:r>
        <w:rPr>
          <w:rFonts w:ascii="Calibri;sans-serif" w:hAnsi="Calibri;sans-serif"/>
          <w:b/>
          <w:color w:val="000000"/>
          <w:sz w:val="24"/>
        </w:rPr>
        <w:t>Exhibit 10.30</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36575"/>
                <wp:effectExtent l="0" t="0" r="0" b="0"/>
                <wp:wrapNone/>
                <wp:docPr id="157" name="Frame156"/>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12</w:t>
                            </w:r>
                          </w:p>
                          <w:p>
                            <w:pPr>
                              <w:pStyle w:val="TextBody"/>
                              <w:bidi w:val="0"/>
                              <w:spacing w:before="0" w:after="0"/>
                              <w:jc w:val="center"/>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417.45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12</w:t>
                      </w:r>
                    </w:p>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center"/>
        <w:rPr>
          <w:rFonts w:ascii="Calibri;sans-serif" w:hAnsi="Calibri;sans-serif"/>
          <w:b/>
          <w:color w:val="000000"/>
          <w:sz w:val="24"/>
        </w:rPr>
      </w:pPr>
      <w:r>
        <w:rPr>
          <w:rFonts w:ascii="Calibri;sans-serif" w:hAnsi="Calibri;sans-serif"/>
          <w:b/>
          <w:color w:val="000000"/>
          <w:sz w:val="24"/>
        </w:rPr>
        <w:t xml:space="preserve">CALIFORNIA RESOURCES CORPORATION </w:t>
      </w:r>
    </w:p>
    <w:p>
      <w:pPr>
        <w:pStyle w:val="TextBody"/>
        <w:bidi w:val="0"/>
        <w:spacing w:lineRule="auto" w:line="240" w:before="0" w:after="240"/>
        <w:jc w:val="center"/>
        <w:rPr>
          <w:rFonts w:ascii="Calibri;sans-serif" w:hAnsi="Calibri;sans-serif"/>
          <w:b/>
          <w:color w:val="000000"/>
          <w:sz w:val="24"/>
        </w:rPr>
      </w:pPr>
      <w:r>
        <w:rPr>
          <w:rFonts w:ascii="Calibri;sans-serif" w:hAnsi="Calibri;sans-serif"/>
          <w:b/>
          <w:color w:val="000000"/>
          <w:sz w:val="24"/>
        </w:rPr>
        <w:t>2021 LONG TERM INCENTIVE PLAN</w:t>
      </w:r>
    </w:p>
    <w:p>
      <w:pPr>
        <w:pStyle w:val="TextBody"/>
        <w:bidi w:val="0"/>
        <w:spacing w:lineRule="auto" w:line="240" w:before="0" w:after="240"/>
        <w:jc w:val="center"/>
        <w:rPr>
          <w:rFonts w:ascii="Calibri;sans-serif" w:hAnsi="Calibri;sans-serif"/>
          <w:b/>
          <w:color w:val="000000"/>
          <w:sz w:val="24"/>
        </w:rPr>
      </w:pPr>
      <w:r>
        <w:rPr>
          <w:rFonts w:ascii="Calibri;sans-serif" w:hAnsi="Calibri;sans-serif"/>
          <w:b/>
          <w:color w:val="000000"/>
          <w:sz w:val="24"/>
        </w:rPr>
        <w:t xml:space="preserve">PERFORMANCE STOCK UNIT AWARD </w:t>
        <w:br/>
        <w:t>TERMS AND CONDITIONS</w:t>
      </w:r>
    </w:p>
    <w:p>
      <w:pPr>
        <w:pStyle w:val="TextBody"/>
        <w:bidi w:val="0"/>
        <w:spacing w:lineRule="auto" w:line="240" w:before="0" w:after="240"/>
        <w:ind w:left="0" w:right="0" w:hanging="3240"/>
        <w:jc w:val="both"/>
        <w:rPr>
          <w:rFonts w:ascii="Calibri;sans-serif" w:hAnsi="Calibri;sans-serif"/>
          <w:b w:val="false"/>
          <w:color w:val="000000"/>
          <w:sz w:val="24"/>
        </w:rPr>
      </w:pPr>
      <w:r>
        <w:rPr>
          <w:rFonts w:ascii="Calibri;sans-serif" w:hAnsi="Calibri;sans-serif"/>
          <w:b w:val="false"/>
          <w:color w:val="000000"/>
          <w:sz w:val="24"/>
        </w:rPr>
        <w:t>Grantee:    &lt;&lt;Grantee Name&gt;&gt;</w:t>
      </w:r>
    </w:p>
    <w:p>
      <w:pPr>
        <w:pStyle w:val="TextBody"/>
        <w:bidi w:val="0"/>
        <w:spacing w:lineRule="auto" w:line="240" w:before="0" w:after="240"/>
        <w:ind w:left="0" w:right="0" w:hanging="3240"/>
        <w:jc w:val="both"/>
        <w:rPr>
          <w:rFonts w:ascii="Calibri;sans-serif" w:hAnsi="Calibri;sans-serif"/>
          <w:b w:val="false"/>
          <w:color w:val="000000"/>
          <w:sz w:val="24"/>
        </w:rPr>
      </w:pPr>
      <w:r>
        <w:rPr>
          <w:rFonts w:ascii="Calibri;sans-serif" w:hAnsi="Calibri;sans-serif"/>
          <w:b w:val="false"/>
          <w:color w:val="000000"/>
          <w:sz w:val="24"/>
        </w:rPr>
        <w:t>Date of Grant:    &lt;&lt;Date&gt;&gt;</w:t>
      </w:r>
    </w:p>
    <w:p>
      <w:pPr>
        <w:pStyle w:val="TextBody"/>
        <w:bidi w:val="0"/>
        <w:spacing w:lineRule="auto" w:line="240" w:before="0" w:after="240"/>
        <w:ind w:left="0" w:right="0" w:hanging="3240"/>
        <w:jc w:val="left"/>
        <w:rPr>
          <w:rFonts w:ascii="Calibri;sans-serif" w:hAnsi="Calibri;sans-serif"/>
          <w:b w:val="false"/>
          <w:color w:val="000000"/>
          <w:sz w:val="24"/>
        </w:rPr>
      </w:pPr>
      <w:r>
        <w:rPr>
          <w:rFonts w:ascii="Calibri;sans-serif" w:hAnsi="Calibri;sans-serif"/>
          <w:b w:val="false"/>
          <w:color w:val="000000"/>
          <w:sz w:val="24"/>
        </w:rPr>
        <w:t xml:space="preserve">Target Performance Stock Units:    &lt;&lt;Units Granted&gt;&gt; </w:t>
      </w:r>
    </w:p>
    <w:p>
      <w:pPr>
        <w:pStyle w:val="TextBody"/>
        <w:bidi w:val="0"/>
        <w:spacing w:lineRule="auto" w:line="240" w:before="0" w:after="240"/>
        <w:ind w:left="0" w:right="0" w:hanging="3240"/>
        <w:jc w:val="both"/>
        <w:rPr>
          <w:rFonts w:ascii="Calibri;sans-serif" w:hAnsi="Calibri;sans-serif"/>
          <w:b w:val="false"/>
          <w:color w:val="000000"/>
          <w:sz w:val="24"/>
        </w:rPr>
      </w:pPr>
      <w:r>
        <w:rPr>
          <w:rFonts w:ascii="Calibri;sans-serif" w:hAnsi="Calibri;sans-serif"/>
          <w:b w:val="false"/>
          <w:color w:val="000000"/>
          <w:sz w:val="24"/>
        </w:rPr>
        <w:t xml:space="preserve">Vesting Date:    Third annual anniversary of the Date of Grant </w:t>
      </w:r>
    </w:p>
    <w:p>
      <w:pPr>
        <w:pStyle w:val="TextBody"/>
        <w:bidi w:val="0"/>
        <w:spacing w:lineRule="auto" w:line="240" w:before="0" w:after="240"/>
        <w:ind w:left="0" w:right="0" w:hanging="3240"/>
        <w:jc w:val="both"/>
        <w:rPr>
          <w:rFonts w:ascii="Calibri;sans-serif" w:hAnsi="Calibri;sans-serif"/>
          <w:b w:val="false"/>
          <w:color w:val="000000"/>
          <w:sz w:val="24"/>
        </w:rPr>
      </w:pPr>
      <w:r>
        <w:rPr>
          <w:rFonts w:ascii="Calibri;sans-serif" w:hAnsi="Calibri;sans-serif"/>
          <w:b w:val="false"/>
          <w:color w:val="000000"/>
          <w:sz w:val="24"/>
        </w:rPr>
        <w:t xml:space="preserve">Performance Period:    January 1, 2024 – December 31, 2026 </w:t>
      </w:r>
    </w:p>
    <w:p>
      <w:pPr>
        <w:pStyle w:val="TextBody"/>
        <w:bidi w:val="0"/>
        <w:spacing w:lineRule="auto" w:line="240" w:before="0" w:after="240"/>
        <w:ind w:left="0" w:right="0" w:firstLine="720"/>
        <w:jc w:val="both"/>
        <w:rPr/>
      </w:pPr>
      <w:r>
        <w:rPr>
          <w:rFonts w:ascii="Calibri;sans-serif" w:hAnsi="Calibri;sans-serif"/>
          <w:b w:val="false"/>
          <w:color w:val="000000"/>
          <w:sz w:val="24"/>
        </w:rPr>
        <w:t>The following Terms and Conditions (these “</w:t>
      </w:r>
      <w:r>
        <w:rPr>
          <w:rFonts w:ascii="Calibri;sans-serif" w:hAnsi="Calibri;sans-serif"/>
          <w:b/>
          <w:color w:val="000000"/>
          <w:sz w:val="24"/>
        </w:rPr>
        <w:t>Terms and Conditions</w:t>
      </w:r>
      <w:r>
        <w:rPr>
          <w:color w:val="000000"/>
        </w:rPr>
        <w:t>”</w:t>
      </w:r>
      <w:r>
        <w:rPr>
          <w:rFonts w:ascii="Calibri;sans-serif" w:hAnsi="Calibri;sans-serif"/>
          <w:b w:val="false"/>
          <w:color w:val="000000"/>
          <w:sz w:val="24"/>
        </w:rPr>
        <w:t>) are set forth as of the Date of Grant between CALIFORNIA RESOURCES CORPORATION, a Delaware corporation (“</w:t>
      </w:r>
      <w:r>
        <w:rPr>
          <w:rFonts w:ascii="Calibri;sans-serif" w:hAnsi="Calibri;sans-serif"/>
          <w:b/>
          <w:color w:val="000000"/>
          <w:sz w:val="24"/>
        </w:rPr>
        <w:t>CRC</w:t>
      </w:r>
      <w:r>
        <w:rPr>
          <w:color w:val="000000"/>
        </w:rPr>
        <w:t xml:space="preserve">” </w:t>
      </w:r>
      <w:r>
        <w:rPr>
          <w:rFonts w:ascii="Calibri;sans-serif" w:hAnsi="Calibri;sans-serif"/>
          <w:b w:val="false"/>
          <w:color w:val="000000"/>
          <w:sz w:val="24"/>
        </w:rPr>
        <w:t>and, with its subsidiaries, the “</w:t>
      </w:r>
      <w:r>
        <w:rPr>
          <w:rFonts w:ascii="Calibri;sans-serif" w:hAnsi="Calibri;sans-serif"/>
          <w:b/>
          <w:color w:val="000000"/>
          <w:sz w:val="24"/>
        </w:rPr>
        <w:t>Company</w:t>
      </w:r>
      <w:r>
        <w:rPr>
          <w:color w:val="000000"/>
        </w:rPr>
        <w:t>”</w:t>
      </w:r>
      <w:r>
        <w:rPr>
          <w:rFonts w:ascii="Calibri;sans-serif" w:hAnsi="Calibri;sans-serif"/>
          <w:b w:val="false"/>
          <w:color w:val="000000"/>
          <w:sz w:val="24"/>
        </w:rPr>
        <w:t>), and the eligible employee receiving this award (the “</w:t>
      </w:r>
      <w:r>
        <w:rPr>
          <w:rFonts w:ascii="Calibri;sans-serif" w:hAnsi="Calibri;sans-serif"/>
          <w:b/>
          <w:color w:val="000000"/>
          <w:sz w:val="24"/>
        </w:rPr>
        <w:t>Grantee</w:t>
      </w:r>
      <w:r>
        <w:rPr>
          <w:color w:val="000000"/>
        </w:rPr>
        <w:t>”</w:t>
      </w:r>
      <w:r>
        <w:rPr>
          <w:rFonts w:ascii="Calibri;sans-serif" w:hAnsi="Calibri;sans-serif"/>
          <w:b w:val="false"/>
          <w:color w:val="000000"/>
          <w:sz w:val="24"/>
        </w:rPr>
        <w:t>).</w:t>
      </w:r>
    </w:p>
    <w:p>
      <w:pPr>
        <w:pStyle w:val="TextBody"/>
        <w:bidi w:val="0"/>
        <w:spacing w:lineRule="auto" w:line="240" w:before="0" w:after="240"/>
        <w:ind w:left="0" w:right="0" w:firstLine="720"/>
        <w:jc w:val="both"/>
        <w:rPr/>
      </w:pPr>
      <w:r>
        <w:rPr>
          <w:rFonts w:ascii="Calibri;sans-serif" w:hAnsi="Calibri;sans-serif"/>
          <w:b/>
          <w:color w:val="000000"/>
          <w:sz w:val="24"/>
        </w:rPr>
        <w:t>1.</w:t>
      </w:r>
      <w:r>
        <w:rPr>
          <w:rFonts w:ascii="Calibri;sans-serif" w:hAnsi="Calibri;sans-serif"/>
          <w:b/>
          <w:color w:val="000000"/>
          <w:sz w:val="24"/>
        </w:rPr>
        <w:t>Definitions</w:t>
      </w:r>
      <w:r>
        <w:rPr>
          <w:rFonts w:ascii="Calibri;sans-serif" w:hAnsi="Calibri;sans-serif"/>
          <w:b w:val="false"/>
          <w:color w:val="000000"/>
          <w:sz w:val="24"/>
        </w:rPr>
        <w:t>. For purposes of these Terms and Conditions, the following terms shall have the meanings specified below:</w:t>
      </w:r>
    </w:p>
    <w:p>
      <w:pPr>
        <w:pStyle w:val="TextBody"/>
        <w:bidi w:val="0"/>
        <w:spacing w:lineRule="auto" w:line="240" w:before="0" w:after="240"/>
        <w:ind w:left="0" w:right="0" w:firstLine="720"/>
        <w:jc w:val="both"/>
        <w:rPr/>
      </w:pPr>
      <w:r>
        <w:rPr>
          <w:rFonts w:ascii="Calibri;sans-serif" w:hAnsi="Calibri;sans-serif"/>
          <w:b w:val="false"/>
          <w:color w:val="000000"/>
          <w:sz w:val="24"/>
        </w:rPr>
        <w:t>(a)    “</w:t>
      </w:r>
      <w:r>
        <w:rPr>
          <w:rFonts w:ascii="Calibri;sans-serif" w:hAnsi="Calibri;sans-serif"/>
          <w:b/>
          <w:color w:val="000000"/>
          <w:sz w:val="24"/>
        </w:rPr>
        <w:t>Cause</w:t>
      </w:r>
      <w:r>
        <w:rPr>
          <w:color w:val="000000"/>
        </w:rPr>
        <w:t xml:space="preserve">” </w:t>
      </w:r>
      <w:r>
        <w:rPr>
          <w:rFonts w:ascii="Calibri;sans-serif" w:hAnsi="Calibri;sans-serif"/>
          <w:b w:val="false"/>
          <w:color w:val="000000"/>
          <w:sz w:val="24"/>
        </w:rPr>
        <w:t xml:space="preserve">means “cause” (or a term of like import) as defined in the Grantee’s individual employment, consulting or severance agreement with the Company or an Affiliate in effect at the time of the Grantee’s termination of employment or, in the absence of such an agreement or definition, shall mean (i) the Grantee’s material breach of this Agreement or any other written agreement between the Grantee and the Company or an Affiliate, including the Grantee’s breach of any representation, warranty or covenant made under any such agreement; (ii) the Grantee’s material breach of any law applicable to the workplace or employment relationship, or the Grantee’s material breach of any policy or code of conduct established by the Company or an Affiliate and applicable to the Grantee; (iii) the Grantee’s gross negligence, willful misconduct, breach of fiduciary duty, fraud, theft or embezzlement; (iv) the commission by the Grantee of, or conviction or indictment of the Grantee for, or plea of nolo contendere by the Grantee to, any crime involving moral turpitude or any felony (or state law equivalent); or (v) the Grantee’s willful failure or refusal, other than due to disability, to follow any lawful directive from the Company, as determined by the Company; provided, however, that if the Grantee’s actions or omissions as set forth in this clause (v) are of such a nature that the Company determines that they are curable by the Grantee, such actions or omissions must remain uncured 30 days after the Company first provided the Grantee written notice of the obligation to cure such actions or omissions. </w:t>
      </w:r>
    </w:p>
    <w:p>
      <w:pPr>
        <w:pStyle w:val="TextBody"/>
        <w:bidi w:val="0"/>
        <w:spacing w:lineRule="auto" w:line="240" w:before="0" w:after="240"/>
        <w:ind w:left="0" w:right="0" w:firstLine="720"/>
        <w:jc w:val="both"/>
        <w:rPr/>
      </w:pPr>
      <w:r>
        <w:rPr>
          <w:rFonts w:ascii="Calibri;sans-serif" w:hAnsi="Calibri;sans-serif"/>
          <w:b w:val="false"/>
          <w:color w:val="000000"/>
          <w:sz w:val="24"/>
        </w:rPr>
        <w:t>(b)    “</w:t>
      </w:r>
      <w:r>
        <w:rPr>
          <w:rFonts w:ascii="Calibri;sans-serif" w:hAnsi="Calibri;sans-serif"/>
          <w:b/>
          <w:color w:val="000000"/>
          <w:sz w:val="24"/>
        </w:rPr>
        <w:t>Common Stock</w:t>
      </w:r>
      <w:r>
        <w:rPr>
          <w:color w:val="000000"/>
        </w:rPr>
        <w:t xml:space="preserve">” </w:t>
      </w:r>
      <w:r>
        <w:rPr>
          <w:rFonts w:ascii="Calibri;sans-serif" w:hAnsi="Calibri;sans-serif"/>
          <w:b w:val="false"/>
          <w:color w:val="000000"/>
          <w:sz w:val="24"/>
        </w:rPr>
        <w:t>means CRC Common Stock, $0.01 par value per share.</w:t>
      </w:r>
    </w:p>
    <w:p>
      <w:pPr>
        <w:pStyle w:val="TextBody"/>
        <w:bidi w:val="0"/>
        <w:spacing w:lineRule="auto" w:line="240" w:before="0" w:after="240"/>
        <w:ind w:left="0" w:right="0" w:firstLine="720"/>
        <w:jc w:val="both"/>
        <w:rPr/>
      </w:pPr>
      <w:r>
        <w:rPr>
          <w:rFonts w:ascii="Calibri;sans-serif" w:hAnsi="Calibri;sans-serif"/>
          <w:b w:val="false"/>
          <w:color w:val="000000"/>
          <w:sz w:val="24"/>
        </w:rPr>
        <w:t>(c)    “</w:t>
      </w:r>
      <w:r>
        <w:rPr>
          <w:rFonts w:ascii="Calibri;sans-serif" w:hAnsi="Calibri;sans-serif"/>
          <w:b/>
          <w:color w:val="000000"/>
          <w:sz w:val="24"/>
        </w:rPr>
        <w:t>Good Reason</w:t>
      </w:r>
      <w:r>
        <w:rPr>
          <w:color w:val="000000"/>
        </w:rPr>
        <w:t xml:space="preserve">” </w:t>
      </w:r>
      <w:r>
        <w:rPr>
          <w:rFonts w:ascii="Calibri;sans-serif" w:hAnsi="Calibri;sans-serif"/>
          <w:b w:val="false"/>
          <w:color w:val="000000"/>
          <w:sz w:val="24"/>
        </w:rPr>
        <w:t xml:space="preserve">means “good reason” (or a term of like import) as defined in the Grantee’s individual employment, consulting or severance agreement with the Company or an Affiliate in effect at the time of the Grantee’s termination of employment or, in the absence of such an agreement or definition, shall mean the occurrence of any of the following without the Grantee’s consent: (i) a material adverse change in the Grantee’s title, duties or responsibilities (including reporting responsibilities); (ii) a material reduction in the Grantee’s base salary; (iii) any relocation of the Grantee’s principal place of employment by more than 50 miles from the location of the Grantee’s principal place of employment as of the date upon which a Qualifying </w:t>
      </w:r>
    </w:p>
    <w:p>
      <w:pPr>
        <w:pStyle w:val="TextBody"/>
        <w:bidi w:val="0"/>
        <w:spacing w:before="0" w:after="24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61315"/>
                <wp:effectExtent l="0" t="0" r="0" b="0"/>
                <wp:wrapNone/>
                <wp:docPr id="158" name="Frame157"/>
                <a:graphic xmlns:a="http://schemas.openxmlformats.org/drawingml/2006/main">
                  <a:graphicData uri="http://schemas.microsoft.com/office/word/2010/wordprocessingShape">
                    <wps:wsp>
                      <wps:cNvSpPr txBox="1"/>
                      <wps:spPr>
                        <a:xfrm>
                          <a:off x="0" y="0"/>
                          <a:ext cx="6480175" cy="36131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4"/>
                        </w:rPr>
                      </w:pPr>
                      <w:r>
                        <w:rPr>
                          <w:rFonts w:ascii="Calibri;sans-serif" w:hAnsi="Calibri;sans-serif"/>
                          <w:b w:val="false"/>
                          <w:color w:val="000000"/>
                          <w:sz w:val="24"/>
                        </w:rPr>
                        <w:t>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Change of Control occurs; or (iv) a material breach by the Company of any of its obligations under this Agreement. The Company and the Grantee agree that “Good Reason” shall not exist unless and until the Grantee provides the Company with written notice of the acts alleged to constitute Good Reason within 90 days of the Grantee’s knowledge of the occurrence of such event, and Company fails to cure such acts within 30 days of receipt of such notice. The Grantee must terminate employment within 60 days following the expiration of such cure period for the termination to be on account of Good Reason. Notwithstanding the foregoing or any other provision of these Terms and Conditions, if the Grantee does not have an individual employment, consulting or severance agreement with the Company or an Affiliate in effect at the time of the Grantee’s termination of employment, or if any such agreement does not include a definition of the term “good reason” (or a term of like import), then all of the terms and provisions in these Terms and Conditions that are conditioned upon a termination of employment for Good Reason shall be disregarded and of no force or effect; provided, however, that the provisions of Section 5(c) relating to a Qualifying Termination following a Qualifying Change in Control under certain circumstances shall be applied by including a termination of the Grantee’s employment by the Grantee for Good Reason within the meaning of a Qualifying Termination.</w:t>
      </w:r>
    </w:p>
    <w:p>
      <w:pPr>
        <w:pStyle w:val="TextBody"/>
        <w:bidi w:val="0"/>
        <w:spacing w:lineRule="auto" w:line="240" w:before="0" w:after="240"/>
        <w:ind w:left="0" w:right="0" w:firstLine="720"/>
        <w:jc w:val="both"/>
        <w:rPr/>
      </w:pPr>
      <w:r>
        <w:rPr>
          <w:rFonts w:ascii="Calibri;sans-serif" w:hAnsi="Calibri;sans-serif"/>
          <w:b w:val="false"/>
          <w:color w:val="000000"/>
          <w:sz w:val="24"/>
        </w:rPr>
        <w:t>(d)    “</w:t>
      </w:r>
      <w:r>
        <w:rPr>
          <w:rFonts w:ascii="Calibri;sans-serif" w:hAnsi="Calibri;sans-serif"/>
          <w:b/>
          <w:color w:val="000000"/>
          <w:sz w:val="24"/>
        </w:rPr>
        <w:t>Qualifying Change in Control</w:t>
      </w:r>
      <w:r>
        <w:rPr>
          <w:color w:val="000000"/>
        </w:rPr>
        <w:t xml:space="preserve">” </w:t>
      </w:r>
      <w:r>
        <w:rPr>
          <w:rFonts w:ascii="Calibri;sans-serif" w:hAnsi="Calibri;sans-serif"/>
          <w:b w:val="false"/>
          <w:color w:val="000000"/>
          <w:sz w:val="24"/>
        </w:rPr>
        <w:t>means a Change in Control, but excluding any event that would otherwise constitute a Change in Control and that relates solely to any acquisition of securities of the Company by a stockholder of the Company that owns 20% or more of either the Outstanding Stock or the Outstanding Company Voting Securities as of the Date of Grant (or by such a stockholder and/or one or more of its affiliates).</w:t>
      </w:r>
    </w:p>
    <w:p>
      <w:pPr>
        <w:pStyle w:val="TextBody"/>
        <w:bidi w:val="0"/>
        <w:spacing w:lineRule="auto" w:line="240" w:before="0" w:after="240"/>
        <w:ind w:left="0" w:right="0" w:firstLine="720"/>
        <w:jc w:val="both"/>
        <w:rPr/>
      </w:pPr>
      <w:r>
        <w:rPr>
          <w:rFonts w:ascii="Calibri;sans-serif" w:hAnsi="Calibri;sans-serif"/>
          <w:b w:val="false"/>
          <w:color w:val="000000"/>
          <w:sz w:val="24"/>
        </w:rPr>
        <w:t>(e)    “</w:t>
      </w:r>
      <w:r>
        <w:rPr>
          <w:rFonts w:ascii="Calibri;sans-serif" w:hAnsi="Calibri;sans-serif"/>
          <w:b/>
          <w:color w:val="000000"/>
          <w:sz w:val="24"/>
        </w:rPr>
        <w:t>Qualifying Termination</w:t>
      </w:r>
      <w:r>
        <w:rPr>
          <w:color w:val="000000"/>
        </w:rPr>
        <w:t xml:space="preserve">” </w:t>
      </w:r>
      <w:r>
        <w:rPr>
          <w:rFonts w:ascii="Calibri;sans-serif" w:hAnsi="Calibri;sans-serif"/>
          <w:b w:val="false"/>
          <w:color w:val="000000"/>
          <w:sz w:val="24"/>
        </w:rPr>
        <w:t>means a termination of the Grantee’s employment with the Company or an Affiliate (i) by the Company or an Affiliate without Cause, (ii) by the Grantee for Good Reason (if applicable), or (iii) due to disability within the meaning of Treasury regulation section 1.409A-3(i)(4).</w:t>
      </w:r>
    </w:p>
    <w:p>
      <w:pPr>
        <w:pStyle w:val="TextBody"/>
        <w:bidi w:val="0"/>
        <w:spacing w:lineRule="auto" w:line="240" w:before="0" w:after="240"/>
        <w:ind w:left="0" w:right="0" w:firstLine="720"/>
        <w:jc w:val="both"/>
        <w:rPr/>
      </w:pPr>
      <w:r>
        <w:rPr>
          <w:rFonts w:ascii="Calibri;sans-serif" w:hAnsi="Calibri;sans-serif"/>
          <w:b/>
          <w:color w:val="000000"/>
          <w:sz w:val="24"/>
        </w:rPr>
        <w:t>2.</w:t>
      </w:r>
      <w:r>
        <w:rPr>
          <w:rFonts w:ascii="Calibri;sans-serif" w:hAnsi="Calibri;sans-serif"/>
          <w:b/>
          <w:color w:val="000000"/>
          <w:sz w:val="24"/>
        </w:rPr>
        <w:t xml:space="preserve">Grant of Performance Stock Units. </w:t>
      </w:r>
      <w:r>
        <w:rPr>
          <w:rFonts w:ascii="Calibri;sans-serif" w:hAnsi="Calibri;sans-serif"/>
          <w:b w:val="false"/>
          <w:color w:val="000000"/>
          <w:sz w:val="24"/>
        </w:rPr>
        <w:t>In accordance with these Terms and Conditions and the California Resources Corporation 2021 Long Term Incentive Plan, as the same may be amended from time to time (the “</w:t>
      </w:r>
      <w:r>
        <w:rPr>
          <w:rFonts w:ascii="Calibri;sans-serif" w:hAnsi="Calibri;sans-serif"/>
          <w:b/>
          <w:color w:val="000000"/>
          <w:sz w:val="24"/>
        </w:rPr>
        <w:t>Plan</w:t>
      </w:r>
      <w:r>
        <w:rPr>
          <w:color w:val="000000"/>
        </w:rPr>
        <w:t>”</w:t>
      </w:r>
      <w:r>
        <w:rPr>
          <w:rFonts w:ascii="Calibri;sans-serif" w:hAnsi="Calibri;sans-serif"/>
          <w:b w:val="false"/>
          <w:color w:val="000000"/>
          <w:sz w:val="24"/>
        </w:rPr>
        <w:t>), CRC grants to the Grantee as of the Date of Grant, the number of Performance Stock Units (“</w:t>
      </w:r>
      <w:r>
        <w:rPr>
          <w:rFonts w:ascii="Calibri;sans-serif" w:hAnsi="Calibri;sans-serif"/>
          <w:b/>
          <w:color w:val="000000"/>
          <w:sz w:val="24"/>
        </w:rPr>
        <w:t>PS Units</w:t>
      </w:r>
      <w:r>
        <w:rPr>
          <w:color w:val="000000"/>
        </w:rPr>
        <w:t>”</w:t>
      </w:r>
      <w:r>
        <w:rPr>
          <w:rFonts w:ascii="Calibri;sans-serif" w:hAnsi="Calibri;sans-serif"/>
          <w:b w:val="false"/>
          <w:color w:val="000000"/>
          <w:sz w:val="24"/>
        </w:rPr>
        <w:t xml:space="preserve">) set forth above, subject to adjustment under the Plan and Section 8 of these Terms and Conditions. A PS Unit is a bookkeeping entry that represents the right to receive upon achievement of the Performance Goal, as set forth in Section 4, and the satisfaction of the other terms set forth herein one share of Common Stock at the time provided in Section 6. PS Units are not Common Stock and have no voting rights or, except as stated in Section 7, dividend equivalent rights. </w:t>
      </w:r>
    </w:p>
    <w:p>
      <w:pPr>
        <w:pStyle w:val="TextBody"/>
        <w:bidi w:val="0"/>
        <w:spacing w:lineRule="auto" w:line="240" w:before="0" w:after="240"/>
        <w:ind w:left="0" w:right="0" w:firstLine="720"/>
        <w:jc w:val="both"/>
        <w:rPr/>
      </w:pPr>
      <w:r>
        <w:rPr>
          <w:rFonts w:ascii="Calibri;sans-serif" w:hAnsi="Calibri;sans-serif"/>
          <w:b/>
          <w:color w:val="000000"/>
          <w:sz w:val="24"/>
        </w:rPr>
        <w:t>3.</w:t>
      </w:r>
      <w:r>
        <w:rPr>
          <w:rFonts w:ascii="Calibri;sans-serif" w:hAnsi="Calibri;sans-serif"/>
          <w:b/>
          <w:color w:val="000000"/>
          <w:sz w:val="24"/>
        </w:rPr>
        <w:t>Restrictions on Transfer</w:t>
      </w:r>
      <w:r>
        <w:rPr>
          <w:rFonts w:ascii="Calibri;sans-serif" w:hAnsi="Calibri;sans-serif"/>
          <w:b w:val="false"/>
          <w:color w:val="000000"/>
          <w:sz w:val="24"/>
        </w:rPr>
        <w:t>. Neither these Terms and Conditions nor any right to receive Common Stock pursuant to these Terms and Conditions may be transferred or assigned by the Grantee other than (i) to a beneficiary designated on a form approved by CRC (if enforceable under local law), by will or, if the Grantee dies without designating a beneficiary of a valid will, by the laws of descent and distribution, or (ii) pursuant to any applicable domestic relations order (if approved or ratified by the Committee). Any purported transfer, encumbrance or other disposition of the Grantee’s rights under these Terms and Conditions that is in violation of this Section 3 shall be null and void.</w:t>
      </w:r>
    </w:p>
    <w:p>
      <w:pPr>
        <w:pStyle w:val="TextBody"/>
        <w:bidi w:val="0"/>
        <w:spacing w:before="0" w:after="24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711835"/>
                <wp:effectExtent l="0" t="0" r="0" b="0"/>
                <wp:wrapNone/>
                <wp:docPr id="159" name="Frame158"/>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both"/>
                              <w:rPr/>
                            </w:pPr>
                            <w:r>
                              <w:rPr>
                                <w:color w:val="000000"/>
                              </w:rPr>
                              <w:t>    </w:t>
                            </w:r>
                            <w:r>
                              <w:rPr>
                                <w:rFonts w:ascii="Calibri;sans-serif" w:hAnsi="Calibri;sans-serif"/>
                                <w:b w:val="false"/>
                                <w:color w:val="000000"/>
                                <w:sz w:val="24"/>
                              </w:rPr>
                              <w:t>2</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2</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Calibri;sans-serif" w:hAnsi="Calibri;sans-serif"/>
          <w:b/>
          <w:color w:val="000000"/>
          <w:sz w:val="24"/>
        </w:rPr>
        <w:t>4.</w:t>
      </w:r>
      <w:r>
        <w:rPr>
          <w:rFonts w:ascii="Calibri;sans-serif" w:hAnsi="Calibri;sans-serif"/>
          <w:b/>
          <w:color w:val="000000"/>
          <w:sz w:val="24"/>
        </w:rPr>
        <w:t>Performance Goals</w:t>
      </w:r>
      <w:r>
        <w:rPr>
          <w:rFonts w:ascii="Calibri;sans-serif" w:hAnsi="Calibri;sans-serif"/>
          <w:b w:val="false"/>
          <w:color w:val="000000"/>
          <w:sz w:val="24"/>
        </w:rPr>
        <w:t>. The “</w:t>
      </w:r>
      <w:r>
        <w:rPr>
          <w:rFonts w:ascii="Calibri;sans-serif" w:hAnsi="Calibri;sans-serif"/>
          <w:b/>
          <w:color w:val="000000"/>
          <w:sz w:val="24"/>
        </w:rPr>
        <w:t>Performance Goals</w:t>
      </w:r>
      <w:r>
        <w:rPr>
          <w:color w:val="000000"/>
        </w:rPr>
        <w:t xml:space="preserve">” </w:t>
      </w:r>
      <w:r>
        <w:rPr>
          <w:rFonts w:ascii="Calibri;sans-serif" w:hAnsi="Calibri;sans-serif"/>
          <w:b w:val="false"/>
          <w:color w:val="000000"/>
          <w:sz w:val="24"/>
        </w:rPr>
        <w:t xml:space="preserve">with respect to the Performance Units are based on the achievement of the following two measures: (a) Absolute Total Shareholder Return, and (b) Relative Total Shareholder Return, each as determined pursuant to </w:t>
      </w:r>
      <w:r>
        <w:rPr>
          <w:rFonts w:ascii="Calibri;sans-serif" w:hAnsi="Calibri;sans-serif"/>
          <w:b w:val="false"/>
          <w:color w:val="000000"/>
          <w:sz w:val="24"/>
          <w:u w:val="single"/>
        </w:rPr>
        <w:t>Appendix A</w:t>
      </w:r>
      <w:r>
        <w:rPr>
          <w:color w:val="000000"/>
        </w:rPr>
        <w:t xml:space="preserve"> </w:t>
      </w:r>
      <w:r>
        <w:rPr>
          <w:rFonts w:ascii="Calibri;sans-serif" w:hAnsi="Calibri;sans-serif"/>
          <w:b w:val="false"/>
          <w:color w:val="000000"/>
          <w:sz w:val="24"/>
        </w:rPr>
        <w:t>attached hereto over the applicable Performance Period set forth above. The number of Performance Units, if any, determined to be earned pursuant to Appendix A shall be referred to as the “</w:t>
      </w:r>
      <w:r>
        <w:rPr>
          <w:rFonts w:ascii="Calibri;sans-serif" w:hAnsi="Calibri;sans-serif"/>
          <w:b/>
          <w:color w:val="000000"/>
          <w:sz w:val="24"/>
        </w:rPr>
        <w:t>Earned PS Units.</w:t>
      </w:r>
      <w:r>
        <w:rPr>
          <w:color w:val="000000"/>
        </w:rPr>
        <w:t xml:space="preserve">” </w:t>
      </w:r>
    </w:p>
    <w:p>
      <w:pPr>
        <w:pStyle w:val="TextBody"/>
        <w:bidi w:val="0"/>
        <w:spacing w:lineRule="auto" w:line="240" w:before="0" w:after="240"/>
        <w:ind w:left="0" w:right="0" w:firstLine="720"/>
        <w:jc w:val="both"/>
        <w:rPr/>
      </w:pPr>
      <w:r>
        <w:rPr>
          <w:rFonts w:ascii="Calibri;sans-serif" w:hAnsi="Calibri;sans-serif"/>
          <w:b/>
          <w:color w:val="000000"/>
          <w:sz w:val="24"/>
        </w:rPr>
        <w:t>5.</w:t>
      </w:r>
      <w:r>
        <w:rPr>
          <w:rFonts w:ascii="Calibri;sans-serif" w:hAnsi="Calibri;sans-serif"/>
          <w:b/>
          <w:color w:val="000000"/>
          <w:sz w:val="24"/>
        </w:rPr>
        <w:t>Vesting and Forfeiture of Performance Stock Unit Award</w:t>
      </w:r>
      <w:r>
        <w:rPr>
          <w:rFonts w:ascii="Calibri;sans-serif" w:hAnsi="Calibri;sans-serif"/>
          <w:b w:val="false"/>
          <w:color w:val="000000"/>
          <w:sz w:val="24"/>
        </w:rPr>
        <w:t xml:space="preserve">. </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(a)If the Grantee fails to accept this award prior to &lt;&lt;Accept by Date&gt;&gt;, then, notwithstanding any other provision of this award, the Grantee shall forfeit this award and all rights under this award and this award will become null and void. For purposes of these Terms and Conditions, acceptance of the award shall occur on the date the Grantee accepts this Performance Stock Unit Award through Fidelity NetBenefits or any replacement on-line system designated by the Company.</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(b)Except as otherwise set forth in Sections 5(c), (d), and (e), the Grantee must remain in the continuous employment of the Company or an Affiliate through the applicable Vesting Date set forth above in order to become vested and receive payment under this award. Upon a termination of the Grantee’s employment with the Company or an Affiliate prior to the applicable Vesting Date (but after giving effect to any accelerated vesting pursuant to Sections 5(c) and (d)), any unvested PS Units (and all rights arising from such PS Units and from being a holder thereof) will terminate automatically without any further action by the Company and will be forfeited without further notice and at no cost to the Company.</w:t>
      </w:r>
    </w:p>
    <w:p>
      <w:pPr>
        <w:pStyle w:val="TextBody"/>
        <w:bidi w:val="0"/>
        <w:spacing w:lineRule="auto" w:line="240" w:before="0" w:after="240"/>
        <w:ind w:left="0" w:right="0" w:firstLine="720"/>
        <w:jc w:val="both"/>
        <w:rPr/>
      </w:pPr>
      <w:r>
        <w:rPr>
          <w:rFonts w:ascii="Calibri;sans-serif" w:hAnsi="Calibri;sans-serif"/>
          <w:b w:val="false"/>
          <w:color w:val="000000"/>
          <w:sz w:val="24"/>
        </w:rPr>
        <w:t>(c)If the Grantee’s employment with the Company or an Affiliate is terminated due to a Qualifying Termination or the Grantee’s death, whether or not in connection with a Qualifying Change in Control event, then a number of PS Units shall immediately vest and become nonforfeitable as of the date of such Qualifying Termination or death, which number of PS Units (the “</w:t>
      </w:r>
      <w:r>
        <w:rPr>
          <w:rFonts w:ascii="Calibri;sans-serif" w:hAnsi="Calibri;sans-serif"/>
          <w:b/>
          <w:color w:val="000000"/>
          <w:sz w:val="24"/>
        </w:rPr>
        <w:t>Vested PS Units</w:t>
      </w:r>
      <w:r>
        <w:rPr>
          <w:color w:val="000000"/>
        </w:rPr>
        <w:t>”</w:t>
      </w:r>
      <w:r>
        <w:rPr>
          <w:rFonts w:ascii="Calibri;sans-serif" w:hAnsi="Calibri;sans-serif"/>
          <w:b w:val="false"/>
          <w:color w:val="000000"/>
          <w:sz w:val="24"/>
        </w:rPr>
        <w:t xml:space="preserve">) shall equal (rounded to the nearest PS Unit) (i) the total number of PS Units granted hereunder, </w:t>
      </w:r>
      <w:r>
        <w:rPr>
          <w:rFonts w:ascii="Calibri;sans-serif" w:hAnsi="Calibri;sans-serif"/>
          <w:b w:val="false"/>
          <w:color w:val="000000"/>
          <w:sz w:val="24"/>
          <w:u w:val="single"/>
        </w:rPr>
        <w:t>multiplied by</w:t>
      </w:r>
      <w:r>
        <w:rPr>
          <w:color w:val="000000"/>
        </w:rPr>
        <w:t xml:space="preserve"> </w:t>
      </w:r>
      <w:r>
        <w:rPr>
          <w:rFonts w:ascii="Calibri;sans-serif" w:hAnsi="Calibri;sans-serif"/>
          <w:b w:val="false"/>
          <w:color w:val="000000"/>
          <w:sz w:val="24"/>
        </w:rPr>
        <w:t xml:space="preserve">(ii) a fraction, the numerator of which is the number of days the Grantee was continuously employed by the Company or an Affiliate during the period beginning on the Date of Grant and ending on the date of such Qualifying Termination or death, and the denominator of which is the total number of days in the performance period beginning on the Date of Grant. The Vested PS Units shall remain outstanding during the remainder of the Performance Period and shall be eligible to become Earned PS Units in accordance with Section 4 (determined as if the Vested PS Units were the total number of PS Units granted hereunder and as further adjusted for Section 8 in connection with a Qualifying Change in Control, if applicable). Any PS Units that remain unvested after giving effect to the first sentence of this paragraph (and all rights arising from such PS Units and from being a holder thereof) will terminate automatically on such date without any further action by the Company and will be forfeited without further notice and at no cost to the Company. In addition, at the end of the Performance Period, any PS Units then outstanding that have not become Earned PS Units will terminate automatically at such time without any further action by the Company and will be forfeited without further notice and at no cost to the Company. </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 xml:space="preserve">(d)If the Grantee’s employment with the Company or an Affiliate is terminated due to the Grantee’s voluntary termination of employment without Good Reason (if applicable), then all of the PS Units will terminate automatically on the date </w:t>
      </w:r>
    </w:p>
    <w:p>
      <w:pPr>
        <w:pStyle w:val="TextBody"/>
        <w:bidi w:val="0"/>
        <w:spacing w:before="0" w:after="24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11835"/>
                <wp:effectExtent l="0" t="0" r="0" b="0"/>
                <wp:wrapNone/>
                <wp:docPr id="160" name="Frame159"/>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both"/>
                              <w:rPr/>
                            </w:pPr>
                            <w:r>
                              <w:rPr>
                                <w:color w:val="000000"/>
                              </w:rPr>
                              <w:t>    </w:t>
                            </w:r>
                            <w:r>
                              <w:rPr>
                                <w:rFonts w:ascii="Calibri;sans-serif" w:hAnsi="Calibri;sans-serif"/>
                                <w:b w:val="false"/>
                                <w:color w:val="000000"/>
                                <w:sz w:val="24"/>
                              </w:rPr>
                              <w:t>3</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3</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 xml:space="preserve">of such termination of employment without any further action by the Company and will be forfeited without further notice and at no cost to the Company. </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(e)Notwithstanding the preceding provisions of this Section 5 or anything to the contrary in this award, in the event of the Grantee’s termination of employment for Cause at any time prior to the settlement of the PS Units pursuant to Section 6, the Grantee will forfeit for no consideration all of the PS Units that have not yet been so settled as of the date of such termination of employment (including those that may have become vested pursuant to the preceding paragraphs or earned pursuant to Section 4) and all rights arising from such PS Units without any further action or notice by the Company. In addition, in the event that all or a portion of the PS Units have become vested pursuant to the preceding paragraphs or earned pursuant to Section 4 but, after such vesting or earning and prior to the settlement of such PS Units, the Committee acquires evidence or determines that a Cause condition existed at any time prior to the settlement of the PS Units (whether or not the Company or an Affiliate was aware of the condition), then the Grantee will forfeit for no consideration all of the PS Units that have not been so settled and all rights arising from such PS Units.</w:t>
      </w:r>
    </w:p>
    <w:p>
      <w:pPr>
        <w:pStyle w:val="TextBody"/>
        <w:bidi w:val="0"/>
        <w:spacing w:lineRule="auto" w:line="240" w:before="0" w:after="240"/>
        <w:ind w:left="0" w:right="0" w:firstLine="720"/>
        <w:jc w:val="both"/>
        <w:rPr/>
      </w:pPr>
      <w:r>
        <w:rPr>
          <w:rFonts w:ascii="Calibri;sans-serif" w:hAnsi="Calibri;sans-serif"/>
          <w:b/>
          <w:color w:val="000000"/>
          <w:sz w:val="24"/>
        </w:rPr>
        <w:t>6.</w:t>
      </w:r>
      <w:r>
        <w:rPr>
          <w:rFonts w:ascii="Calibri;sans-serif" w:hAnsi="Calibri;sans-serif"/>
          <w:b/>
          <w:color w:val="000000"/>
          <w:sz w:val="24"/>
        </w:rPr>
        <w:t>Payment of Awards</w:t>
      </w:r>
      <w:r>
        <w:rPr>
          <w:rFonts w:ascii="Calibri;sans-serif" w:hAnsi="Calibri;sans-serif"/>
          <w:b w:val="false"/>
          <w:color w:val="000000"/>
          <w:sz w:val="24"/>
        </w:rPr>
        <w:t>. PS Units that become both Earned PS Units in accordance with Section 4 and vested in accordance with Section 5 shall be paid on the applicable Vesting Date (or within 45 days thereafter); provided, however, that if a Qualifying Change in Control occurs prior to the last day of the Performance Period and such Qualifying Change in Control also constitutes a change in control event within the meaning of Treasury regulation section 1.409A-3(i)(5), then unpaid and outstanding Earned PS Units as of the date upon which such Qualifying Change in Control occurs shall be paid on the date upon which such Qualifying Change in Control occurs (or within 45 days thereafter). Payment shall be made in the form of shares of Common Stock equal to the number of Earned PS Units with respect to which payment is being made on that date, plus cash for any fractional share units based on the Fair Market Value of a share of Common Stock as of the date immediately preceding the date of such payment.</w:t>
      </w:r>
    </w:p>
    <w:p>
      <w:pPr>
        <w:pStyle w:val="TextBody"/>
        <w:bidi w:val="0"/>
        <w:spacing w:lineRule="auto" w:line="240" w:before="0" w:after="240"/>
        <w:ind w:left="0" w:right="0" w:firstLine="720"/>
        <w:jc w:val="both"/>
        <w:rPr/>
      </w:pPr>
      <w:r>
        <w:rPr>
          <w:rFonts w:ascii="Calibri;sans-serif" w:hAnsi="Calibri;sans-serif"/>
          <w:b/>
          <w:color w:val="000000"/>
          <w:sz w:val="24"/>
        </w:rPr>
        <w:t>7.</w:t>
      </w:r>
      <w:r>
        <w:rPr>
          <w:rFonts w:ascii="Calibri;sans-serif" w:hAnsi="Calibri;sans-serif"/>
          <w:b/>
          <w:color w:val="000000"/>
          <w:sz w:val="24"/>
        </w:rPr>
        <w:t>Crediting and Payment of Dividend Equivalents</w:t>
      </w:r>
      <w:r>
        <w:rPr>
          <w:rFonts w:ascii="Calibri;sans-serif" w:hAnsi="Calibri;sans-serif"/>
          <w:b w:val="false"/>
          <w:color w:val="000000"/>
          <w:sz w:val="24"/>
        </w:rPr>
        <w:t>. With respect to each PS Unit listed above that has not been paid pursuant to Section 6, the Grantee will be credited on the books and records of CRC with an amount (the “</w:t>
      </w:r>
      <w:r>
        <w:rPr>
          <w:rFonts w:ascii="Calibri;sans-serif" w:hAnsi="Calibri;sans-serif"/>
          <w:b/>
          <w:color w:val="000000"/>
          <w:sz w:val="24"/>
        </w:rPr>
        <w:t>Dividend Equivalent</w:t>
      </w:r>
      <w:r>
        <w:rPr>
          <w:color w:val="000000"/>
        </w:rPr>
        <w:t>”</w:t>
      </w:r>
      <w:r>
        <w:rPr>
          <w:rFonts w:ascii="Calibri;sans-serif" w:hAnsi="Calibri;sans-serif"/>
          <w:b w:val="false"/>
          <w:color w:val="000000"/>
          <w:sz w:val="24"/>
        </w:rPr>
        <w:t>) equal to the amount per share of any cash dividends declared by the Board on the outstanding Common Stock as and when declared during the period beginning on the Date of Grant and ending, with respect to such PS Unit, on the applicable payment date set forth in Section 6. CRC will pay in cash to the Grantee an amount equal to the Dividend Equivalents credited to the Grantee on the same date that the PS Units to which they are attributable are settled and paid in accordance with Section 6. If the PS Units (or any portion thereof) are forfeited by the Grantee pursuant to these Terms and Conditions, then the Grantee shall also forfeit the Dividend Equivalents, if any, accrued and unpaid with respect to such forfeited PS Units. No interest will accrue on the Dividend Equivalents between the declaration and payment of the applicable dividends and the settlement of the Dividend Equivalents.</w:t>
      </w:r>
    </w:p>
    <w:p>
      <w:pPr>
        <w:pStyle w:val="TextBody"/>
        <w:bidi w:val="0"/>
        <w:spacing w:lineRule="auto" w:line="240" w:before="0" w:after="240"/>
        <w:ind w:left="0" w:right="0" w:firstLine="720"/>
        <w:jc w:val="both"/>
        <w:rPr/>
      </w:pPr>
      <w:r>
        <w:rPr>
          <w:rFonts w:ascii="Calibri;sans-serif" w:hAnsi="Calibri;sans-serif"/>
          <w:b/>
          <w:color w:val="000000"/>
          <w:sz w:val="24"/>
        </w:rPr>
        <w:t>8.</w:t>
      </w:r>
      <w:r>
        <w:rPr>
          <w:rFonts w:ascii="Calibri;sans-serif" w:hAnsi="Calibri;sans-serif"/>
          <w:b/>
          <w:color w:val="000000"/>
          <w:sz w:val="24"/>
        </w:rPr>
        <w:t>Adjustments</w:t>
      </w:r>
      <w:r>
        <w:rPr>
          <w:rFonts w:ascii="Calibri;sans-serif" w:hAnsi="Calibri;sans-serif"/>
          <w:b w:val="false"/>
          <w:color w:val="000000"/>
          <w:sz w:val="24"/>
        </w:rPr>
        <w:t xml:space="preserve">. The number of PS Units covered by these Terms and Conditions and the Performance Goal may be adjusted as the Committee determines pursuant to the Plan in order to prevent dilution or expansion of the Grantee’s rights under these Terms and Conditions as a result of a Change in Control or other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w:t>
      </w:r>
    </w:p>
    <w:p>
      <w:pPr>
        <w:pStyle w:val="TextBody"/>
        <w:bidi w:val="0"/>
        <w:spacing w:before="0" w:after="24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11835"/>
                <wp:effectExtent l="0" t="0" r="0" b="0"/>
                <wp:wrapNone/>
                <wp:docPr id="161" name="Frame160"/>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both"/>
                              <w:rPr/>
                            </w:pPr>
                            <w:r>
                              <w:rPr>
                                <w:color w:val="000000"/>
                              </w:rPr>
                              <w:t>    </w:t>
                            </w:r>
                            <w:r>
                              <w:rPr>
                                <w:rFonts w:ascii="Calibri;sans-serif" w:hAnsi="Calibri;sans-serif"/>
                                <w:b w:val="false"/>
                                <w:color w:val="000000"/>
                                <w:sz w:val="24"/>
                              </w:rPr>
                              <w:t>4</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4</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containing an explanation of the nature of the adjustment. In addition, the Committee may adjust the Performance Goal or other features of this award as permitted by the Plan.</w:t>
      </w:r>
    </w:p>
    <w:p>
      <w:pPr>
        <w:pStyle w:val="TextBody"/>
        <w:bidi w:val="0"/>
        <w:spacing w:lineRule="auto" w:line="240" w:before="0" w:after="240"/>
        <w:ind w:left="0" w:right="0" w:firstLine="720"/>
        <w:jc w:val="both"/>
        <w:rPr/>
      </w:pPr>
      <w:r>
        <w:rPr>
          <w:rFonts w:ascii="Calibri;sans-serif" w:hAnsi="Calibri;sans-serif"/>
          <w:b/>
          <w:color w:val="000000"/>
          <w:sz w:val="24"/>
        </w:rPr>
        <w:t>9.</w:t>
      </w:r>
      <w:r>
        <w:rPr>
          <w:rFonts w:ascii="Calibri;sans-serif" w:hAnsi="Calibri;sans-serif"/>
          <w:b/>
          <w:color w:val="000000"/>
          <w:sz w:val="24"/>
        </w:rPr>
        <w:t>Compensation Recoupment.</w:t>
      </w:r>
      <w:r>
        <w:rPr>
          <w:color w:val="000000"/>
        </w:rPr>
        <w:t xml:space="preserve"> </w:t>
      </w:r>
      <w:r>
        <w:rPr>
          <w:rFonts w:ascii="Calibri;sans-serif" w:hAnsi="Calibri;sans-serif"/>
          <w:b w:val="false"/>
          <w:color w:val="000000"/>
          <w:sz w:val="24"/>
        </w:rPr>
        <w:t>The Grantee’s receipt of this award is expressly conditioned on the Grantee’s agreement to the terms and provisions of this Section, and the Grantee acknowledges that the Grantee would not have received this award in the absence of such agreement. By accepting this award, the Grantee acknowledges and agrees that:</w:t>
      </w:r>
    </w:p>
    <w:p>
      <w:pPr>
        <w:pStyle w:val="TextBody"/>
        <w:bidi w:val="0"/>
        <w:spacing w:lineRule="auto" w:line="240" w:before="0" w:after="240"/>
        <w:ind w:left="0" w:right="0" w:firstLine="720"/>
        <w:jc w:val="both"/>
        <w:rPr/>
      </w:pPr>
      <w:r>
        <w:rPr>
          <w:rFonts w:ascii="Calibri;sans-serif" w:hAnsi="Calibri;sans-serif"/>
          <w:b w:val="false"/>
          <w:color w:val="000000"/>
          <w:sz w:val="24"/>
        </w:rPr>
        <w:t xml:space="preserve">(a)    the compensation (or any portion thereof) payable pursuant to this award and any other award granted to the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color w:val="000000"/>
        </w:rPr>
        <w:t>“</w:t>
      </w:r>
      <w:r>
        <w:rPr>
          <w:rFonts w:ascii="Calibri;sans-serif" w:hAnsi="Calibri;sans-serif"/>
          <w:b/>
          <w:color w:val="000000"/>
          <w:sz w:val="24"/>
        </w:rPr>
        <w:t>Act”</w:t>
      </w:r>
      <w:r>
        <w:rPr>
          <w:rFonts w:ascii="Calibri;sans-serif" w:hAnsi="Calibri;sans-serif"/>
          <w:b w:val="false"/>
          <w:color w:val="000000"/>
          <w:sz w:val="24"/>
        </w:rPr>
        <w:t>), (ii) any rules or regulations promulgated under the Act or by any stock exchange on which the Common Stock is listed (collectively, the “</w:t>
      </w:r>
      <w:r>
        <w:rPr>
          <w:rFonts w:ascii="Calibri;sans-serif" w:hAnsi="Calibri;sans-serif"/>
          <w:b/>
          <w:color w:val="000000"/>
          <w:sz w:val="24"/>
        </w:rPr>
        <w:t>Rules</w:t>
      </w:r>
      <w:r>
        <w:rPr>
          <w:color w:val="000000"/>
        </w:rPr>
        <w:t>”</w:t>
      </w:r>
      <w:r>
        <w:rPr>
          <w:rFonts w:ascii="Calibri;sans-serif" w:hAnsi="Calibri;sans-serif"/>
          <w:b w:val="false"/>
          <w:color w:val="000000"/>
          <w:sz w:val="24"/>
        </w:rPr>
        <w:t>), or (iii) any compensation recoupment or clawback policies or procedures adopted by the Company or any of its Affiliates, in each case with respect to clauses (i), (ii) and (iii) above as such provisions, rules, regulations, policies and procedures may be adopted and amended from time to time (including with retroactive effect); and</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(b)    any other compensation or benefit (or any portion thereof) payable to or on behalf of the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the Company or any of its Affiliates in accordance with the requirements of the Act and the Rules, in each case as the Act, the Rules and such policies and procedures may be adopted and amended from time to time (including with retroactive effect).</w:t>
      </w:r>
    </w:p>
    <w:p>
      <w:pPr>
        <w:pStyle w:val="TextBody"/>
        <w:bidi w:val="0"/>
        <w:spacing w:lineRule="auto" w:line="240" w:before="0" w:after="120"/>
        <w:jc w:val="both"/>
        <w:rPr>
          <w:rFonts w:ascii="Calibri;sans-serif" w:hAnsi="Calibri;sans-serif"/>
          <w:b w:val="false"/>
          <w:color w:val="000000"/>
          <w:sz w:val="24"/>
        </w:rPr>
      </w:pPr>
      <w:r>
        <w:rPr>
          <w:rFonts w:ascii="Calibri;sans-serif" w:hAnsi="Calibri;sans-serif"/>
          <w:b w:val="false"/>
          <w:color w:val="000000"/>
          <w:sz w:val="24"/>
        </w:rPr>
        <w:t>In addition, the Grantee hereby agrees (on behalf of the Grantee and any other individual, entity or other person claiming under or through the Grantee) that: (a) compensation payable pursuant to this award and any other compensation or benefit payable to or on behalf of the Grantee (whether under the Plan or otherwise) shall be subject to recovery, revocation, recoupment or clawback as provided in the preceding provisions of this Section; and (b) the Grantee (or any such individual, entity or other person) shall not seek indemnification or contribution from the Company or any of its Affiliates with respect to any amount so recovered, revoked, recouped or clawed back.</w:t>
      </w:r>
    </w:p>
    <w:p>
      <w:pPr>
        <w:pStyle w:val="TextBody"/>
        <w:bidi w:val="0"/>
        <w:spacing w:lineRule="auto" w:line="240" w:before="0" w:after="240"/>
        <w:ind w:left="0" w:right="0" w:firstLine="720"/>
        <w:jc w:val="both"/>
        <w:rPr/>
      </w:pPr>
      <w:r>
        <w:rPr>
          <w:rFonts w:ascii="Calibri;sans-serif" w:hAnsi="Calibri;sans-serif"/>
          <w:b/>
          <w:color w:val="000000"/>
          <w:sz w:val="24"/>
        </w:rPr>
        <w:t>10.</w:t>
      </w:r>
      <w:r>
        <w:rPr>
          <w:rFonts w:ascii="Calibri;sans-serif" w:hAnsi="Calibri;sans-serif"/>
          <w:b/>
          <w:color w:val="000000"/>
          <w:sz w:val="24"/>
        </w:rPr>
        <w:t>No Employment Contract</w:t>
      </w:r>
      <w:r>
        <w:rPr>
          <w:rFonts w:ascii="Calibri;sans-serif" w:hAnsi="Calibri;sans-serif"/>
          <w:b w:val="false"/>
          <w:color w:val="000000"/>
          <w:sz w:val="24"/>
        </w:rPr>
        <w:t>. Nothing in these Terms and Conditions confers upon the Grantee any right with 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pStyle w:val="TextBody"/>
        <w:bidi w:val="0"/>
        <w:spacing w:lineRule="auto" w:line="240" w:before="0" w:after="240"/>
        <w:ind w:left="0" w:right="0" w:firstLine="720"/>
        <w:jc w:val="both"/>
        <w:rPr/>
      </w:pPr>
      <w:r>
        <w:rPr>
          <w:rFonts w:ascii="Calibri;sans-serif" w:hAnsi="Calibri;sans-serif"/>
          <w:b/>
          <w:color w:val="000000"/>
          <w:sz w:val="24"/>
        </w:rPr>
        <w:t>11.</w:t>
      </w:r>
      <w:r>
        <w:rPr>
          <w:rFonts w:ascii="Calibri;sans-serif" w:hAnsi="Calibri;sans-serif"/>
          <w:b/>
          <w:color w:val="000000"/>
          <w:sz w:val="24"/>
        </w:rPr>
        <w:t>Taxes and Withholding</w:t>
      </w:r>
      <w:r>
        <w:rPr>
          <w:rFonts w:ascii="Calibri;sans-serif" w:hAnsi="Calibri;sans-serif"/>
          <w:b w:val="false"/>
          <w:color w:val="000000"/>
          <w:sz w:val="24"/>
        </w:rPr>
        <w:t>. Regardless of any action the Company takes with respect to any or all income tax (including U.S. federal, state and local tax and non-U.S. tax), social insurance, payroll tax, payment on account or other tax-related items related to the Grantee’s participation in the Plan and legally applicable to the Grantee (“</w:t>
      </w:r>
      <w:r>
        <w:rPr>
          <w:rFonts w:ascii="Calibri;sans-serif" w:hAnsi="Calibri;sans-serif"/>
          <w:b/>
          <w:color w:val="000000"/>
          <w:sz w:val="24"/>
        </w:rPr>
        <w:t>Tax-Related Items</w:t>
      </w:r>
      <w:r>
        <w:rPr>
          <w:color w:val="000000"/>
        </w:rPr>
        <w:t>”</w:t>
      </w:r>
      <w:r>
        <w:rPr>
          <w:rFonts w:ascii="Calibri;sans-serif" w:hAnsi="Calibri;sans-serif"/>
          <w:b w:val="false"/>
          <w:color w:val="000000"/>
          <w:sz w:val="24"/>
        </w:rPr>
        <w:t xml:space="preserve">), the Grantee acknowledges that the ultimate liability for all Tax-Related Items is and remains the Grantee’s responsibility and may exceed the amount actually withheld by the Company. The Grantee further acknowledges that the Company (i) makes no representations or undertakings </w:t>
      </w:r>
    </w:p>
    <w:p>
      <w:pPr>
        <w:pStyle w:val="TextBody"/>
        <w:bidi w:val="0"/>
        <w:spacing w:before="0" w:after="24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11835"/>
                <wp:effectExtent l="0" t="0" r="0" b="0"/>
                <wp:wrapNone/>
                <wp:docPr id="162" name="Frame161"/>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both"/>
                              <w:rPr/>
                            </w:pPr>
                            <w:r>
                              <w:rPr>
                                <w:color w:val="000000"/>
                              </w:rPr>
                              <w:t>    </w:t>
                            </w:r>
                            <w:r>
                              <w:rPr>
                                <w:rFonts w:ascii="Calibri;sans-serif" w:hAnsi="Calibri;sans-serif"/>
                                <w:b w:val="false"/>
                                <w:color w:val="000000"/>
                                <w:sz w:val="24"/>
                              </w:rPr>
                              <w:t>5</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5</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regarding the treatment of any Tax-Related Items in connection with any aspect of this Performance Stock Unit Award, including the grant or vesting of the Performance Stock Unit Award and the receipt of Dividend Equivalents; and (ii) does not commit to and is under no obligation to structure the terms of the grant or any aspect of the Performance Stock Unit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Prior to the relevant taxable event, the Grantee shall pay or make adequate arrangements satisfactory to the Company to satisfy all Tax-Related Items in such manner as may be determined by the Committee in its sole discretion. In this regard, the Grantee authorizes the Company to withhold all applicable Tax-Related Items legally payable by the Grantee from any of the following as determined by the Committee in its sole discretion: (i) any cash payable pursuant to this Performance Stock Unit Award (including Dividend Equivalents); (ii) any Common Stock payable pursuant to this Performance Stock Unit Award (including a reduction in the number of shares of Common Stock deliverable hereunder); and (iii) any wages or other cash compensation payable to the Grantee. The Grantee shall pay to the Company any amount of Tax-Related Items that the Company may be required to withhold as a result of the Grantee’s receipt of this Performance Stock Unit Award that cannot be satisfied by the means previously described.</w:t>
      </w:r>
    </w:p>
    <w:p>
      <w:pPr>
        <w:pStyle w:val="TextBody"/>
        <w:bidi w:val="0"/>
        <w:spacing w:lineRule="auto" w:line="240" w:before="0" w:after="240"/>
        <w:ind w:left="0" w:right="0" w:firstLine="720"/>
        <w:jc w:val="both"/>
        <w:rPr/>
      </w:pPr>
      <w:r>
        <w:rPr>
          <w:rFonts w:ascii="Calibri;sans-serif" w:hAnsi="Calibri;sans-serif"/>
          <w:b/>
          <w:color w:val="000000"/>
          <w:sz w:val="24"/>
        </w:rPr>
        <w:t>12.</w:t>
      </w:r>
      <w:r>
        <w:rPr>
          <w:rFonts w:ascii="Calibri;sans-serif" w:hAnsi="Calibri;sans-serif"/>
          <w:b/>
          <w:color w:val="000000"/>
          <w:sz w:val="24"/>
        </w:rPr>
        <w:t>Compliance with Law</w:t>
      </w:r>
      <w:r>
        <w:rPr>
          <w:rFonts w:ascii="Calibri;sans-serif" w:hAnsi="Calibri;sans-serif"/>
          <w:b w:val="false"/>
          <w:color w:val="000000"/>
          <w:sz w:val="24"/>
        </w:rPr>
        <w:t>. The Company will make reasonable efforts to comply with all federal, state and 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pStyle w:val="TextBody"/>
        <w:bidi w:val="0"/>
        <w:spacing w:lineRule="auto" w:line="240" w:before="0" w:after="240"/>
        <w:ind w:left="0" w:right="0" w:firstLine="720"/>
        <w:jc w:val="both"/>
        <w:rPr/>
      </w:pPr>
      <w:r>
        <w:rPr>
          <w:rFonts w:ascii="Calibri;sans-serif" w:hAnsi="Calibri;sans-serif"/>
          <w:b/>
          <w:color w:val="000000"/>
          <w:sz w:val="24"/>
        </w:rPr>
        <w:t>13.</w:t>
      </w:r>
      <w:r>
        <w:rPr>
          <w:rFonts w:ascii="Calibri;sans-serif" w:hAnsi="Calibri;sans-serif"/>
          <w:b/>
          <w:color w:val="000000"/>
          <w:sz w:val="24"/>
        </w:rPr>
        <w:t>Relation to Other Benefits</w:t>
      </w:r>
      <w:r>
        <w:rPr>
          <w:rFonts w:ascii="Calibri;sans-serif" w:hAnsi="Calibri;sans-serif"/>
          <w:b w:val="false"/>
          <w:color w:val="000000"/>
          <w:sz w:val="24"/>
        </w:rPr>
        <w:t>. The benefits received by the Grantee under these Terms and Conditions will 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Performance Stock Unit Award is not part of normal or expected compensation or salary for any purposes, including, but not limited to calculation of any severance, resignation, termination, redundancy, end of service payments, bonuses or long-service awards. The grant of this Performance Stock Unit Award does not create any contractual or other right to receive future grants of Performance Stock Unit Awards or benefits in lieu of Performance Stock Unit Awards, even if the Grantee has a history of receiving Performance Stock Unit Awards or other cash or stock awards.</w:t>
      </w:r>
    </w:p>
    <w:p>
      <w:pPr>
        <w:pStyle w:val="TextBody"/>
        <w:bidi w:val="0"/>
        <w:spacing w:lineRule="auto" w:line="240" w:before="0" w:after="240"/>
        <w:ind w:left="0" w:right="0" w:firstLine="720"/>
        <w:jc w:val="both"/>
        <w:rPr/>
      </w:pPr>
      <w:r>
        <w:rPr>
          <w:rFonts w:ascii="Calibri;sans-serif" w:hAnsi="Calibri;sans-serif"/>
          <w:b/>
          <w:color w:val="000000"/>
          <w:sz w:val="24"/>
        </w:rPr>
        <w:t>14.</w:t>
      </w:r>
      <w:r>
        <w:rPr>
          <w:rFonts w:ascii="Calibri;sans-serif" w:hAnsi="Calibri;sans-serif"/>
          <w:b/>
          <w:color w:val="000000"/>
          <w:sz w:val="24"/>
        </w:rPr>
        <w:t>Amendments</w:t>
      </w:r>
      <w:r>
        <w:rPr>
          <w:rFonts w:ascii="Calibri;sans-serif" w:hAnsi="Calibri;sans-serif"/>
          <w:b w:val="false"/>
          <w:color w:val="000000"/>
          <w:sz w:val="24"/>
        </w:rPr>
        <w:t>. The Plan may be modified, amended, suspended or terminated by the Board at any time, as provided in the Plan. Any amendment to the Plan will be deemed to be an amendment to these Terms and Conditions to the extent it is applicable to these Terms and Conditions; however, except to the extent necessary to comply with applicable law, no amendment will adversely affect the rights of the Grantee under these Terms and Conditions in any material respect without the Grantee’s consent.</w:t>
      </w:r>
    </w:p>
    <w:p>
      <w:pPr>
        <w:pStyle w:val="TextBody"/>
        <w:bidi w:val="0"/>
        <w:spacing w:lineRule="auto" w:line="240" w:before="0" w:after="240"/>
        <w:ind w:left="0" w:right="0" w:firstLine="720"/>
        <w:jc w:val="both"/>
        <w:rPr/>
      </w:pPr>
      <w:r>
        <w:rPr>
          <w:rFonts w:ascii="Calibri;sans-serif" w:hAnsi="Calibri;sans-serif"/>
          <w:b/>
          <w:color w:val="000000"/>
          <w:sz w:val="24"/>
        </w:rPr>
        <w:t>15.</w:t>
      </w:r>
      <w:r>
        <w:rPr>
          <w:rFonts w:ascii="Calibri;sans-serif" w:hAnsi="Calibri;sans-serif"/>
          <w:b/>
          <w:color w:val="000000"/>
          <w:sz w:val="24"/>
        </w:rPr>
        <w:t>Severability</w:t>
      </w:r>
      <w:r>
        <w:rPr>
          <w:rFonts w:ascii="Calibri;sans-serif" w:hAnsi="Calibri;sans-serif"/>
          <w:b w:val="false"/>
          <w:color w:val="000000"/>
          <w:sz w:val="24"/>
        </w:rPr>
        <w:t xml:space="preserve">. If one or more of the provisions of these Terms and Conditions is invalidated for any reason by a court of competent jurisdiction, the invalidated provisions shall be deemed to be separable from the other provisions of these Terms and Conditions, and the </w:t>
      </w:r>
    </w:p>
    <w:p>
      <w:pPr>
        <w:pStyle w:val="TextBody"/>
        <w:bidi w:val="0"/>
        <w:spacing w:before="0" w:after="24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11835"/>
                <wp:effectExtent l="0" t="0" r="0" b="0"/>
                <wp:wrapNone/>
                <wp:docPr id="163" name="Frame162"/>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both"/>
                              <w:rPr/>
                            </w:pPr>
                            <w:r>
                              <w:rPr>
                                <w:color w:val="000000"/>
                              </w:rPr>
                              <w:t>    </w:t>
                            </w:r>
                            <w:r>
                              <w:rPr>
                                <w:rFonts w:ascii="Calibri;sans-serif" w:hAnsi="Calibri;sans-serif"/>
                                <w:b w:val="false"/>
                                <w:color w:val="000000"/>
                                <w:sz w:val="24"/>
                              </w:rPr>
                              <w:t>6</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6</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remaining provisions of these Terms and Conditions will continue to be valid and fully enforceable.</w:t>
      </w:r>
    </w:p>
    <w:p>
      <w:pPr>
        <w:pStyle w:val="TextBody"/>
        <w:bidi w:val="0"/>
        <w:spacing w:lineRule="auto" w:line="240" w:before="0" w:after="240"/>
        <w:ind w:left="0" w:right="0" w:firstLine="720"/>
        <w:jc w:val="both"/>
        <w:rPr/>
      </w:pPr>
      <w:r>
        <w:rPr>
          <w:rFonts w:ascii="Calibri;sans-serif" w:hAnsi="Calibri;sans-serif"/>
          <w:b/>
          <w:color w:val="000000"/>
          <w:sz w:val="24"/>
        </w:rPr>
        <w:t>16.</w:t>
      </w:r>
      <w:r>
        <w:rPr>
          <w:rFonts w:ascii="Calibri;sans-serif" w:hAnsi="Calibri;sans-serif"/>
          <w:b/>
          <w:color w:val="000000"/>
          <w:sz w:val="24"/>
        </w:rPr>
        <w:t>Entire Agreement; Relation to Plan; Interpretation</w:t>
      </w:r>
      <w:r>
        <w:rPr>
          <w:rFonts w:ascii="Calibri;sans-serif" w:hAnsi="Calibri;sans-serif"/>
          <w:b w:val="false"/>
          <w:color w:val="000000"/>
          <w:sz w:val="24"/>
        </w:rPr>
        <w:t>. Except as specifically provided in this Section, these Terms and Conditions and the Attachments incorporated in these Terms and Conditions constitute the entire agreement between the Company and the Grantee with respect to this Performance Stock Unit Award.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pStyle w:val="TextBody"/>
        <w:bidi w:val="0"/>
        <w:spacing w:lineRule="auto" w:line="240" w:before="0" w:after="240"/>
        <w:ind w:left="0" w:right="0" w:firstLine="720"/>
        <w:jc w:val="both"/>
        <w:rPr/>
      </w:pPr>
      <w:r>
        <w:rPr>
          <w:rFonts w:ascii="Calibri;sans-serif" w:hAnsi="Calibri;sans-serif"/>
          <w:b/>
          <w:color w:val="000000"/>
          <w:sz w:val="24"/>
        </w:rPr>
        <w:t>17.</w:t>
      </w:r>
      <w:r>
        <w:rPr>
          <w:rFonts w:ascii="Calibri;sans-serif" w:hAnsi="Calibri;sans-serif"/>
          <w:b/>
          <w:color w:val="000000"/>
          <w:sz w:val="24"/>
        </w:rPr>
        <w:t>Successors and Assigns</w:t>
      </w:r>
      <w:r>
        <w:rPr>
          <w:rFonts w:ascii="Calibri;sans-serif" w:hAnsi="Calibri;sans-serif"/>
          <w:b w:val="false"/>
          <w:color w:val="000000"/>
          <w:sz w:val="24"/>
        </w:rPr>
        <w:t>. Subject to Sections 3 and 5, the provisions of these Terms and Conditions shall be for the benefit of, and be binding upon, the successors, administrators, heirs, legal representatives and assigns of the Grantee, and the successors and assigns of the Company.</w:t>
      </w:r>
    </w:p>
    <w:p>
      <w:pPr>
        <w:pStyle w:val="TextBody"/>
        <w:bidi w:val="0"/>
        <w:spacing w:lineRule="auto" w:line="240" w:before="0" w:after="240"/>
        <w:ind w:left="0" w:right="0" w:firstLine="720"/>
        <w:jc w:val="both"/>
        <w:rPr/>
      </w:pPr>
      <w:r>
        <w:rPr>
          <w:rFonts w:ascii="Calibri;sans-serif" w:hAnsi="Calibri;sans-serif"/>
          <w:b/>
          <w:color w:val="000000"/>
          <w:sz w:val="24"/>
        </w:rPr>
        <w:t>18.</w:t>
      </w:r>
      <w:r>
        <w:rPr>
          <w:rFonts w:ascii="Calibri;sans-serif" w:hAnsi="Calibri;sans-serif"/>
          <w:b/>
          <w:color w:val="000000"/>
          <w:sz w:val="24"/>
        </w:rPr>
        <w:t>Governing Law</w:t>
      </w:r>
      <w:r>
        <w:rPr>
          <w:rFonts w:ascii="Calibri;sans-serif" w:hAnsi="Calibri;sans-serif"/>
          <w:b w:val="false"/>
          <w:color w:val="000000"/>
          <w:sz w:val="24"/>
        </w:rPr>
        <w:t>. The laws of the State of Delaware govern the interpretation, performance, and enforcement of these Terms and Conditions.</w:t>
      </w:r>
    </w:p>
    <w:p>
      <w:pPr>
        <w:pStyle w:val="TextBody"/>
        <w:bidi w:val="0"/>
        <w:spacing w:lineRule="auto" w:line="240" w:before="0" w:after="240"/>
        <w:ind w:left="0" w:right="0" w:firstLine="720"/>
        <w:jc w:val="both"/>
        <w:rPr/>
      </w:pPr>
      <w:r>
        <w:rPr>
          <w:rFonts w:ascii="Calibri;sans-serif" w:hAnsi="Calibri;sans-serif"/>
          <w:b/>
          <w:color w:val="000000"/>
          <w:sz w:val="24"/>
        </w:rPr>
        <w:t>19.</w:t>
      </w:r>
      <w:r>
        <w:rPr>
          <w:rFonts w:ascii="Calibri;sans-serif" w:hAnsi="Calibri;sans-serif"/>
          <w:b/>
          <w:color w:val="000000"/>
          <w:sz w:val="24"/>
        </w:rPr>
        <w:t>Notices</w:t>
      </w:r>
      <w:r>
        <w:rPr>
          <w:rFonts w:ascii="Calibri;sans-serif" w:hAnsi="Calibri;sans-serif"/>
          <w:b w:val="false"/>
          <w:color w:val="000000"/>
          <w:sz w:val="24"/>
        </w:rPr>
        <w:t>. Any notices or other communications provided for in these Terms and Conditions shall be sufficient if in writing. In the case of the Grantee, such notices or 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CRC at its principal executive offices.</w:t>
      </w:r>
    </w:p>
    <w:p>
      <w:pPr>
        <w:pStyle w:val="TextBody"/>
        <w:bidi w:val="0"/>
        <w:spacing w:lineRule="auto" w:line="240" w:before="0" w:after="240"/>
        <w:ind w:left="0" w:right="0" w:firstLine="720"/>
        <w:jc w:val="both"/>
        <w:rPr/>
      </w:pPr>
      <w:r>
        <w:rPr>
          <w:rFonts w:ascii="Calibri;sans-serif" w:hAnsi="Calibri;sans-serif"/>
          <w:b/>
          <w:color w:val="000000"/>
          <w:sz w:val="24"/>
        </w:rPr>
        <w:t>20.</w:t>
      </w:r>
      <w:r>
        <w:rPr>
          <w:rFonts w:ascii="Calibri;sans-serif" w:hAnsi="Calibri;sans-serif"/>
          <w:b/>
          <w:color w:val="000000"/>
          <w:sz w:val="24"/>
        </w:rPr>
        <w:t>Privacy Rights</w:t>
      </w:r>
      <w:r>
        <w:rPr>
          <w:rFonts w:ascii="Calibri;sans-serif" w:hAnsi="Calibri;sans-serif"/>
          <w:b w:val="false"/>
          <w:color w:val="000000"/>
          <w:sz w:val="24"/>
        </w:rPr>
        <w:t>. By accepting this Performance Stock Unit Award, the Grantee explicitly and unambiguously 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Performance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Calibri;sans-serif" w:hAnsi="Calibri;sans-serif"/>
          <w:b/>
          <w:color w:val="000000"/>
          <w:sz w:val="24"/>
        </w:rPr>
        <w:t>Data</w:t>
      </w:r>
      <w:r>
        <w:rPr>
          <w:color w:val="000000"/>
        </w:rPr>
        <w:t>”</w:t>
      </w:r>
      <w:r>
        <w:rPr>
          <w:rFonts w:ascii="Calibri;sans-serif" w:hAnsi="Calibri;sans-serif"/>
          <w:b w:val="false"/>
          <w:color w:val="000000"/>
          <w:sz w:val="24"/>
        </w:rPr>
        <w:t>). Data may be transferred to any third parties assisting in the implementation, administration and management of the Plan. These recipients may be located in the Grantee’s country of residence or elsewhere, and may have different data privacy laws and protections than the Grantee’s country of residence.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pStyle w:val="TextBody"/>
        <w:bidi w:val="0"/>
        <w:spacing w:before="0" w:after="24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11835"/>
                <wp:effectExtent l="0" t="0" r="0" b="0"/>
                <wp:wrapNone/>
                <wp:docPr id="164" name="Frame163"/>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both"/>
                              <w:rPr/>
                            </w:pPr>
                            <w:r>
                              <w:rPr>
                                <w:color w:val="000000"/>
                              </w:rPr>
                              <w:t>    </w:t>
                            </w:r>
                            <w:r>
                              <w:rPr>
                                <w:rFonts w:ascii="Calibri;sans-serif" w:hAnsi="Calibri;sans-serif"/>
                                <w:b w:val="false"/>
                                <w:color w:val="000000"/>
                                <w:sz w:val="24"/>
                              </w:rPr>
                              <w:t>7</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7</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Calibri;sans-serif" w:hAnsi="Calibri;sans-serif"/>
          <w:b/>
          <w:color w:val="000000"/>
          <w:sz w:val="24"/>
        </w:rPr>
        <w:t>21.</w:t>
      </w:r>
      <w:r>
        <w:rPr>
          <w:rFonts w:ascii="Calibri;sans-serif" w:hAnsi="Calibri;sans-serif"/>
          <w:b/>
          <w:color w:val="000000"/>
          <w:sz w:val="24"/>
        </w:rPr>
        <w:t>Electronic Delivery and Acceptance</w:t>
      </w:r>
      <w:r>
        <w:rPr>
          <w:rFonts w:ascii="Calibri;sans-serif" w:hAnsi="Calibri;sans-serif"/>
          <w:b w:val="false"/>
          <w:color w:val="000000"/>
          <w:sz w:val="24"/>
        </w:rPr>
        <w:t>. The Company may, in its sole discretion, decide to deliver any documents related to this Performance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pStyle w:val="TextBody"/>
        <w:bidi w:val="0"/>
        <w:spacing w:lineRule="auto" w:line="240" w:before="0" w:after="240"/>
        <w:ind w:left="0" w:right="0" w:firstLine="720"/>
        <w:jc w:val="both"/>
        <w:rPr/>
      </w:pPr>
      <w:r>
        <w:rPr>
          <w:rFonts w:ascii="Calibri;sans-serif" w:hAnsi="Calibri;sans-serif"/>
          <w:b/>
          <w:color w:val="000000"/>
          <w:sz w:val="24"/>
        </w:rPr>
        <w:t>22.</w:t>
      </w:r>
      <w:r>
        <w:rPr>
          <w:rFonts w:ascii="Calibri;sans-serif" w:hAnsi="Calibri;sans-serif"/>
          <w:b/>
          <w:color w:val="000000"/>
          <w:sz w:val="24"/>
        </w:rPr>
        <w:t>Grantee’s Representations and Releases</w:t>
      </w:r>
      <w:r>
        <w:rPr>
          <w:rFonts w:ascii="Calibri;sans-serif" w:hAnsi="Calibri;sans-serif"/>
          <w:b w:val="false"/>
          <w:color w:val="000000"/>
          <w:sz w:val="24"/>
        </w:rPr>
        <w:t>. By accepting this Performance Stock Unit Award, the Grantee acknowledges that the Grantee has read these Terms and Conditions and understands that (i) the grant of this Performance Stock Unit Award is made voluntarily by CRC in its discretion with no liability on the part of any of its direct or indirect subsidiaries and that, if the Grantee is not an employee of CRC, the Grantee is not, and will not be considered, an employee of CRC, but that the Grantee is a third party (i.e. an employee of a subsidiary) to whom this Performance Stock Unit Award is granted; (ii) all decisions with respect to future awards, if any, will be at the sole discretion of CRC; (iii) the Grantee’s participation in the Plan is voluntary; (iv) this Performance Stock Unit Award is an extraordinary item that does not constitute a regular and recurring item of base compensation; (v) the future amount of any payment pursuant to this Performance Stock Unit Award cannot be predicted and CRC does not assume liability in the event this Performance Stock Unit Award has no value;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Performance Stock Unit Award or the Grantee’s participation in the Plan.</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In consideration of the grant of this Performance Stock Unit Award, no claim or entitlement to compensation or damages shall arise from termination of this Performance Stock Unit Award or diminution in value of this Performance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court of competent jurisdiction to have arisen, then, by accepting this Performance Stock Unit Award, the Grantee shall be deemed irrevocably to have waived his or her entitlement to pursue such claim.</w:t>
      </w:r>
    </w:p>
    <w:p>
      <w:pPr>
        <w:pStyle w:val="TextBody"/>
        <w:bidi w:val="0"/>
        <w:spacing w:lineRule="auto" w:line="240" w:before="0" w:after="240"/>
        <w:ind w:left="0" w:right="0" w:firstLine="720"/>
        <w:jc w:val="both"/>
        <w:rPr/>
      </w:pPr>
      <w:r>
        <w:rPr>
          <w:rFonts w:ascii="Calibri;sans-serif" w:hAnsi="Calibri;sans-serif"/>
          <w:b/>
          <w:color w:val="000000"/>
          <w:sz w:val="24"/>
        </w:rPr>
        <w:t>23.</w:t>
      </w:r>
      <w:r>
        <w:rPr>
          <w:rFonts w:ascii="Calibri;sans-serif" w:hAnsi="Calibri;sans-serif"/>
          <w:b/>
          <w:color w:val="000000"/>
          <w:sz w:val="24"/>
        </w:rPr>
        <w:t>Grantee’s Agreement to General Terms of Employment.</w:t>
      </w:r>
      <w:r>
        <w:rPr>
          <w:color w:val="000000"/>
        </w:rPr>
        <w:t xml:space="preserve"> </w:t>
      </w:r>
      <w:r>
        <w:rPr>
          <w:rFonts w:ascii="Calibri;sans-serif" w:hAnsi="Calibri;sans-serif"/>
          <w:b w:val="false"/>
          <w:color w:val="000000"/>
          <w:sz w:val="24"/>
        </w:rPr>
        <w:t>By accepting this Performance Stock Unit Award, the Grantee agrees, to the extent not contrary to applicable law, to the General Terms of Employment set out on Attachment 1, which is incorporated in these Terms and Conditions by reference.</w:t>
      </w:r>
    </w:p>
    <w:p>
      <w:pPr>
        <w:pStyle w:val="TextBody"/>
        <w:bidi w:val="0"/>
        <w:spacing w:lineRule="auto" w:line="240" w:before="0" w:after="240"/>
        <w:ind w:left="0" w:right="0" w:firstLine="720"/>
        <w:jc w:val="both"/>
        <w:rPr/>
      </w:pPr>
      <w:r>
        <w:rPr>
          <w:rFonts w:ascii="Calibri;sans-serif" w:hAnsi="Calibri;sans-serif"/>
          <w:b/>
          <w:color w:val="000000"/>
          <w:sz w:val="24"/>
        </w:rPr>
        <w:t>24.</w:t>
      </w:r>
      <w:r>
        <w:rPr>
          <w:rFonts w:ascii="Calibri;sans-serif" w:hAnsi="Calibri;sans-serif"/>
          <w:b/>
          <w:color w:val="000000"/>
          <w:sz w:val="24"/>
        </w:rPr>
        <w:t>Imposition of Other Requirements</w:t>
      </w:r>
      <w:r>
        <w:rPr>
          <w:rFonts w:ascii="Calibri;sans-serif" w:hAnsi="Calibri;sans-serif"/>
          <w:b w:val="false"/>
          <w:color w:val="000000"/>
          <w:sz w:val="24"/>
        </w:rPr>
        <w:t>. CRC reserves the right to impose other requirements on the Grantee’s participation in the Plan and on this Performance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pStyle w:val="TextBody"/>
        <w:bidi w:val="0"/>
        <w:spacing w:lineRule="auto" w:line="240" w:before="0" w:after="240"/>
        <w:ind w:left="0" w:right="0" w:firstLine="720"/>
        <w:jc w:val="both"/>
        <w:rPr/>
      </w:pPr>
      <w:r>
        <w:rPr>
          <w:rFonts w:ascii="Calibri;sans-serif" w:hAnsi="Calibri;sans-serif"/>
          <w:b/>
          <w:color w:val="000000"/>
          <w:sz w:val="24"/>
        </w:rPr>
        <w:t>25.</w:t>
      </w:r>
      <w:r>
        <w:rPr>
          <w:rFonts w:ascii="Calibri;sans-serif" w:hAnsi="Calibri;sans-serif"/>
          <w:b/>
          <w:color w:val="000000"/>
          <w:sz w:val="24"/>
        </w:rPr>
        <w:t>Compliance with Section 409A of the Code</w:t>
      </w:r>
      <w:r>
        <w:rPr>
          <w:rFonts w:ascii="Calibri;sans-serif" w:hAnsi="Calibri;sans-serif"/>
          <w:b w:val="false"/>
          <w:color w:val="000000"/>
          <w:sz w:val="24"/>
        </w:rPr>
        <w:t>. These Terms and Conditions shall be interpreted and administered in such a way as to comply with the applicable provisions of Section 409A of the Code (“</w:t>
      </w:r>
      <w:r>
        <w:rPr>
          <w:rFonts w:ascii="Calibri;sans-serif" w:hAnsi="Calibri;sans-serif"/>
          <w:b/>
          <w:color w:val="000000"/>
          <w:sz w:val="24"/>
        </w:rPr>
        <w:t>Section 409A</w:t>
      </w:r>
      <w:r>
        <w:rPr>
          <w:color w:val="000000"/>
        </w:rPr>
        <w:t>”</w:t>
      </w:r>
      <w:r>
        <w:rPr>
          <w:rFonts w:ascii="Calibri;sans-serif" w:hAnsi="Calibri;sans-serif"/>
          <w:b w:val="false"/>
          <w:color w:val="000000"/>
          <w:sz w:val="24"/>
        </w:rPr>
        <w:t xml:space="preserve">) to the maximum extent possible. In addition, (i) if the Grantee must be treated as a “specified employee” within the meaning of Section 409A, any payment made on account of the Grantee’s separation from service (as defined for purposes of Section 409A) (other than by reason of death) will be made at the later of (A) the </w:t>
      </w:r>
    </w:p>
    <w:p>
      <w:pPr>
        <w:pStyle w:val="TextBody"/>
        <w:bidi w:val="0"/>
        <w:spacing w:before="0" w:after="24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11835"/>
                <wp:effectExtent l="0" t="0" r="0" b="0"/>
                <wp:wrapNone/>
                <wp:docPr id="165" name="Frame164"/>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both"/>
                              <w:rPr/>
                            </w:pPr>
                            <w:r>
                              <w:rPr>
                                <w:color w:val="000000"/>
                              </w:rPr>
                              <w:t>    </w:t>
                            </w:r>
                            <w:r>
                              <w:rPr>
                                <w:rFonts w:ascii="Calibri;sans-serif" w:hAnsi="Calibri;sans-serif"/>
                                <w:b w:val="false"/>
                                <w:color w:val="000000"/>
                                <w:sz w:val="24"/>
                              </w:rPr>
                              <w:t>8</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8</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Calibri;sans-serif" w:hAnsi="Calibri;sans-serif"/>
          <w:b w:val="false"/>
          <w:color w:val="000000"/>
          <w:sz w:val="24"/>
        </w:rPr>
      </w:pPr>
      <w:r>
        <w:rPr>
          <w:rFonts w:ascii="Calibri;sans-serif" w:hAnsi="Calibri;sans-serif"/>
          <w:b w:val="false"/>
          <w:color w:val="000000"/>
          <w:sz w:val="24"/>
        </w:rPr>
        <w:t>time specified above in these Terms and Conditions or (B) the earlier of the date that is six (6) months and one (1) day following the date of the Grantee’s separation from service or the date of the Grantee’s death; and (ii) any payment on a Qualifying Change in Control event will be made only if the Qualifying Change in Control also qualifies as a change in control event within the meaning of Section 409A. To the extent that the Committee determines that the Plan or this award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 References in these Terms and Conditions to a termination of employment shall be deemed to mean a “separation from service,” within the meaning of Section 409A.</w:t>
      </w:r>
    </w:p>
    <w:p>
      <w:pPr>
        <w:pStyle w:val="TextBody"/>
        <w:bidi w:val="0"/>
        <w:spacing w:before="0" w:after="240"/>
        <w:jc w:val="left"/>
        <w:rPr/>
      </w:pPr>
      <w:r>
        <w:rPr/>
      </w:r>
    </w:p>
    <w:p>
      <w:pPr>
        <w:pStyle w:val="TextBody"/>
        <w:bidi w:val="0"/>
        <w:spacing w:before="0" w:after="24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11835"/>
                <wp:effectExtent l="0" t="0" r="0" b="0"/>
                <wp:wrapNone/>
                <wp:docPr id="166" name="Frame165"/>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both"/>
                              <w:rPr/>
                            </w:pPr>
                            <w:r>
                              <w:rPr>
                                <w:color w:val="000000"/>
                              </w:rPr>
                              <w:t>    </w:t>
                            </w:r>
                            <w:r>
                              <w:rPr>
                                <w:rFonts w:ascii="Calibri;sans-serif" w:hAnsi="Calibri;sans-serif"/>
                                <w:b w:val="false"/>
                                <w:color w:val="000000"/>
                                <w:sz w:val="24"/>
                              </w:rPr>
                              <w:t>9</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9</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711835"/>
                <wp:effectExtent l="0" t="0" r="0" b="0"/>
                <wp:wrapNone/>
                <wp:docPr id="167" name="Frame166"/>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both"/>
                              <w:rPr/>
                            </w:pPr>
                            <w:r>
                              <w:rPr>
                                <w:color w:val="000000"/>
                              </w:rPr>
                              <w:t>    </w:t>
                            </w:r>
                            <w:r>
                              <w:rPr>
                                <w:rFonts w:ascii="Calibri;sans-serif" w:hAnsi="Calibri;sans-serif"/>
                                <w:b w:val="false"/>
                                <w:color w:val="000000"/>
                                <w:sz w:val="24"/>
                              </w:rPr>
                              <w:t>10</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10</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480"/>
        <w:jc w:val="center"/>
        <w:rPr/>
      </w:pPr>
      <w:r>
        <w:rPr>
          <w:rFonts w:ascii="Calibri;sans-serif" w:hAnsi="Calibri;sans-serif"/>
          <w:b/>
          <w:color w:val="000000"/>
          <w:sz w:val="24"/>
        </w:rPr>
        <w:t>Attachment 1</w:t>
      </w:r>
      <w:r>
        <w:rPr>
          <w:rFonts w:ascii="Calibri;sans-serif" w:hAnsi="Calibri;sans-serif"/>
          <w:b/>
          <w:color w:val="000000"/>
          <w:sz w:val="24"/>
        </w:rPr>
        <w:br/>
      </w:r>
      <w:r>
        <w:rPr>
          <w:rFonts w:ascii="Calibri;sans-serif" w:hAnsi="Calibri;sans-serif"/>
          <w:b/>
          <w:color w:val="000000"/>
          <w:sz w:val="24"/>
          <w:u w:val="single"/>
        </w:rPr>
        <w:t>GENERAL TERMS OF EMPLOYMENT</w:t>
      </w:r>
    </w:p>
    <w:p>
      <w:pPr>
        <w:pStyle w:val="TextBody"/>
        <w:bidi w:val="0"/>
        <w:spacing w:lineRule="auto" w:line="240" w:before="0" w:after="240"/>
        <w:ind w:left="0" w:right="0" w:firstLine="720"/>
        <w:jc w:val="both"/>
        <w:rPr/>
      </w:pPr>
      <w:r>
        <w:rPr>
          <w:rFonts w:ascii="Calibri;sans-serif" w:hAnsi="Calibri;sans-serif"/>
          <w:b/>
          <w:color w:val="000000"/>
          <w:sz w:val="24"/>
        </w:rPr>
        <w:t>A.</w:t>
      </w:r>
      <w:r>
        <w:rPr>
          <w:rFonts w:ascii="Calibri;sans-serif" w:hAnsi="Calibri;sans-serif"/>
          <w:b w:val="false"/>
          <w:color w:val="000000"/>
          <w:sz w:val="24"/>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Calibri;sans-serif" w:hAnsi="Calibri;sans-serif"/>
          <w:b/>
          <w:color w:val="000000"/>
          <w:sz w:val="24"/>
        </w:rPr>
        <w:t>CRC Parties</w:t>
      </w:r>
      <w:r>
        <w:rPr>
          <w:color w:val="000000"/>
        </w:rPr>
        <w:t>”</w:t>
      </w:r>
      <w:r>
        <w:rPr>
          <w:rFonts w:ascii="Calibri;sans-serif" w:hAnsi="Calibri;sans-serif"/>
          <w:b w:val="false"/>
          <w:color w:val="000000"/>
          <w:sz w:val="24"/>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pStyle w:val="TextBody"/>
        <w:bidi w:val="0"/>
        <w:spacing w:lineRule="auto" w:line="240" w:before="0" w:after="240"/>
        <w:ind w:left="0" w:right="0" w:firstLine="720"/>
        <w:jc w:val="both"/>
        <w:rPr/>
      </w:pPr>
      <w:r>
        <w:rPr>
          <w:rFonts w:ascii="Calibri;sans-serif" w:hAnsi="Calibri;sans-serif"/>
          <w:b/>
          <w:color w:val="000000"/>
          <w:sz w:val="24"/>
        </w:rPr>
        <w:t>B.</w:t>
      </w:r>
      <w:r>
        <w:rPr>
          <w:rFonts w:ascii="Calibri;sans-serif" w:hAnsi="Calibri;sans-serif"/>
          <w:b w:val="false"/>
          <w:color w:val="000000"/>
          <w:sz w:val="24"/>
        </w:rPr>
        <w:t>At the time of terminating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pStyle w:val="TextBody"/>
        <w:bidi w:val="0"/>
        <w:spacing w:lineRule="auto" w:line="240" w:before="0" w:after="240"/>
        <w:ind w:left="0" w:right="0" w:firstLine="720"/>
        <w:jc w:val="both"/>
        <w:rPr/>
      </w:pPr>
      <w:r>
        <w:rPr>
          <w:rFonts w:ascii="Calibri;sans-serif" w:hAnsi="Calibri;sans-serif"/>
          <w:b/>
          <w:color w:val="000000"/>
          <w:sz w:val="24"/>
        </w:rPr>
        <w:t>C.</w:t>
      </w:r>
      <w:r>
        <w:rPr>
          <w:rFonts w:ascii="Calibri;sans-serif" w:hAnsi="Calibri;sans-serif"/>
          <w:b w:val="false"/>
          <w:color w:val="000000"/>
          <w:sz w:val="24"/>
        </w:rPr>
        <w:t>The Grantee will, during the Grantee’s employment by the Company, comply with the provisions of CRC’s ethics code and other policies.</w:t>
      </w:r>
    </w:p>
    <w:p>
      <w:pPr>
        <w:pStyle w:val="TextBody"/>
        <w:bidi w:val="0"/>
        <w:spacing w:lineRule="auto" w:line="240" w:before="0" w:after="240"/>
        <w:ind w:left="0" w:right="0" w:firstLine="720"/>
        <w:jc w:val="both"/>
        <w:rPr/>
      </w:pPr>
      <w:r>
        <w:rPr>
          <w:rFonts w:ascii="Calibri;sans-serif" w:hAnsi="Calibri;sans-serif"/>
          <w:b/>
          <w:color w:val="000000"/>
          <w:sz w:val="24"/>
        </w:rPr>
        <w:t>D.</w:t>
      </w:r>
      <w:r>
        <w:rPr>
          <w:rFonts w:ascii="Calibri;sans-serif" w:hAnsi="Calibri;sans-serif"/>
          <w:b w:val="false"/>
          <w:color w:val="000000"/>
          <w:sz w:val="24"/>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 CRC officer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pStyle w:val="TextBody"/>
        <w:bidi w:val="0"/>
        <w:spacing w:lineRule="auto" w:line="240" w:before="0" w:after="240"/>
        <w:ind w:left="0" w:right="0" w:firstLine="720"/>
        <w:jc w:val="both"/>
        <w:rPr/>
      </w:pPr>
      <w:r>
        <w:rPr>
          <w:rFonts w:ascii="Calibri;sans-serif" w:hAnsi="Calibri;sans-serif"/>
          <w:b/>
          <w:color w:val="000000"/>
          <w:sz w:val="24"/>
        </w:rPr>
        <w:t>E.</w:t>
      </w:r>
      <w:r>
        <w:rPr>
          <w:rFonts w:ascii="Calibri;sans-serif" w:hAnsi="Calibri;sans-serif"/>
          <w:b w:val="false"/>
          <w:color w:val="000000"/>
          <w:sz w:val="24"/>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works-for-hire and become and remain the property of CRC, its successors and assigns.</w:t>
      </w:r>
    </w:p>
    <w:p>
      <w:pPr>
        <w:pStyle w:val="TextBody"/>
        <w:bidi w:val="0"/>
        <w:spacing w:lineRule="auto" w:line="240" w:before="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pStyle w:val="TextBody"/>
        <w:bidi w:val="0"/>
        <w:spacing w:lineRule="auto" w:line="240" w:before="0" w:after="240"/>
        <w:ind w:left="0" w:right="0" w:firstLine="720"/>
        <w:jc w:val="both"/>
        <w:rPr/>
      </w:pPr>
      <w:r>
        <w:rPr>
          <w:rFonts w:ascii="Calibri;sans-serif" w:hAnsi="Calibri;sans-serif"/>
          <w:b/>
          <w:color w:val="000000"/>
          <w:sz w:val="24"/>
        </w:rPr>
        <w:t>F.</w:t>
      </w:r>
      <w:r>
        <w:rPr>
          <w:rFonts w:ascii="Calibri;sans-serif" w:hAnsi="Calibri;sans-serif"/>
          <w:b w:val="false"/>
          <w:color w:val="000000"/>
          <w:sz w:val="24"/>
        </w:rPr>
        <w:t>The Grantee has executed a Mutual Agreement to Arbitrate with the Company.</w:t>
      </w:r>
    </w:p>
    <w:p>
      <w:pPr>
        <w:pStyle w:val="TextBody"/>
        <w:bidi w:val="0"/>
        <w:spacing w:before="0" w:after="24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11835"/>
                <wp:effectExtent l="0" t="0" r="0" b="0"/>
                <wp:wrapNone/>
                <wp:docPr id="168" name="Frame167"/>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both"/>
                              <w:rPr/>
                            </w:pPr>
                            <w:r>
                              <w:rPr>
                                <w:color w:val="000000"/>
                              </w:rPr>
                              <w:t>    </w:t>
                            </w:r>
                            <w:r>
                              <w:rPr>
                                <w:rFonts w:ascii="Calibri;sans-serif" w:hAnsi="Calibri;sans-serif"/>
                                <w:b w:val="false"/>
                                <w:color w:val="000000"/>
                                <w:sz w:val="24"/>
                              </w:rPr>
                              <w:t>11</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11</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left"/>
        <w:rPr/>
      </w:pPr>
      <w:r>
        <w:rPr>
          <w:rFonts w:ascii="Calibri;sans-serif" w:hAnsi="Calibri;sans-serif"/>
          <w:b/>
          <w:color w:val="000000"/>
          <w:sz w:val="24"/>
        </w:rPr>
        <w:t>G.</w:t>
      </w:r>
      <w:r>
        <w:rPr>
          <w:rFonts w:ascii="Calibri;sans-serif" w:hAnsi="Calibri;sans-serif"/>
          <w:b w:val="false"/>
          <w:color w:val="000000"/>
          <w:sz w:val="24"/>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Performance Stock Unit Award granted pursuant to these Terms and Conditions and termination of employment.</w:t>
      </w:r>
    </w:p>
    <w:p>
      <w:pPr>
        <w:pStyle w:val="TextBody"/>
        <w:bidi w:val="0"/>
        <w:spacing w:before="0" w:after="240"/>
        <w:jc w:val="left"/>
        <w:rPr/>
      </w:pPr>
      <w:r>
        <w:rPr/>
      </w:r>
    </w:p>
    <w:p>
      <w:pPr>
        <w:pStyle w:val="TextBody"/>
        <w:bidi w:val="0"/>
        <w:spacing w:before="0" w:after="24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11835"/>
                <wp:effectExtent l="0" t="0" r="0" b="0"/>
                <wp:wrapNone/>
                <wp:docPr id="169" name="Frame168"/>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both"/>
                              <w:rPr/>
                            </w:pPr>
                            <w:r>
                              <w:rPr>
                                <w:color w:val="000000"/>
                              </w:rPr>
                              <w:t>    </w:t>
                            </w:r>
                            <w:r>
                              <w:rPr>
                                <w:rFonts w:ascii="Calibri;sans-serif" w:hAnsi="Calibri;sans-serif"/>
                                <w:b w:val="false"/>
                                <w:color w:val="000000"/>
                                <w:sz w:val="24"/>
                              </w:rPr>
                              <w:t>12</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12</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ind w:left="0" w:right="0" w:firstLine="720"/>
        <w:jc w:val="right"/>
        <w:rPr>
          <w:rFonts w:ascii="Calibri;sans-serif" w:hAnsi="Calibri;sans-serif"/>
          <w:b w:val="false"/>
          <w:color w:val="000000"/>
          <w:sz w:val="24"/>
        </w:rPr>
      </w:pPr>
      <w:r>
        <w:rPr>
          <w:rFonts w:ascii="Calibri;sans-serif" w:hAnsi="Calibri;sans-serif"/>
          <w:b w:val="false"/>
          <w:color w:val="000000"/>
          <w:sz w:val="24"/>
        </w:rPr>
        <w:t>Appendix A</w:t>
      </w:r>
    </w:p>
    <w:p>
      <w:pPr>
        <w:pStyle w:val="TextBody"/>
        <w:bidi w:val="0"/>
        <w:spacing w:lineRule="auto" w:line="240" w:before="240" w:after="240"/>
        <w:jc w:val="center"/>
        <w:rPr>
          <w:rFonts w:ascii="Calibri;sans-serif" w:hAnsi="Calibri;sans-serif"/>
          <w:b/>
          <w:color w:val="000000"/>
          <w:sz w:val="24"/>
          <w:u w:val="single"/>
        </w:rPr>
      </w:pPr>
      <w:r>
        <w:rPr>
          <w:rFonts w:ascii="Calibri;sans-serif" w:hAnsi="Calibri;sans-serif"/>
          <w:b/>
          <w:color w:val="000000"/>
          <w:sz w:val="24"/>
          <w:u w:val="single"/>
        </w:rPr>
        <w:t>ABSOLUTE AND RELATIVE TOTAL SHAREHOLDER RETURN PERFORMANCE OBJECTIVES</w:t>
      </w:r>
    </w:p>
    <w:p>
      <w:pPr>
        <w:pStyle w:val="TextBody"/>
        <w:bidi w:val="0"/>
        <w:spacing w:lineRule="auto" w:line="240" w:before="24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 xml:space="preserve">The Performance Goals for the Performance Units shall be a combination of Absolute TSR and Relative TSR, each defined as follows: </w:t>
      </w:r>
    </w:p>
    <w:p>
      <w:pPr>
        <w:pStyle w:val="TextBody"/>
        <w:bidi w:val="0"/>
        <w:spacing w:lineRule="auto" w:line="240" w:before="240" w:after="240"/>
        <w:ind w:left="0" w:right="0" w:firstLine="720"/>
        <w:jc w:val="both"/>
        <w:rPr/>
      </w:pPr>
      <w:r>
        <w:rPr>
          <w:rFonts w:ascii="Calibri;sans-serif" w:hAnsi="Calibri;sans-serif"/>
          <w:b w:val="false"/>
          <w:color w:val="000000"/>
          <w:sz w:val="24"/>
        </w:rPr>
        <w:t>Total Shareholder Return (“</w:t>
      </w:r>
      <w:r>
        <w:rPr>
          <w:rFonts w:ascii="Calibri;sans-serif" w:hAnsi="Calibri;sans-serif"/>
          <w:b/>
          <w:color w:val="000000"/>
          <w:sz w:val="24"/>
        </w:rPr>
        <w:t>TSR</w:t>
      </w:r>
      <w:r>
        <w:rPr>
          <w:color w:val="000000"/>
        </w:rPr>
        <w:t>”</w:t>
      </w:r>
      <w:r>
        <w:rPr>
          <w:rFonts w:ascii="Calibri;sans-serif" w:hAnsi="Calibri;sans-serif"/>
          <w:b w:val="false"/>
          <w:color w:val="000000"/>
          <w:sz w:val="24"/>
        </w:rPr>
        <w:t>) shall be calculated assuming reinvestment of all dividends, using the last reported sale price per unit on the appliable exchange for the trading day immediately preceding the first day of the Performance Period and the last reported sale price per unit on the applicable exchange for the last trading day of the Performance Period.</w:t>
      </w:r>
    </w:p>
    <w:p>
      <w:pPr>
        <w:pStyle w:val="TextBody"/>
        <w:bidi w:val="0"/>
        <w:spacing w:lineRule="auto" w:line="240" w:before="240" w:after="240"/>
        <w:ind w:left="0" w:right="0" w:firstLine="720"/>
        <w:jc w:val="both"/>
        <w:rPr/>
      </w:pPr>
      <w:r>
        <w:rPr>
          <w:rFonts w:ascii="Calibri;sans-serif" w:hAnsi="Calibri;sans-serif"/>
          <w:b w:val="false"/>
          <w:color w:val="000000"/>
          <w:sz w:val="24"/>
        </w:rPr>
        <w:t>"</w:t>
      </w:r>
      <w:r>
        <w:rPr>
          <w:rFonts w:ascii="Calibri;sans-serif" w:hAnsi="Calibri;sans-serif"/>
          <w:b/>
          <w:color w:val="000000"/>
          <w:sz w:val="24"/>
        </w:rPr>
        <w:t>XOP Index</w:t>
      </w:r>
      <w:r>
        <w:rPr>
          <w:color w:val="000000"/>
        </w:rPr>
        <w:t xml:space="preserve">” </w:t>
      </w:r>
      <w:r>
        <w:rPr>
          <w:rFonts w:ascii="Calibri;sans-serif" w:hAnsi="Calibri;sans-serif"/>
          <w:b w:val="false"/>
          <w:color w:val="000000"/>
          <w:sz w:val="24"/>
        </w:rPr>
        <w:t>shall mean the SPDR S&amp;P Oil and Gas Exploration and Production Exchange-Traded Fund listed on the New York Stock Exchange Arca exchange with ticker symbol “XOP”.</w:t>
      </w:r>
    </w:p>
    <w:p>
      <w:pPr>
        <w:pStyle w:val="TextBody"/>
        <w:bidi w:val="0"/>
        <w:spacing w:lineRule="auto" w:line="240" w:before="240" w:after="240"/>
        <w:ind w:left="0" w:right="0" w:firstLine="720"/>
        <w:jc w:val="both"/>
        <w:rPr/>
      </w:pPr>
      <w:r>
        <w:rPr>
          <w:rFonts w:ascii="Calibri;sans-serif" w:hAnsi="Calibri;sans-serif"/>
          <w:b w:val="false"/>
          <w:color w:val="000000"/>
          <w:sz w:val="24"/>
        </w:rPr>
        <w:t>"</w:t>
      </w:r>
      <w:r>
        <w:rPr>
          <w:rFonts w:ascii="Calibri;sans-serif" w:hAnsi="Calibri;sans-serif"/>
          <w:b/>
          <w:color w:val="000000"/>
          <w:sz w:val="24"/>
        </w:rPr>
        <w:t>Absolute TSR</w:t>
      </w:r>
      <w:r>
        <w:rPr>
          <w:color w:val="000000"/>
        </w:rPr>
        <w:t xml:space="preserve">” </w:t>
      </w:r>
      <w:r>
        <w:rPr>
          <w:rFonts w:ascii="Calibri;sans-serif" w:hAnsi="Calibri;sans-serif"/>
          <w:b w:val="false"/>
          <w:color w:val="000000"/>
          <w:sz w:val="24"/>
        </w:rPr>
        <w:t xml:space="preserve">shall mean the Company’s TSR as calculated over the applicable Performance Period. </w:t>
      </w:r>
    </w:p>
    <w:p>
      <w:pPr>
        <w:pStyle w:val="TextBody"/>
        <w:bidi w:val="0"/>
        <w:spacing w:lineRule="auto" w:line="240" w:before="240" w:after="240"/>
        <w:ind w:left="0" w:right="0" w:firstLine="720"/>
        <w:jc w:val="both"/>
        <w:rPr/>
      </w:pPr>
      <w:r>
        <w:rPr>
          <w:color w:val="000000"/>
        </w:rPr>
        <w:t>“</w:t>
      </w:r>
      <w:r>
        <w:rPr>
          <w:rFonts w:ascii="Calibri;sans-serif" w:hAnsi="Calibri;sans-serif"/>
          <w:b/>
          <w:color w:val="000000"/>
          <w:sz w:val="24"/>
        </w:rPr>
        <w:t>Relative TSR</w:t>
      </w:r>
      <w:r>
        <w:rPr>
          <w:color w:val="000000"/>
        </w:rPr>
        <w:t xml:space="preserve">” </w:t>
      </w:r>
      <w:r>
        <w:rPr>
          <w:rFonts w:ascii="Calibri;sans-serif" w:hAnsi="Calibri;sans-serif"/>
          <w:b w:val="false"/>
          <w:color w:val="000000"/>
          <w:sz w:val="24"/>
        </w:rPr>
        <w:t>shall mean the Company’s TSR compared to the TSR of the XOP Index over the applicable Performance Period.</w:t>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before="240" w:after="240"/>
        <w:jc w:val="center"/>
        <w:rPr/>
      </w:pPr>
      <w:r>
        <w:rPr/>
      </w:r>
    </w:p>
    <w:p>
      <w:pPr>
        <w:pStyle w:val="TextBody"/>
        <w:bidi w:val="0"/>
        <w:spacing w:lineRule="auto" w:line="240" w:before="240" w:after="240"/>
        <w:jc w:val="center"/>
        <w:rPr>
          <w:rFonts w:ascii="Calibri;sans-serif" w:hAnsi="Calibri;sans-serif"/>
          <w:b/>
          <w:color w:val="000000"/>
          <w:sz w:val="24"/>
          <w:u w:val="single"/>
        </w:rPr>
      </w:pPr>
      <w:r>
        <w:rPr>
          <w:rFonts w:ascii="Calibri;sans-serif" w:hAnsi="Calibri;sans-serif"/>
          <w:b/>
          <w:color w:val="000000"/>
          <w:sz w:val="24"/>
          <w:u w:val="single"/>
        </w:rPr>
        <w:t>Determination of Performance Units Earned</w:t>
      </w:r>
    </w:p>
    <w:p>
      <w:pPr>
        <w:pStyle w:val="TextBody"/>
        <w:bidi w:val="0"/>
        <w:spacing w:before="0" w:after="24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11835"/>
                <wp:effectExtent l="0" t="0" r="0" b="0"/>
                <wp:wrapNone/>
                <wp:docPr id="170" name="Frame169"/>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uto" w:line="240" w:before="0" w:after="0"/>
                              <w:jc w:val="both"/>
                              <w:rPr/>
                            </w:pPr>
                            <w:r>
                              <w:rPr>
                                <w:color w:val="000000"/>
                              </w:rPr>
                              <w:t>    </w:t>
                            </w:r>
                            <w:r>
                              <w:rPr>
                                <w:rFonts w:ascii="Calibri;sans-serif" w:hAnsi="Calibri;sans-serif"/>
                                <w:b w:val="false"/>
                                <w:color w:val="000000"/>
                                <w:sz w:val="24"/>
                              </w:rPr>
                              <w:t>13</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13</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40"/>
        <w:ind w:left="0" w:right="0" w:firstLine="720"/>
        <w:jc w:val="both"/>
        <w:rPr>
          <w:rFonts w:ascii="Calibri;sans-serif" w:hAnsi="Calibri;sans-serif"/>
          <w:b w:val="false"/>
          <w:color w:val="000000"/>
          <w:sz w:val="24"/>
        </w:rPr>
      </w:pPr>
      <w:r>
        <w:rPr>
          <w:rFonts w:ascii="Calibri;sans-serif" w:hAnsi="Calibri;sans-serif"/>
          <w:b w:val="false"/>
          <w:color w:val="000000"/>
          <w:sz w:val="24"/>
        </w:rPr>
        <w:t xml:space="preserve">The Committee will determine the Percentage of Performance Units to be deemed Earned PS Units for the Performance Period in accordance with the table below. The Committee, in its sole discretion, will review, analyze and certify the achievement of all Performance Objectives applicable to the award. </w:t>
      </w:r>
    </w:p>
    <w:p>
      <w:pPr>
        <w:pStyle w:val="TextBody"/>
        <w:bidi w:val="0"/>
        <w:spacing w:before="240" w:after="240"/>
        <w:ind w:left="0" w:right="0" w:firstLine="720"/>
        <w:jc w:val="both"/>
        <w:rPr/>
      </w:pPr>
      <w:r>
        <w:rPr/>
      </w:r>
    </w:p>
    <w:p>
      <w:pPr>
        <w:pStyle w:val="TextBody"/>
        <w:bidi w:val="0"/>
        <w:spacing w:before="240" w:after="240"/>
        <w:jc w:val="center"/>
        <w:rPr/>
      </w:pPr>
      <w:r>
        <w:rPr/>
        <w:drawing>
          <wp:inline distT="0" distB="0" distL="0" distR="0">
            <wp:extent cx="6115050" cy="1800225"/>
            <wp:effectExtent l="0" t="0" r="0" b="0"/>
            <wp:docPr id="17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2" descr=""/>
                    <pic:cNvPicPr>
                      <a:picLocks noChangeAspect="1" noChangeArrowheads="1"/>
                    </pic:cNvPicPr>
                  </pic:nvPicPr>
                  <pic:blipFill>
                    <a:blip r:embed="rId120"/>
                    <a:stretch>
                      <a:fillRect/>
                    </a:stretch>
                  </pic:blipFill>
                  <pic:spPr bwMode="auto">
                    <a:xfrm>
                      <a:off x="0" y="0"/>
                      <a:ext cx="6115050" cy="1800225"/>
                    </a:xfrm>
                    <a:prstGeom prst="rect">
                      <a:avLst/>
                    </a:prstGeom>
                  </pic:spPr>
                </pic:pic>
              </a:graphicData>
            </a:graphic>
          </wp:inline>
        </w:drawing>
      </w:r>
    </w:p>
    <w:p>
      <w:pPr>
        <w:pStyle w:val="TextBody"/>
        <w:bidi w:val="0"/>
        <w:spacing w:before="0" w:after="120"/>
        <w:jc w:val="left"/>
        <w:rPr/>
      </w:pPr>
      <w:r>
        <w:rPr/>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21</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11835"/>
                <wp:effectExtent l="0" t="0" r="0" b="0"/>
                <wp:wrapNone/>
                <wp:docPr id="172" name="Frame170"/>
                <a:graphic xmlns:a="http://schemas.openxmlformats.org/drawingml/2006/main">
                  <a:graphicData uri="http://schemas.microsoft.com/office/word/2010/wordprocessingShape">
                    <wps:wsp>
                      <wps:cNvSpPr txBox="1"/>
                      <wps:spPr>
                        <a:xfrm>
                          <a:off x="0" y="0"/>
                          <a:ext cx="6480175" cy="711835"/>
                        </a:xfrm>
                        <a:prstGeom prst="rect"/>
                        <a:solidFill>
                          <a:srgbClr val="FFFFFF"/>
                        </a:solidFill>
                      </wps:spPr>
                      <wps:txb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14</w:t>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0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Calibri;sans-serif" w:hAnsi="Calibri;sans-serif"/>
                          <w:b w:val="false"/>
                          <w:color w:val="000000"/>
                          <w:sz w:val="24"/>
                        </w:rPr>
                        <w:t>14</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LIST OF OPERATING SUBSIDIARIES</w:t>
      </w:r>
    </w:p>
    <w:p>
      <w:pPr>
        <w:pStyle w:val="TextBody"/>
        <w:bidi w:val="0"/>
        <w:spacing w:before="0" w:after="0"/>
        <w:jc w:val="left"/>
        <w:rPr/>
      </w:pPr>
      <w:r>
        <w:rPr/>
      </w:r>
    </w:p>
    <w:p>
      <w:pPr>
        <w:pStyle w:val="TextBody"/>
        <w:bidi w:val="0"/>
        <w:spacing w:lineRule="auto" w:line="331" w:before="0" w:after="20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is a list of our subsidiaries at December 31, 2023 other than certain subsidiaries that did not in the aggregate constitute a significant subsidiary. </w:t>
      </w:r>
    </w:p>
    <w:tbl>
      <w:tblPr>
        <w:tblW w:w="6536" w:type="dxa"/>
        <w:jc w:val="center"/>
        <w:tblInd w:w="0" w:type="dxa"/>
        <w:tblLayout w:type="fixed"/>
        <w:tblCellMar>
          <w:top w:w="28" w:type="dxa"/>
          <w:left w:w="28" w:type="dxa"/>
          <w:bottom w:w="28" w:type="dxa"/>
          <w:right w:w="28" w:type="dxa"/>
        </w:tblCellMar>
      </w:tblPr>
      <w:tblGrid>
        <w:gridCol w:w="1411"/>
        <w:gridCol w:w="1244"/>
        <w:gridCol w:w="1259"/>
        <w:gridCol w:w="109"/>
        <w:gridCol w:w="109"/>
        <w:gridCol w:w="109"/>
        <w:gridCol w:w="672"/>
        <w:gridCol w:w="672"/>
        <w:gridCol w:w="951"/>
      </w:tblGrid>
      <w:tr>
        <w:trPr/>
        <w:tc>
          <w:tcPr>
            <w:tcW w:w="141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Jurisdiction of Formation</w:t>
            </w:r>
          </w:p>
        </w:tc>
      </w:tr>
      <w:tr>
        <w:trPr/>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Resources Elk Hills,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Resources Long Beach,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Resources Petroleum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CRC Marketing,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EHP Midco Holding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EHP Topco Holding Company,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Elk Hills Power,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3"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0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(Nos. 333-252736 and 333-264766) on Form S-8 and the registration statement (No. 333-254181) on Form S-3 of our report dated February 28, 2024, with respect to the consolidated financial statements of California Resources Corporation and the effectiveness of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200" w:after="200"/>
        <w:jc w:val="left"/>
        <w:rPr/>
      </w:pPr>
      <w:r>
        <w:rPr>
          <w:rFonts w:ascii="Arial;sans-serif" w:hAnsi="Arial;sans-serif"/>
          <w:b w:val="false"/>
          <w:color w:val="000000"/>
          <w:sz w:val="20"/>
        </w:rPr>
        <w:t>Los Angeles, California</w:t>
      </w:r>
      <w:r>
        <w:rPr>
          <w:color w:val="000000"/>
        </w:rPr>
        <w:t xml:space="preserve"> </w:t>
      </w:r>
      <w:r>
        <w:rPr>
          <w:rFonts w:ascii="Times New Roman;sans-serif" w:hAnsi="Times New Roman;sans-serif"/>
          <w:b w:val="false"/>
          <w:color w:val="000000"/>
          <w:sz w:val="20"/>
        </w:rPr>
        <w:br/>
      </w:r>
      <w:r>
        <w:rPr>
          <w:rFonts w:ascii="Arial;sans-serif" w:hAnsi="Arial;sans-serif"/>
          <w:b w:val="false"/>
          <w:color w:val="000000"/>
          <w:sz w:val="20"/>
        </w:rPr>
        <w:t>February 28,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Arial;sans-serif" w:hAnsi="Arial;sans-serif"/>
          <w:b/>
          <w:color w:val="000000"/>
          <w:sz w:val="22"/>
        </w:rPr>
      </w:pPr>
      <w:r>
        <w:rPr>
          <w:rFonts w:ascii="Arial;sans-serif" w:hAnsi="Arial;sans-serif"/>
          <w:b/>
          <w:color w:val="000000"/>
          <w:sz w:val="22"/>
        </w:rPr>
        <w:t>EXHIBIT 23.2</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4"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45" w:before="0" w:after="0"/>
        <w:jc w:val="center"/>
        <w:rPr>
          <w:rFonts w:ascii="Arial;sans-serif" w:hAnsi="Arial;sans-serif"/>
          <w:b w:val="false"/>
          <w:color w:val="000000"/>
          <w:sz w:val="22"/>
          <w:u w:val="single"/>
        </w:rPr>
      </w:pPr>
      <w:r>
        <w:rPr>
          <w:rFonts w:ascii="Arial;sans-serif" w:hAnsi="Arial;sans-serif"/>
          <w:b w:val="false"/>
          <w:color w:val="000000"/>
          <w:sz w:val="22"/>
          <w:u w:val="single"/>
        </w:rPr>
        <w:t>CONSENT OF INDEPENDENT PETROLEUM ENGINEERS AND GEOLOGISTS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consent to the incorporation by reference in the registration statements on Form S-3 (No. 333-254181) and Form S-8 (No. 333-252736 and No. 333-264766) of California Resources Corporation (the “Company”) of the reference to Netherland, Sewell &amp; Associates, Inc. and the inclusion of our report dated February 13, 2024 in the Company’s Annual Report on Form 10-K for the year ended December 31, 2023, filed with the Securities and Exchange Commission.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NETHERLAND, SEWELL &amp; ASSOCIATES,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Richard B. Talley, Jr.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B. Talley, Jr., P.E.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Houston, Texas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28,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 xml:space="preserve">RULE 13a – 14(a) / 15d – 14(a) </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 xml:space="preserve">CERTIFICATION </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 xml:space="preserve">PURSUANT TO §302 OF THE SARBANES-OXLEY ACT OF 2002 </w:t>
      </w:r>
    </w:p>
    <w:p>
      <w:pPr>
        <w:pStyle w:val="TextBody"/>
        <w:bidi w:val="0"/>
        <w:spacing w:lineRule="auto" w:line="288" w:before="100" w:after="100"/>
        <w:jc w:val="left"/>
        <w:rPr/>
      </w:pPr>
      <w:r>
        <w:rPr>
          <w:rFonts w:ascii="Arial;sans-serif" w:hAnsi="Arial;sans-serif"/>
          <w:b w:val="false"/>
          <w:color w:val="000000"/>
          <w:sz w:val="19"/>
        </w:rPr>
        <w:t xml:space="preserve">I, </w:t>
      </w:r>
      <w:r>
        <w:rPr>
          <w:rFonts w:ascii="Arial;sans-serif" w:hAnsi="Arial;sans-serif"/>
          <w:b w:val="false"/>
          <w:color w:val="000000"/>
          <w:sz w:val="20"/>
        </w:rPr>
        <w:t>Francisco J. Leon</w:t>
      </w:r>
      <w:r>
        <w:rPr>
          <w:rFonts w:ascii="Arial;sans-serif" w:hAnsi="Arial;sans-serif"/>
          <w:b w:val="false"/>
          <w:color w:val="000000"/>
          <w:sz w:val="19"/>
        </w:rPr>
        <w:t xml:space="preserve">,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1.I have reviewed this annual report on Form 10-K of California Resources Corporation;</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Date: February 28, 2024 </w:t>
      </w:r>
    </w:p>
    <w:tbl>
      <w:tblPr>
        <w:tblW w:w="481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22"/>
        <w:gridCol w:w="1022"/>
        <w:gridCol w:w="14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19"/>
              </w:rPr>
            </w:pPr>
            <w:r>
              <w:rPr>
                <w:rFonts w:ascii="Arial;sans-serif" w:hAnsi="Arial;sans-serif"/>
                <w:b w:val="false"/>
                <w:color w:val="000000"/>
                <w:sz w:val="19"/>
              </w:rPr>
              <w:t>Francisco J. Leon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President and Chief Executive Officer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9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RULE 13a – 14(a) / 15d – 14(a)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§302 OF THE SARBANES-OXLEY ACT OF 2002 </w:t>
      </w:r>
    </w:p>
    <w:p>
      <w:pPr>
        <w:pStyle w:val="TextBody"/>
        <w:bidi w:val="0"/>
        <w:spacing w:lineRule="auto" w:line="288" w:before="100" w:after="100"/>
        <w:jc w:val="left"/>
        <w:rPr/>
      </w:pPr>
      <w:r>
        <w:rPr>
          <w:rFonts w:ascii="Arial;sans-serif" w:hAnsi="Arial;sans-serif"/>
          <w:b w:val="false"/>
          <w:color w:val="000000"/>
          <w:sz w:val="19"/>
        </w:rPr>
        <w:t xml:space="preserve">I, </w:t>
      </w:r>
      <w:r>
        <w:rPr>
          <w:rFonts w:ascii="Arial;sans-serif" w:hAnsi="Arial;sans-serif"/>
          <w:b w:val="false"/>
          <w:color w:val="000000"/>
          <w:sz w:val="20"/>
        </w:rPr>
        <w:t>Manuela (Nelly) Molina</w:t>
      </w:r>
      <w:r>
        <w:rPr>
          <w:rFonts w:ascii="Arial;sans-serif" w:hAnsi="Arial;sans-serif"/>
          <w:b w:val="false"/>
          <w:color w:val="000000"/>
          <w:sz w:val="19"/>
        </w:rPr>
        <w:t xml:space="preserve">,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1.I have reviewed this annual report on Form 10-K of California Resources Corporation;</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Date: February 28, 2024 </w:t>
      </w:r>
    </w:p>
    <w:tbl>
      <w:tblPr>
        <w:tblW w:w="411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813"/>
        <w:gridCol w:w="813"/>
        <w:gridCol w:w="1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Manuela (Nelly) Molina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Manuela (Nelly) Molina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Executive Vice President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CEO AND CFO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18 U.S.C. §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 906 OF THE SARBANES-OXLEY ACT OF 2002 </w:t>
      </w:r>
    </w:p>
    <w:p>
      <w:pPr>
        <w:pStyle w:val="TextBody"/>
        <w:bidi w:val="0"/>
        <w:spacing w:before="100" w:after="10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Annual Report on Form 10-K of California Resources Corporation (the “Company”) for the fiscal period ended December 31, 2023, as filed with the Securities and Exchange Commission on February 28, 2024 (the “Report”), Francisco J. Leon, as Chief Executive Officer of the Company, and Manuela (Nelly) Molina, as Chief Financial Officer of the Company, each hereby certifies, pursuant to 18 U.S.C. § 1350, as adopted pursuant to § 906 of the Sarbanes-Oxley Act of 2002, that, to the best of his or her knowledge, respectively:</w:t>
      </w:r>
    </w:p>
    <w:p>
      <w:pPr>
        <w:pStyle w:val="TextBody"/>
        <w:bidi w:val="0"/>
        <w:spacing w:before="100" w:after="100"/>
        <w:ind w:left="0" w:right="0" w:firstLine="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482" w:type="dxa"/>
        <w:jc w:val="center"/>
        <w:tblInd w:w="0" w:type="dxa"/>
        <w:tblLayout w:type="fixed"/>
        <w:tblCellMar>
          <w:top w:w="28" w:type="dxa"/>
          <w:left w:w="28" w:type="dxa"/>
          <w:bottom w:w="28" w:type="dxa"/>
          <w:right w:w="28" w:type="dxa"/>
        </w:tblCellMar>
      </w:tblPr>
      <w:tblGrid>
        <w:gridCol w:w="271"/>
        <w:gridCol w:w="239"/>
        <w:gridCol w:w="239"/>
        <w:gridCol w:w="215"/>
        <w:gridCol w:w="215"/>
        <w:gridCol w:w="215"/>
        <w:gridCol w:w="1128"/>
        <w:gridCol w:w="1128"/>
        <w:gridCol w:w="1133"/>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80" w:type="dxa"/>
        <w:jc w:val="center"/>
        <w:tblInd w:w="0" w:type="dxa"/>
        <w:tblLayout w:type="fixed"/>
        <w:tblCellMar>
          <w:top w:w="28" w:type="dxa"/>
          <w:left w:w="28" w:type="dxa"/>
          <w:bottom w:w="28" w:type="dxa"/>
          <w:right w:w="28" w:type="dxa"/>
        </w:tblCellMar>
      </w:tblPr>
      <w:tblGrid>
        <w:gridCol w:w="297"/>
        <w:gridCol w:w="261"/>
        <w:gridCol w:w="261"/>
        <w:gridCol w:w="261"/>
        <w:gridCol w:w="261"/>
        <w:gridCol w:w="261"/>
        <w:gridCol w:w="1558"/>
        <w:gridCol w:w="1558"/>
        <w:gridCol w:w="1563"/>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Manuela (Nelly) Molina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Manuela (Nelly) Molina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78"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California Resources Corporation</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Incentive-Based Compensation Recoupment Policy </w:t>
      </w:r>
    </w:p>
    <w:p>
      <w:pPr>
        <w:pStyle w:val="TextBody"/>
        <w:bidi w:val="0"/>
        <w:spacing w:lineRule="auto" w:line="240" w:before="0" w:after="0"/>
        <w:jc w:val="center"/>
        <w:rPr/>
      </w:pPr>
      <w:r>
        <w:rPr>
          <w:rFonts w:ascii="Times New Roman;sans-serif" w:hAnsi="Times New Roman;sans-serif"/>
          <w:b w:val="false"/>
          <w:color w:val="000000"/>
          <w:sz w:val="22"/>
        </w:rPr>
        <w:t>(this “</w:t>
      </w:r>
      <w:r>
        <w:rPr>
          <w:rFonts w:ascii="Times New Roman;sans-serif" w:hAnsi="Times New Roman;sans-serif"/>
          <w:b/>
          <w:color w:val="000000"/>
          <w:sz w:val="22"/>
        </w:rPr>
        <w:t>Policy</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val="false"/>
          <w:color w:val="000000"/>
          <w:sz w:val="22"/>
        </w:rPr>
        <w:t>Adopted by the Compensation Committee of the Board of Directors (the “</w:t>
      </w:r>
      <w:r>
        <w:rPr>
          <w:rFonts w:ascii="Times New Roman;sans-serif" w:hAnsi="Times New Roman;sans-serif"/>
          <w:b/>
          <w:color w:val="000000"/>
          <w:sz w:val="22"/>
        </w:rPr>
        <w:t>Administrator</w:t>
      </w:r>
      <w:r>
        <w:rPr>
          <w:color w:val="000000"/>
        </w:rPr>
        <w:t>”</w:t>
      </w:r>
      <w:r>
        <w:rPr>
          <w:rFonts w:ascii="Times New Roman;sans-serif" w:hAnsi="Times New Roman;sans-serif"/>
          <w:b w:val="false"/>
          <w:color w:val="000000"/>
          <w:sz w:val="22"/>
        </w:rPr>
        <w:t xml:space="preserve">) on October 26, 2023 </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1. Recoupment. </w:t>
      </w:r>
      <w:r>
        <w:rPr>
          <w:rFonts w:ascii="Times New Roman;sans-serif" w:hAnsi="Times New Roman;sans-serif"/>
          <w:b w:val="false"/>
          <w:color w:val="000000"/>
          <w:sz w:val="22"/>
        </w:rPr>
        <w:t>If California Resources Corporation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xml:space="preserve">) is required to prepare a Restatement, the Administrator shall, unless determined to be Impracticable, take reasonably prompt action to recoup all Recoverable Compensation from any Covered Person. This Policy is in addition to (and not in lieu of) any right of repayment, forfeiture or off-set against any Covered Person that may be available under applicable law or otherwise (whether implemented prior to or after adoption of this Policy). The Administrator may, in its sole discretion and in the exercise of its business judgment, determine whether and to what extent additional action is appropriate to address the circumstances surrounding any recovery of Recoverable Compensation tied to a Restatement and to impose such other discipline as it deems appropriate.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2. Method of Recoupment.</w:t>
      </w:r>
      <w:r>
        <w:rPr>
          <w:color w:val="000000"/>
        </w:rPr>
        <w:t xml:space="preserve"> </w:t>
      </w:r>
      <w:r>
        <w:rPr>
          <w:rFonts w:ascii="Times New Roman;sans-serif" w:hAnsi="Times New Roman;sans-serif"/>
          <w:b w:val="false"/>
          <w:color w:val="000000"/>
          <w:sz w:val="22"/>
        </w:rPr>
        <w:t>Subject to applicable law, the Administrator may seek to recoup Recoverable Compensation by (i) requiring a Covered Person to repay such amount to the Company; (ii) offsetting a Covered Person’s other compensation; or (iii) such other means or combination of means as the Administrator, in its sole discretion, determines to be appropriate. To the extent that a Covered Person fails to repay all Recoverable Compensation to the Company as determined pursuant to this Policy, the Company shall take all actions reasonable and appropriate to recover such amount, subject to applicable law. The applicable Covered Person shall be required to reimburse the Company for any and all expenses reasonably incurred (including legal fees) by the Company in recovering such amount.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3. Administration of Policy. </w:t>
      </w:r>
      <w:r>
        <w:rPr>
          <w:rFonts w:ascii="Times New Roman;sans-serif" w:hAnsi="Times New Roman;sans-serif"/>
          <w:b w:val="false"/>
          <w:color w:val="000000"/>
          <w:sz w:val="22"/>
        </w:rPr>
        <w:t>The Administrator shall have full authority to administer, amend or terminate this Policy. The Administrator shall, subject to the provisions of this Policy, make such determinations and interpretations and take such actions in connection with this Policy as it deems necessary, appropriate or advisable. All determinations and interpretations made by the Administrator shall be final, binding and conclusive. Notwithstanding anything in this Section 3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rules of the U.S. Securities and Exchange Commission (the “</w:t>
      </w:r>
      <w:r>
        <w:rPr>
          <w:rFonts w:ascii="Times New Roman;sans-serif" w:hAnsi="Times New Roman;sans-serif"/>
          <w:b/>
          <w:color w:val="000000"/>
          <w:sz w:val="22"/>
        </w:rPr>
        <w:t>SEC</w:t>
      </w:r>
      <w:r>
        <w:rPr>
          <w:color w:val="000000"/>
        </w:rPr>
        <w:t>”</w:t>
      </w:r>
      <w:r>
        <w:rPr>
          <w:rFonts w:ascii="Times New Roman;sans-serif" w:hAnsi="Times New Roman;sans-serif"/>
          <w:b w:val="false"/>
          <w:color w:val="000000"/>
          <w:sz w:val="22"/>
        </w:rPr>
        <w:t xml:space="preserve">) or the rules of any national securities exchange or national securities association on which the Company’s securities are then listed. The Administrator shall consult with the Company’s Audit Committee, chief financial officer and chief accounting officer, as applicable, as needed in order to properly administer and interpret any provision of this Policy.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4. Acknowledgement by Executive Officers. </w:t>
      </w:r>
      <w:r>
        <w:rPr>
          <w:rFonts w:ascii="Times New Roman;sans-serif" w:hAnsi="Times New Roman;sans-serif"/>
          <w:b w:val="false"/>
          <w:color w:val="000000"/>
          <w:sz w:val="22"/>
        </w:rPr>
        <w:t xml:space="preserve">The Administrator may provide notice to and seek written acknowledgement of this Policy from each Executive Officer; provided that the failure to provide such notice or obtain such acknowledgement shall not affect the applicability or enforceability of this Policy. For purposes of clarity, such notice and acknowledgement may be contained within a separate agreement (such as an employment, severance, retention, bonus, incentive compensation, equity award or similar agreement) that may, in whole or in part, be subject to this Policy. </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5. No Indemnification. </w:t>
      </w:r>
      <w:r>
        <w:rPr>
          <w:rFonts w:ascii="Times New Roman;sans-serif" w:hAnsi="Times New Roman;sans-serif"/>
          <w:b w:val="false"/>
          <w:color w:val="000000"/>
          <w:sz w:val="22"/>
        </w:rPr>
        <w:t xml:space="preserve">Notwithstanding the terms of any of the Company’s organizational documents, any corporate policy or any contract, the Company shall not indemnify any Covered Person against the loss of any Recoverable Compensation. </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6. Disclosures and Record Keeping. </w:t>
      </w:r>
      <w:r>
        <w:rPr>
          <w:rFonts w:ascii="Times New Roman;sans-serif" w:hAnsi="Times New Roman;sans-serif"/>
          <w:b w:val="false"/>
          <w:color w:val="000000"/>
          <w:sz w:val="22"/>
        </w:rPr>
        <w:t>The Company shall make all disclosures and filings with respect to this Policy and maintain all documents and records that are required by the applicable rules and forms of the SEC (including, without limitation, Rule 10D-1 under the Securities Exchange Act of 1934 (the “</w:t>
      </w:r>
      <w:r>
        <w:rPr>
          <w:rFonts w:ascii="Times New Roman;sans-serif" w:hAnsi="Times New Roman;sans-serif"/>
          <w:b/>
          <w:color w:val="000000"/>
          <w:sz w:val="22"/>
        </w:rPr>
        <w:t>Exchange Act</w:t>
      </w:r>
      <w:r>
        <w:rPr>
          <w:color w:val="000000"/>
        </w:rPr>
        <w:t>”</w:t>
      </w:r>
      <w:r>
        <w:rPr>
          <w:rFonts w:ascii="Times New Roman;sans-serif" w:hAnsi="Times New Roman;sans-serif"/>
          <w:b w:val="false"/>
          <w:color w:val="000000"/>
          <w:sz w:val="22"/>
        </w:rPr>
        <w:t>)) and any applicable exchange listing standard.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7. Governing Law. </w:t>
      </w:r>
      <w:r>
        <w:rPr>
          <w:rFonts w:ascii="Times New Roman;sans-serif" w:hAnsi="Times New Roman;sans-serif"/>
          <w:b w:val="false"/>
          <w:color w:val="000000"/>
          <w:sz w:val="22"/>
        </w:rPr>
        <w:t xml:space="preserve">The validity, construction, and effect of this Policy and any determinations relating to this Policy shall be construed in accordance with the laws of the State of Delaware without regard to its conflicts of laws principles.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79"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8. Successors. </w:t>
      </w:r>
      <w:r>
        <w:rPr>
          <w:rFonts w:ascii="Times New Roman;sans-serif" w:hAnsi="Times New Roman;sans-serif"/>
          <w:b w:val="false"/>
          <w:color w:val="000000"/>
          <w:sz w:val="22"/>
        </w:rPr>
        <w:t xml:space="preserve">This Policy shall be binding and enforceable against all Covered Persons and their beneficiaries, heirs, executors, administrators or other legal representatives. </w:t>
      </w:r>
    </w:p>
    <w:p>
      <w:pPr>
        <w:pStyle w:val="TextBody"/>
        <w:bidi w:val="0"/>
        <w:spacing w:lineRule="auto" w:line="240" w:before="0" w:after="0"/>
        <w:ind w:left="0" w:right="0" w:firstLine="720"/>
        <w:jc w:val="both"/>
        <w:rPr/>
      </w:pPr>
      <w:r>
        <w:rPr>
          <w:rFonts w:ascii="Times New Roman;sans-serif" w:hAnsi="Times New Roman;sans-serif"/>
          <w:b/>
          <w:color w:val="000000"/>
          <w:sz w:val="22"/>
        </w:rPr>
        <w:t xml:space="preserve">9. Definitions. </w:t>
      </w:r>
      <w:r>
        <w:rPr>
          <w:rFonts w:ascii="Times New Roman;sans-serif" w:hAnsi="Times New Roman;sans-serif"/>
          <w:b w:val="false"/>
          <w:color w:val="000000"/>
          <w:sz w:val="22"/>
        </w:rPr>
        <w:t>In addition to terms otherwise defined in this Policy, the following terms, when used in this Policy, shall have the following meanings:</w:t>
      </w:r>
    </w:p>
    <w:p>
      <w:pPr>
        <w:pStyle w:val="TextBody"/>
        <w:bidi w:val="0"/>
        <w:spacing w:before="0" w:after="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 xml:space="preserve">Applicable Period” </w:t>
      </w:r>
      <w:r>
        <w:rPr>
          <w:rFonts w:ascii="Times New Roman;sans-serif" w:hAnsi="Times New Roman;sans-serif"/>
          <w:b w:val="false"/>
          <w:color w:val="000000"/>
          <w:sz w:val="22"/>
        </w:rPr>
        <w:t>means the three completed fiscal years preceding the earlier of: (i) the date that the Administrator, or the officer or officers of the Company authorized to take such action if Administrator action is not required, concludes, or reasonably should have concluded, that the Company is required to prepare a Restatement; or (ii) the date a court, regulator, or other legally authorized body directs the Company to prepare a Restatement. The Applicable Period shall also include any transition period (that results from a change in the Company’s fiscal year) of less than nine months within or immediately following the three completed fiscal years. For purposes of this Policy, the Administrator shall be deemed to have reasonably concluded that a Restatement is required on the date that the Company’s Audit Committee or the Company’s chief accounting officer, as applicable, informs the Administrator in writing that such a Restatement will be required, unless the Audit Committee informs the Administrator that an alternative date is more accurate for purposes of determining the Applicable Period.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 xml:space="preserve">Covered Person” </w:t>
      </w:r>
      <w:r>
        <w:rPr>
          <w:rFonts w:ascii="Times New Roman;sans-serif" w:hAnsi="Times New Roman;sans-serif"/>
          <w:b w:val="false"/>
          <w:color w:val="000000"/>
          <w:sz w:val="22"/>
        </w:rPr>
        <w:t>means any person who receives Recoverable Compensation.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Executive Officer”</w:t>
      </w:r>
      <w:r>
        <w:rPr>
          <w:color w:val="000000"/>
        </w:rPr>
        <w:t xml:space="preserve"> </w:t>
      </w:r>
      <w:r>
        <w:rPr>
          <w:rFonts w:ascii="Times New Roman;sans-serif" w:hAnsi="Times New Roman;sans-serif"/>
          <w:b w:val="false"/>
          <w:color w:val="000000"/>
          <w:sz w:val="22"/>
        </w:rPr>
        <w:t>includes the Company’s current or former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(including any executive officer of the Company’s controlled affiliates) who performs similar policy-making functions for the Company. For purposes of clarity, the term “Executive Officer” shall include, at a minimum, any executive officers of the Company identified pursuant to 17 CFR § 229.401(b).</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Financial Reporting Measure”</w:t>
      </w:r>
      <w:r>
        <w:rPr>
          <w:color w:val="000000"/>
        </w:rPr>
        <w:t xml:space="preserve"> </w:t>
      </w:r>
      <w:r>
        <w:rPr>
          <w:rFonts w:ascii="Times New Roman;sans-serif" w:hAnsi="Times New Roman;sans-serif"/>
          <w:b w:val="false"/>
          <w:color w:val="000000"/>
          <w:sz w:val="22"/>
        </w:rPr>
        <w:t>means a measure that is determined and presented in accordance with the accounting principles used in preparing the Company’s financial statements (including “non-GAAP” financial measures, such as those appearing in earnings releases), and any measure that is derived wholly or in part from such measure. Stock price and total shareholder return (“</w:t>
      </w:r>
      <w:r>
        <w:rPr>
          <w:rFonts w:ascii="Times New Roman;sans-serif" w:hAnsi="Times New Roman;sans-serif"/>
          <w:b/>
          <w:color w:val="000000"/>
          <w:sz w:val="22"/>
        </w:rPr>
        <w:t>TSR</w:t>
      </w:r>
      <w:r>
        <w:rPr>
          <w:color w:val="000000"/>
        </w:rPr>
        <w:t>”</w:t>
      </w:r>
      <w:r>
        <w:rPr>
          <w:rFonts w:ascii="Times New Roman;sans-serif" w:hAnsi="Times New Roman;sans-serif"/>
          <w:b w:val="false"/>
          <w:color w:val="000000"/>
          <w:sz w:val="22"/>
        </w:rPr>
        <w:t>) are Financial Reporting Measures. Examples of additional Financial Reporting Measures include measures based on: revenues, net income, operating income, financial ratios, EBITDA, liquidity measures, return measures (such as return on assets), or profitability of one or more segments. For the avoidance of doubt, a Financial Reporting Measure need not be presented within the Company’s financial statements or included in a filing made by the Company with the SEC.</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Impracticable”</w:t>
      </w:r>
      <w:r>
        <w:rPr>
          <w:color w:val="000000"/>
        </w:rPr>
        <w:t xml:space="preserve"> </w:t>
      </w:r>
      <w:r>
        <w:rPr>
          <w:rFonts w:ascii="Times New Roman;sans-serif" w:hAnsi="Times New Roman;sans-serif"/>
          <w:b w:val="false"/>
          <w:color w:val="000000"/>
          <w:sz w:val="22"/>
        </w:rPr>
        <w:t>means, after exercising a normal due process review of all the relevant facts and circumstances and taking all steps required by Exchange Act Rule 10D-1 and any applicable exchange listing standard, the Administrator determines that recovery of the Incentive-Based Compensation is impracticable because: (i) it has determined that the direct expense that the Company would pay to a third party to assist in recovering the Incentive-Based Compensation would exceed the amount to be recovered; (ii) it has concluded that the recovery of the Incentive-Based Compensation would violate home country law adopted prior to November 28, 2022; or (iii) it has determined that the recovery of Incentive-Based Compensation would cause a tax-qualified retirement plan, under which benefits are broadly available to the Company’s employees, to fail to meet the requirements of 26 U.S.C. 401(a)(13) or 26 U.S.C. 411(a) and regulations thereunder.</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Incentive-Based Compensation”</w:t>
      </w:r>
      <w:r>
        <w:rPr>
          <w:color w:val="000000"/>
        </w:rPr>
        <w:t xml:space="preserve"> </w:t>
      </w:r>
      <w:r>
        <w:rPr>
          <w:rFonts w:ascii="Times New Roman;sans-serif" w:hAnsi="Times New Roman;sans-serif"/>
          <w:b w:val="false"/>
          <w:color w:val="000000"/>
          <w:sz w:val="22"/>
        </w:rPr>
        <w:t xml:space="preserve">includes any compensation that is granted, earned, or vested based wholly or in part upon the attainment of a Financial Reporting Measure; however it does not include: (i) base salaries; (ii) discretionary cash bonuses; (iii) awards (either cash or equity) that are based upon subjective, strategic or operational standards; and (iv) equity awards that vest solely on the passage of time. </w:t>
      </w:r>
    </w:p>
    <w:p>
      <w:pPr>
        <w:pStyle w:val="TextBody"/>
        <w:bidi w:val="0"/>
        <w:spacing w:before="0" w:after="0"/>
        <w:ind w:left="0" w:right="0" w:firstLine="720"/>
        <w:jc w:val="left"/>
        <w:rPr/>
      </w:pPr>
      <w:r>
        <w:rPr/>
      </w:r>
    </w:p>
    <w:p>
      <w:pPr>
        <w:pStyle w:val="TextBody"/>
        <w:bidi w:val="0"/>
        <w:spacing w:lineRule="auto" w:line="240"/>
        <w:ind w:left="0" w:right="0" w:firstLine="720"/>
        <w:jc w:val="both"/>
        <w:rPr/>
      </w:pPr>
      <w:r>
        <w:rPr>
          <w:color w:val="000000"/>
        </w:rPr>
        <w:t>“</w:t>
      </w:r>
      <w:r>
        <w:rPr>
          <w:rFonts w:ascii="Times New Roman;sans-serif" w:hAnsi="Times New Roman;sans-serif"/>
          <w:b/>
          <w:color w:val="000000"/>
          <w:sz w:val="22"/>
        </w:rPr>
        <w:t xml:space="preserve">Received” – </w:t>
      </w:r>
      <w:r>
        <w:rPr>
          <w:rFonts w:ascii="Times New Roman;sans-serif" w:hAnsi="Times New Roman;sans-serif"/>
          <w:b w:val="false"/>
          <w:color w:val="000000"/>
          <w:sz w:val="22"/>
        </w:rPr>
        <w:t xml:space="preserve">Incentive-Based Compensation is deemed “Received” in any Company fiscal period during which the Financial Reporting Measure specified in the Incentive-Based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0"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award is attained, even if the payment or grant of the Incentive-Based Compensation occurs after the end of that period.</w:t>
      </w:r>
      <w:r>
        <w:rPr>
          <w:color w:val="FF0000"/>
        </w:rPr>
        <w:t xml:space="preserve">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pPr>
      <w:r>
        <w:rPr>
          <w:color w:val="000000"/>
        </w:rPr>
        <w:t>“</w:t>
      </w:r>
      <w:r>
        <w:rPr>
          <w:rFonts w:ascii="Times New Roman;sans-serif" w:hAnsi="Times New Roman;sans-serif"/>
          <w:b/>
          <w:color w:val="000000"/>
          <w:sz w:val="22"/>
        </w:rPr>
        <w:t>Recoverable Compensation”</w:t>
      </w:r>
      <w:r>
        <w:rPr>
          <w:color w:val="000000"/>
        </w:rPr>
        <w:t xml:space="preserve"> </w:t>
      </w:r>
      <w:r>
        <w:rPr>
          <w:rFonts w:ascii="Times New Roman;sans-serif" w:hAnsi="Times New Roman;sans-serif"/>
          <w:b w:val="false"/>
          <w:color w:val="000000"/>
          <w:sz w:val="22"/>
        </w:rPr>
        <w:t>means all Incentive-Based Compensation (calculated on a pre-tax basis) Received on or after October 2, 2023 by a person: (i) after beginning service as an Executive Officer; (ii) who served as an Executive Officer at any time during the performance period for that Incentive-Based Compensation; (iii) while the Company has or had a class of securities listed on a national securities exchange or national securities association; and (iv) during the Applicable Period, that exceeds or exceeded the amount of Incentive-Based Compensation that otherwise would have been Received had the amount been determined based on the Financial Reporting Measures, as reflected in the Restatement. With respect to Incentive-Based Compensation based on stock price or TSR, when the amount of erroneously awarded compensation is not subject to mathematical recalculation directly from the information in a Restatement, the amount must be based on a reasonable estimate of the effect of the Restatement on the stock price or TSR upon which the Incentive-Based Compensation was Received.</w:t>
      </w:r>
    </w:p>
    <w:p>
      <w:pPr>
        <w:pStyle w:val="TextBody"/>
        <w:bidi w:val="0"/>
        <w:spacing w:before="0" w:after="0"/>
        <w:ind w:left="0" w:right="0" w:firstLine="720"/>
        <w:jc w:val="left"/>
        <w:rPr/>
      </w:pPr>
      <w:r>
        <w:rPr/>
      </w:r>
    </w:p>
    <w:p>
      <w:pPr>
        <w:pStyle w:val="TextBody"/>
        <w:bidi w:val="0"/>
        <w:spacing w:lineRule="auto" w:line="240"/>
        <w:ind w:left="0" w:right="0" w:firstLine="720"/>
        <w:jc w:val="both"/>
        <w:rPr/>
      </w:pPr>
      <w:r>
        <w:rPr>
          <w:color w:val="000000"/>
        </w:rPr>
        <w:t>“</w:t>
      </w:r>
      <w:r>
        <w:rPr>
          <w:rFonts w:ascii="Times New Roman;sans-serif" w:hAnsi="Times New Roman;sans-serif"/>
          <w:b/>
          <w:color w:val="000000"/>
          <w:sz w:val="22"/>
        </w:rPr>
        <w:t xml:space="preserve">Restatement” </w:t>
      </w:r>
      <w:r>
        <w:rPr>
          <w:rFonts w:ascii="Times New Roman;sans-serif" w:hAnsi="Times New Roman;sans-serif"/>
          <w:b w:val="false"/>
          <w:color w:val="000000"/>
          <w:sz w:val="22"/>
        </w:rPr>
        <w:t>means an accounting restatement of any of the Company’s financial statements due to the Company’s material noncompliance with any financial reporting requirement under U.S. securities laws, including any required accounting restatement to correct an error in previously issued financial statements that is material to the previously issued financial statements (often referred to as a “Big R” restatement), or that would result in a material misstatement if the error were corrected in the current period or left uncorrected in the current period (often referred to as a “little r” restatement). As of the effective date of this Policy (but subject to changes that may occur in accounting principles and rules following the effective date), a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 amounts in connection with a prior business combination; and (vi) revision for stock splits, stock dividends, reverse stock splits or other changes in capital structure.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firstLine="720"/>
        <w:jc w:val="right"/>
        <w:rPr/>
      </w:pPr>
      <w:r>
        <w:rPr/>
        <w:drawing>
          <wp:inline distT="0" distB="0" distL="0" distR="0">
            <wp:extent cx="6400800" cy="685800"/>
            <wp:effectExtent l="0" t="0" r="0" b="0"/>
            <wp:docPr id="18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3" descr=""/>
                    <pic:cNvPicPr>
                      <a:picLocks noChangeAspect="1" noChangeArrowheads="1"/>
                    </pic:cNvPicPr>
                  </pic:nvPicPr>
                  <pic:blipFill>
                    <a:blip r:embed="rId121"/>
                    <a:stretch>
                      <a:fillRect/>
                    </a:stretch>
                  </pic:blipFill>
                  <pic:spPr bwMode="auto">
                    <a:xfrm>
                      <a:off x="0" y="0"/>
                      <a:ext cx="6400800" cy="685800"/>
                    </a:xfrm>
                    <a:prstGeom prst="rect">
                      <a:avLst/>
                    </a:prstGeom>
                  </pic:spPr>
                </pic:pic>
              </a:graphicData>
            </a:graphic>
          </wp:inline>
        </w:drawing>
      </w:r>
      <w:r>
        <w:rPr>
          <w:rFonts w:ascii="Arial;sans-serif" w:hAnsi="Arial;sans-serif"/>
          <w:b/>
          <w:color w:val="000000"/>
          <w:sz w:val="20"/>
        </w:rPr>
        <w:t>Exhibit 99.1</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2"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February 13,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California Resources Corporation</w: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1 World Trade Center, Suite 1500</w: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Long Beach, California 90831</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In accordance with your request, we have audited the estimates prepared by California Resources Corporation (CRC), as of December 31, 2023, of the proved reserves to the CRC interest in certain oil and gas properties located in California. The scope of our work did not include auditing the future net revenue associated with these reserves. It is our understanding that the proved reserves estimates shown herein constitute approximately 88 percent of all proved reserves owned by CRC. Economic analysis was performed by CRC only to confirm economic producibility and determine economic limits for the properties. We have examined the estimates with respect to reserves quantities, reserves categorization, future producing rates, and economic producibility, using the definitions set forth in U.S. Securities and Exchange Commission (SEC) Regulation S-X Rule 4-10(a). The estimates of reserves have been prepared in accordance with the definitions and regulations of the SEC and conform to the FASB Accounting Standards Codification Topic 932, Extractive Activities—Oil and Gas. We completed our audit on or about the date of this letter. This report has been prepared for CRC's use in filing with the SEC; in our opinion the assumptions, data, methods, and procedures used in the preparation of this report are appropriate for such purpose.</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It is our understanding that various local and state governmental entities in the state of California have proposed or recently adopted new policies, such as California Senate Bill 1137, that may affect future production and development of oil and gas reserves within the state; therefore, the estimates shown in this report do not include any volumes associated with undeveloped locations affected by these policies.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following table sets forth CRC's estimates of the net reserves, as of December 31, 2023, for the audited properties:</w:t>
      </w:r>
    </w:p>
    <w:p>
      <w:pPr>
        <w:pStyle w:val="TextBody"/>
        <w:bidi w:val="0"/>
        <w:spacing w:before="0" w:after="0"/>
        <w:jc w:val="both"/>
        <w:rPr/>
      </w:pPr>
      <w:r>
        <w:rPr/>
      </w:r>
    </w:p>
    <w:tbl>
      <w:tblPr>
        <w:tblW w:w="6849" w:type="dxa"/>
        <w:jc w:val="left"/>
        <w:tblInd w:w="0" w:type="dxa"/>
        <w:tblLayout w:type="fixed"/>
        <w:tblCellMar>
          <w:top w:w="28" w:type="dxa"/>
          <w:left w:w="28" w:type="dxa"/>
          <w:bottom w:w="28" w:type="dxa"/>
          <w:right w:w="28" w:type="dxa"/>
        </w:tblCellMar>
      </w:tblPr>
      <w:tblGrid>
        <w:gridCol w:w="1099"/>
        <w:gridCol w:w="970"/>
        <w:gridCol w:w="976"/>
        <w:gridCol w:w="109"/>
        <w:gridCol w:w="109"/>
        <w:gridCol w:w="109"/>
        <w:gridCol w:w="318"/>
        <w:gridCol w:w="318"/>
        <w:gridCol w:w="325"/>
        <w:gridCol w:w="109"/>
        <w:gridCol w:w="109"/>
        <w:gridCol w:w="109"/>
        <w:gridCol w:w="283"/>
        <w:gridCol w:w="283"/>
        <w:gridCol w:w="290"/>
        <w:gridCol w:w="109"/>
        <w:gridCol w:w="109"/>
        <w:gridCol w:w="109"/>
        <w:gridCol w:w="293"/>
        <w:gridCol w:w="293"/>
        <w:gridCol w:w="420"/>
      </w:tblGrid>
      <w:tr>
        <w:trPr/>
        <w:tc>
          <w:tcPr>
            <w:tcW w:w="109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Net Reserves</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Oil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NGL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Gas</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(MMCF)</w:t>
            </w:r>
          </w:p>
        </w:tc>
      </w:tr>
      <w:tr>
        <w:trPr/>
        <w:tc>
          <w:tcPr>
            <w:tcW w:w="30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Proved Developed Producing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161,978.8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30,647.1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345,033.9</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Proved Developed Non-Producing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28,535.2</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Proved Undeveloped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66,788.4</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Total Proved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225,561.7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33,493.5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440,357.5</w:t>
            </w:r>
          </w:p>
        </w:tc>
      </w:tr>
    </w:tbl>
    <w:p>
      <w:pPr>
        <w:pStyle w:val="TextBody"/>
        <w:bidi w:val="0"/>
        <w:spacing w:before="0" w:after="0"/>
        <w:jc w:val="both"/>
        <w:rPr/>
      </w:pPr>
      <w:r>
        <w:rPr/>
      </w:r>
    </w:p>
    <w:p>
      <w:pPr>
        <w:pStyle w:val="TextBody"/>
        <w:bidi w:val="0"/>
        <w:spacing w:lineRule="auto" w:line="240" w:before="0" w:after="0"/>
        <w:ind w:left="0" w:right="0" w:firstLine="810"/>
        <w:jc w:val="both"/>
        <w:rPr>
          <w:rFonts w:ascii="Arial;sans-serif" w:hAnsi="Arial;sans-serif"/>
          <w:b w:val="false"/>
          <w:i/>
          <w:color w:val="000000"/>
          <w:sz w:val="14"/>
        </w:rPr>
      </w:pPr>
      <w:r>
        <w:rPr>
          <w:rFonts w:ascii="Arial;sans-serif" w:hAnsi="Arial;sans-serif"/>
          <w:b w:val="false"/>
          <w:i/>
          <w:color w:val="000000"/>
          <w:sz w:val="14"/>
        </w:rPr>
        <w:t>Totals may not add because of rounding.</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When compared on a field-by-field basis, some of the estimates of CRC are greater and some are less than the estimates of Netherland, Sewell &amp; Associates, Inc. (NSAI). However, in our opinion the estimates shown herein of CRC's reserves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CRC in preparing the December 31, 2023, estimates of reserves, and we saw nothing of an unusual nature that would cause us to take exception with the estimates, in the aggregate, as prepared by CRC.</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Reserves categorization conveys the relative degree of certainty; reserves subcategorization is based on development and production status. The estimates of reserves included herein have not been adjusted for risk. CRC's estimates do not include probable or possible reserves that may exist for these properties. </w:t>
      </w:r>
    </w:p>
    <w:p>
      <w:pPr>
        <w:pStyle w:val="TextBody"/>
        <w:bidi w:val="0"/>
        <w:jc w:val="both"/>
        <w:rPr/>
      </w:pPr>
      <w:r>
        <w:rPr/>
      </w:r>
    </w:p>
    <w:p>
      <w:pPr>
        <w:pStyle w:val="TextBody"/>
        <w:bidi w:val="0"/>
        <w:spacing w:before="0" w:after="0"/>
        <w:jc w:val="left"/>
        <w:rPr/>
      </w:pPr>
      <w:r>
        <w:rPr/>
        <w:drawing>
          <wp:inline distT="0" distB="0" distL="0" distR="0">
            <wp:extent cx="7810500" cy="904875"/>
            <wp:effectExtent l="0" t="0" r="0" b="0"/>
            <wp:docPr id="18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4" descr=""/>
                    <pic:cNvPicPr>
                      <a:picLocks noChangeAspect="1" noChangeArrowheads="1"/>
                    </pic:cNvPicPr>
                  </pic:nvPicPr>
                  <pic:blipFill>
                    <a:blip r:embed="rId122"/>
                    <a:stretch>
                      <a:fillRect/>
                    </a:stretch>
                  </pic:blipFill>
                  <pic:spPr bwMode="auto">
                    <a:xfrm>
                      <a:off x="0" y="0"/>
                      <a:ext cx="7810500" cy="904875"/>
                    </a:xfrm>
                    <a:prstGeom prst="rect">
                      <a:avLst/>
                    </a:prstGeom>
                  </pic:spPr>
                </pic:pic>
              </a:graphicData>
            </a:graphic>
          </wp:inline>
        </w:drawing>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4"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Oil, NGL, and gas prices were used only to confirm economic producibility and determine economic limits for the properties. Prices used by CRC are based on the 12-month unweighted arithmetic average of the first-day-of-the-month price for each month in the period January through December 2023. For oil and NGL volumes, the average Brent spot price of $82.84 per barrel is adjusted for quality, transportation fees, and market differentials. For gas volumes, the average Henry Hub spot price of $2.64 per MMBTU is adjusted for energy content, transportation fees, and market differentials. All prices are held constant throughout the lives of the properties. The average adjusted product prices weighted by production over the remaining lives of the properties are $80.89 per barrel of oil, $50.04 per barrel of NGL, and $4.47 per MCF of gas.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Costs were used only to confirm economic producibility and determine economic limits for the properties. Operating costs used by CRC are based on historical operating expense records. These costs include the per-well overhead expenses allowed under joint operating agreements along with estimates of costs to be incurred at and below the district and field levels. Operating costs have been divided into field-level costs, per-well costs, and per-unit-of-production costs. Headquarters general and administrative overhead expenses of CRC are included to the extent that they are covered under joint operating agreements for the operated properties. Capital costs used by CRC are based on authorizations for expenditure and actual costs from recent activity. Capital costs are included as required for workovers, new development wells, and production equipment. Abandonment costs used are CRC's estimates of the costs to abandon the wells and production facilities, net of any salvage value. Operating, capital, and abandonment costs are not escalated for inflation.</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CRC and NSAI are based on certain assumptions including, but not limited to, that the properties will be developed consistent with current development plans as provided to us by CRC,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used to confirm economic producibility and determine economic limits for the properties. Because of governmental policies and uncertainties of supply and demand, the sales rates, prices received for the reserves, and costs incurred in recovering such reserves may vary from assumptions made while preparing these estimates. </w:t>
      </w:r>
    </w:p>
    <w:p>
      <w:pPr>
        <w:pStyle w:val="TextBody"/>
        <w:bidi w:val="0"/>
        <w:spacing w:before="0" w:after="0"/>
        <w:jc w:val="both"/>
        <w:rPr/>
      </w:pPr>
      <w:r>
        <w:rPr/>
      </w:r>
    </w:p>
    <w:p>
      <w:pPr>
        <w:pStyle w:val="TextBody"/>
        <w:bidi w:val="0"/>
        <w:spacing w:lineRule="auto" w:line="240" w:before="0" w:after="240"/>
        <w:jc w:val="both"/>
        <w:rPr>
          <w:rFonts w:ascii="Arial;sans-serif" w:hAnsi="Arial;sans-serif"/>
          <w:b w:val="false"/>
          <w:color w:val="000000"/>
          <w:sz w:val="20"/>
        </w:rPr>
      </w:pPr>
      <w:r>
        <w:rPr>
          <w:rFonts w:ascii="Arial;sans-serif" w:hAnsi="Arial;sans-serif"/>
          <w:b w:val="false"/>
          <w:color w:val="000000"/>
          <w:sz w:val="20"/>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CRC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CRC's overall reserves management processes and practices.</w: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We used standard engineering and geoscience methods, or a combination of methods, including performance analysis, volumetric analysis, analogy, and reservoir modeling,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Supporting data documenting this audit, along with data provided by CRC, are on file in our office. The technical persons primarily responsible for conducting this audit meet the requirements regarding qualifications, independence, objectivity, and confidentiality set forth in the SPE Standards. C. Ashley Smith, a Licensed Professional Engineer in the State of Texas, has been practicing consulting petroleum engineering at NSAI since 2006 and has over 5 years of prior industry experience. Edward C. Roy III, a Licensed Professional Geoscientist in the State of Texas, has been practicing consulting petroleum geoscience at NSAI since 2008 and has over 11 years of prior industry experience. We are independent petroleum engineers, geologists, geophysicists, and petrophysicists; we do not own an interest in these properties nor are we employed on a contingent basis.</w:t>
      </w:r>
    </w:p>
    <w:p>
      <w:pPr>
        <w:pStyle w:val="TextBody"/>
        <w:bidi w:val="0"/>
        <w:spacing w:before="0" w:after="0"/>
        <w:jc w:val="center"/>
        <w:rPr/>
      </w:pPr>
      <w:r>
        <w:rPr/>
      </w:r>
    </w:p>
    <w:p>
      <w:pPr>
        <w:pStyle w:val="TextBody"/>
        <w:bidi w:val="0"/>
        <w:spacing w:lineRule="auto" w:line="240"/>
        <w:jc w:val="both"/>
        <w:rPr>
          <w:color w:val="000000"/>
        </w:rPr>
      </w:pPr>
      <w:r>
        <w:rPr>
          <w:color w:val="000000"/>
        </w:rPr>
        <w:t>    </w:t>
      </w:r>
    </w:p>
    <w:p>
      <w:pPr>
        <w:pStyle w:val="TextBody"/>
        <w:bidi w:val="0"/>
        <w:spacing w:before="0" w:after="0"/>
        <w:jc w:val="left"/>
        <w:rPr/>
      </w:pPr>
      <w:r>
        <w:rPr/>
        <w:drawing>
          <wp:inline distT="0" distB="0" distL="0" distR="0">
            <wp:extent cx="7810500" cy="904875"/>
            <wp:effectExtent l="0" t="0" r="0" b="0"/>
            <wp:docPr id="18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5" descr=""/>
                    <pic:cNvPicPr>
                      <a:picLocks noChangeAspect="1" noChangeArrowheads="1"/>
                    </pic:cNvPicPr>
                  </pic:nvPicPr>
                  <pic:blipFill>
                    <a:blip r:embed="rId123"/>
                    <a:stretch>
                      <a:fillRect/>
                    </a:stretch>
                  </pic:blipFill>
                  <pic:spPr bwMode="auto">
                    <a:xfrm>
                      <a:off x="0" y="0"/>
                      <a:ext cx="7810500" cy="904875"/>
                    </a:xfrm>
                    <a:prstGeom prst="rect">
                      <a:avLst/>
                    </a:prstGeom>
                  </pic:spPr>
                </pic:pic>
              </a:graphicData>
            </a:graphic>
          </wp:inline>
        </w:drawing>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color w:val="000000"/>
                        </w:rPr>
                      </w:pPr>
                      <w:r>
                        <w:rPr>
                          <w:color w:val="000000"/>
                        </w:rPr>
                        <w:t>    </w:t>
                      </w:r>
                    </w:p>
                  </w:txbxContent>
                </v:textbox>
                <w10:wrap type="none"/>
              </v:rect>
            </w:pict>
          </mc:Fallback>
        </mc:AlternateContent>
      </w:r>
    </w:p>
    <w:p>
      <w:pPr>
        <w:pStyle w:val="TextBody"/>
        <w:bidi w:val="0"/>
        <w:spacing w:lineRule="auto" w:line="240"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Arial;sans-serif" w:hAnsi="Arial;sans-serif"/>
          <w:b/>
          <w:color w:val="000000"/>
          <w:sz w:val="20"/>
        </w:rPr>
        <w:t>NETHERLAND, SEWELL &amp; ASSOCIATES, INC.</w:t>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Texas Registered Engineering Firm F-2699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/s/ Richard B. Talley, Jr.</w:t>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By:        </w:t>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Richard B. Talley, Jr., P.E.</w:t>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/s/ C. Ashley Smith        /s/ Edward C. Roy III</w:t>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By:            By:        </w:t>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C. Ashley Smith, P.E. 100560        Edward C. Roy III, P.G. 2364</w:t>
      </w:r>
    </w:p>
    <w:p>
      <w:pPr>
        <w:pStyle w:val="TextBody"/>
        <w:bidi w:val="0"/>
        <w:spacing w:lineRule="auto" w:line="240" w:before="0" w:after="0"/>
        <w:jc w:val="both"/>
        <w:rPr>
          <w:color w:val="000000"/>
        </w:rPr>
      </w:pPr>
      <w:r>
        <w:rPr>
          <w:color w:val="000000"/>
        </w:rPr>
        <w:t>    </w:t>
      </w:r>
      <w:r>
        <w:rPr>
          <w:rFonts w:ascii="Arial;sans-serif" w:hAnsi="Arial;sans-serif"/>
          <w:b w:val="false"/>
          <w:color w:val="000000"/>
          <w:sz w:val="20"/>
        </w:rPr>
        <w:t>Vice President        Vice President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Signed: February 13, 2024    Date Signed: February 13,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jc w:val="both"/>
        <w:rPr>
          <w:rFonts w:ascii="Arial;sans-serif" w:hAnsi="Arial;sans-serif"/>
          <w:b w:val="false"/>
          <w:color w:val="000000"/>
          <w:sz w:val="20"/>
        </w:rPr>
      </w:pPr>
      <w:r>
        <w:rPr>
          <w:rFonts w:ascii="Arial;sans-serif" w:hAnsi="Arial;sans-serif"/>
          <w:b w:val="false"/>
          <w:color w:val="000000"/>
          <w:sz w:val="20"/>
        </w:rPr>
        <w:t>CAS:MSS</w:t>
      </w:r>
    </w:p>
    <w:p>
      <w:pPr>
        <w:pStyle w:val="TextBody"/>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609253/000110465914084170/a14-25233_1ex2d1.htm" TargetMode="External"/><Relationship Id="rId4" Type="http://schemas.openxmlformats.org/officeDocument/2006/relationships/hyperlink" Target="http://www.sec.gov/Archives/edgar/data/1609253/000160925320000133/a20201013exhibit991.htm" TargetMode="External"/><Relationship Id="rId5" Type="http://schemas.openxmlformats.org/officeDocument/2006/relationships/hyperlink" Target="http://www.sec.gov/Archives/edgar/data/1609253/000160925324000020/a20240207exhibit101.htm" TargetMode="External"/><Relationship Id="rId6" Type="http://schemas.openxmlformats.org/officeDocument/2006/relationships/hyperlink" Target="http://www.sec.gov/Archives/edgar/data/1609253/000160925324000020/a20240207exhibit101.htm" TargetMode="External"/><Relationship Id="rId7" Type="http://schemas.openxmlformats.org/officeDocument/2006/relationships/hyperlink" Target="http://www.sec.gov/Archives/edgar/data/1609253/000160925324000020/a20240207exhibit101.htm" TargetMode="External"/><Relationship Id="rId8" Type="http://schemas.openxmlformats.org/officeDocument/2006/relationships/hyperlink" Target="http://www.sec.gov/Archives/edgar/data/1609253/000160925324000020/a20240207exhibit101.htm" TargetMode="External"/><Relationship Id="rId9" Type="http://schemas.openxmlformats.org/officeDocument/2006/relationships/hyperlink" Target="http://www.sec.gov/Archives/edgar/data/1609253/000160925324000020/a20240207exhibit101.htm" TargetMode="External"/><Relationship Id="rId10" Type="http://schemas.openxmlformats.org/officeDocument/2006/relationships/hyperlink" Target="http://www.sec.gov/Archives/edgar/data/1609253/000160925324000020/a20240207exhibit101.htm" TargetMode="External"/><Relationship Id="rId11" Type="http://schemas.openxmlformats.org/officeDocument/2006/relationships/hyperlink" Target="http://www.sec.gov/Archives/edgar/data/1609253/000160925324000020/a20240207exhibit101.htm" TargetMode="External"/><Relationship Id="rId12" Type="http://schemas.openxmlformats.org/officeDocument/2006/relationships/hyperlink" Target="http://www.sec.gov/Archives/edgar/data/1609253/000160925324000020/a20240207exhibit101.htm" TargetMode="External"/><Relationship Id="rId13" Type="http://schemas.openxmlformats.org/officeDocument/2006/relationships/hyperlink" Target="http://www.sec.gov/Archives/edgar/data/1609253/000160925324000020/a20240207exhibit101.htm" TargetMode="External"/><Relationship Id="rId14" Type="http://schemas.openxmlformats.org/officeDocument/2006/relationships/hyperlink" Target="http://www.sec.gov/Archives/edgar/data/1609253/000160925324000020/a20240207exhibit101.htm" TargetMode="External"/><Relationship Id="rId15" Type="http://schemas.openxmlformats.org/officeDocument/2006/relationships/hyperlink" Target="http://www.sec.gov/Archives/edgar/data/1609253/000160925324000020/a20240207exhibit101.htm" TargetMode="External"/><Relationship Id="rId16" Type="http://schemas.openxmlformats.org/officeDocument/2006/relationships/hyperlink" Target="http://www.sec.gov/Archives/edgar/data/1609253/000160925324000020/a20240207exhibit101.htm" TargetMode="External"/><Relationship Id="rId17" Type="http://schemas.openxmlformats.org/officeDocument/2006/relationships/hyperlink" Target="http://www.sec.gov/Archives/edgar/data/1609253/000160925320000137/a8aex31.htm" TargetMode="External"/><Relationship Id="rId18" Type="http://schemas.openxmlformats.org/officeDocument/2006/relationships/hyperlink" Target="http://www.sec.gov/Archives/edgar/data/1609253/000160925322000036/a20220504ex31.htm" TargetMode="External"/><Relationship Id="rId19" Type="http://schemas.openxmlformats.org/officeDocument/2006/relationships/hyperlink" Target="http://www.sec.gov/Archives/edgar/data/1609253/000160925322000036/a20220504ex31.htm" TargetMode="External"/><Relationship Id="rId20" Type="http://schemas.openxmlformats.org/officeDocument/2006/relationships/hyperlink" Target="http://www.sec.gov/Archives/edgar/data/1609253/000160925322000036/a20220504ex31.htm" TargetMode="External"/><Relationship Id="rId21" Type="http://schemas.openxmlformats.org/officeDocument/2006/relationships/hyperlink" Target="http://www.sec.gov/Archives/edgar/data/1609253/000160925323000034/a20230428exhibit31.htm" TargetMode="External"/><Relationship Id="rId22" Type="http://schemas.openxmlformats.org/officeDocument/2006/relationships/hyperlink" Target="http://www.sec.gov/Archives/edgar/data/1609253/000160925320000137/a8aex32.htm" TargetMode="External"/><Relationship Id="rId23" Type="http://schemas.openxmlformats.org/officeDocument/2006/relationships/hyperlink" Target="https://www.sec.gov/Archives/edgar/data/1609253/000160925321000047/a2020yeex41descriptionofca.htm" TargetMode="External"/><Relationship Id="rId24" Type="http://schemas.openxmlformats.org/officeDocument/2006/relationships/hyperlink" Target="http://www.sec.gov/Archives/edgar/data/1609253/000160925321000010/a20200120ex41.htm" TargetMode="External"/><Relationship Id="rId25" Type="http://schemas.openxmlformats.org/officeDocument/2006/relationships/hyperlink" Target="http://www.sec.gov/Archives/edgar/data/1609253/000160925321000010/a20200120ex42.htm" TargetMode="External"/><Relationship Id="rId26" Type="http://schemas.openxmlformats.org/officeDocument/2006/relationships/hyperlink" Target="http://www.sec.gov/Archives/edgar/data/1609253/000104746914007128/a2220803zex-10_12.htm" TargetMode="External"/><Relationship Id="rId27" Type="http://schemas.openxmlformats.org/officeDocument/2006/relationships/hyperlink" Target="http://www.sec.gov/Archives/edgar/data/1609253/000104746914007128/a2220803zex-10_10.htm" TargetMode="External"/><Relationship Id="rId28" Type="http://schemas.openxmlformats.org/officeDocument/2006/relationships/hyperlink" Target="http://www.sec.gov/Archives/edgar/data/1609253/000104746914007128/a2220803zex-10_11.htm" TargetMode="External"/><Relationship Id="rId29" Type="http://schemas.openxmlformats.org/officeDocument/2006/relationships/hyperlink" Target="http://www.sec.gov/Archives/edgar/data/1609253/000110465914084170/a14-25233_1ex10d7.htm" TargetMode="External"/><Relationship Id="rId30" Type="http://schemas.openxmlformats.org/officeDocument/2006/relationships/hyperlink" Target="http://www.sec.gov/Archives/edgar/data/1609253/000110465914084170/a14-25233_1ex10d5.htm" TargetMode="External"/><Relationship Id="rId31" Type="http://schemas.openxmlformats.org/officeDocument/2006/relationships/hyperlink" Target="http://www.sec.gov/Archives/edgar/data/1609253/000110465914084170/a14-25233_1ex10d6.htm" TargetMode="External"/><Relationship Id="rId32" Type="http://schemas.openxmlformats.org/officeDocument/2006/relationships/hyperlink" Target="http://www.sec.gov/Archives/edgar/data/1609253/000160925320000193/a202010178kex104.htm" TargetMode="External"/><Relationship Id="rId33" Type="http://schemas.openxmlformats.org/officeDocument/2006/relationships/hyperlink" Target="http://www.sec.gov/Archives/edgar/data/1609253/000160925320000137/a8aex101.htm" TargetMode="External"/><Relationship Id="rId34" Type="http://schemas.openxmlformats.org/officeDocument/2006/relationships/hyperlink" Target="http://www.sec.gov/Archives/edgar/data/1609253/000160925323000040/a105crc-amendedandrestated.htm" TargetMode="External"/><Relationship Id="rId35" Type="http://schemas.openxmlformats.org/officeDocument/2006/relationships/hyperlink" Target="http://www.sec.gov/Archives/edgar/data/1609253/000160925323000040/a105crc-amendedandrestated.htm" TargetMode="External"/><Relationship Id="rId36" Type="http://schemas.openxmlformats.org/officeDocument/2006/relationships/hyperlink" Target="http://www.sec.gov/Archives/edgar/data/1609253/000160925323000040/a105crc-amendedandrestated.htm" TargetMode="External"/><Relationship Id="rId37" Type="http://schemas.openxmlformats.org/officeDocument/2006/relationships/hyperlink" Target="http://www.sec.gov/Archives/edgar/data/1609253/000160925323000040/a105crc-amendedandrestated.htm" TargetMode="External"/><Relationship Id="rId38" Type="http://schemas.openxmlformats.org/officeDocument/2006/relationships/hyperlink" Target="http://www.sec.gov/Archives/edgar/data/1609253/000160925323000040/a105crc-amendedandrestated.htm" TargetMode="External"/><Relationship Id="rId39" Type="http://schemas.openxmlformats.org/officeDocument/2006/relationships/hyperlink" Target="http://www.sec.gov/Archives/edgar/data/1609253/000160925323000040/a105crc-amendedandrestated.htm" TargetMode="External"/><Relationship Id="rId40" Type="http://schemas.openxmlformats.org/officeDocument/2006/relationships/hyperlink" Target="http://www.sec.gov/Archives/edgar/data/1609253/000160925323000040/a105crc-amendedandrestated.htm" TargetMode="External"/><Relationship Id="rId41" Type="http://schemas.openxmlformats.org/officeDocument/2006/relationships/hyperlink" Target="http://www.sec.gov/Archives/edgar/data/1609253/000160925323000040/a105crc-amendedandrestated.htm" TargetMode="External"/><Relationship Id="rId42" Type="http://schemas.openxmlformats.org/officeDocument/2006/relationships/hyperlink" Target="http://www.sec.gov/Archives/edgar/data/1609253/000160925323000040/a105crc-amendedandrestated.htm" TargetMode="External"/><Relationship Id="rId43" Type="http://schemas.openxmlformats.org/officeDocument/2006/relationships/hyperlink" Target="http://www.sec.gov/Archives/edgar/data/1609253/000160925323000040/a105crc-amendedandrestated.htm" TargetMode="External"/><Relationship Id="rId44" Type="http://schemas.openxmlformats.org/officeDocument/2006/relationships/hyperlink" Target="http://www.sec.gov/Archives/edgar/data/1609253/000160925323000040/a105crc-amendedandrestated.htm" TargetMode="External"/><Relationship Id="rId45" Type="http://schemas.openxmlformats.org/officeDocument/2006/relationships/hyperlink" Target="http://www.sec.gov/Archives/edgar/data/1609253/000160925323000040/a105crc-amendedandrestated.htm" TargetMode="External"/><Relationship Id="rId46" Type="http://schemas.openxmlformats.org/officeDocument/2006/relationships/hyperlink" Target="http://www.sec.gov/Archives/edgar/data/1609253/000160925323000040/a105crc-amendedandrestated.htm" TargetMode="External"/><Relationship Id="rId47" Type="http://schemas.openxmlformats.org/officeDocument/2006/relationships/hyperlink" Target="http://www.sec.gov/Archives/edgar/data/1609253/000160925323000040/a105crc-amendedandrestated.htm" TargetMode="External"/><Relationship Id="rId48" Type="http://schemas.openxmlformats.org/officeDocument/2006/relationships/hyperlink" Target="http://www.sec.gov/Archives/edgar/data/1609253/000160925323000040/a105crc-amendedandrestated.htm" TargetMode="External"/><Relationship Id="rId49" Type="http://schemas.openxmlformats.org/officeDocument/2006/relationships/hyperlink" Target="http://www.sec.gov/Archives/edgar/data/1609253/000160925323000040/a105crc-amendedandrestated.htm" TargetMode="External"/><Relationship Id="rId50" Type="http://schemas.openxmlformats.org/officeDocument/2006/relationships/hyperlink" Target="http://www.sec.gov/Archives/edgar/data/1609253/000160925323000040/a105crc-amendedandrestated.htm" TargetMode="External"/><Relationship Id="rId51" Type="http://schemas.openxmlformats.org/officeDocument/2006/relationships/hyperlink" Target="http://www.sec.gov/Archives/edgar/data/1609253/000160925323000081/exhibit101crc-firstamendme.htm" TargetMode="External"/><Relationship Id="rId52" Type="http://schemas.openxmlformats.org/officeDocument/2006/relationships/hyperlink" Target="http://www.sec.gov/Archives/edgar/data/1609253/000160925323000081/exhibit101crc-firstamendme.htm" TargetMode="External"/><Relationship Id="rId53" Type="http://schemas.openxmlformats.org/officeDocument/2006/relationships/hyperlink" Target="http://www.sec.gov/Archives/edgar/data/1609253/000160925323000081/exhibit101crc-firstamendme.htm" TargetMode="External"/><Relationship Id="rId54" Type="http://schemas.openxmlformats.org/officeDocument/2006/relationships/hyperlink" Target="http://www.sec.gov/Archives/edgar/data/1609253/000160925323000081/exhibit101crc-firstamendme.htm" TargetMode="External"/><Relationship Id="rId55" Type="http://schemas.openxmlformats.org/officeDocument/2006/relationships/hyperlink" Target="http://www.sec.gov/Archives/edgar/data/1609253/000160925323000081/exhibit101crc-firstamendme.htm" TargetMode="External"/><Relationship Id="rId56" Type="http://schemas.openxmlformats.org/officeDocument/2006/relationships/hyperlink" Target="http://www.sec.gov/Archives/edgar/data/1609253/000160925323000081/exhibit101crc-firstamendme.htm" TargetMode="External"/><Relationship Id="rId57" Type="http://schemas.openxmlformats.org/officeDocument/2006/relationships/hyperlink" Target="http://www.sec.gov/Archives/edgar/data/1609253/000160925323000081/exhibit101crc-firstamendme.htm" TargetMode="External"/><Relationship Id="rId58" Type="http://schemas.openxmlformats.org/officeDocument/2006/relationships/hyperlink" Target="http://www.sec.gov/Archives/edgar/data/1609253/000160925323000081/exhibit101crc-firstamendme.htm" TargetMode="External"/><Relationship Id="rId59" Type="http://schemas.openxmlformats.org/officeDocument/2006/relationships/hyperlink" Target="http://www.sec.gov/Archives/edgar/data/1609253/000160925323000081/exhibit101crc-firstamendme.htm" TargetMode="External"/><Relationship Id="rId60" Type="http://schemas.openxmlformats.org/officeDocument/2006/relationships/hyperlink" Target="http://www.sec.gov/Archives/edgar/data/1609253/000160925323000081/exhibit101crc-firstamendme.htm" TargetMode="External"/><Relationship Id="rId61" Type="http://schemas.openxmlformats.org/officeDocument/2006/relationships/hyperlink" Target="http://www.sec.gov/Archives/edgar/data/1609253/000160925324000022/a20240209exhibit101.htm" TargetMode="External"/><Relationship Id="rId62" Type="http://schemas.openxmlformats.org/officeDocument/2006/relationships/hyperlink" Target="http://www.sec.gov/Archives/edgar/data/1609253/000160925324000022/a20240209exhibit101.htm" TargetMode="External"/><Relationship Id="rId63" Type="http://schemas.openxmlformats.org/officeDocument/2006/relationships/hyperlink" Target="http://www.sec.gov/Archives/edgar/data/1609253/000160925324000022/a20240209exhibit101.htm" TargetMode="External"/><Relationship Id="rId64" Type="http://schemas.openxmlformats.org/officeDocument/2006/relationships/hyperlink" Target="http://www.sec.gov/Archives/edgar/data/1609253/000160925324000022/a20240209exhibit101.htm" TargetMode="External"/><Relationship Id="rId65" Type="http://schemas.openxmlformats.org/officeDocument/2006/relationships/hyperlink" Target="http://www.sec.gov/Archives/edgar/data/1609253/000160925324000022/a20240209exhibit101.htm" TargetMode="External"/><Relationship Id="rId66" Type="http://schemas.openxmlformats.org/officeDocument/2006/relationships/hyperlink" Target="http://www.sec.gov/Archives/edgar/data/1609253/000160925324000022/a20240209exhibit101.htm" TargetMode="External"/><Relationship Id="rId67" Type="http://schemas.openxmlformats.org/officeDocument/2006/relationships/hyperlink" Target="http://www.sec.gov/Archives/edgar/data/1609253/000160925324000022/a20240209exhibit101.htm" TargetMode="External"/><Relationship Id="rId68" Type="http://schemas.openxmlformats.org/officeDocument/2006/relationships/hyperlink" Target="http://www.sec.gov/Archives/edgar/data/1609253/000160925324000022/a20240209exhibit101.htm" TargetMode="External"/><Relationship Id="rId69" Type="http://schemas.openxmlformats.org/officeDocument/2006/relationships/hyperlink" Target="http://www.sec.gov/Archives/edgar/data/1609253/000160925324000022/a20240209exhibit101.htm" TargetMode="External"/><Relationship Id="rId70" Type="http://schemas.openxmlformats.org/officeDocument/2006/relationships/hyperlink" Target="http://www.sec.gov/Archives/edgar/data/1609253/000160925324000022/a20240209exhibit101.htm" TargetMode="External"/><Relationship Id="rId71" Type="http://schemas.openxmlformats.org/officeDocument/2006/relationships/hyperlink" Target="http://www.sec.gov/Archives/edgar/data/1609253/000160925324000022/a20240209exhibit101.htm" TargetMode="External"/><Relationship Id="rId72" Type="http://schemas.openxmlformats.org/officeDocument/2006/relationships/hyperlink" Target="http://www.sec.gov/Archives/edgar/data/1609253/000160925324000022/a20240209exhibit101.htm" TargetMode="External"/><Relationship Id="rId73" Type="http://schemas.openxmlformats.org/officeDocument/2006/relationships/hyperlink" Target="http://www.sec.gov/Archives/edgar/data/1609253/000160925324000022/a20240209exhibit101.htm" TargetMode="External"/><Relationship Id="rId74" Type="http://schemas.openxmlformats.org/officeDocument/2006/relationships/hyperlink" Target="http://www.sec.gov/Archives/edgar/data/1609253/000160925320000141/a202010228kex101.htm" TargetMode="External"/><Relationship Id="rId75" Type="http://schemas.openxmlformats.org/officeDocument/2006/relationships/hyperlink" Target="http://www.sec.gov/Archives/edgar/data/1609253/000160925321000014/a20210118ex101.htm" TargetMode="External"/><Relationship Id="rId76" Type="http://schemas.openxmlformats.org/officeDocument/2006/relationships/hyperlink" Target="https://www.sec.gov/Archives/edgar/data/1609253/000160925321000047/a2020yeex1045rsuawardagree.htm" TargetMode="External"/><Relationship Id="rId77" Type="http://schemas.openxmlformats.org/officeDocument/2006/relationships/hyperlink" Target="https://www.sec.gov/Archives/edgar/data/1609253/000160925321000047/a2020yeex1046restrictedsto.htm" TargetMode="External"/><Relationship Id="rId78" Type="http://schemas.openxmlformats.org/officeDocument/2006/relationships/hyperlink" Target="https://www.sec.gov/Archives/edgar/data/1609253/000160925321000047/a2020yeex1047restrictedsto.htm" TargetMode="External"/><Relationship Id="rId79" Type="http://schemas.openxmlformats.org/officeDocument/2006/relationships/hyperlink" Target="https://www.sec.gov/Archives/edgar/data/1609253/000160925321000047/a2020yeex1048performancest.htm" TargetMode="External"/><Relationship Id="rId80" Type="http://schemas.openxmlformats.org/officeDocument/2006/relationships/hyperlink" Target="https://www.sec.gov/Archives/edgar/data/1609253/000160925321000055/a20210322ex101.htm" TargetMode="External"/><Relationship Id="rId81" Type="http://schemas.openxmlformats.org/officeDocument/2006/relationships/hyperlink" Target="https://www.sec.gov/Archives/edgar/data/0001609253/000160925321000101/a2021q2ex104-michaelpreston.htm" TargetMode="External"/><Relationship Id="rId82" Type="http://schemas.openxmlformats.org/officeDocument/2006/relationships/hyperlink" Target="https://www.sec.gov/Archives/edgar/data/0001609253/000160925321000101/a2021q2exhibit105-jaybys.htm" TargetMode="External"/><Relationship Id="rId83" Type="http://schemas.openxmlformats.org/officeDocument/2006/relationships/hyperlink" Target="http://www.sec.gov/Archives/edgar/data/1609253/000160925323000017/a2022yeex1025ceoemployment.htm" TargetMode="External"/><Relationship Id="rId84" Type="http://schemas.openxmlformats.org/officeDocument/2006/relationships/hyperlink" Target="http://www.sec.gov/Archives/edgar/data/1609253/000160925323000017/a2022yeex1025ceoemployment.htm" TargetMode="External"/><Relationship Id="rId85" Type="http://schemas.openxmlformats.org/officeDocument/2006/relationships/hyperlink" Target="http://www.sec.gov/Archives/edgar/data/1609253/000160925323000017/a2022yeex1025ceoemployment.htm" TargetMode="External"/><Relationship Id="rId86" Type="http://schemas.openxmlformats.org/officeDocument/2006/relationships/hyperlink" Target="http://www.sec.gov/Archives/edgar/data/1609253/000160925323000017/a2022yeex1025ceoemployment.htm" TargetMode="External"/><Relationship Id="rId87" Type="http://schemas.openxmlformats.org/officeDocument/2006/relationships/hyperlink" Target="http://www.sec.gov/Archives/edgar/data/1609253/000160925323000017/a2022yeex1025ceoemployment.htm" TargetMode="External"/><Relationship Id="rId88" Type="http://schemas.openxmlformats.org/officeDocument/2006/relationships/hyperlink" Target="http://www.sec.gov/Archives/edgar/data/1609253/000160925323000034/a20230428ex101.htm" TargetMode="External"/><Relationship Id="rId89" Type="http://schemas.openxmlformats.org/officeDocument/2006/relationships/hyperlink" Target="http://www.sec.gov/Archives/edgar/data/1609253/000160925323000075/a103employmentagreement-ha.htm" TargetMode="External"/><Relationship Id="rId90" Type="http://schemas.openxmlformats.org/officeDocument/2006/relationships/hyperlink" Target="http://www.sec.gov/Archives/edgar/data/1609253/000160925323000075/a103employmentagreement-ha.htm" TargetMode="External"/><Relationship Id="rId91" Type="http://schemas.openxmlformats.org/officeDocument/2006/relationships/hyperlink" Target="http://www.sec.gov/Archives/edgar/data/1609253/000160925323000075/a103employmentagreement-ha.htm" TargetMode="External"/><Relationship Id="rId92" Type="http://schemas.openxmlformats.org/officeDocument/2006/relationships/hyperlink" Target="http://www.sec.gov/Archives/edgar/data/1609253/000160925323000075/a104employmentagreement-go.htm" TargetMode="External"/><Relationship Id="rId93" Type="http://schemas.openxmlformats.org/officeDocument/2006/relationships/hyperlink" Target="http://www.sec.gov/Archives/edgar/data/1609253/000160925323000075/a104employmentagreement-go.htm" TargetMode="External"/><Relationship Id="rId94" Type="http://schemas.openxmlformats.org/officeDocument/2006/relationships/hyperlink" Target="http://www.sec.gov/Archives/edgar/data/1609253/000160925323000075/a104employmentagreement-go.htm" TargetMode="External"/><Relationship Id="rId95" Type="http://schemas.openxmlformats.org/officeDocument/2006/relationships/hyperlink" Target="http://www.sec.gov/Archives/edgar/data/1609253/000160925323000075/a104employmentagreement-go.htm" TargetMode="External"/><Relationship Id="rId96" Type="http://schemas.openxmlformats.org/officeDocument/2006/relationships/hyperlink" Target="http://www.sec.gov/Archives/edgar/data/1609253/000160925323000075/a104employmentagreement-go.htm" TargetMode="External"/><Relationship Id="rId97" Type="http://schemas.openxmlformats.org/officeDocument/2006/relationships/hyperlink" Target="http://www.sec.gov/Archives/edgar/data/1609253/000160925323000075/a104employmentagreement-go.htm" TargetMode="External"/><Relationship Id="rId98" Type="http://schemas.openxmlformats.org/officeDocument/2006/relationships/hyperlink" Target="http://www.sec.gov/Archives/edgar/data/1609253/000160925323000075/a104employmentagreement-go.htm" TargetMode="External"/><Relationship Id="rId99" Type="http://schemas.openxmlformats.org/officeDocument/2006/relationships/hyperlink" Target="http://www.sec.gov/Archives/edgar/data/1609253/000160925323000075/a104employmentagreement-go.htm" TargetMode="External"/><Relationship Id="rId100" Type="http://schemas.openxmlformats.org/officeDocument/2006/relationships/hyperlink" Target="http://www.sec.gov/Archives/edgar/data/1609253/000160925323000075/a104employmentagreement-go.htm" TargetMode="External"/><Relationship Id="rId101" Type="http://schemas.openxmlformats.org/officeDocument/2006/relationships/hyperlink" Target="http://www.sec.gov/Archives/edgar/data/1609253/000160925323000075/a104employmentagreement-go.htm" TargetMode="External"/><Relationship Id="rId102" Type="http://schemas.openxmlformats.org/officeDocument/2006/relationships/hyperlink" Target="http://www.sec.gov/Archives/edgar/data/1609253/000160925323000075/a104employmentagreement-go.htm" TargetMode="External"/><Relationship Id="rId103" Type="http://schemas.openxmlformats.org/officeDocument/2006/relationships/hyperlink" Target="http://www.sec.gov/Archives/edgar/data/1609253/000160925323000017/a2022yeex1026formofrestric.htm" TargetMode="External"/><Relationship Id="rId104" Type="http://schemas.openxmlformats.org/officeDocument/2006/relationships/hyperlink" Target="http://www.sec.gov/Archives/edgar/data/1609253/000160925323000017/a2022yeex1026formofrestric.htm" TargetMode="External"/><Relationship Id="rId105" Type="http://schemas.openxmlformats.org/officeDocument/2006/relationships/hyperlink" Target="http://www.sec.gov/Archives/edgar/data/1609253/000160925323000017/a2022yeex1026formofrestric.htm" TargetMode="External"/><Relationship Id="rId106" Type="http://schemas.openxmlformats.org/officeDocument/2006/relationships/hyperlink" Target="http://www.sec.gov/Archives/edgar/data/1609253/000160925323000017/a2022yeex1026formofrestric.htm" TargetMode="External"/><Relationship Id="rId107" Type="http://schemas.openxmlformats.org/officeDocument/2006/relationships/hyperlink" Target="http://www.sec.gov/Archives/edgar/data/1609253/000160925323000017/a2022yeex1026formofrestric.htm" TargetMode="External"/><Relationship Id="rId108" Type="http://schemas.openxmlformats.org/officeDocument/2006/relationships/hyperlink" Target="http://www.sec.gov/Archives/edgar/data/1609253/000160925323000017/a2022yeex1026formofrestric.htm" TargetMode="External"/><Relationship Id="rId109" Type="http://schemas.openxmlformats.org/officeDocument/2006/relationships/hyperlink" Target="http://www.sec.gov/Archives/edgar/data/1609253/000160925323000017/a2022yeex1026formofrestric.htm" TargetMode="External"/><Relationship Id="rId110" Type="http://schemas.openxmlformats.org/officeDocument/2006/relationships/hyperlink" Target="http://www.sec.gov/Archives/edgar/data/1609253/000160925323000017/a2022yeex1027formofperform.htm" TargetMode="External"/><Relationship Id="rId111" Type="http://schemas.openxmlformats.org/officeDocument/2006/relationships/hyperlink" Target="http://www.sec.gov/Archives/edgar/data/1609253/000160925323000017/a2022yeex1027formofperform.htm" TargetMode="External"/><Relationship Id="rId112" Type="http://schemas.openxmlformats.org/officeDocument/2006/relationships/hyperlink" Target="http://www.sec.gov/Archives/edgar/data/1609253/000160925323000017/a2022yeex1027formofperform.htm" TargetMode="External"/><Relationship Id="rId113" Type="http://schemas.openxmlformats.org/officeDocument/2006/relationships/hyperlink" Target="http://www.sec.gov/Archives/edgar/data/1609253/000160925323000017/a2022yeex1027formofperform.htm" TargetMode="External"/><Relationship Id="rId114" Type="http://schemas.openxmlformats.org/officeDocument/2006/relationships/hyperlink" Target="http://www.sec.gov/Archives/edgar/data/1609253/000160925323000017/a2022yeex1027formofperform.htm" TargetMode="External"/><Relationship Id="rId115" Type="http://schemas.openxmlformats.org/officeDocument/2006/relationships/hyperlink" Target="http://www.sec.gov/Archives/edgar/data/1609253/000160925323000017/a2022yeex1027formofperform.htm" TargetMode="External"/><Relationship Id="rId116" Type="http://schemas.openxmlformats.org/officeDocument/2006/relationships/hyperlink" Target="http://www.sec.gov/Archives/edgar/data/1609253/000160925323000017/a2022yeex1027formofperform.htm" TargetMode="External"/><Relationship Id="rId117" Type="http://schemas.openxmlformats.org/officeDocument/2006/relationships/hyperlink" Target="http://www.sec.gov/Archives/edgar/data/1609253/000160925323000017/a2022yeex1028formretention.htm" TargetMode="External"/><Relationship Id="rId118" Type="http://schemas.openxmlformats.org/officeDocument/2006/relationships/hyperlink" Target="http://www.sec.gov/Archives/edgar/data/1609253/000160925323000017/a2022yeex1028formretention.htm" TargetMode="External"/><Relationship Id="rId119" Type="http://schemas.openxmlformats.org/officeDocument/2006/relationships/hyperlink" Target="http://www.sec.gov/Archives/edgar/data/1609253/000160925322000036/a20220504ex101.htm" TargetMode="External"/><Relationship Id="rId120" Type="http://schemas.openxmlformats.org/officeDocument/2006/relationships/image" Target="media/image2.png"/><Relationship Id="rId121" Type="http://schemas.openxmlformats.org/officeDocument/2006/relationships/image" Target="media/image3.png"/><Relationship Id="rId122" Type="http://schemas.openxmlformats.org/officeDocument/2006/relationships/image" Target="media/image4.png"/><Relationship Id="rId123" Type="http://schemas.openxmlformats.org/officeDocument/2006/relationships/image" Target="media/image4.png"/><Relationship Id="rId124" Type="http://schemas.openxmlformats.org/officeDocument/2006/relationships/fontTable" Target="fontTable.xml"/><Relationship Id="rId1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88474</Words>
  <Characters>480790</Characters>
  <CharactersWithSpaces>566421</CharactersWithSpaces>
  <Paragraphs>7057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