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437515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6" w:lineRule="exact"/>
        <w:rPr>
          <w:sz w:val="24"/>
          <w:szCs w:val="24"/>
          <w:color w:val="auto"/>
        </w:rPr>
      </w:pPr>
    </w:p>
    <w:p>
      <w:pPr>
        <w:ind w:left="5028"/>
        <w:spacing w:after="0"/>
        <w:rPr>
          <w:sz w:val="20"/>
          <w:szCs w:val="20"/>
          <w:color w:val="auto"/>
        </w:rPr>
      </w:pPr>
      <w:r>
        <w:rPr>
          <w:rFonts w:ascii="Times New Roman" w:cs="Times New Roman" w:eastAsia="Times New Roman" w:hAnsi="Times New Roman"/>
          <w:sz w:val="12"/>
          <w:szCs w:val="12"/>
          <w:color w:val="auto"/>
        </w:rPr>
        <w:t>_____________________</w:t>
      </w:r>
    </w:p>
    <w:p>
      <w:pPr>
        <w:spacing w:after="0" w:line="99"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21" w:lineRule="exact"/>
        <w:rPr>
          <w:sz w:val="24"/>
          <w:szCs w:val="24"/>
          <w:color w:val="auto"/>
        </w:rPr>
      </w:pPr>
    </w:p>
    <w:p>
      <w:pPr>
        <w:ind w:left="5028"/>
        <w:spacing w:after="0"/>
        <w:rPr>
          <w:sz w:val="20"/>
          <w:szCs w:val="20"/>
          <w:color w:val="auto"/>
        </w:rPr>
      </w:pPr>
      <w:r>
        <w:rPr>
          <w:rFonts w:ascii="Times New Roman" w:cs="Times New Roman" w:eastAsia="Times New Roman" w:hAnsi="Times New Roman"/>
          <w:sz w:val="12"/>
          <w:szCs w:val="12"/>
          <w:color w:val="auto"/>
        </w:rPr>
        <w:t>_____________________</w:t>
      </w:r>
    </w:p>
    <w:p>
      <w:pPr>
        <w:spacing w:after="0" w:line="99" w:lineRule="exact"/>
        <w:rPr>
          <w:sz w:val="24"/>
          <w:szCs w:val="24"/>
          <w:color w:val="auto"/>
        </w:rPr>
      </w:pPr>
    </w:p>
    <w:p>
      <w:pPr>
        <w:ind w:left="5088"/>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14" w:lineRule="exact"/>
        <w:rPr>
          <w:sz w:val="24"/>
          <w:szCs w:val="24"/>
          <w:color w:val="auto"/>
        </w:rPr>
      </w:pPr>
    </w:p>
    <w:p>
      <w:pPr>
        <w:ind w:left="4368"/>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21"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99"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1"/>
          <w:szCs w:val="11"/>
          <w:b w:val="1"/>
          <w:bCs w:val="1"/>
          <w:color w:val="auto"/>
        </w:rPr>
        <w:t>Date of report (Date of earliest event reported): May 9, 2024</w:t>
      </w:r>
    </w:p>
    <w:p>
      <w:pPr>
        <w:spacing w:after="0" w:line="130" w:lineRule="exact"/>
        <w:rPr>
          <w:sz w:val="24"/>
          <w:szCs w:val="24"/>
          <w:color w:val="auto"/>
        </w:rPr>
      </w:pPr>
    </w:p>
    <w:p>
      <w:pPr>
        <w:ind w:left="5028"/>
        <w:spacing w:after="0"/>
        <w:rPr>
          <w:sz w:val="20"/>
          <w:szCs w:val="20"/>
          <w:color w:val="auto"/>
        </w:rPr>
      </w:pPr>
      <w:r>
        <w:rPr>
          <w:rFonts w:ascii="Times New Roman" w:cs="Times New Roman" w:eastAsia="Times New Roman" w:hAnsi="Times New Roman"/>
          <w:sz w:val="12"/>
          <w:szCs w:val="12"/>
          <w:color w:val="auto"/>
        </w:rPr>
        <w:t>_____________________</w:t>
      </w:r>
    </w:p>
    <w:p>
      <w:pPr>
        <w:spacing w:after="0" w:line="65"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9"/>
          <w:szCs w:val="19"/>
          <w:b w:val="1"/>
          <w:bCs w:val="1"/>
          <w:color w:val="auto"/>
        </w:rPr>
        <w:t>California Resources Corporation</w:t>
      </w:r>
    </w:p>
    <w:p>
      <w:pPr>
        <w:spacing w:after="0" w:line="35"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11208"/>
          </w:cols>
          <w:pgMar w:left="292" w:top="989" w:right="399" w:bottom="1440" w:gutter="0" w:footer="0" w:header="0"/>
        </w:sectPr>
      </w:pPr>
    </w:p>
    <w:p>
      <w:pPr>
        <w:spacing w:after="0" w:line="77" w:lineRule="exact"/>
        <w:rPr>
          <w:sz w:val="24"/>
          <w:szCs w:val="24"/>
          <w:color w:val="auto"/>
        </w:rPr>
      </w:pPr>
    </w:p>
    <w:p>
      <w:pPr>
        <w:ind w:left="1628"/>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19" w:lineRule="exact"/>
        <w:rPr>
          <w:sz w:val="24"/>
          <w:szCs w:val="24"/>
          <w:color w:val="auto"/>
        </w:rPr>
      </w:pPr>
    </w:p>
    <w:p>
      <w:pPr>
        <w:ind w:left="1128"/>
        <w:spacing w:after="0"/>
        <w:rPr>
          <w:sz w:val="20"/>
          <w:szCs w:val="20"/>
          <w:color w:val="auto"/>
        </w:rPr>
      </w:pPr>
      <w:r>
        <w:rPr>
          <w:rFonts w:ascii="Times New Roman" w:cs="Times New Roman" w:eastAsia="Times New Roman" w:hAnsi="Times New Roman"/>
          <w:sz w:val="12"/>
          <w:szCs w:val="12"/>
          <w:color w:val="auto"/>
        </w:rPr>
        <w:t>(State or Other Jurisdiction of</w:t>
      </w:r>
    </w:p>
    <w:p>
      <w:pPr>
        <w:ind w:left="1528"/>
        <w:spacing w:after="0"/>
        <w:rPr>
          <w:sz w:val="20"/>
          <w:szCs w:val="20"/>
          <w:color w:val="auto"/>
        </w:rPr>
      </w:pPr>
      <w:r>
        <w:rPr>
          <w:rFonts w:ascii="Times New Roman" w:cs="Times New Roman" w:eastAsia="Times New Roman" w:hAnsi="Times New Roman"/>
          <w:sz w:val="12"/>
          <w:szCs w:val="12"/>
          <w:color w:val="auto"/>
        </w:rPr>
        <w:t>Incorporation)</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2"/>
          <w:szCs w:val="12"/>
          <w:b w:val="1"/>
          <w:bCs w:val="1"/>
          <w:color w:val="auto"/>
        </w:rPr>
        <w:t>001-36478</w:t>
      </w:r>
    </w:p>
    <w:p>
      <w:pPr>
        <w:spacing w:after="0" w:line="2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1"/>
          <w:szCs w:val="11"/>
          <w:color w:val="auto"/>
        </w:rPr>
        <w:t>(Commission</w:t>
      </w:r>
    </w:p>
    <w:p>
      <w:pPr>
        <w:spacing w:after="0" w:line="10"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1"/>
          <w:szCs w:val="11"/>
          <w:color w:val="auto"/>
        </w:rPr>
        <w:t>File Number)</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2"/>
          <w:szCs w:val="12"/>
          <w:b w:val="1"/>
          <w:bCs w:val="1"/>
          <w:color w:val="auto"/>
        </w:rPr>
        <w:t>46-5670947</w:t>
      </w:r>
    </w:p>
    <w:p>
      <w:pPr>
        <w:spacing w:after="0" w:line="1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2"/>
          <w:szCs w:val="12"/>
          <w:color w:val="auto"/>
        </w:rPr>
        <w:t>(IRS Employer</w:t>
      </w:r>
    </w:p>
    <w:p>
      <w:pPr>
        <w:spacing w:after="0"/>
        <w:rPr>
          <w:sz w:val="20"/>
          <w:szCs w:val="20"/>
          <w:color w:val="auto"/>
        </w:rPr>
      </w:pPr>
      <w:r>
        <w:rPr>
          <w:rFonts w:ascii="Times New Roman" w:cs="Times New Roman" w:eastAsia="Times New Roman" w:hAnsi="Times New Roman"/>
          <w:sz w:val="11"/>
          <w:szCs w:val="11"/>
          <w:color w:val="auto"/>
        </w:rPr>
        <w:t>Identification No.)</w:t>
      </w:r>
    </w:p>
    <w:p>
      <w:pPr>
        <w:spacing w:after="0" w:line="73" w:lineRule="exact"/>
        <w:rPr>
          <w:sz w:val="24"/>
          <w:szCs w:val="24"/>
          <w:color w:val="auto"/>
        </w:rPr>
      </w:pPr>
    </w:p>
    <w:p>
      <w:pPr>
        <w:sectPr>
          <w:pgSz w:w="11900" w:h="16838" w:orient="portrait"/>
          <w:cols w:equalWidth="0" w:num="3">
            <w:col w:w="4588" w:space="720"/>
            <w:col w:w="2940" w:space="720"/>
            <w:col w:w="2240"/>
          </w:cols>
          <w:pgMar w:left="292" w:top="989" w:right="399" w:bottom="1440" w:gutter="0" w:footer="0" w:header="0"/>
          <w:type w:val="continuous"/>
        </w:sectPr>
      </w:pPr>
    </w:p>
    <w:p>
      <w:pPr>
        <w:jc w:val="center"/>
        <w:ind w:right="5572"/>
        <w:spacing w:after="0"/>
        <w:rPr>
          <w:sz w:val="20"/>
          <w:szCs w:val="20"/>
          <w:color w:val="auto"/>
        </w:rPr>
      </w:pPr>
      <w:r>
        <w:rPr>
          <w:rFonts w:ascii="Times New Roman" w:cs="Times New Roman" w:eastAsia="Times New Roman" w:hAnsi="Times New Roman"/>
          <w:sz w:val="11"/>
          <w:szCs w:val="11"/>
          <w:b w:val="1"/>
          <w:bCs w:val="1"/>
          <w:color w:val="auto"/>
        </w:rPr>
        <w:t>1 World Trade Center</w:t>
      </w:r>
    </w:p>
    <w:p>
      <w:pPr>
        <w:spacing w:after="0" w:line="32" w:lineRule="exact"/>
        <w:rPr>
          <w:sz w:val="24"/>
          <w:szCs w:val="24"/>
          <w:color w:val="auto"/>
        </w:rPr>
      </w:pPr>
    </w:p>
    <w:p>
      <w:pPr>
        <w:jc w:val="center"/>
        <w:ind w:right="5572"/>
        <w:spacing w:after="0"/>
        <w:rPr>
          <w:sz w:val="20"/>
          <w:szCs w:val="20"/>
          <w:color w:val="auto"/>
        </w:rPr>
      </w:pPr>
      <w:r>
        <w:rPr>
          <w:rFonts w:ascii="Times New Roman" w:cs="Times New Roman" w:eastAsia="Times New Roman" w:hAnsi="Times New Roman"/>
          <w:sz w:val="12"/>
          <w:szCs w:val="12"/>
          <w:b w:val="1"/>
          <w:bCs w:val="1"/>
          <w:color w:val="auto"/>
        </w:rPr>
        <w:t>Suite 1500</w:t>
      </w:r>
    </w:p>
    <w:p>
      <w:pPr>
        <w:spacing w:after="0" w:line="15" w:lineRule="exact"/>
        <w:rPr>
          <w:sz w:val="24"/>
          <w:szCs w:val="24"/>
          <w:color w:val="auto"/>
        </w:rPr>
      </w:pPr>
    </w:p>
    <w:p>
      <w:pPr>
        <w:jc w:val="center"/>
        <w:ind w:right="5572"/>
        <w:spacing w:after="0"/>
        <w:rPr>
          <w:sz w:val="20"/>
          <w:szCs w:val="20"/>
          <w:color w:val="auto"/>
        </w:rPr>
      </w:pPr>
      <w:r>
        <w:rPr>
          <w:rFonts w:ascii="Times New Roman" w:cs="Times New Roman" w:eastAsia="Times New Roman" w:hAnsi="Times New Roman"/>
          <w:sz w:val="12"/>
          <w:szCs w:val="12"/>
          <w:b w:val="1"/>
          <w:bCs w:val="1"/>
          <w:color w:val="auto"/>
        </w:rPr>
        <w:t>Long Beach</w:t>
      </w:r>
    </w:p>
    <w:p>
      <w:pPr>
        <w:sectPr>
          <w:pgSz w:w="11900" w:h="16838" w:orient="portrait"/>
          <w:cols w:equalWidth="0" w:num="1">
            <w:col w:w="11208"/>
          </w:cols>
          <w:pgMar w:left="292" w:top="989" w:right="399" w:bottom="1440" w:gutter="0" w:footer="0" w:header="0"/>
          <w:type w:val="continuous"/>
        </w:sectPr>
      </w:pPr>
    </w:p>
    <w:p>
      <w:pPr>
        <w:spacing w:after="0" w:line="15" w:lineRule="exact"/>
        <w:rPr>
          <w:sz w:val="24"/>
          <w:szCs w:val="24"/>
          <w:color w:val="auto"/>
        </w:rPr>
      </w:pPr>
    </w:p>
    <w:p>
      <w:pPr>
        <w:ind w:left="2548"/>
        <w:spacing w:after="0"/>
        <w:rPr>
          <w:sz w:val="20"/>
          <w:szCs w:val="20"/>
          <w:color w:val="auto"/>
        </w:rPr>
      </w:pPr>
      <w:r>
        <w:rPr>
          <w:rFonts w:ascii="Times New Roman" w:cs="Times New Roman" w:eastAsia="Times New Roman" w:hAnsi="Times New Roman"/>
          <w:sz w:val="12"/>
          <w:szCs w:val="12"/>
          <w:b w:val="1"/>
          <w:bCs w:val="1"/>
          <w:color w:val="auto"/>
        </w:rPr>
        <w:t>California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90831</w:t>
      </w:r>
    </w:p>
    <w:p>
      <w:pPr>
        <w:spacing w:after="0" w:line="15" w:lineRule="exact"/>
        <w:rPr>
          <w:sz w:val="24"/>
          <w:szCs w:val="24"/>
          <w:color w:val="auto"/>
        </w:rPr>
      </w:pPr>
    </w:p>
    <w:p>
      <w:pPr>
        <w:sectPr>
          <w:pgSz w:w="11900" w:h="16838" w:orient="portrait"/>
          <w:cols w:equalWidth="0" w:num="2">
            <w:col w:w="7588" w:space="720"/>
            <w:col w:w="2900"/>
          </w:cols>
          <w:pgMar w:left="292" w:top="989" w:right="399" w:bottom="1440" w:gutter="0" w:footer="0" w:header="0"/>
          <w:type w:val="continuous"/>
        </w:sectPr>
      </w:pPr>
    </w:p>
    <w:p>
      <w:pPr>
        <w:ind w:left="1848"/>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(Zip Code)</w:t>
      </w:r>
    </w:p>
    <w:p>
      <w:pPr>
        <w:spacing w:after="0" w:line="108" w:lineRule="exact"/>
        <w:rPr>
          <w:sz w:val="24"/>
          <w:szCs w:val="24"/>
          <w:color w:val="auto"/>
        </w:rPr>
      </w:pPr>
    </w:p>
    <w:p>
      <w:pPr>
        <w:sectPr>
          <w:pgSz w:w="11900" w:h="16838" w:orient="portrait"/>
          <w:cols w:equalWidth="0" w:num="2">
            <w:col w:w="7468" w:space="720"/>
            <w:col w:w="3020"/>
          </w:cols>
          <w:pgMar w:left="292" w:top="989" w:right="399" w:bottom="1440" w:gutter="0" w:footer="0" w:header="0"/>
          <w:type w:val="continuous"/>
        </w:sect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(888) 848-4754</w:t>
      </w:r>
    </w:p>
    <w:p>
      <w:pPr>
        <w:spacing w:after="0" w:line="118" w:lineRule="exact"/>
        <w:rPr>
          <w:sz w:val="24"/>
          <w:szCs w:val="24"/>
          <w:color w:val="auto"/>
        </w:rPr>
      </w:pPr>
    </w:p>
    <w:p>
      <w:pPr>
        <w:ind w:left="5028"/>
        <w:spacing w:after="0"/>
        <w:rPr>
          <w:sz w:val="20"/>
          <w:szCs w:val="20"/>
          <w:color w:val="auto"/>
        </w:rPr>
      </w:pPr>
      <w:r>
        <w:rPr>
          <w:rFonts w:ascii="Times New Roman" w:cs="Times New Roman" w:eastAsia="Times New Roman" w:hAnsi="Times New Roman"/>
          <w:sz w:val="12"/>
          <w:szCs w:val="12"/>
          <w:color w:val="auto"/>
        </w:rPr>
        <w:t>_____________________</w:t>
      </w:r>
    </w:p>
    <w:p>
      <w:pPr>
        <w:spacing w:after="0" w:line="114"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87" w:lineRule="exact"/>
        <w:rPr>
          <w:sz w:val="24"/>
          <w:szCs w:val="24"/>
          <w:color w:val="auto"/>
        </w:rPr>
      </w:pPr>
    </w:p>
    <w:p>
      <w:pPr>
        <w:ind w:left="228" w:hanging="228"/>
        <w:spacing w:after="0"/>
        <w:tabs>
          <w:tab w:leader="none" w:pos="228"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96" w:lineRule="exact"/>
        <w:rPr>
          <w:sz w:val="24"/>
          <w:szCs w:val="24"/>
          <w:color w:val="auto"/>
        </w:rPr>
      </w:pPr>
    </w:p>
    <w:p>
      <w:pPr>
        <w:ind w:left="228" w:hanging="228"/>
        <w:spacing w:after="0"/>
        <w:tabs>
          <w:tab w:leader="none" w:pos="228"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87" w:lineRule="exact"/>
        <w:rPr>
          <w:sz w:val="24"/>
          <w:szCs w:val="24"/>
          <w:color w:val="auto"/>
        </w:rPr>
      </w:pPr>
    </w:p>
    <w:p>
      <w:pPr>
        <w:ind w:left="228" w:hanging="228"/>
        <w:spacing w:after="0"/>
        <w:tabs>
          <w:tab w:leader="none" w:pos="228" w:val="left"/>
        </w:tabs>
        <w:numPr>
          <w:ilvl w:val="0"/>
          <w:numId w:val="3"/>
        </w:numPr>
        <w:rPr>
          <w:rFonts w:ascii="MS PGothic" w:cs="MS PGothic" w:eastAsia="MS PGothic" w:hAnsi="MS PGothic"/>
          <w:sz w:val="13"/>
          <w:szCs w:val="13"/>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96" w:lineRule="exact"/>
        <w:rPr>
          <w:rFonts w:ascii="MS PGothic" w:cs="MS PGothic" w:eastAsia="MS PGothic" w:hAnsi="MS PGothic"/>
          <w:sz w:val="13"/>
          <w:szCs w:val="13"/>
          <w:color w:val="auto"/>
        </w:rPr>
      </w:pPr>
    </w:p>
    <w:p>
      <w:pPr>
        <w:ind w:left="228" w:hanging="228"/>
        <w:spacing w:after="0"/>
        <w:tabs>
          <w:tab w:leader="none" w:pos="228" w:val="left"/>
        </w:tabs>
        <w:numPr>
          <w:ilvl w:val="0"/>
          <w:numId w:val="3"/>
        </w:numPr>
        <w:rPr>
          <w:rFonts w:ascii="MS PGothic" w:cs="MS PGothic" w:eastAsia="MS PGothic" w:hAnsi="MS PGothic"/>
          <w:sz w:val="13"/>
          <w:szCs w:val="13"/>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357"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83" w:lineRule="exact"/>
        <w:rPr>
          <w:sz w:val="24"/>
          <w:szCs w:val="24"/>
          <w:color w:val="auto"/>
        </w:rPr>
      </w:pPr>
    </w:p>
    <w:p>
      <w:pPr>
        <w:ind w:left="1328" w:right="1200" w:hanging="74"/>
        <w:spacing w:after="0" w:line="271" w:lineRule="auto"/>
        <w:rPr>
          <w:sz w:val="20"/>
          <w:szCs w:val="20"/>
          <w:color w:val="auto"/>
        </w:rPr>
      </w:pPr>
      <w:r>
        <w:rPr>
          <w:rFonts w:ascii="Times New Roman" w:cs="Times New Roman" w:eastAsia="Times New Roman" w:hAnsi="Times New Roman"/>
          <w:sz w:val="12"/>
          <w:szCs w:val="12"/>
          <w:b w:val="1"/>
          <w:bCs w:val="1"/>
          <w:color w:val="auto"/>
        </w:rPr>
        <w:t>Title of each class</w:t>
      </w:r>
      <w:r>
        <w:rPr>
          <w:sz w:val="20"/>
          <w:szCs w:val="20"/>
          <w:color w:val="auto"/>
        </w:rPr>
        <w:t xml:space="preserve"> </w:t>
      </w:r>
      <w:r>
        <w:rPr>
          <w:rFonts w:ascii="Times New Roman" w:cs="Times New Roman" w:eastAsia="Times New Roman" w:hAnsi="Times New Roman"/>
          <w:sz w:val="12"/>
          <w:szCs w:val="12"/>
          <w:b w:val="1"/>
          <w:bCs w:val="1"/>
          <w:color w:val="auto"/>
        </w:rPr>
        <w:t xml:space="preserve">Trading Symbol(s) Name of each exchange on which registered </w:t>
      </w:r>
      <w:r>
        <w:rPr>
          <w:rFonts w:ascii="Times New Roman" w:cs="Times New Roman" w:eastAsia="Times New Roman" w:hAnsi="Times New Roman"/>
          <w:sz w:val="12"/>
          <w:szCs w:val="12"/>
          <w:color w:val="auto"/>
        </w:rPr>
        <w:t>Common Stock CRC New York Stock Exchange</w:t>
      </w:r>
    </w:p>
    <w:p>
      <w:pPr>
        <w:spacing w:after="0" w:line="250" w:lineRule="exact"/>
        <w:rPr>
          <w:sz w:val="24"/>
          <w:szCs w:val="24"/>
          <w:color w:val="auto"/>
        </w:rPr>
      </w:pPr>
    </w:p>
    <w:p>
      <w:pPr>
        <w:ind w:left="8" w:right="240"/>
        <w:spacing w:after="0" w:line="220"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3"/>
          <w:szCs w:val="13"/>
          <w:color w:val="auto"/>
        </w:rPr>
        <w:t>☐</w:t>
      </w:r>
    </w:p>
    <w:p>
      <w:pPr>
        <w:spacing w:after="0" w:line="82" w:lineRule="exact"/>
        <w:rPr>
          <w:sz w:val="24"/>
          <w:szCs w:val="24"/>
          <w:color w:val="auto"/>
        </w:rPr>
      </w:pPr>
    </w:p>
    <w:p>
      <w:pPr>
        <w:ind w:left="8"/>
        <w:spacing w:after="0" w:line="16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509270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139065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156210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08"/>
          </w:cols>
          <w:pgMar w:left="292" w:top="989" w:right="399" w:bottom="1440" w:gutter="0" w:footer="0" w:header="0"/>
          <w:type w:val="continuous"/>
        </w:sectPr>
      </w:pPr>
    </w:p>
    <w:bookmarkStart w:id="1" w:name="page2"/>
    <w:bookmarkEnd w:id="1"/>
    <w:p>
      <w:pPr>
        <w:ind w:left="8"/>
        <w:spacing w:after="0"/>
        <w:tabs>
          <w:tab w:leader="none" w:pos="588"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w:t>
      </w:r>
    </w:p>
    <w:p>
      <w:pPr>
        <w:spacing w:after="0" w:line="154" w:lineRule="exact"/>
        <w:rPr>
          <w:sz w:val="20"/>
          <w:szCs w:val="20"/>
          <w:color w:val="auto"/>
        </w:rPr>
      </w:pPr>
    </w:p>
    <w:p>
      <w:pPr>
        <w:ind w:left="8" w:right="20"/>
        <w:spacing w:after="0" w:line="279" w:lineRule="auto"/>
        <w:rPr>
          <w:sz w:val="20"/>
          <w:szCs w:val="20"/>
          <w:color w:val="auto"/>
        </w:rPr>
      </w:pPr>
      <w:r>
        <w:rPr>
          <w:rFonts w:ascii="Times New Roman" w:cs="Times New Roman" w:eastAsia="Times New Roman" w:hAnsi="Times New Roman"/>
          <w:sz w:val="12"/>
          <w:szCs w:val="12"/>
          <w:color w:val="auto"/>
        </w:rPr>
        <w:t>On May 9, 2024, California Resources Corporation (the “Company”) posted an updated investor presentation on its website at www.crc.com. The presentation is furnished as Exhibit 99.1 to this report on Form 8-K and is incorporated herein by reference.</w:t>
      </w:r>
    </w:p>
    <w:p>
      <w:pPr>
        <w:spacing w:after="0" w:line="111" w:lineRule="exact"/>
        <w:rPr>
          <w:sz w:val="20"/>
          <w:szCs w:val="20"/>
          <w:color w:val="auto"/>
        </w:rPr>
      </w:pPr>
    </w:p>
    <w:p>
      <w:pPr>
        <w:ind w:left="8" w:right="120"/>
        <w:spacing w:after="0" w:line="279" w:lineRule="auto"/>
        <w:rPr>
          <w:sz w:val="20"/>
          <w:szCs w:val="20"/>
          <w:color w:val="auto"/>
        </w:rPr>
      </w:pPr>
      <w:r>
        <w:rPr>
          <w:rFonts w:ascii="Times New Roman" w:cs="Times New Roman" w:eastAsia="Times New Roman" w:hAnsi="Times New Roman"/>
          <w:sz w:val="12"/>
          <w:szCs w:val="12"/>
          <w:color w:val="auto"/>
        </w:rPr>
        <w:t>The information contained in this report and the exhibit hereto shall not be deemed to be “filed” for purposes of Section 18 of the Securities Exchange Act of 1934, as amended (the “Exchange Act”), and shall not be incorporated by reference into any filings made by the Company under the Securities Act of 1933, as amended, or the Exchange Act, except as may be expressly set forth by specific reference in such filing.</w:t>
      </w:r>
    </w:p>
    <w:p>
      <w:pPr>
        <w:spacing w:after="0" w:line="111" w:lineRule="exact"/>
        <w:rPr>
          <w:sz w:val="20"/>
          <w:szCs w:val="20"/>
          <w:color w:val="auto"/>
        </w:rPr>
      </w:pPr>
    </w:p>
    <w:p>
      <w:pPr>
        <w:jc w:val="both"/>
        <w:ind w:left="8" w:right="360"/>
        <w:spacing w:after="0" w:line="265" w:lineRule="auto"/>
        <w:rPr>
          <w:sz w:val="20"/>
          <w:szCs w:val="20"/>
          <w:color w:val="auto"/>
        </w:rPr>
      </w:pPr>
      <w:r>
        <w:rPr>
          <w:rFonts w:ascii="Times New Roman" w:cs="Times New Roman" w:eastAsia="Times New Roman" w:hAnsi="Times New Roman"/>
          <w:sz w:val="12"/>
          <w:szCs w:val="12"/>
          <w:color w:val="auto"/>
        </w:rPr>
        <w:t>Statements contained in the exhibit to this report that state the Company’s or its management’s expectations or predictions of the future are forward-looking statements intended to be covered by the safe harbor provisions of the Securities Act and the Exchange Act. It is important to note that the Company’s actual results could differ materially from those projected in such forward-looking statements. Factors that could affect these results include those mentioned in the documents that the Company has filed with the Securities and Exchange Commission (the “SEC”).</w:t>
      </w:r>
    </w:p>
    <w:p>
      <w:pPr>
        <w:spacing w:after="0" w:line="119"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The Company undertakes no duty or obligation to publicly update or revise the information contained in this report, although the Company may do so from time to time as management believes is warranted. Any such updating may be made through the filing of other reports or documents with the SEC, through press releases or through other public disclosure including disclosure in the Investor Relations portion of the Company’s website.</w:t>
      </w:r>
    </w:p>
    <w:p>
      <w:pPr>
        <w:spacing w:after="0" w:line="251" w:lineRule="exact"/>
        <w:rPr>
          <w:sz w:val="20"/>
          <w:szCs w:val="20"/>
          <w:color w:val="auto"/>
        </w:rPr>
      </w:pPr>
    </w:p>
    <w:p>
      <w:pPr>
        <w:ind w:left="8"/>
        <w:spacing w:after="0"/>
        <w:tabs>
          <w:tab w:leader="none" w:pos="588"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280" w:lineRule="exact"/>
        <w:rPr>
          <w:sz w:val="20"/>
          <w:szCs w:val="20"/>
          <w:color w:val="auto"/>
        </w:rPr>
      </w:pPr>
    </w:p>
    <w:p>
      <w:pPr>
        <w:ind w:left="268" w:hanging="268"/>
        <w:spacing w:after="0"/>
        <w:tabs>
          <w:tab w:leader="none" w:pos="26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Exhibits</w:t>
      </w:r>
    </w:p>
    <w:p>
      <w:pPr>
        <w:spacing w:after="0" w:line="200" w:lineRule="exact"/>
        <w:rPr>
          <w:sz w:val="20"/>
          <w:szCs w:val="20"/>
          <w:color w:val="auto"/>
        </w:rPr>
      </w:pPr>
    </w:p>
    <w:tbl>
      <w:tblPr>
        <w:tblLayout w:type="fixed"/>
        <w:tblInd w:w="848" w:type="dxa"/>
        <w:tblCellMar>
          <w:top w:w="0" w:type="dxa"/>
          <w:left w:w="0" w:type="dxa"/>
          <w:bottom w:w="0" w:type="dxa"/>
          <w:right w:w="0" w:type="dxa"/>
        </w:tblCellMar>
      </w:tblPr>
      <w:tr>
        <w:trPr>
          <w:trHeight w:val="159"/>
        </w:trPr>
        <w:tc>
          <w:tcPr>
            <w:tcW w:w="15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1980" w:type="dxa"/>
            <w:vAlign w:val="bottom"/>
          </w:tcPr>
          <w:p>
            <w:pPr>
              <w:spacing w:after="0"/>
              <w:rPr>
                <w:sz w:val="13"/>
                <w:szCs w:val="13"/>
                <w:color w:val="auto"/>
              </w:rPr>
            </w:pPr>
          </w:p>
        </w:tc>
        <w:tc>
          <w:tcPr>
            <w:tcW w:w="2880" w:type="dxa"/>
            <w:vAlign w:val="bottom"/>
          </w:tcPr>
          <w:p>
            <w:pPr>
              <w:ind w:left="2280"/>
              <w:spacing w:after="0"/>
              <w:rPr>
                <w:sz w:val="20"/>
                <w:szCs w:val="20"/>
                <w:color w:val="auto"/>
              </w:rPr>
            </w:pPr>
            <w:r>
              <w:rPr>
                <w:rFonts w:ascii="Times New Roman" w:cs="Times New Roman" w:eastAsia="Times New Roman" w:hAnsi="Times New Roman"/>
                <w:sz w:val="12"/>
                <w:szCs w:val="12"/>
                <w:b w:val="1"/>
                <w:bCs w:val="1"/>
                <w:color w:val="auto"/>
                <w:w w:val="97"/>
              </w:rPr>
              <w:t>Description</w:t>
            </w:r>
          </w:p>
        </w:tc>
      </w:tr>
      <w:tr>
        <w:trPr>
          <w:trHeight w:val="153"/>
        </w:trPr>
        <w:tc>
          <w:tcPr>
            <w:tcW w:w="1500" w:type="dxa"/>
            <w:vAlign w:val="bottom"/>
          </w:tcPr>
          <w:p>
            <w:pPr>
              <w:jc w:val="right"/>
              <w:ind w:right="1040"/>
              <w:spacing w:after="0"/>
              <w:rPr>
                <w:sz w:val="20"/>
                <w:szCs w:val="20"/>
                <w:color w:val="auto"/>
              </w:rPr>
            </w:pPr>
            <w:r>
              <w:rPr>
                <w:rFonts w:ascii="Times New Roman" w:cs="Times New Roman" w:eastAsia="Times New Roman" w:hAnsi="Times New Roman"/>
                <w:sz w:val="12"/>
                <w:szCs w:val="12"/>
                <w:color w:val="auto"/>
              </w:rPr>
              <w:t>99.1</w:t>
            </w:r>
          </w:p>
        </w:tc>
        <w:tc>
          <w:tcPr>
            <w:tcW w:w="19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9"/>
              </w:rPr>
              <w:t>Investor Presentation dated May 9, 2024.</w:t>
            </w:r>
          </w:p>
        </w:tc>
        <w:tc>
          <w:tcPr>
            <w:tcW w:w="2880" w:type="dxa"/>
            <w:vAlign w:val="bottom"/>
          </w:tcPr>
          <w:p>
            <w:pPr>
              <w:spacing w:after="0"/>
              <w:rPr>
                <w:sz w:val="13"/>
                <w:szCs w:val="13"/>
                <w:color w:val="auto"/>
              </w:rPr>
            </w:pPr>
          </w:p>
        </w:tc>
      </w:tr>
      <w:tr>
        <w:trPr>
          <w:trHeight w:val="187"/>
        </w:trPr>
        <w:tc>
          <w:tcPr>
            <w:tcW w:w="1500" w:type="dxa"/>
            <w:vAlign w:val="bottom"/>
          </w:tcPr>
          <w:p>
            <w:pPr>
              <w:jc w:val="right"/>
              <w:ind w:right="1060"/>
              <w:spacing w:after="0"/>
              <w:rPr>
                <w:sz w:val="20"/>
                <w:szCs w:val="20"/>
                <w:color w:val="auto"/>
              </w:rPr>
            </w:pPr>
            <w:r>
              <w:rPr>
                <w:rFonts w:ascii="Times New Roman" w:cs="Times New Roman" w:eastAsia="Times New Roman" w:hAnsi="Times New Roman"/>
                <w:sz w:val="12"/>
                <w:szCs w:val="12"/>
                <w:color w:val="auto"/>
              </w:rPr>
              <w:t>104</w:t>
            </w:r>
          </w:p>
        </w:tc>
        <w:tc>
          <w:tcPr>
            <w:tcW w:w="4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67"/>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8"/>
          </w:cols>
          <w:pgMar w:left="292" w:top="1223"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3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2"/>
          <w:szCs w:val="12"/>
          <w:b w:val="1"/>
          <w:bCs w:val="1"/>
          <w:color w:val="auto"/>
        </w:rPr>
        <w:t>California Resources Corporation</w:t>
      </w:r>
    </w:p>
    <w:p>
      <w:pPr>
        <w:spacing w:after="0" w:line="200" w:lineRule="exact"/>
        <w:rPr>
          <w:sz w:val="20"/>
          <w:szCs w:val="20"/>
          <w:color w:val="auto"/>
        </w:rPr>
      </w:pPr>
    </w:p>
    <w:p>
      <w:pPr>
        <w:spacing w:after="0" w:line="35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2"/>
          <w:szCs w:val="12"/>
          <w:color w:val="auto"/>
        </w:rPr>
        <w:t>/s/ Michael L. Preston</w:t>
      </w:r>
    </w:p>
    <w:p>
      <w:pPr>
        <w:spacing w:after="0" w:line="17" w:lineRule="exact"/>
        <w:rPr>
          <w:sz w:val="20"/>
          <w:szCs w:val="20"/>
          <w:color w:val="auto"/>
        </w:rPr>
      </w:pPr>
    </w:p>
    <w:tbl>
      <w:tblPr>
        <w:tblLayout w:type="fixed"/>
        <w:tblInd w:w="4840" w:type="dxa"/>
        <w:tblCellMar>
          <w:top w:w="0" w:type="dxa"/>
          <w:left w:w="0" w:type="dxa"/>
          <w:bottom w:w="0" w:type="dxa"/>
          <w:right w:w="0" w:type="dxa"/>
        </w:tblCellMar>
      </w:tblPr>
      <w:tr>
        <w:trPr>
          <w:trHeight w:val="140"/>
        </w:trPr>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Name:</w:t>
            </w:r>
          </w:p>
        </w:tc>
        <w:tc>
          <w:tcPr>
            <w:tcW w:w="580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2"/>
                <w:szCs w:val="12"/>
                <w:color w:val="auto"/>
              </w:rPr>
              <w:t>Michael L. Preston</w:t>
            </w:r>
          </w:p>
        </w:tc>
      </w:tr>
      <w:tr>
        <w:trPr>
          <w:trHeight w:val="164"/>
        </w:trPr>
        <w:tc>
          <w:tcPr>
            <w:tcW w:w="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Title:</w:t>
            </w:r>
          </w:p>
        </w:tc>
        <w:tc>
          <w:tcPr>
            <w:tcW w:w="58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Executive Vice President, Chief Strategy 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May 9, 2024</w:t>
      </w:r>
    </w:p>
    <w:p>
      <w:pPr>
        <w:sectPr>
          <w:pgSz w:w="11900" w:h="16838" w:orient="portrait"/>
          <w:cols w:equalWidth="0" w:num="1">
            <w:col w:w="11300"/>
          </w:cols>
          <w:pgMar w:left="300" w:top="989" w:right="2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2024-05-09T07:58:10Z</dcterms:created>
  <dcterms:modified xsi:type="dcterms:W3CDTF">2024-05-09T07:58:10Z</dcterms:modified>
</cp:coreProperties>
</file>