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March 31, 2022</w:t>
      </w:r>
    </w:p>
    <w:p>
      <w:pPr>
        <w:jc w:val="center"/>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7" w:lineRule="exact"/>
        <w:rPr>
          <w:sz w:val="24"/>
          <w:szCs w:val="24"/>
          <w:color w:val="auto"/>
        </w:rPr>
      </w:pPr>
    </w:p>
    <w:tbl>
      <w:tblPr>
        <w:tblLayout w:type="fixed"/>
        <w:tblInd w:w="1700" w:type="dxa"/>
        <w:tblCellMar>
          <w:top w:w="0" w:type="dxa"/>
          <w:left w:w="0" w:type="dxa"/>
          <w:bottom w:w="0" w:type="dxa"/>
          <w:right w:w="0" w:type="dxa"/>
        </w:tblCellMar>
      </w:tblPr>
      <w:tr>
        <w:trPr>
          <w:trHeight w:val="261"/>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195"/>
        </w:trPr>
        <w:tc>
          <w:tcPr>
            <w:tcW w:w="4360" w:type="dxa"/>
            <w:vAlign w:val="bottom"/>
          </w:tcPr>
          <w:p>
            <w:pPr>
              <w:ind w:left="20"/>
              <w:spacing w:after="0" w:line="195"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195" w:lineRule="exact"/>
              <w:rPr>
                <w:sz w:val="20"/>
                <w:szCs w:val="20"/>
                <w:color w:val="auto"/>
              </w:rPr>
            </w:pPr>
            <w:r>
              <w:rPr>
                <w:rFonts w:ascii="Arial" w:cs="Arial" w:eastAsia="Arial" w:hAnsi="Arial"/>
                <w:sz w:val="20"/>
                <w:szCs w:val="20"/>
                <w:color w:val="auto"/>
              </w:rPr>
              <w:t>(I.R.S. Employer</w:t>
            </w:r>
          </w:p>
        </w:tc>
      </w:tr>
      <w:tr>
        <w:trPr>
          <w:trHeight w:val="237"/>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1 World Trade Center, Suite 1500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Long Beach, California 90831</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29" w:right="339" w:bottom="1440" w:gutter="0" w:footer="0" w:header="0"/>
        </w:sectPr>
      </w:pPr>
    </w:p>
    <w:p>
      <w:pPr>
        <w:spacing w:after="0" w:line="12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2"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41"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29" w:right="339" w:bottom="1440" w:gutter="0" w:footer="0" w:header="0"/>
          <w:type w:val="continuous"/>
        </w:sectPr>
      </w:pPr>
    </w:p>
    <w:p>
      <w:pPr>
        <w:spacing w:after="0" w:line="145" w:lineRule="exact"/>
        <w:rPr>
          <w:sz w:val="24"/>
          <w:szCs w:val="24"/>
          <w:color w:val="auto"/>
        </w:rPr>
      </w:pPr>
    </w:p>
    <w:p>
      <w:pPr>
        <w:jc w:val="both"/>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8" w:lineRule="exact"/>
        <w:rPr>
          <w:sz w:val="24"/>
          <w:szCs w:val="24"/>
          <w:color w:val="auto"/>
        </w:rPr>
      </w:pPr>
    </w:p>
    <w:p>
      <w:pPr>
        <w:jc w:val="both"/>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6"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type w:val="continuous"/>
        </w:sectPr>
      </w:pPr>
    </w:p>
    <w:p>
      <w:pPr>
        <w:spacing w:after="0" w:line="108" w:lineRule="exact"/>
        <w:rPr>
          <w:sz w:val="24"/>
          <w:szCs w:val="24"/>
          <w:color w:val="auto"/>
        </w:rPr>
      </w:pPr>
    </w:p>
    <w:p>
      <w:pPr>
        <w:ind w:left="1040"/>
        <w:spacing w:after="0" w:line="276"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24"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29" w:right="339" w:bottom="1440" w:gutter="0" w:footer="0" w:header="0"/>
          <w:type w:val="continuous"/>
        </w:sect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last practicable date.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March 31, 2022 was 77,630,810.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60" w:type="dxa"/>
            <w:vAlign w:val="bottom"/>
          </w:tcPr>
          <w:p>
            <w:pPr>
              <w:spacing w:after="0"/>
              <w:rPr>
                <w:sz w:val="20"/>
                <w:szCs w:val="20"/>
                <w:color w:val="auto"/>
              </w:rPr>
            </w:pPr>
          </w:p>
        </w:tc>
        <w:tc>
          <w:tcPr>
            <w:tcW w:w="7520" w:type="dxa"/>
            <w:vAlign w:val="bottom"/>
          </w:tcPr>
          <w:p>
            <w:pPr>
              <w:ind w:left="146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0"/>
                <w:szCs w:val="20"/>
                <w:color w:val="auto"/>
              </w:rPr>
            </w:pPr>
          </w:p>
        </w:tc>
      </w:tr>
      <w:tr>
        <w:trPr>
          <w:trHeight w:val="459"/>
        </w:trPr>
        <w:tc>
          <w:tcPr>
            <w:tcW w:w="960" w:type="dxa"/>
            <w:vAlign w:val="bottom"/>
          </w:tcPr>
          <w:p>
            <w:pPr>
              <w:spacing w:after="0"/>
              <w:rPr>
                <w:sz w:val="24"/>
                <w:szCs w:val="24"/>
                <w:color w:val="auto"/>
              </w:rPr>
            </w:pPr>
          </w:p>
        </w:tc>
        <w:tc>
          <w:tcPr>
            <w:tcW w:w="7520" w:type="dxa"/>
            <w:vAlign w:val="bottom"/>
          </w:tcPr>
          <w:p>
            <w:pPr>
              <w:ind w:left="290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51"/>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4</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4</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Income (Loss)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Stockholders' Equity</w:t>
            </w:r>
          </w:p>
        </w:tc>
        <w:tc>
          <w:tcPr>
            <w:tcW w:w="740" w:type="dxa"/>
            <w:vAlign w:val="bottom"/>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9">
              <w:r>
                <w:rPr>
                  <w:rFonts w:ascii="Arial" w:cs="Arial" w:eastAsia="Arial" w:hAnsi="Arial"/>
                  <w:sz w:val="18"/>
                  <w:szCs w:val="18"/>
                  <w:b w:val="1"/>
                  <w:bCs w:val="1"/>
                  <w:color w:val="auto"/>
                </w:rPr>
                <w:t>8</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10">
              <w:r>
                <w:rPr>
                  <w:rFonts w:ascii="Arial" w:cs="Arial" w:eastAsia="Arial" w:hAnsi="Arial"/>
                  <w:sz w:val="18"/>
                  <w:szCs w:val="18"/>
                  <w:b w:val="1"/>
                  <w:bCs w:val="1"/>
                  <w:color w:val="auto"/>
                </w:rPr>
                <w:t>9</w:t>
              </w:r>
            </w:hyperlink>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1">
              <w:r>
                <w:rPr>
                  <w:rFonts w:ascii="Arial" w:cs="Arial" w:eastAsia="Arial" w:hAnsi="Arial"/>
                  <w:sz w:val="18"/>
                  <w:szCs w:val="18"/>
                  <w:b w:val="1"/>
                  <w:bCs w:val="1"/>
                  <w:color w:val="auto"/>
                </w:rPr>
                <w:t>20</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20</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20</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Share Repurchase Program</w:t>
            </w:r>
          </w:p>
        </w:tc>
        <w:tc>
          <w:tcPr>
            <w:tcW w:w="740" w:type="dxa"/>
            <w:vAlign w:val="bottom"/>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20</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Stock Purchase Program</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21</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Divestitures and Acquisitions</w:t>
            </w:r>
          </w:p>
        </w:tc>
        <w:tc>
          <w:tcPr>
            <w:tcW w:w="740" w:type="dxa"/>
            <w:vAlign w:val="bottom"/>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21</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21</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Production</w:t>
            </w:r>
          </w:p>
        </w:tc>
        <w:tc>
          <w:tcPr>
            <w:tcW w:w="740" w:type="dxa"/>
            <w:vAlign w:val="bottom"/>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22</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Prices and Realizations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24</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25</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Liquidity and Capital Resources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31</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2022 Capital Program</w:t>
            </w:r>
          </w:p>
        </w:tc>
        <w:tc>
          <w:tcPr>
            <w:tcW w:w="740" w:type="dxa"/>
            <w:vAlign w:val="bottom"/>
          </w:tcPr>
          <w:p>
            <w:pPr>
              <w:jc w:val="right"/>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32</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33</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Critical Accounting Estimates and Significant Accounting and Disclosure Changes</w:t>
            </w:r>
          </w:p>
        </w:tc>
        <w:tc>
          <w:tcPr>
            <w:tcW w:w="740" w:type="dxa"/>
            <w:vAlign w:val="bottom"/>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33</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Forward-Looking Statements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34</w:t>
              </w:r>
            </w:hyperlink>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3</w:t>
            </w:r>
          </w:p>
        </w:tc>
        <w:tc>
          <w:tcPr>
            <w:tcW w:w="75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tcPr>
          <w:p>
            <w:pPr>
              <w:jc w:val="right"/>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36</w:t>
              </w:r>
            </w:hyperlink>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4</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Controls and Procedures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36</w:t>
              </w:r>
            </w:hyperlink>
          </w:p>
        </w:tc>
      </w:tr>
      <w:tr>
        <w:trPr>
          <w:trHeight w:val="216"/>
        </w:trPr>
        <w:tc>
          <w:tcPr>
            <w:tcW w:w="9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74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37</w:t>
              </w:r>
            </w:hyperlink>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1A</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37</w:t>
              </w:r>
            </w:hyperlink>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4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37</w:t>
              </w:r>
            </w:hyperlink>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5</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37</w:t>
              </w:r>
            </w:hyperlink>
          </w:p>
        </w:tc>
      </w:tr>
      <w:tr>
        <w:trPr>
          <w:trHeight w:val="23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6</w:t>
            </w:r>
          </w:p>
        </w:tc>
        <w:tc>
          <w:tcPr>
            <w:tcW w:w="7520" w:type="dxa"/>
            <w:vAlign w:val="bottom"/>
          </w:tcPr>
          <w:p>
            <w:pPr>
              <w:ind w:left="18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86" w:right="1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10-Q:</w:t>
      </w:r>
    </w:p>
    <w:p>
      <w:pPr>
        <w:spacing w:after="0" w:line="2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FEED </w:t>
      </w:r>
      <w:r>
        <w:rPr>
          <w:rFonts w:ascii="Arial" w:cs="Arial" w:eastAsia="Arial" w:hAnsi="Arial"/>
          <w:sz w:val="18"/>
          <w:szCs w:val="18"/>
          <w:color w:val="auto"/>
        </w:rPr>
        <w:t>- Front-end engineering design.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Full-Scope Net Zero </w:t>
      </w:r>
      <w:r>
        <w:rPr>
          <w:rFonts w:ascii="Arial" w:cs="Arial" w:eastAsia="Arial" w:hAnsi="Arial"/>
          <w:sz w:val="18"/>
          <w:szCs w:val="18"/>
          <w:color w:val="auto"/>
        </w:rPr>
        <w:t>- Achieving permanent storage of captured or removed carbon emissions in a volume equal to all of our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 and 3 emissions by 2045.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LIBOR </w:t>
      </w:r>
      <w:r>
        <w:rPr>
          <w:rFonts w:ascii="Arial" w:cs="Arial" w:eastAsia="Arial" w:hAnsi="Arial"/>
          <w:sz w:val="18"/>
          <w:szCs w:val="18"/>
          <w:color w:val="auto"/>
        </w:rPr>
        <w:t>- London Interbank Offered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and together with Russia and other allied producing countries</w:t>
      </w:r>
    </w:p>
    <w:p>
      <w:pPr>
        <w:spacing w:after="0" w:line="1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PHMS </w:t>
      </w:r>
      <w:r>
        <w:rPr>
          <w:rFonts w:ascii="Arial" w:cs="Arial" w:eastAsia="Arial" w:hAnsi="Arial"/>
          <w:sz w:val="18"/>
          <w:szCs w:val="18"/>
          <w:color w:val="auto"/>
        </w:rPr>
        <w:t>- Pipeline and Hazardous Materials Safety Administration.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Proved reserves that can be expected to be recovered through existing wells with existing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methods.</w:t>
      </w:r>
    </w:p>
    <w:p>
      <w:pPr>
        <w:ind w:left="660" w:right="30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ectPr>
          <w:pgSz w:w="11900" w:h="16838" w:orient="portrait"/>
          <w:cols w:equalWidth="0" w:num="1">
            <w:col w:w="11180"/>
          </w:cols>
          <w:pgMar w:left="320" w:top="886" w:right="39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type w:val="continuous"/>
        </w:sectPr>
      </w:pPr>
    </w:p>
    <w:bookmarkStart w:id="4" w:name="page5"/>
    <w:bookmarkEnd w:id="4"/>
    <w:p>
      <w:pPr>
        <w:ind w:left="328" w:right="60" w:hanging="328"/>
        <w:spacing w:after="0" w:line="278"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spacing w:after="0" w:line="1"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6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8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3500"/>
              <w:spacing w:after="0"/>
              <w:rPr>
                <w:sz w:val="20"/>
                <w:szCs w:val="20"/>
                <w:color w:val="auto"/>
              </w:rPr>
            </w:pPr>
            <w:r>
              <w:rPr>
                <w:rFonts w:ascii="Arial" w:cs="Arial" w:eastAsia="Arial" w:hAnsi="Arial"/>
                <w:sz w:val="18"/>
                <w:szCs w:val="18"/>
                <w:b w:val="1"/>
                <w:bCs w:val="1"/>
                <w:color w:val="auto"/>
              </w:rPr>
              <w:t>PART I</w:t>
            </w:r>
          </w:p>
        </w:tc>
        <w:tc>
          <w:tcPr>
            <w:tcW w:w="326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FINANCIAL INFORMATION</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6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40" w:type="dxa"/>
            <w:vAlign w:val="bottom"/>
            <w:gridSpan w:val="4"/>
          </w:tcPr>
          <w:p>
            <w:pPr>
              <w:jc w:val="center"/>
              <w:ind w:left="2510"/>
              <w:spacing w:after="0"/>
              <w:rPr>
                <w:sz w:val="20"/>
                <w:szCs w:val="20"/>
                <w:color w:val="auto"/>
              </w:rPr>
            </w:pPr>
            <w:r>
              <w:rPr>
                <w:rFonts w:ascii="Arial" w:cs="Arial" w:eastAsia="Arial" w:hAnsi="Arial"/>
                <w:sz w:val="18"/>
                <w:szCs w:val="18"/>
                <w:b w:val="1"/>
                <w:bCs w:val="1"/>
                <w:color w:val="auto"/>
              </w:rPr>
              <w:t>Condensed Consolidated Balance Sheets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4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w w:val="99"/>
              </w:rPr>
              <w:t>As of March 31, 2022 and December 31, 2021</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40" w:type="dxa"/>
            <w:vAlign w:val="bottom"/>
            <w:gridSpan w:val="4"/>
          </w:tcPr>
          <w:p>
            <w:pPr>
              <w:jc w:val="center"/>
              <w:ind w:left="2510"/>
              <w:spacing w:after="0"/>
              <w:rPr>
                <w:sz w:val="20"/>
                <w:szCs w:val="20"/>
                <w:color w:val="auto"/>
              </w:rPr>
            </w:pPr>
            <w:r>
              <w:rPr>
                <w:rFonts w:ascii="Arial" w:cs="Arial" w:eastAsia="Arial" w:hAnsi="Arial"/>
                <w:sz w:val="18"/>
                <w:szCs w:val="18"/>
                <w:color w:val="auto"/>
                <w:w w:val="99"/>
              </w:rPr>
              <w:t>(in millions, except share data)</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3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Assets held for sale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780" w:type="dxa"/>
            <w:vAlign w:val="bottom"/>
            <w:gridSpan w:val="3"/>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Liabilities associated with assets held for sale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Fair value of derivative contracts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Total current liabilities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Long-term debt, net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Fair value of derivative contracts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Asset retirement obligations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8000" w:type="dxa"/>
            <w:vAlign w:val="bottom"/>
            <w:gridSpan w:val="5"/>
            <w:shd w:val="clear" w:color="auto" w:fill="CCEEFF"/>
          </w:tcPr>
          <w:p>
            <w:pPr>
              <w:ind w:left="320"/>
              <w:spacing w:after="0" w:line="189"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March 31, 2022 and December 31, 2021</w:t>
            </w:r>
          </w:p>
        </w:tc>
        <w:tc>
          <w:tcPr>
            <w:tcW w:w="3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000" w:type="dxa"/>
            <w:vAlign w:val="bottom"/>
            <w:gridSpan w:val="5"/>
          </w:tcPr>
          <w:p>
            <w:pPr>
              <w:ind w:left="320"/>
              <w:spacing w:after="0" w:line="189" w:lineRule="exact"/>
              <w:rPr>
                <w:sz w:val="20"/>
                <w:szCs w:val="20"/>
                <w:color w:val="auto"/>
              </w:rPr>
            </w:pPr>
            <w:r>
              <w:rPr>
                <w:rFonts w:ascii="Arial" w:cs="Arial" w:eastAsia="Arial" w:hAnsi="Arial"/>
                <w:sz w:val="18"/>
                <w:szCs w:val="18"/>
                <w:color w:val="auto"/>
              </w:rPr>
              <w:t>Common stock (200,000,000 shares authorized at $0.01 par value) (83,389,254 and</w:t>
            </w: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00" w:type="dxa"/>
            <w:vAlign w:val="bottom"/>
            <w:gridSpan w:val="5"/>
          </w:tcPr>
          <w:p>
            <w:pPr>
              <w:ind w:left="480"/>
              <w:spacing w:after="0" w:line="176" w:lineRule="exact"/>
              <w:rPr>
                <w:sz w:val="20"/>
                <w:szCs w:val="20"/>
                <w:color w:val="auto"/>
              </w:rPr>
            </w:pPr>
            <w:r>
              <w:rPr>
                <w:rFonts w:ascii="Arial" w:cs="Arial" w:eastAsia="Arial" w:hAnsi="Arial"/>
                <w:sz w:val="18"/>
                <w:szCs w:val="18"/>
                <w:color w:val="auto"/>
              </w:rPr>
              <w:t>83,389,210 shares issued; 77,630,810 and 79,299,222 shares outstanding at March 31,</w:t>
            </w: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2022 and December 31, 2021)</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8000" w:type="dxa"/>
            <w:vAlign w:val="bottom"/>
            <w:gridSpan w:val="5"/>
            <w:shd w:val="clear" w:color="auto" w:fill="CCEEFF"/>
          </w:tcPr>
          <w:p>
            <w:pPr>
              <w:ind w:left="320"/>
              <w:spacing w:after="0" w:line="189" w:lineRule="exact"/>
              <w:rPr>
                <w:sz w:val="20"/>
                <w:szCs w:val="20"/>
                <w:color w:val="auto"/>
              </w:rPr>
            </w:pPr>
            <w:r>
              <w:rPr>
                <w:rFonts w:ascii="Arial" w:cs="Arial" w:eastAsia="Arial" w:hAnsi="Arial"/>
                <w:sz w:val="18"/>
                <w:szCs w:val="18"/>
                <w:color w:val="auto"/>
              </w:rPr>
              <w:t>Treasury stock (5,758,444 shares held at cost at March 31, 2022 and 4,089,988 shares held</w:t>
            </w: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at cost at December 31, 2021)</w:t>
            </w:r>
          </w:p>
        </w:tc>
        <w:tc>
          <w:tcPr>
            <w:tcW w:w="3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5"/>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80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7"/>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0" w:type="dxa"/>
            <w:vAlign w:val="bottom"/>
          </w:tcPr>
          <w:p>
            <w:pPr>
              <w:jc w:val="center"/>
              <w:ind w:right="121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data)</w:t>
      </w:r>
    </w:p>
    <w:p>
      <w:pPr>
        <w:spacing w:after="0" w:line="30"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Three months ended</w:t>
      </w:r>
    </w:p>
    <w:p>
      <w:pPr>
        <w:jc w:val="center"/>
        <w:ind w:left="746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Oil, natural gas and NGL sales</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Net loss from commodity derivatives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of purchased natural gas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Electricity sales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revenue</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74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revenues</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78"/>
        </w:trPr>
        <w:tc>
          <w:tcPr>
            <w:tcW w:w="74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costs</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General and administrative expenses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Asset impairments</w:t>
            </w:r>
          </w:p>
        </w:tc>
        <w:tc>
          <w:tcPr>
            <w:tcW w:w="1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other than on income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Exploration expense</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Purchased natural gas expense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Electricity generation expenses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Transportation costs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Accretion expense</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expenses, net</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74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13"/>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gain on asset divestitures</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1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98"/>
        </w:trPr>
        <w:tc>
          <w:tcPr>
            <w:tcW w:w="74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Reorganization items, net</w:t>
            </w:r>
          </w:p>
        </w:tc>
        <w:tc>
          <w:tcPr>
            <w:tcW w:w="1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460" w:type="dxa"/>
            <w:vAlign w:val="bottom"/>
          </w:tcPr>
          <w:p>
            <w:pPr>
              <w:ind w:left="340"/>
              <w:spacing w:after="0"/>
              <w:rPr>
                <w:sz w:val="20"/>
                <w:szCs w:val="20"/>
                <w:color w:val="auto"/>
              </w:rPr>
            </w:pPr>
            <w:r>
              <w:rPr>
                <w:rFonts w:ascii="Arial" w:cs="Arial" w:eastAsia="Arial" w:hAnsi="Arial"/>
                <w:sz w:val="16"/>
                <w:szCs w:val="16"/>
                <w:color w:val="auto"/>
              </w:rPr>
              <w:t>Interest and debt expense, net</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on early extinguishment of debt</w:t>
            </w:r>
          </w:p>
        </w:tc>
        <w:tc>
          <w:tcPr>
            <w:tcW w:w="1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non-operating expenses, net</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taxes</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ATTRIBUTABLE TO COMMON STOCK</w:t>
            </w:r>
          </w:p>
        </w:tc>
        <w:tc>
          <w:tcPr>
            <w:tcW w:w="120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attributable to common stock per share</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Basic</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(2.23)</w:t>
            </w:r>
          </w:p>
        </w:tc>
        <w:tc>
          <w:tcPr>
            <w:tcW w:w="1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6"/>
        </w:trPr>
        <w:tc>
          <w:tcPr>
            <w:tcW w:w="7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Basic</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83.3</w:t>
            </w:r>
          </w:p>
        </w:tc>
      </w:tr>
      <w:tr>
        <w:trPr>
          <w:trHeight w:val="186"/>
        </w:trPr>
        <w:tc>
          <w:tcPr>
            <w:tcW w:w="7460" w:type="dxa"/>
            <w:vAlign w:val="bottom"/>
          </w:tcPr>
          <w:p>
            <w:pPr>
              <w:ind w:left="20"/>
              <w:spacing w:after="0"/>
              <w:rPr>
                <w:sz w:val="20"/>
                <w:szCs w:val="20"/>
                <w:color w:val="auto"/>
              </w:rPr>
            </w:pPr>
            <w:r>
              <w:rPr>
                <w:rFonts w:ascii="Arial" w:cs="Arial" w:eastAsia="Arial" w:hAnsi="Arial"/>
                <w:sz w:val="16"/>
                <w:szCs w:val="16"/>
                <w:color w:val="auto"/>
              </w:rPr>
              <w:t>Diluted</w:t>
            </w:r>
          </w:p>
        </w:tc>
        <w:tc>
          <w:tcPr>
            <w:tcW w:w="1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78.5</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-113665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 w:name="page8"/>
    <w:bookmarkEnd w:id="7"/>
    <w:p>
      <w:pPr>
        <w:jc w:val="center"/>
        <w:ind w:left="800" w:right="2100"/>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Income (Loss) For the three months ended March 31, 2022 and 2021 </w:t>
      </w:r>
      <w:r>
        <w:rPr>
          <w:rFonts w:ascii="Arial" w:cs="Arial" w:eastAsia="Arial" w:hAnsi="Arial"/>
          <w:sz w:val="18"/>
          <w:szCs w:val="18"/>
          <w:color w:val="auto"/>
        </w:rPr>
        <w:t>(in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March 31,</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w:t>
            </w:r>
          </w:p>
        </w:tc>
        <w:tc>
          <w:tcPr>
            <w:tcW w:w="14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ncome attributable to noncontrolling interests</w:t>
            </w:r>
          </w:p>
        </w:tc>
        <w:tc>
          <w:tcPr>
            <w:tcW w:w="1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prehensive loss attributable to common stock</w:t>
            </w:r>
          </w:p>
        </w:tc>
        <w:tc>
          <w:tcPr>
            <w:tcW w:w="1480" w:type="dxa"/>
            <w:vAlign w:val="bottom"/>
            <w:tcBorders>
              <w:top w:val="single" w:sz="8" w:color="CCEEFF"/>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-487680</wp:posOffset>
            </wp:positionV>
            <wp:extent cx="682371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3710" cy="15430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220" w:top="927" w:right="8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2022</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 Paid-in</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60" w:type="dxa"/>
            <w:vAlign w:val="bottom"/>
            <w:gridSpan w:val="3"/>
            <w:vMerge w:val="continue"/>
          </w:tcPr>
          <w:p>
            <w:pPr>
              <w:spacing w:after="0"/>
              <w:rPr>
                <w:sz w:val="11"/>
                <w:szCs w:val="11"/>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3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Comprehensive</w:t>
            </w:r>
          </w:p>
        </w:tc>
        <w:tc>
          <w:tcPr>
            <w:tcW w:w="2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5"/>
                <w:szCs w:val="15"/>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1,288</w:t>
            </w: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89"/>
        </w:trPr>
        <w:tc>
          <w:tcPr>
            <w:tcW w:w="252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52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dividends ($0.17 per share)</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1,293</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Three months ended March 31, 2021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1"/>
                <w:szCs w:val="11"/>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paid to a</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05"/>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noncontrolling interest holder</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0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Deferred income tax benefit</w:t>
            </w: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impairments</w:t>
            </w:r>
          </w:p>
        </w:tc>
        <w:tc>
          <w:tcPr>
            <w:tcW w:w="1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Net loss from commodity derivatives</w:t>
            </w: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payments on settled commodity derivatives</w:t>
            </w: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Net loss on early extinguishment of debt</w:t>
            </w:r>
          </w:p>
        </w:tc>
        <w:tc>
          <w:tcPr>
            <w:tcW w:w="14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gain on asset divestitures</w:t>
            </w: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Other non-cash charges to income, net</w:t>
            </w: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 net</w:t>
            </w:r>
          </w:p>
        </w:tc>
        <w:tc>
          <w:tcPr>
            <w:tcW w:w="14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88"/>
        </w:trPr>
        <w:tc>
          <w:tcPr>
            <w:tcW w:w="70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investments</w:t>
            </w: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Changes in accrued capital investments</w:t>
            </w: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asset divestitures</w:t>
            </w: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Acquisitions</w:t>
            </w:r>
          </w:p>
        </w:tc>
        <w:tc>
          <w:tcPr>
            <w:tcW w:w="1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Net cash used in investing activities</w:t>
            </w:r>
          </w:p>
        </w:tc>
        <w:tc>
          <w:tcPr>
            <w:tcW w:w="14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88"/>
        </w:trPr>
        <w:tc>
          <w:tcPr>
            <w:tcW w:w="70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14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Revolving Credit Facility</w:t>
            </w:r>
          </w:p>
        </w:tc>
        <w:tc>
          <w:tcPr>
            <w:tcW w:w="1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Proceeds from Senior Notes</w:t>
            </w:r>
          </w:p>
        </w:tc>
        <w:tc>
          <w:tcPr>
            <w:tcW w:w="14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1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Repayment of Second Lien Term Loan</w:t>
            </w:r>
          </w:p>
        </w:tc>
        <w:tc>
          <w:tcPr>
            <w:tcW w:w="14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EHP Notes</w:t>
            </w:r>
          </w:p>
        </w:tc>
        <w:tc>
          <w:tcPr>
            <w:tcW w:w="1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dividends</w:t>
            </w:r>
          </w:p>
        </w:tc>
        <w:tc>
          <w:tcPr>
            <w:tcW w:w="14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Distributions paid to a noncontrolling interest holder</w:t>
            </w:r>
          </w:p>
        </w:tc>
        <w:tc>
          <w:tcPr>
            <w:tcW w:w="14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Net cash used in financing activities</w:t>
            </w: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Increase in cash</w:t>
            </w:r>
          </w:p>
        </w:tc>
        <w:tc>
          <w:tcPr>
            <w:tcW w:w="1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Cash—beginning of period</w:t>
            </w:r>
          </w:p>
        </w:tc>
        <w:tc>
          <w:tcPr>
            <w:tcW w:w="14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Cash—end of period</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700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7"/>
        </w:trPr>
        <w:tc>
          <w:tcPr>
            <w:tcW w:w="7000" w:type="dxa"/>
            <w:vAlign w:val="bottom"/>
          </w:tcPr>
          <w:p>
            <w:pPr>
              <w:ind w:left="5580"/>
              <w:spacing w:after="0"/>
              <w:rPr>
                <w:sz w:val="20"/>
                <w:szCs w:val="20"/>
                <w:color w:val="auto"/>
              </w:rPr>
            </w:pPr>
            <w:r>
              <w:rPr>
                <w:rFonts w:ascii="Arial" w:cs="Arial" w:eastAsia="Arial" w:hAnsi="Arial"/>
                <w:sz w:val="18"/>
                <w:szCs w:val="18"/>
                <w:color w:val="auto"/>
              </w:rPr>
              <w:t>8</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0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74"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Through our subsidiary, Carbon TerraVault, we are in the early stages of developing several carbon capture and sequestration projects in California. Separately, we are evaluating the feasibility of a carbon capture system to be located at our Elk Hills power plant (CalCapture). Except when the context otherwise requires or where otherwise indicated, all references to ‘‘CRC,’’ the ‘‘Company,’’ ‘‘we,’’ ‘‘us’’ and ‘‘our’’ refer to California Resources Corporation and its subsidiaries.</w:t>
      </w:r>
    </w:p>
    <w:p>
      <w:pPr>
        <w:spacing w:after="0" w:line="232" w:lineRule="exact"/>
        <w:rPr>
          <w:sz w:val="20"/>
          <w:szCs w:val="20"/>
          <w:color w:val="auto"/>
        </w:rPr>
      </w:pPr>
    </w:p>
    <w:p>
      <w:pPr>
        <w:jc w:val="both"/>
        <w:ind w:right="100" w:firstLine="324"/>
        <w:spacing w:after="0" w:line="253"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w:t>
      </w:r>
    </w:p>
    <w:p>
      <w:pPr>
        <w:spacing w:after="0" w:line="23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3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2021 (2021 Annual Report).</w:t>
      </w:r>
    </w:p>
    <w:p>
      <w:pPr>
        <w:spacing w:after="0" w:line="214"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 xml:space="preserve">The carrying amounts of cash and on-balance sheet financial instruments, other than debt, approximate fair value. Refer to </w:t>
      </w:r>
      <w:r>
        <w:rPr>
          <w:rFonts w:ascii="Arial" w:cs="Arial" w:eastAsia="Arial" w:hAnsi="Arial"/>
          <w:sz w:val="18"/>
          <w:szCs w:val="18"/>
          <w:i w:val="1"/>
          <w:iCs w:val="1"/>
          <w:color w:val="auto"/>
        </w:rPr>
        <w:t>Note 6 Debt</w:t>
      </w:r>
      <w:r>
        <w:rPr>
          <w:rFonts w:ascii="Arial" w:cs="Arial" w:eastAsia="Arial" w:hAnsi="Arial"/>
          <w:sz w:val="18"/>
          <w:szCs w:val="18"/>
          <w:color w:val="auto"/>
        </w:rPr>
        <w:t xml:space="preserve"> for the fair value of our debt.</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February 2022, we amended our Revolving Credit Facility to replace the benchmark rate from the London Interbank Offered Rate to the secured overnight financing rate (SOFR). As a result of this amendment, we can elect to borrow at either an adjusted SOFR rate or an alternate base rate (ABR), subject to a 1% floor and 2% floor, respectively,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 to 4% and (ii) in the case of ABR loans, 2% to 3%. The unused portion of the facility is subject to a commitment fee of 0.50% per annum. We also pay customary fees and expenses. Interest on ABR loans is payable quarterly in arrears. Interest on SOFR loans is payable at the end of each SOFR period, but not less than quarterly.</w:t>
      </w:r>
    </w:p>
    <w:p>
      <w:pPr>
        <w:spacing w:after="0" w:line="214"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 xml:space="preserve">ASC Topic 848,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contains guidance for applying U.S. GAAP to contracts, hedging relationships and other transactions that are impacted by reference rate reform. Under this guidance, we elected to account for this debt amendment as a modification of the original instrument. The debt modification did not have a material impact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3  OTHER BALANCE SHEET INFORMATION</w:t>
            </w: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i w:val="1"/>
                <w:iCs w:val="1"/>
                <w:color w:val="auto"/>
              </w:rPr>
              <w:t xml:space="preserve">Other current assets </w:t>
            </w:r>
            <w:r>
              <w:rPr>
                <w:rFonts w:ascii="Arial" w:cs="Arial" w:eastAsia="Arial" w:hAnsi="Arial"/>
                <w:sz w:val="18"/>
                <w:szCs w:val="18"/>
                <w:color w:val="auto"/>
              </w:rPr>
              <w:t>— Other current assets includes the following:</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joint interest partners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Greenhouse gas allowances</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Margin deposits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Other noncurrent assets </w:t>
            </w:r>
            <w:r>
              <w:rPr>
                <w:rFonts w:ascii="Arial" w:cs="Arial" w:eastAsia="Arial" w:hAnsi="Arial"/>
                <w:sz w:val="18"/>
                <w:szCs w:val="18"/>
                <w:color w:val="auto"/>
              </w:rPr>
              <w:t>- Other noncurrent assets includes the following:</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financing costs - Revolving Credit Facility</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Emission reduction credits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Prepaid power plant maintenance</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 and other</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includes the following:</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employee-related costs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taxes other than on income</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interest</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Premiums due on derivative contracts</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Liability for settlement payments on derivative contracts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Amounts due under production-sharing contracts</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4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5"/>
        </w:trPr>
        <w:tc>
          <w:tcPr>
            <w:tcW w:w="7360" w:type="dxa"/>
            <w:vAlign w:val="bottom"/>
          </w:tcPr>
          <w:p>
            <w:pPr>
              <w:ind w:left="340"/>
              <w:spacing w:after="0"/>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includes the following:</w:t>
            </w: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90"/>
        </w:trPr>
        <w:tc>
          <w:tcPr>
            <w:tcW w:w="7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360" w:type="dxa"/>
            <w:vAlign w:val="bottom"/>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183"/>
        </w:trPr>
        <w:tc>
          <w:tcPr>
            <w:tcW w:w="7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Premiums due on derivative contracts</w:t>
            </w: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1"/>
        </w:trPr>
        <w:tc>
          <w:tcPr>
            <w:tcW w:w="7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SUPPLEMENTAL CASH FLOW INFORMATION</w:t>
      </w:r>
    </w:p>
    <w:p>
      <w:pPr>
        <w:spacing w:after="0" w:line="274"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did not make U.S. federal and state income tax payments during the three months ended March 31, 2022 and 2021. Interest paid, net of capitalized amounts, totaled $22 million and $2 million for the three months ended March 31, 2022 and 2021, respectively.</w:t>
      </w:r>
    </w:p>
    <w:p>
      <w:pPr>
        <w:spacing w:after="0" w:line="225"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Non-cash financing activities in the three months ended March 31, 2022 included $1 million of dividends accrued for stock-based compensation awards. No dividends were accrued for the three months ended March 31, 2021.</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INVENTORIES</w:t>
      </w:r>
    </w:p>
    <w:p>
      <w:pPr>
        <w:spacing w:after="0" w:line="27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Materials and supplies, which primarily consist of well equipment and tubular goods used in our oil and natural gas operations, are valued at weighted-average cost and are reviewed periodically for obsolescence. Finished goods include produced oil and NGLs in storage, which are valued at the lower of cost or net realizable value. Inventories, by category,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7380" w:type="dxa"/>
            <w:vAlign w:val="bottom"/>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183"/>
        </w:trPr>
        <w:tc>
          <w:tcPr>
            <w:tcW w:w="7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tab/>
        <w:t>DEBT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2022 and December 31, 2021, our long-term debt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356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Interest Rate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185"/>
        </w:trPr>
        <w:tc>
          <w:tcPr>
            <w:tcW w:w="356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color w:val="auto"/>
              </w:rPr>
              <w:t>(in millions)</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177"/>
        </w:trPr>
        <w:tc>
          <w:tcPr>
            <w:tcW w:w="356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Revolving Credit Facility</w:t>
            </w:r>
          </w:p>
        </w:tc>
        <w:tc>
          <w:tcPr>
            <w:tcW w:w="1280" w:type="dxa"/>
            <w:vAlign w:val="bottom"/>
            <w:shd w:val="clear" w:color="auto" w:fill="CCEEFF"/>
          </w:tcPr>
          <w:p>
            <w:pPr>
              <w:jc w:val="right"/>
              <w:ind w:right="1099"/>
              <w:spacing w:after="0" w:line="178" w:lineRule="exact"/>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line="178"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center"/>
              <w:ind w:right="100"/>
              <w:spacing w:after="0" w:line="178" w:lineRule="exact"/>
              <w:rPr>
                <w:sz w:val="20"/>
                <w:szCs w:val="20"/>
                <w:color w:val="auto"/>
              </w:rPr>
            </w:pPr>
            <w:r>
              <w:rPr>
                <w:rFonts w:ascii="Arial" w:cs="Arial" w:eastAsia="Arial" w:hAnsi="Arial"/>
                <w:sz w:val="16"/>
                <w:szCs w:val="16"/>
                <w:color w:val="auto"/>
              </w:rPr>
              <w:t>SOFR plus 3%-4%</w:t>
            </w:r>
          </w:p>
        </w:tc>
        <w:tc>
          <w:tcPr>
            <w:tcW w:w="17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rPr>
              <w:t>April 29, 2024</w:t>
            </w:r>
          </w:p>
        </w:tc>
      </w:tr>
      <w:tr>
        <w:trPr>
          <w:trHeight w:val="201"/>
        </w:trPr>
        <w:tc>
          <w:tcPr>
            <w:tcW w:w="3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2%-3%</w:t>
            </w:r>
          </w:p>
        </w:tc>
        <w:tc>
          <w:tcPr>
            <w:tcW w:w="1760" w:type="dxa"/>
            <w:vAlign w:val="bottom"/>
            <w:shd w:val="clear" w:color="auto" w:fill="CCEEFF"/>
          </w:tcPr>
          <w:p>
            <w:pPr>
              <w:spacing w:after="0"/>
              <w:rPr>
                <w:sz w:val="17"/>
                <w:szCs w:val="17"/>
                <w:color w:val="auto"/>
              </w:rPr>
            </w:pPr>
          </w:p>
        </w:tc>
      </w:tr>
      <w:tr>
        <w:trPr>
          <w:trHeight w:val="213"/>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Senior Notes</w:t>
            </w: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3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February 1, 2026</w:t>
            </w:r>
          </w:p>
        </w:tc>
      </w:tr>
      <w:tr>
        <w:trPr>
          <w:trHeight w:val="213"/>
        </w:trPr>
        <w:tc>
          <w:tcPr>
            <w:tcW w:w="35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Principal amount</w:t>
            </w: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8"/>
              </w:rPr>
              <w:t>(10)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4"/>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Long-term debt, net</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74" w:lineRule="exact"/>
        <w:rPr>
          <w:sz w:val="20"/>
          <w:szCs w:val="20"/>
          <w:color w:val="auto"/>
        </w:rPr>
      </w:pPr>
    </w:p>
    <w:p>
      <w:pPr>
        <w:ind w:right="280" w:firstLine="324"/>
        <w:spacing w:after="0" w:line="250"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currently consists of a senior revolving loan facility (Revolving Credit Facility) with an aggregate commitment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$552 million, which we are permitted to increase if we obtain additional commitments from new or existing lenders. This amount includes</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$60 million of additional commitments from new lenders that we obtained in February 2022. Our Revolving Credit Facility also includes a sub-limit of $200 million for the issuance of letters of credit. Letters of credit were issued to support ordinary course marketing, insurance, regulatory and other matters.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borrowing base is redetermined semi-annually and was reaffirmed at $1.2 billion on April 29, 2022.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2022, our availability under our Revolving Credit Facility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jc w:val="center"/>
              <w:ind w:right="293"/>
              <w:spacing w:after="0"/>
              <w:rPr>
                <w:sz w:val="20"/>
                <w:szCs w:val="20"/>
                <w:color w:val="auto"/>
              </w:rPr>
            </w:pPr>
            <w:r>
              <w:rPr>
                <w:rFonts w:ascii="Arial" w:cs="Arial" w:eastAsia="Arial" w:hAnsi="Arial"/>
                <w:sz w:val="18"/>
                <w:szCs w:val="18"/>
                <w:b w:val="1"/>
                <w:bCs w:val="1"/>
                <w:color w:val="auto"/>
              </w:rPr>
              <w:t>March 31,</w:t>
            </w:r>
          </w:p>
        </w:tc>
      </w:tr>
      <w:tr>
        <w:trPr>
          <w:trHeight w:val="239"/>
        </w:trPr>
        <w:tc>
          <w:tcPr>
            <w:tcW w:w="9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293"/>
              <w:spacing w:after="0"/>
              <w:rPr>
                <w:sz w:val="20"/>
                <w:szCs w:val="20"/>
                <w:color w:val="auto"/>
              </w:rPr>
            </w:pPr>
            <w:r>
              <w:rPr>
                <w:rFonts w:ascii="Arial" w:cs="Arial" w:eastAsia="Arial" w:hAnsi="Arial"/>
                <w:sz w:val="18"/>
                <w:szCs w:val="18"/>
                <w:b w:val="1"/>
                <w:bCs w:val="1"/>
                <w:color w:val="auto"/>
                <w:w w:val="99"/>
              </w:rPr>
              <w:t>2022</w:t>
            </w:r>
          </w:p>
        </w:tc>
      </w:tr>
      <w:tr>
        <w:trPr>
          <w:trHeight w:val="183"/>
        </w:trPr>
        <w:tc>
          <w:tcPr>
            <w:tcW w:w="9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jc w:val="center"/>
              <w:ind w:right="293"/>
              <w:spacing w:after="0"/>
              <w:rPr>
                <w:sz w:val="20"/>
                <w:szCs w:val="20"/>
                <w:color w:val="auto"/>
              </w:rPr>
            </w:pPr>
            <w:r>
              <w:rPr>
                <w:rFonts w:ascii="Arial" w:cs="Arial" w:eastAsia="Arial" w:hAnsi="Arial"/>
                <w:sz w:val="14"/>
                <w:szCs w:val="14"/>
                <w:color w:val="auto"/>
              </w:rPr>
              <w:t>(in millions)</w:t>
            </w:r>
          </w:p>
        </w:tc>
      </w:tr>
      <w:tr>
        <w:trPr>
          <w:trHeight w:val="230"/>
        </w:trPr>
        <w:tc>
          <w:tcPr>
            <w:tcW w:w="9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center"/>
              <w:ind w:left="1193"/>
              <w:spacing w:after="0"/>
              <w:rPr>
                <w:sz w:val="20"/>
                <w:szCs w:val="20"/>
                <w:color w:val="auto"/>
              </w:rPr>
            </w:pPr>
            <w:r>
              <w:rPr>
                <w:rFonts w:ascii="Arial" w:cs="Arial" w:eastAsia="Arial" w:hAnsi="Arial"/>
                <w:sz w:val="18"/>
                <w:szCs w:val="18"/>
                <w:color w:val="auto"/>
                <w:w w:val="99"/>
              </w:rPr>
              <w:t>552</w:t>
            </w:r>
          </w:p>
        </w:tc>
      </w:tr>
      <w:tr>
        <w:trPr>
          <w:trHeight w:val="229"/>
        </w:trPr>
        <w:tc>
          <w:tcPr>
            <w:tcW w:w="9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193"/>
              <w:spacing w:after="0"/>
              <w:rPr>
                <w:sz w:val="20"/>
                <w:szCs w:val="20"/>
                <w:color w:val="auto"/>
              </w:rPr>
            </w:pPr>
            <w:r>
              <w:rPr>
                <w:rFonts w:ascii="Arial" w:cs="Arial" w:eastAsia="Arial" w:hAnsi="Arial"/>
                <w:sz w:val="18"/>
                <w:szCs w:val="18"/>
                <w:color w:val="auto"/>
                <w:w w:val="99"/>
              </w:rPr>
              <w:t>(136)</w:t>
            </w:r>
          </w:p>
        </w:tc>
      </w:tr>
      <w:tr>
        <w:trPr>
          <w:trHeight w:val="248"/>
        </w:trPr>
        <w:tc>
          <w:tcPr>
            <w:tcW w:w="9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center"/>
              <w:ind w:left="1193"/>
              <w:spacing w:after="0"/>
              <w:rPr>
                <w:sz w:val="20"/>
                <w:szCs w:val="20"/>
                <w:color w:val="auto"/>
              </w:rPr>
            </w:pPr>
            <w:r>
              <w:rPr>
                <w:rFonts w:ascii="Arial" w:cs="Arial" w:eastAsia="Arial" w:hAnsi="Arial"/>
                <w:sz w:val="18"/>
                <w:szCs w:val="18"/>
                <w:color w:val="auto"/>
                <w:w w:val="99"/>
              </w:rPr>
              <w:t>416</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 xml:space="preserve">At March 31, 2022, we were in compliance with all financial and other debt covenants under our Revolving Credit Facility and Senior Notes. 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more information on an amendment to our Revolving Credit Facility.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74" w:lineRule="exact"/>
        <w:rPr>
          <w:sz w:val="20"/>
          <w:szCs w:val="20"/>
          <w:color w:val="auto"/>
        </w:rPr>
      </w:pPr>
    </w:p>
    <w:p>
      <w:pPr>
        <w:ind w:right="900" w:firstLine="324"/>
        <w:spacing w:after="0" w:line="261" w:lineRule="auto"/>
        <w:rPr>
          <w:sz w:val="20"/>
          <w:szCs w:val="20"/>
          <w:color w:val="auto"/>
        </w:rPr>
      </w:pPr>
      <w:r>
        <w:rPr>
          <w:rFonts w:ascii="Arial" w:cs="Arial" w:eastAsia="Arial" w:hAnsi="Arial"/>
          <w:sz w:val="18"/>
          <w:szCs w:val="18"/>
          <w:color w:val="auto"/>
        </w:rPr>
        <w:t>The estimated fair value of our fixed-rate debt at March 31, 2022 and December 31, 2021 was approximately $625 million and $623 million, respectively. We estimate fair value based on prices known from market transactions (Level 1).</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DIVESTITURES AND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 Basin Transactions</w:t>
      </w:r>
    </w:p>
    <w:p>
      <w:pPr>
        <w:spacing w:after="0" w:line="27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During the three months ended March 31, 2022, we recorded a gain of $6 million related to the sale of certain Ventura basin assets. We expect to divest of our remaining assets in the Ventura basin during the second half of 2022 pending final approval from the State Lands Commission. These remaining assets, consisting of property, plant and equipment and the associated asset retirement obligations, are classified as held for sale on our condensed consolidated balance sheet as of March 31,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 Transaction</w:t>
      </w:r>
    </w:p>
    <w:p>
      <w:pPr>
        <w:spacing w:after="0" w:line="270" w:lineRule="exact"/>
        <w:rPr>
          <w:sz w:val="20"/>
          <w:szCs w:val="20"/>
          <w:color w:val="auto"/>
        </w:rPr>
      </w:pPr>
    </w:p>
    <w:p>
      <w:pPr>
        <w:ind w:right="180" w:firstLine="324"/>
        <w:spacing w:after="0" w:line="234" w:lineRule="auto"/>
        <w:rPr>
          <w:sz w:val="20"/>
          <w:szCs w:val="20"/>
          <w:color w:val="auto"/>
        </w:rPr>
      </w:pPr>
      <w:r>
        <w:rPr>
          <w:rFonts w:ascii="Arial" w:cs="Arial" w:eastAsia="Arial" w:hAnsi="Arial"/>
          <w:sz w:val="18"/>
          <w:szCs w:val="18"/>
          <w:color w:val="auto"/>
        </w:rPr>
        <w:t>On February 1, 2022, we sold our 50% non-operated working interest in certain horizons within our Lost Hills field, located in the San Joaquin basin, recognizing a gain of $49 million. We retained an option to capture, transport and store 100%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steam generators across the Lost Hills field for future carbon management projects. We also retained 100% of the deep rights and related seismic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CRC Plaza</w:t>
      </w:r>
    </w:p>
    <w:p>
      <w:pPr>
        <w:spacing w:after="0" w:line="270"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In January 2022, we entered into an agreement to sell our commercial office building located in Bakersfield, California, subject to due diligence and a fit for purpose analysis. The due diligence determined that the cost to convert the building for the buyer's use was not economic and the buyer elected to terminate the agreement in April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70"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During the three months ended March 31, 2022 and 2021, we sold non-core assets recognizing a $1 million loss and a $2 million gain,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7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During the three months ended March 31, 2022, we acquired properties and land easements for carbon management activities. Total spend for these carbon-related acquisitions was $17 million.</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Claims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for these items at March 31, 2022 and December 31, 2021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3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w:t>
      </w: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DERIVATIVES</w:t>
      </w:r>
    </w:p>
    <w:p>
      <w:pPr>
        <w:spacing w:after="0" w:line="27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maintain a commodity hedging program primarily focused on crude oil to help protect our cash flows, margins and capital program from the volatility of commodity prices. We did not have any derivative instruments designated as accounting hedges as of and for the three months ended March 31, 2022 and 2021. Unless otherwise indicated, we use the term "hedge" to describe derivative instruments that are designed to achieve our hedging requirements and program goals, even though they are not accounted for as accounting hedges.</w:t>
      </w:r>
    </w:p>
    <w:p>
      <w:pPr>
        <w:spacing w:after="0" w:line="231"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 xml:space="preserve">Currently, we may not hedge more than 85% of reasonably anticipated total forecasted production of crude oil, natural gas and NGLs from our oil and gas properties for a 48-month period, except that we may purchase puts and floors up to 100% of such production. The percentage of our crude oil production hedged is calculated exclusive of offsetting positions on our derivative contracts. See </w:t>
      </w:r>
      <w:r>
        <w:rPr>
          <w:rFonts w:ascii="Arial" w:cs="Arial" w:eastAsia="Arial" w:hAnsi="Arial"/>
          <w:sz w:val="18"/>
          <w:szCs w:val="18"/>
          <w:i w:val="1"/>
          <w:iCs w:val="1"/>
          <w:color w:val="auto"/>
        </w:rPr>
        <w: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for more information on an amendment to our Revolving Credit Facility and our hedging requirements.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i w:val="1"/>
          <w:iCs w:val="1"/>
          <w:color w:val="auto"/>
        </w:rPr>
        <w:t xml:space="preserve">Summary of open derivative contracts </w:t>
      </w:r>
      <w:r>
        <w:rPr>
          <w:rFonts w:ascii="Arial" w:cs="Arial" w:eastAsia="Arial" w:hAnsi="Arial"/>
          <w:sz w:val="18"/>
          <w:szCs w:val="18"/>
          <w:color w:val="auto"/>
        </w:rPr>
        <w:t>— We held the following Brent-based crude oil contracts as of March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Q2</w:t>
            </w:r>
          </w:p>
        </w:tc>
        <w:tc>
          <w:tcPr>
            <w:tcW w:w="26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Q3</w:t>
            </w:r>
          </w:p>
        </w:tc>
        <w:tc>
          <w:tcPr>
            <w:tcW w:w="24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Q4</w:t>
            </w: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1H</w:t>
            </w:r>
          </w:p>
        </w:tc>
        <w:tc>
          <w:tcPr>
            <w:tcW w:w="26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2H</w:t>
            </w:r>
          </w:p>
        </w:tc>
        <w:tc>
          <w:tcPr>
            <w:tcW w:w="260" w:type="dxa"/>
            <w:vAlign w:val="bottom"/>
          </w:tcPr>
          <w:p>
            <w:pPr>
              <w:spacing w:after="0"/>
              <w:rPr>
                <w:sz w:val="17"/>
                <w:szCs w:val="17"/>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58.63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54.12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62.95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Net Purchased Puts</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Purchased puts and sold puts with the same strike price have been presented on a net basis.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52" w:lineRule="exact"/>
        <w:rPr>
          <w:sz w:val="20"/>
          <w:szCs w:val="20"/>
          <w:color w:val="auto"/>
        </w:rPr>
      </w:pPr>
    </w:p>
    <w:p>
      <w:pPr>
        <w:ind w:right="280" w:firstLine="324"/>
        <w:spacing w:after="0"/>
        <w:rPr>
          <w:sz w:val="20"/>
          <w:szCs w:val="20"/>
          <w:color w:val="auto"/>
        </w:rPr>
      </w:pPr>
      <w:r>
        <w:rPr>
          <w:rFonts w:ascii="Arial" w:cs="Arial" w:eastAsia="Arial" w:hAnsi="Arial"/>
          <w:sz w:val="18"/>
          <w:szCs w:val="18"/>
          <w:color w:val="auto"/>
        </w:rPr>
        <w:t>We use combinations of these positions to meet the requirements of our Revolving Credit Facility and to increase the efficacy of our hedging program. The majority of our derivative positions were entered into subsequent to our emergence from bankruptcy to comply with the hedging requirements of our Revolving Credit Facility.</w:t>
      </w:r>
    </w:p>
    <w:p>
      <w:pPr>
        <w:spacing w:after="0" w:line="212" w:lineRule="exact"/>
        <w:rPr>
          <w:sz w:val="20"/>
          <w:szCs w:val="20"/>
          <w:color w:val="auto"/>
        </w:rPr>
      </w:pPr>
    </w:p>
    <w:p>
      <w:pPr>
        <w:ind w:right="740" w:firstLine="324"/>
        <w:spacing w:after="0" w:line="282"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The following tables present the fair values on a recurring basis (at gross and net)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derivatives as of March 31, 2022 and December 31, 2021: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880" w:type="dxa"/>
            <w:vAlign w:val="bottom"/>
            <w:tcBorders>
              <w:top w:val="single" w:sz="8" w:color="auto"/>
            </w:tcBorders>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Borders>
              <w:top w:val="single" w:sz="8" w:color="auto"/>
            </w:tcBorders>
            <w:vMerge w:val="restart"/>
          </w:tcPr>
          <w:p>
            <w:pPr>
              <w:spacing w:after="0"/>
              <w:rPr>
                <w:sz w:val="14"/>
                <w:szCs w:val="14"/>
                <w:color w:val="auto"/>
              </w:rPr>
            </w:pPr>
          </w:p>
        </w:tc>
        <w:tc>
          <w:tcPr>
            <w:tcW w:w="176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920" w:type="dxa"/>
            <w:vAlign w:val="bottom"/>
            <w:tcBorders>
              <w:top w:val="single" w:sz="8" w:color="auto"/>
            </w:tcBorders>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Borders>
              <w:top w:val="single" w:sz="8" w:color="auto"/>
            </w:tcBorders>
            <w:vMerge w:val="restart"/>
          </w:tcPr>
          <w:p>
            <w:pPr>
              <w:spacing w:after="0"/>
              <w:rPr>
                <w:sz w:val="14"/>
                <w:szCs w:val="14"/>
                <w:color w:val="auto"/>
              </w:rPr>
            </w:pP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020" w:type="dxa"/>
            <w:vAlign w:val="bottom"/>
            <w:gridSpan w:val="2"/>
          </w:tcPr>
          <w:p>
            <w:pPr>
              <w:ind w:left="10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loss from commodity derivatives on our condensed consolidated statements of operations for the three months ended March 31, 2022 and 2021. The changes in fair value result from the relationship between our existing positions, volatility, time to expiration, contract prices and the associated forward curves.</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7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Basic and diluted earnings per share (EPS) were calculated using the treasury stock method for the three months ended March 31, 2022 and March 31, 2021. Our restricted stock unit (RSU) and performance stock unit (PSU) awards are not considered participating securities since the dividend rights on unvested shares are forfeitable.</w:t>
      </w:r>
    </w:p>
    <w:p>
      <w:pPr>
        <w:spacing w:after="0" w:line="229"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For basic EPS, the weighted-average number of common shares outstanding excludes shares underlying our equity-settled awards and warrants. For diluted EPS, the basic shares outstanding are adjusted by adding potential common shares, if dilutive.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months ended March 31,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3320" w:type="dxa"/>
            <w:vAlign w:val="bottom"/>
            <w:gridSpan w:val="4"/>
          </w:tcPr>
          <w:p>
            <w:pPr>
              <w:jc w:val="right"/>
              <w:ind w:right="50"/>
              <w:spacing w:after="0"/>
              <w:rPr>
                <w:sz w:val="20"/>
                <w:szCs w:val="20"/>
                <w:color w:val="auto"/>
              </w:rPr>
            </w:pPr>
            <w:r>
              <w:rPr>
                <w:rFonts w:ascii="Arial" w:cs="Arial" w:eastAsia="Arial" w:hAnsi="Arial"/>
                <w:sz w:val="14"/>
                <w:szCs w:val="14"/>
                <w:color w:val="auto"/>
              </w:rPr>
              <w:t>(in millions, except per-share amounts)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net income attributable to noncontrolling interests</w:t>
            </w:r>
          </w:p>
        </w:tc>
        <w:tc>
          <w:tcPr>
            <w:tcW w:w="12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1"/>
        </w:trPr>
        <w:tc>
          <w:tcPr>
            <w:tcW w:w="7360" w:type="dxa"/>
            <w:vAlign w:val="bottom"/>
            <w:tcBorders>
              <w:top w:val="single" w:sz="8" w:color="CCEEFF"/>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loss attributable to common stock</w:t>
            </w:r>
          </w:p>
        </w:tc>
        <w:tc>
          <w:tcPr>
            <w:tcW w:w="1260" w:type="dxa"/>
            <w:vAlign w:val="bottom"/>
            <w:tcBorders>
              <w:top w:val="single" w:sz="8" w:color="auto"/>
              <w:bottom w:val="single" w:sz="8" w:color="auto"/>
            </w:tcBorders>
            <w:shd w:val="clear" w:color="auto" w:fill="CCEEFF"/>
          </w:tcPr>
          <w:p>
            <w:pPr>
              <w:jc w:val="right"/>
              <w:ind w:right="105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Denominator for Diluted EPS</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Basic</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9"/>
                <w:szCs w:val="19"/>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EPS:</w:t>
      </w:r>
    </w:p>
    <w:p>
      <w:pPr>
        <w:spacing w:after="0" w:line="271"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7"/>
        </w:trPr>
        <w:tc>
          <w:tcPr>
            <w:tcW w:w="7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color w:val="auto"/>
              </w:rPr>
              <w:t>(in millions)</w:t>
            </w:r>
          </w:p>
        </w:tc>
        <w:tc>
          <w:tcPr>
            <w:tcW w:w="1260" w:type="dxa"/>
            <w:vAlign w:val="bottom"/>
          </w:tcPr>
          <w:p>
            <w:pPr>
              <w:spacing w:after="0"/>
              <w:rPr>
                <w:sz w:val="17"/>
                <w:szCs w:val="17"/>
                <w:color w:val="auto"/>
              </w:rPr>
            </w:pPr>
          </w:p>
        </w:tc>
      </w:tr>
      <w:tr>
        <w:trPr>
          <w:trHeight w:val="23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issuable upon exercise of warrants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Shares issuable upon settlement of RSUs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settlement of PSUs</w:t>
            </w:r>
          </w:p>
        </w:tc>
        <w:tc>
          <w:tcPr>
            <w:tcW w:w="1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820" w:type="dxa"/>
            <w:vAlign w:val="bottom"/>
            <w:gridSpan w:val="2"/>
          </w:tcPr>
          <w:p>
            <w:pPr>
              <w:ind w:left="240"/>
              <w:spacing w:after="0"/>
              <w:rPr>
                <w:sz w:val="20"/>
                <w:szCs w:val="20"/>
                <w:color w:val="auto"/>
              </w:rPr>
            </w:pPr>
            <w:r>
              <w:rPr>
                <w:rFonts w:ascii="Arial" w:cs="Arial" w:eastAsia="Arial" w:hAnsi="Arial"/>
                <w:sz w:val="18"/>
                <w:szCs w:val="18"/>
                <w:color w:val="auto"/>
              </w:rPr>
              <w:t>Total antidilutive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
        </w:trPr>
        <w:tc>
          <w:tcPr>
            <w:tcW w:w="75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7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months ended March 31, 2022 and 2021:</w:t>
      </w:r>
    </w:p>
    <w:p>
      <w:pPr>
        <w:sectPr>
          <w:pgSz w:w="11900" w:h="16838" w:orient="portrait"/>
          <w:cols w:equalWidth="0" w:num="1">
            <w:col w:w="11240"/>
          </w:cols>
          <w:pgMar w:left="320" w:top="908" w:right="339" w:bottom="1440" w:gutter="0" w:footer="0" w:header="0"/>
        </w:sectPr>
      </w:pPr>
    </w:p>
    <w:p>
      <w:pPr>
        <w:spacing w:after="0" w:line="8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Three months ended March 31,</w:t>
      </w:r>
    </w:p>
    <w:p>
      <w:pPr>
        <w:spacing w:after="0" w:line="32" w:lineRule="exact"/>
        <w:rPr>
          <w:sz w:val="20"/>
          <w:szCs w:val="20"/>
          <w:color w:val="auto"/>
        </w:rPr>
      </w:pPr>
    </w:p>
    <w:tbl>
      <w:tblPr>
        <w:tblLayout w:type="fixed"/>
        <w:tblInd w:w="324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2022</w:t>
            </w:r>
          </w:p>
        </w:tc>
      </w:tr>
      <w:tr>
        <w:trPr>
          <w:trHeight w:val="169"/>
        </w:trPr>
        <w:tc>
          <w:tcPr>
            <w:tcW w:w="144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2440" w:type="dxa"/>
            <w:vAlign w:val="bottom"/>
          </w:tcPr>
          <w:p>
            <w:pPr>
              <w:jc w:val="center"/>
              <w:ind w:left="475"/>
              <w:spacing w:after="0" w:line="169" w:lineRule="exact"/>
              <w:rPr>
                <w:sz w:val="20"/>
                <w:szCs w:val="20"/>
                <w:color w:val="auto"/>
              </w:rPr>
            </w:pPr>
            <w:r>
              <w:rPr>
                <w:rFonts w:ascii="Arial" w:cs="Arial" w:eastAsia="Arial" w:hAnsi="Arial"/>
                <w:sz w:val="18"/>
                <w:szCs w:val="18"/>
                <w:b w:val="1"/>
                <w:bCs w:val="1"/>
                <w:color w:val="auto"/>
              </w:rPr>
              <w:t>Postretirement</w:t>
            </w:r>
          </w:p>
        </w:tc>
      </w:tr>
      <w:tr>
        <w:trPr>
          <w:trHeight w:val="229"/>
        </w:trPr>
        <w:tc>
          <w:tcPr>
            <w:tcW w:w="144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rPr>
              <w:t>Benefit</w:t>
            </w:r>
          </w:p>
        </w:tc>
        <w:tc>
          <w:tcPr>
            <w:tcW w:w="244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b w:val="1"/>
                <w:bCs w:val="1"/>
                <w:color w:val="auto"/>
                <w:w w:val="98"/>
              </w:rPr>
              <w:t>Benefit</w:t>
            </w:r>
          </w:p>
        </w:tc>
      </w:tr>
      <w:tr>
        <w:trPr>
          <w:trHeight w:val="183"/>
        </w:trPr>
        <w:tc>
          <w:tcPr>
            <w:tcW w:w="1440" w:type="dxa"/>
            <w:vAlign w:val="bottom"/>
          </w:tcPr>
          <w:p>
            <w:pPr>
              <w:spacing w:after="0"/>
              <w:rPr>
                <w:sz w:val="15"/>
                <w:szCs w:val="15"/>
                <w:color w:val="auto"/>
              </w:rPr>
            </w:pPr>
          </w:p>
        </w:tc>
        <w:tc>
          <w:tcPr>
            <w:tcW w:w="2440" w:type="dxa"/>
            <w:vAlign w:val="bottom"/>
          </w:tcPr>
          <w:p>
            <w:pPr>
              <w:jc w:val="center"/>
              <w:ind w:right="1355"/>
              <w:spacing w:after="0"/>
              <w:rPr>
                <w:sz w:val="20"/>
                <w:szCs w:val="20"/>
                <w:color w:val="auto"/>
              </w:rPr>
            </w:pPr>
            <w:r>
              <w:rPr>
                <w:rFonts w:ascii="Arial" w:cs="Arial" w:eastAsia="Arial" w:hAnsi="Arial"/>
                <w:sz w:val="14"/>
                <w:szCs w:val="14"/>
                <w:color w:val="auto"/>
              </w:rPr>
              <w:t>(in millions)</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2021</w:t>
            </w:r>
          </w:p>
        </w:tc>
      </w:tr>
      <w:tr>
        <w:trPr>
          <w:trHeight w:val="169"/>
        </w:trPr>
        <w:tc>
          <w:tcPr>
            <w:tcW w:w="142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9"/>
              </w:rPr>
              <w:t>Pension</w:t>
            </w:r>
          </w:p>
        </w:tc>
        <w:tc>
          <w:tcPr>
            <w:tcW w:w="2460" w:type="dxa"/>
            <w:vAlign w:val="bottom"/>
          </w:tcPr>
          <w:p>
            <w:pPr>
              <w:jc w:val="center"/>
              <w:ind w:left="47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29"/>
        </w:trPr>
        <w:tc>
          <w:tcPr>
            <w:tcW w:w="14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8"/>
              </w:rPr>
              <w:t>Benefit</w:t>
            </w:r>
          </w:p>
        </w:tc>
        <w:tc>
          <w:tcPr>
            <w:tcW w:w="246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b w:val="1"/>
                <w:bCs w:val="1"/>
                <w:color w:val="auto"/>
              </w:rPr>
              <w:t>Benefit</w:t>
            </w:r>
          </w:p>
        </w:tc>
      </w:tr>
      <w:tr>
        <w:trPr>
          <w:trHeight w:val="183"/>
        </w:trPr>
        <w:tc>
          <w:tcPr>
            <w:tcW w:w="1420" w:type="dxa"/>
            <w:vAlign w:val="bottom"/>
          </w:tcPr>
          <w:p>
            <w:pPr>
              <w:spacing w:after="0"/>
              <w:rPr>
                <w:sz w:val="15"/>
                <w:szCs w:val="15"/>
                <w:color w:val="auto"/>
              </w:rPr>
            </w:pPr>
          </w:p>
        </w:tc>
        <w:tc>
          <w:tcPr>
            <w:tcW w:w="2460" w:type="dxa"/>
            <w:vAlign w:val="bottom"/>
          </w:tcPr>
          <w:p>
            <w:pPr>
              <w:jc w:val="center"/>
              <w:ind w:right="1335"/>
              <w:spacing w:after="0"/>
              <w:rPr>
                <w:sz w:val="20"/>
                <w:szCs w:val="20"/>
                <w:color w:val="auto"/>
              </w:rPr>
            </w:pPr>
            <w:r>
              <w:rPr>
                <w:rFonts w:ascii="Arial" w:cs="Arial" w:eastAsia="Arial" w:hAnsi="Arial"/>
                <w:sz w:val="14"/>
                <w:szCs w:val="14"/>
                <w:color w:val="auto"/>
              </w:rPr>
              <w:t>(in millions)</w:t>
            </w:r>
          </w:p>
        </w:tc>
      </w:tr>
    </w:tbl>
    <w:p>
      <w:pPr>
        <w:spacing w:after="0" w:line="1" w:lineRule="exact"/>
        <w:rPr>
          <w:sz w:val="20"/>
          <w:szCs w:val="20"/>
          <w:color w:val="auto"/>
        </w:rPr>
      </w:pPr>
    </w:p>
    <w:p>
      <w:pPr>
        <w:sectPr>
          <w:pgSz w:w="11900" w:h="16838" w:orient="portrait"/>
          <w:cols w:equalWidth="0" w:num="2">
            <w:col w:w="7120" w:space="140"/>
            <w:col w:w="398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Service cost - benefits earned during</w:t>
            </w: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period</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88"/>
        </w:trPr>
        <w:tc>
          <w:tcPr>
            <w:tcW w:w="3240" w:type="dxa"/>
            <w:vAlign w:val="bottom"/>
          </w:tcPr>
          <w:p>
            <w:pPr>
              <w:ind w:left="20"/>
              <w:spacing w:after="0" w:line="189" w:lineRule="exact"/>
              <w:rPr>
                <w:sz w:val="20"/>
                <w:szCs w:val="20"/>
                <w:color w:val="auto"/>
              </w:rPr>
            </w:pPr>
            <w:r>
              <w:rPr>
                <w:rFonts w:ascii="Arial" w:cs="Arial" w:eastAsia="Arial" w:hAnsi="Arial"/>
                <w:sz w:val="18"/>
                <w:szCs w:val="18"/>
                <w:color w:val="auto"/>
              </w:rPr>
              <w:t>Interest cost on projected benefit</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7"/>
        </w:trPr>
        <w:tc>
          <w:tcPr>
            <w:tcW w:w="32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88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8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40" w:type="dxa"/>
            <w:vAlign w:val="bottom"/>
          </w:tcPr>
          <w:p>
            <w:pPr>
              <w:ind w:left="300"/>
              <w:spacing w:after="0"/>
              <w:rPr>
                <w:sz w:val="20"/>
                <w:szCs w:val="20"/>
                <w:color w:val="auto"/>
              </w:rPr>
            </w:pPr>
            <w:r>
              <w:rPr>
                <w:rFonts w:ascii="Arial" w:cs="Arial" w:eastAsia="Arial" w:hAnsi="Arial"/>
                <w:sz w:val="18"/>
                <w:szCs w:val="18"/>
                <w:color w:val="auto"/>
              </w:rPr>
              <w:t>Net periodic benefit costs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60" w:firstLine="324"/>
        <w:spacing w:after="0" w:line="256" w:lineRule="auto"/>
        <w:rPr>
          <w:sz w:val="20"/>
          <w:szCs w:val="20"/>
          <w:color w:val="auto"/>
        </w:rPr>
      </w:pPr>
      <w:r>
        <w:rPr>
          <w:rFonts w:ascii="Arial" w:cs="Arial" w:eastAsia="Arial" w:hAnsi="Arial"/>
          <w:sz w:val="18"/>
          <w:szCs w:val="18"/>
          <w:color w:val="auto"/>
        </w:rPr>
        <w:t>We contributed approximately $1 million to our defined benefit plans during the three months ended March 31, 2022. We expect to satisfy minimum funding requirements with contributions of approximately $1 million to our defined benefit pension plans during the remainder of 2022.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make significant contributions to our defined benefit plans for the three months ended March 31, 2021.</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difference between the U.S. federal statutory tax rate of 21% and our effective tax rate of 13% for the three months ended March 31, 2022 primarily relates to state taxes and an increase in a valuation allowance for capital losses, the deductibility of which is limited to future capital gains, resulting from our Lost Hills divestiture. The difference between the U.S. federal statutory tax rate of 21% and our effective tax rate of zero for the three months ended March 31, 2021, primarily includes state taxes and changes to maintain a full valuation allowance against our net deferred tax assets given our anticipated future earnings trends at that time. Realization of our deferred tax assets is subjective and remains dependent on a number of factors including our ability to generate sufficient taxable income, including capital gains, in future periods.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8" w:name="page19"/>
    <w:bookmarkEnd w:id="18"/>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7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 xml:space="preserve">In 2021, our Board of Directors authorized a Share Repurchase Program to acquire up to $350 million of our common stock through December 31, 2022.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additional information on an increase in our Share Repurchase Program and an extension of the term.</w:t>
      </w:r>
    </w:p>
    <w:p>
      <w:pPr>
        <w:spacing w:after="0" w:line="235"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For the three months ended March 31, 2022, we repurchased 1,668,456 shares of our common stock at an average price of $42.52 per share for $71 million. For the three months ended March 31, 2021, we did not repurchase any shares of our common stock.</w:t>
      </w:r>
    </w:p>
    <w:p>
      <w:pPr>
        <w:spacing w:after="0" w:line="225"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As of March 31, 2022, since inception of the Share Repurchase Program we have repurchased an aggregate 5,758,444 shares of our common stock, at an average price of $37.95 per share for $219 million. Shares repurchased were held as treasury stock as of 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27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On February 23, 2022, our Board of Directors declared a cash dividend of $0.17 per share of common stock. The dividend was payable to shareholders of record at the close of business on March 7, 2022 and paid on March 16, 2022. This quarterly dividend was made pursuant to a cash dividend policy approved by the Board of Directors in November 2021.</w:t>
      </w:r>
    </w:p>
    <w:p>
      <w:pPr>
        <w:spacing w:after="0" w:line="229"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 xml:space="preserve">The actual declaration of future cash dividends, and the establishment of record and payment dates, is subject to final determination by our Board of Directors each quarter after reviewing our financial performance and position. 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more information on future cash dividends.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reserved an aggregate 4,384,182 shares of our common stock for warrants which are exercisable at an initial exercise price of $36 per share for a period of four years beginning on October 27, 2020, the effective date of the joint plan of reorganization for our 2020 restructuring. The Warrant Agreement contains customary anti-dilution adjustments in the event of any stock split, reverse stock split, stock dividend and certain other distributions. The warrant holder may elect, in its sole discretion, to pay cash or to exercise on a cashless basis, pursuant to which the holder will not be required to pay cash for shares of common stock upon exercise of the warrant but will instead receive fewer shares. See </w:t>
      </w:r>
      <w:r>
        <w:rPr>
          <w:rFonts w:ascii="Arial" w:cs="Arial" w:eastAsia="Arial" w:hAnsi="Arial"/>
          <w:sz w:val="18"/>
          <w:szCs w:val="18"/>
          <w:i w:val="1"/>
          <w:iCs w:val="1"/>
          <w:color w:val="auto"/>
        </w:rPr>
        <w:t>Part II, Item 8 – Financial Statements and Supplementary Data, Note 10 Equity</w:t>
      </w:r>
      <w:r>
        <w:rPr>
          <w:rFonts w:ascii="Arial" w:cs="Arial" w:eastAsia="Arial" w:hAnsi="Arial"/>
          <w:sz w:val="18"/>
          <w:szCs w:val="18"/>
          <w:color w:val="auto"/>
        </w:rPr>
        <w:t xml:space="preserve"> in our 2021 Annual Report for a description of our warrants and </w:t>
      </w:r>
      <w:r>
        <w:rPr>
          <w:rFonts w:ascii="Arial" w:cs="Arial" w:eastAsia="Arial" w:hAnsi="Arial"/>
          <w:sz w:val="18"/>
          <w:szCs w:val="18"/>
          <w:i w:val="1"/>
          <w:iCs w:val="1"/>
          <w:color w:val="auto"/>
        </w:rPr>
        <w:t>Note 14 Chapter 11 Proceedings</w:t>
      </w:r>
      <w:r>
        <w:rPr>
          <w:rFonts w:ascii="Arial" w:cs="Arial" w:eastAsia="Arial" w:hAnsi="Arial"/>
          <w:sz w:val="18"/>
          <w:szCs w:val="18"/>
          <w:color w:val="auto"/>
        </w:rPr>
        <w:t xml:space="preserve"> for more information on our joint plan of reorganization.</w:t>
      </w:r>
    </w:p>
    <w:p>
      <w:pPr>
        <w:spacing w:after="0" w:line="234" w:lineRule="exact"/>
        <w:rPr>
          <w:sz w:val="20"/>
          <w:szCs w:val="20"/>
          <w:color w:val="auto"/>
        </w:rPr>
      </w:pPr>
    </w:p>
    <w:p>
      <w:pPr>
        <w:ind w:right="540" w:firstLine="324"/>
        <w:spacing w:after="0" w:line="256" w:lineRule="auto"/>
        <w:rPr>
          <w:sz w:val="20"/>
          <w:szCs w:val="20"/>
          <w:color w:val="auto"/>
        </w:rPr>
      </w:pPr>
      <w:r>
        <w:rPr>
          <w:rFonts w:ascii="Arial" w:cs="Arial" w:eastAsia="Arial" w:hAnsi="Arial"/>
          <w:sz w:val="18"/>
          <w:szCs w:val="18"/>
          <w:color w:val="auto"/>
        </w:rPr>
        <w:t>During the three months ended March 31, 2022, we issued an insignificant number of shares of our common stock in exchange for warrants. As of March 31, 2022, we had outstanding warrants exercisable into 4,295,702 shares of our common stock (subject to adjustments pursuant to the terms of the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Noncontrolling Interests</w:t>
      </w:r>
    </w:p>
    <w:p>
      <w:pPr>
        <w:spacing w:after="0" w:line="27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development joint venture with Benefit Street Partners (BSP JV) contemplated that BSP would contribute funds for the development of our oil and natural gas properties in exchange for preferred interests in the BSP JV. In September 2021, BSP's preferred interest was automatically redeemed in full under the terms of the joint venture agreement. Prior to redemption, BSP's preferred interest was reported in equity on our condensed consolidated balance sheets and BSP’s share of net income (loss) was reported in net income attributable to noncontrolling interests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9" w:name="page20"/>
    <w:bookmarkEnd w:id="19"/>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REVENUE RECOGNITION</w:t>
      </w:r>
    </w:p>
    <w:p>
      <w:pPr>
        <w:spacing w:after="0" w:line="261" w:lineRule="exact"/>
        <w:rPr>
          <w:sz w:val="20"/>
          <w:szCs w:val="20"/>
          <w:color w:val="auto"/>
        </w:rPr>
      </w:pPr>
    </w:p>
    <w:p>
      <w:pPr>
        <w:ind w:right="360" w:firstLine="324"/>
        <w:spacing w:after="0" w:line="235" w:lineRule="auto"/>
        <w:rPr>
          <w:sz w:val="20"/>
          <w:szCs w:val="20"/>
          <w:color w:val="auto"/>
        </w:rPr>
      </w:pPr>
      <w:r>
        <w:rPr>
          <w:rFonts w:ascii="Arial" w:cs="Arial" w:eastAsia="Arial" w:hAnsi="Arial"/>
          <w:sz w:val="18"/>
          <w:szCs w:val="18"/>
          <w:color w:val="auto"/>
        </w:rPr>
        <w:t>We derive most of our revenue from sales of oil, natural gas and NGLs, with the remaining revenue primarily generated from sales of electricity and marketing activities related to storage and managing excess pipeline capacity.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sales of produced oil, natural gas and NGLs to customers: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3"/>
        </w:trPr>
        <w:tc>
          <w:tcPr>
            <w:tcW w:w="7360" w:type="dxa"/>
            <w:vAlign w:val="bottom"/>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r>
      <w:tr>
        <w:trPr>
          <w:trHeight w:val="183"/>
        </w:trPr>
        <w:tc>
          <w:tcPr>
            <w:tcW w:w="7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gridSpan w:val="3"/>
          </w:tcPr>
          <w:p>
            <w:pPr>
              <w:jc w:val="right"/>
              <w:ind w:right="99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5"/>
                <w:szCs w:val="15"/>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Oil, natural gas and NGL sales</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1"/>
        </w:trPr>
        <w:tc>
          <w:tcPr>
            <w:tcW w:w="7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74"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color w:val="auto"/>
        </w:rPr>
        <w:t>On May 4, 2022, our Board of Directors declared a quarterly cash dividend of $ 0.17 per share of common stock. The dividend is payable to shareholders of record at the close of business on June 1, 2022 and is expected to be paid on June 16,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7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May 4, 2022, our shareholders approved a new California Resources Corporation Employee Stock Purchase Plan (ESPP). The ESPP will provide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74"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On May 4, 2022, our Board of Directors increased our Share Repurchase Program by $300 million to an aggregate $650 million and extended the term of the program until June 30,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74"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On April 29, 2022, we amended our Revolving Credit Facility by entering into that certain Third Amendment to Credit Agreement (the Third Amendment) among California Resources Corporation in its capacity as borrower under Revolving Credit Facility, Citibank, N.A. in its capacity as administrative agent under the Revolving Credit Facility and each of the lenders party to the Third Amendment to, among other things, modify the minimum hedge requirement and the restricted payment and investment covenants contained in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0" w:name="page21"/>
    <w:bookmarkEnd w:id="20"/>
    <w:p>
      <w:pPr>
        <w:ind w:firstLine="324"/>
        <w:spacing w:after="0" w:line="253" w:lineRule="auto"/>
        <w:rPr>
          <w:sz w:val="20"/>
          <w:szCs w:val="20"/>
          <w:color w:val="auto"/>
        </w:rPr>
      </w:pPr>
      <w:r>
        <w:rPr>
          <w:rFonts w:ascii="Arial" w:cs="Arial" w:eastAsia="Arial" w:hAnsi="Arial"/>
          <w:sz w:val="18"/>
          <w:szCs w:val="18"/>
          <w:color w:val="auto"/>
        </w:rPr>
        <w:t xml:space="preserve">As a result of this amendment, the rolling hedge requirement as described in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Note 4 Debt </w:t>
      </w:r>
      <w:r>
        <w:rPr>
          <w:rFonts w:ascii="Arial" w:cs="Arial" w:eastAsia="Arial" w:hAnsi="Arial"/>
          <w:sz w:val="18"/>
          <w:szCs w:val="18"/>
          <w:color w:val="auto"/>
        </w:rPr>
        <w:t>in our 2021 Annual Report has been modified. As amended, our Revolving Credit Facility requires us to maintain hedges</w:t>
      </w:r>
      <w:r>
        <w:rPr>
          <w:rFonts w:ascii="Arial" w:cs="Arial" w:eastAsia="Arial" w:hAnsi="Arial"/>
          <w:sz w:val="18"/>
          <w:szCs w:val="18"/>
          <w:i w:val="1"/>
          <w:iCs w:val="1"/>
          <w:color w:val="auto"/>
        </w:rPr>
        <w:t xml:space="preserve"> </w:t>
      </w:r>
      <w:r>
        <w:rPr>
          <w:rFonts w:ascii="Arial" w:cs="Arial" w:eastAsia="Arial" w:hAnsi="Arial"/>
          <w:sz w:val="18"/>
          <w:szCs w:val="18"/>
          <w:color w:val="auto"/>
        </w:rPr>
        <w:t>on a minimum amount of crude oil production, determined semi-annually, of no less than (i) in the event that our Consolidated Total Net Leverage Ratio (as defined in the Credit Agreement) is greater than 2.0 to 1.0 as of the end of the most recent fiscal quarter test period, 50%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 (ii) in the event that our Consolidated Total Net Leverage Ratio is less than or equal to 2.0 to 1.0 but greater than 1.0 to 1.0 as of the end of the most recent fiscal quarter test period, 33%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1.00 to 1.00 as of the last day of the most recently ended fiscal quarter test period.</w:t>
      </w:r>
    </w:p>
    <w:p>
      <w:pPr>
        <w:spacing w:after="0" w:line="23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Furthermore, the restricted payment and investments covenants were modified to permit unlimited investments and/or restricted payments so long as (i) no Default, Event of Default or Borrowing Base Deficiency shall have occurred and be continuing under the Revolving Credit Facility at the time of such investment or restricted payment, (ii) the undrawn availability under the Revolving Credit Facility is not less than 30.0% at such time and (iii) the Consolidated Total Net Leverage Ratio is less than or equal to 1.50 to 1.00.</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provide ample, affordable and reliable energy in a safe and responsible manner, to support and enhance the quality of life of Californians and the local communities in which we operate. We do this through the development of our broad portfolio of assets while adhering to our commitment to making value-based capital investments. Further, we are committed to energy transition and have some of the lowest carbon intensity production in the United States.</w:t>
      </w:r>
    </w:p>
    <w:p>
      <w:pPr>
        <w:spacing w:after="0" w:line="232"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Through our subsidiary, Carbon TerraVault, we are in the early stages of developing several carbon capture and sequestration projects in California. In May 2022, we applied for permits for an additional 80 MMT of carbon storage, which once approved, will increase our total potential permitted storage to 120 MMT. We are targeting to file additional carbon storage permits, bringing our total permitted storage to 200 MMT, before the end of 2022 to be utilized in our carbon capture and sequestration projects. Separately, we are evaluating the feasibility of a carbon capture system to be located at our Elk Hills power plant (CalCapture). We will be conducting a new front-end engineering design (FEED) study to explore the application of proprietary post-combustion capture and compression of up to 95%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the Elk Hills power plant. We are also pursuing multiple solar projects for supplying the grid (front-of-the-meter solar) and powering our operations (behind-the-meter solar).</w:t>
      </w:r>
    </w:p>
    <w:p>
      <w:pPr>
        <w:spacing w:after="0" w:line="24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While all of these projects are in early stages, we expect that the size and scope of our projects providing these and similar services and capital spent on such projects will continue to grow given our strategy of expansion into these services. For more information about the risks involved in our carbon capture projects, see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in our Annual Report on Form 10-K for the year ended December 31, 2021 (2021 Annual Report)</w:t>
      </w:r>
      <w:r>
        <w:rPr>
          <w:rFonts w:ascii="Arial" w:cs="Arial" w:eastAsia="Arial" w:hAnsi="Arial"/>
          <w:sz w:val="18"/>
          <w:szCs w:val="18"/>
          <w:i w:val="1"/>
          <w:iCs w:val="1"/>
          <w:color w:val="auto"/>
        </w:rPr>
        <w:t>.</w:t>
      </w:r>
    </w:p>
    <w:p>
      <w:pPr>
        <w:spacing w:after="0" w:line="23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May 4, 2022, our Board of Directors declared a quarterly cash dividend of $ 0.17 per share of common stock. The dividend is payable to shareholders of record at the close of business on June 1, 2022 and is expected to be paid on June 16, 2022. This quarterly dividend is made pursuant to a cash dividend policy previously approved by the Board of Directors, which anticipates a total annual dividend of $0.68, payable in quarterly increments of $0.17 per share of common stock. The actual declaration of future cash dividends, and the establishment of record and payment dates, is subject to final determination by our Board of Directors each quarter after reviewing our financial performance and position. The aggregate payment for this dividend will be approximately $13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74"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In 2021, our Board of Directors authorized a Share Repurchase Program to acquire up to $ 350 million of our common stock through December 31, 2022. On May 4, 2022, our Board of Directors increased our Share Repurchase Program by $300 million to an aggregate $650 million and extended the term of the program until June 30, 2023.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w:t>
      </w:r>
    </w:p>
    <w:p>
      <w:pPr>
        <w:spacing w:after="0" w:line="22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For the three months ended March 31, 2022, we repurchased 1,668,456 shares of our common stock at an average price of $42.52 per share for $71 million. For the three months ended March 31, 2021, we did not repurchase any shares of our common stock.</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March 31, 2022, since inception of our Share Repurchase Program we have repurchased an aggregate 5,758,444 shares of our common stock, at an average price of $37.95 per share for $ 219 million. The total number of common shares repurchased since inception of the Share Repurchase Program through April 29, 2022 were 6,210,479, at an average share price of $38.40 per share for $239 million. Repurchased shares are held as treasury stock on our condensed consolidated balance sheets.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Employee Stock Purchase Program</w:t>
      </w:r>
    </w:p>
    <w:p>
      <w:pPr>
        <w:spacing w:after="0" w:line="27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May 4, 2022, our shareholders approved a new California Resources Corporation Employee Stock Purchase Plan (ESPP). The ESPP will provide our employees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Acquisitions</w:t>
      </w:r>
    </w:p>
    <w:p>
      <w:pPr>
        <w:spacing w:after="0" w:line="256"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7 Divestitures and Acquisitions</w:t>
      </w:r>
      <w:r>
        <w:rPr>
          <w:rFonts w:ascii="Arial" w:cs="Arial" w:eastAsia="Arial" w:hAnsi="Arial"/>
          <w:sz w:val="18"/>
          <w:szCs w:val="18"/>
          <w:color w:val="auto"/>
        </w:rPr>
        <w:t xml:space="preserve"> for information on our transactions during the three months ended March 31, 2022 and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74"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natural gas prices and differentials may fluctuate significantly as a result of numerous market-related variables. These and other factors make it impossible to predict realized prices reliably. We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w:t>
      </w:r>
    </w:p>
    <w:p>
      <w:pPr>
        <w:spacing w:after="0" w:line="232"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In the first quarter of 2022, global oil prices increased as a result of Russia's invasion of Ukraine which caused concerns over supply constraints from boycotts of Russian oil and sanctions imposed on Russia by the United States and other countries.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benchmark prices for oil and natural gas during the three months ended March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March 31,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March 31, 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4"/>
                <w:szCs w:val="14"/>
                <w:color w:val="auto"/>
              </w:rPr>
            </w:pPr>
          </w:p>
        </w:tc>
        <w:tc>
          <w:tcPr>
            <w:tcW w:w="14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March 31, 2021</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94.29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77.19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Henry Hub ($/MMBtu) Average Daily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NYMEX Henry Hub ($/MMBtu) Average Monthly Settled 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Production</w:t>
      </w:r>
    </w:p>
    <w:p>
      <w:pPr>
        <w:spacing w:after="0" w:line="2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The following table sets forth our average net production of oil, natural gas liquids (NGLs) and natural gas per day in each of the four California oil and natural gas basins in which we operate for the periods presented.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3 Divestitures and Acquisitions </w:t>
      </w:r>
      <w:r>
        <w:rPr>
          <w:rFonts w:ascii="Arial" w:cs="Arial" w:eastAsia="Arial" w:hAnsi="Arial"/>
          <w:sz w:val="18"/>
          <w:szCs w:val="18"/>
          <w:color w:val="auto"/>
        </w:rPr>
        <w:t>in our 2021 Annual Report for information regarding the divestiture of our Ventura</w:t>
      </w:r>
      <w:r>
        <w:rPr>
          <w:rFonts w:ascii="Arial" w:cs="Arial" w:eastAsia="Arial" w:hAnsi="Arial"/>
          <w:sz w:val="18"/>
          <w:szCs w:val="18"/>
          <w:i w:val="1"/>
          <w:iCs w:val="1"/>
          <w:color w:val="auto"/>
        </w:rPr>
        <w:t xml:space="preserve"> </w:t>
      </w:r>
      <w:r>
        <w:rPr>
          <w:rFonts w:ascii="Arial" w:cs="Arial" w:eastAsia="Arial" w:hAnsi="Arial"/>
          <w:sz w:val="18"/>
          <w:szCs w:val="18"/>
          <w:color w:val="auto"/>
        </w:rPr>
        <w:t>basin operations.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9"/>
              </w:rPr>
              <w:t>Three months ended</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March 31, 2022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16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1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29"/>
        </w:trPr>
        <w:tc>
          <w:tcPr>
            <w:tcW w:w="6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520" w:type="dxa"/>
            <w:vAlign w:val="bottom"/>
            <w:vMerge w:val="continue"/>
          </w:tcPr>
          <w:p>
            <w:pPr>
              <w:spacing w:after="0"/>
              <w:rPr>
                <w:sz w:val="19"/>
                <w:szCs w:val="19"/>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36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360" w:type="dxa"/>
            <w:vAlign w:val="bottom"/>
          </w:tcPr>
          <w:p>
            <w:pPr>
              <w:ind w:left="520"/>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San Joaquin Basin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Natural gas (MMcf/d)</w:t>
            </w: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636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Sacramento Basin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Total daily net production for the three months ended March 31, 2022, compared to the three months ended December 31, 2021 decreased by approximately 9 MBoe/d, or 9%. This decrease includes approximately 5 MBoe/d resulting from planned maintenance at one of our cryogenic gas processing facilities during the first quarter of 2022, which reduced natural gas and NGL production. The divestiture of our remaining 50% working interest in certain zones in the Lost Hills field in February 2022 and the divestiture of our Ventura basin operations beginning in the fourth quarter of 2021 reduced our total net production by approximately 3 MBoe/d for the three months ended March 31, 2022 compared to the three months ended December 31, 2021. Our production also decreased as a result of natural decline, which was partially offset by improved operational results from our developmental drilling. Our production-sharing contracts (PSCs), which are described below, had a similar impact on our net oil production in the three months ended March 31, 2022 compared to the three months ended December 31, 2021.</w:t>
      </w:r>
    </w:p>
    <w:p>
      <w:pPr>
        <w:spacing w:after="0" w:line="23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Total daily net production for the three months ended March 31, 2022, compared to the same period in 2021, decreased by approximately 11 MBoe/d, or 11%. This decrease occurred for the reasons stated in the prior paragraph, but were additionally affected by improved operational results from our developmental drilling program and our acquisition of the working interests in certain joint venture wells held by Macquarie Infrastructure and Real Assets Inc. (MIRA) in the third quarter of 2021. Our PSCs, which are described below, negatively impacted our net oil production in the three months ended March 31, 2022 by approximately 1 MBoe/d,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Production-Sharing Contracts (PSCs)</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contracts represented approximately 16% of our net production for the three months ended March 31, 2022.</w:t>
      </w:r>
    </w:p>
    <w:p>
      <w:pPr>
        <w:spacing w:after="0" w:line="23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and general and administrative costs but only our net share of production equally inflates our oil, natural gas and NGL sales revenue, general and administrative expenses and operating costs but has no effect on our net results.</w:t>
      </w:r>
    </w:p>
    <w:p>
      <w:pPr>
        <w:spacing w:after="0" w:line="23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reporting of our PSC-type contracts creates a difference between reported operating costs, which are for the full field, and reported volumes, which are only our net share, inflating the per barrel operating costs. The following table presents operating costs after adjusting for excess costs attributable to PSC-type contracts for the three months ended March 31, 2022, December 31, 2021 and March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900" w:type="dxa"/>
            <w:vAlign w:val="bottom"/>
          </w:tcPr>
          <w:p>
            <w:pPr>
              <w:jc w:val="right"/>
              <w:ind w:right="75"/>
              <w:spacing w:after="0"/>
              <w:rPr>
                <w:sz w:val="20"/>
                <w:szCs w:val="20"/>
                <w:color w:val="auto"/>
              </w:rPr>
            </w:pPr>
            <w:r>
              <w:rPr>
                <w:rFonts w:ascii="Arial" w:cs="Arial" w:eastAsia="Arial" w:hAnsi="Arial"/>
                <w:sz w:val="14"/>
                <w:szCs w:val="14"/>
                <w:color w:val="auto"/>
              </w:rPr>
              <w:t>($ per Boe)</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PSC-type contracts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58"/>
        </w:trPr>
        <w:tc>
          <w:tcPr>
            <w:tcW w:w="45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Operating costs, excluding effects of PSC-type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(a)</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180" w:hanging="332"/>
        <w:spacing w:after="0" w:line="249"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Operating costs, excluding effects of PSC-type contracts is a non-GAAP measure. As described above, the reporting of our PSC-type contracts creates a difference between reported operating costs, which are for the full field, and reported volumes, which are only our net share, inflating the per barrel operating costs. These amounts represent our operating costs after adjusting for this difference.</w:t>
      </w:r>
    </w:p>
    <w:p>
      <w:pPr>
        <w:spacing w:after="0" w:line="222"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The following table reconciles our average net production to our average gross production (which includes production from fields for which we are the operator) for the periods presented:</w:t>
      </w: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9"/>
              </w:rPr>
              <w:t>Three months ended</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March 31, 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16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1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jc w:val="center"/>
              <w:ind w:right="160"/>
              <w:spacing w:after="0"/>
              <w:rPr>
                <w:sz w:val="20"/>
                <w:szCs w:val="20"/>
                <w:color w:val="auto"/>
              </w:rPr>
            </w:pPr>
            <w:r>
              <w:rPr>
                <w:rFonts w:ascii="Arial" w:cs="Arial" w:eastAsia="Arial" w:hAnsi="Arial"/>
                <w:sz w:val="14"/>
                <w:szCs w:val="14"/>
                <w:color w:val="auto"/>
              </w:rPr>
              <w:t>(MBoe/d)</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Partners' share under PSC contracts</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working interest and royalty holders' share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Production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Prices and Realizations</w:t>
      </w:r>
    </w:p>
    <w:p>
      <w:pPr>
        <w:spacing w:after="0" w:line="274"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months ended March 31, 2022, December 31, 2021 and March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ind w:left="380"/>
              <w:spacing w:after="0"/>
              <w:rPr>
                <w:sz w:val="20"/>
                <w:szCs w:val="20"/>
                <w:color w:val="auto"/>
              </w:rPr>
            </w:pPr>
            <w:r>
              <w:rPr>
                <w:rFonts w:ascii="Arial" w:cs="Arial" w:eastAsia="Arial" w:hAnsi="Arial"/>
                <w:sz w:val="17"/>
                <w:szCs w:val="17"/>
                <w:b w:val="1"/>
                <w:bCs w:val="1"/>
                <w:color w:val="auto"/>
              </w:rPr>
              <w:t>March 31, 2022</w:t>
            </w:r>
          </w:p>
        </w:tc>
        <w:tc>
          <w:tcPr>
            <w:tcW w:w="220" w:type="dxa"/>
            <w:vAlign w:val="bottom"/>
          </w:tcPr>
          <w:p>
            <w:pPr>
              <w:spacing w:after="0"/>
              <w:rPr>
                <w:sz w:val="18"/>
                <w:szCs w:val="18"/>
                <w:color w:val="auto"/>
              </w:rPr>
            </w:pPr>
          </w:p>
        </w:tc>
        <w:tc>
          <w:tcPr>
            <w:tcW w:w="2300" w:type="dxa"/>
            <w:vAlign w:val="bottom"/>
            <w:gridSpan w:val="4"/>
          </w:tcPr>
          <w:p>
            <w:pPr>
              <w:jc w:val="center"/>
              <w:ind w:right="320"/>
              <w:spacing w:after="0"/>
              <w:rPr>
                <w:sz w:val="20"/>
                <w:szCs w:val="20"/>
                <w:color w:val="auto"/>
              </w:rPr>
            </w:pPr>
            <w:r>
              <w:rPr>
                <w:rFonts w:ascii="Arial" w:cs="Arial" w:eastAsia="Arial" w:hAnsi="Arial"/>
                <w:sz w:val="17"/>
                <w:szCs w:val="17"/>
                <w:b w:val="1"/>
                <w:bCs w:val="1"/>
                <w:color w:val="auto"/>
              </w:rPr>
              <w:t>December 31, 2021</w:t>
            </w:r>
          </w:p>
        </w:tc>
        <w:tc>
          <w:tcPr>
            <w:tcW w:w="220" w:type="dxa"/>
            <w:vAlign w:val="bottom"/>
          </w:tcPr>
          <w:p>
            <w:pPr>
              <w:spacing w:after="0"/>
              <w:rPr>
                <w:sz w:val="18"/>
                <w:szCs w:val="18"/>
                <w:color w:val="auto"/>
              </w:rPr>
            </w:pPr>
          </w:p>
        </w:tc>
        <w:tc>
          <w:tcPr>
            <w:tcW w:w="2220" w:type="dxa"/>
            <w:vAlign w:val="bottom"/>
            <w:gridSpan w:val="3"/>
          </w:tcPr>
          <w:p>
            <w:pPr>
              <w:ind w:left="400"/>
              <w:spacing w:after="0"/>
              <w:rPr>
                <w:sz w:val="20"/>
                <w:szCs w:val="20"/>
                <w:color w:val="auto"/>
              </w:rPr>
            </w:pPr>
            <w:r>
              <w:rPr>
                <w:rFonts w:ascii="Arial" w:cs="Arial" w:eastAsia="Arial" w:hAnsi="Arial"/>
                <w:sz w:val="17"/>
                <w:szCs w:val="17"/>
                <w:b w:val="1"/>
                <w:bCs w:val="1"/>
                <w:color w:val="auto"/>
              </w:rPr>
              <w:t>March 31, 2021</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Price</w:t>
            </w:r>
          </w:p>
        </w:tc>
        <w:tc>
          <w:tcPr>
            <w:tcW w:w="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Price</w:t>
            </w:r>
          </w:p>
        </w:tc>
        <w:tc>
          <w:tcPr>
            <w:tcW w:w="10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Price</w:t>
            </w:r>
          </w:p>
        </w:tc>
        <w:tc>
          <w:tcPr>
            <w:tcW w:w="1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Realization</w:t>
            </w: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7"/>
                <w:szCs w:val="17"/>
                <w:color w:val="auto"/>
              </w:rPr>
              <w:t>Brent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97.38</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79.80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61.10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96.13</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99%</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78.99</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99%</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60.81</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60.30</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62%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61.00</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53.73</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7"/>
                <w:szCs w:val="17"/>
                <w:color w:val="auto"/>
              </w:rPr>
              <w:t>WTI</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94.29</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77.19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57.84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96.13</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78.99</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60.81</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61.00</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53.73</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78.63</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81%</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67.61</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85%</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48.77</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78.63</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67.61</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48.77</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line="169" w:lineRule="exact"/>
              <w:rPr>
                <w:sz w:val="20"/>
                <w:szCs w:val="20"/>
                <w:color w:val="auto"/>
              </w:rPr>
            </w:pPr>
            <w:r>
              <w:rPr>
                <w:rFonts w:ascii="Arial" w:cs="Arial" w:eastAsia="Arial" w:hAnsi="Arial"/>
                <w:sz w:val="17"/>
                <w:szCs w:val="17"/>
                <w:color w:val="auto"/>
              </w:rPr>
              <w:t>NYMEX Henry Hub ($/MMBtu)</w:t>
            </w:r>
          </w:p>
        </w:tc>
        <w:tc>
          <w:tcPr>
            <w:tcW w:w="2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4.19</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7"/>
                <w:szCs w:val="17"/>
                <w:color w:val="auto"/>
              </w:rPr>
              <w:t>Average Daily Price</w:t>
            </w:r>
          </w:p>
        </w:tc>
        <w:tc>
          <w:tcPr>
            <w:tcW w:w="2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line="169" w:lineRule="exact"/>
              <w:rPr>
                <w:sz w:val="20"/>
                <w:szCs w:val="20"/>
                <w:color w:val="auto"/>
              </w:rPr>
            </w:pPr>
            <w:r>
              <w:rPr>
                <w:rFonts w:ascii="Arial" w:cs="Arial" w:eastAsia="Arial" w:hAnsi="Arial"/>
                <w:sz w:val="17"/>
                <w:szCs w:val="17"/>
                <w:color w:val="auto"/>
              </w:rPr>
              <w:t>Realized price without derivative settlements</w:t>
            </w:r>
          </w:p>
        </w:tc>
        <w:tc>
          <w:tcPr>
            <w:tcW w:w="2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6.28</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4"/>
                <w:szCs w:val="14"/>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5.94</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4"/>
                <w:szCs w:val="14"/>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3.29</w:t>
            </w:r>
          </w:p>
        </w:tc>
        <w:tc>
          <w:tcPr>
            <w:tcW w:w="1340" w:type="dxa"/>
            <w:vAlign w:val="bottom"/>
            <w:gridSpan w:val="2"/>
            <w:vMerge w:val="restart"/>
          </w:tcPr>
          <w:p>
            <w:pPr>
              <w:jc w:val="center"/>
              <w:ind w:left="15"/>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7"/>
                <w:szCs w:val="17"/>
                <w:color w:val="auto"/>
              </w:rPr>
              <w:t>($/Mcf)</w:t>
            </w:r>
          </w:p>
        </w:tc>
        <w:tc>
          <w:tcPr>
            <w:tcW w:w="2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40" w:type="dxa"/>
            <w:vAlign w:val="bottom"/>
          </w:tcPr>
          <w:p>
            <w:pPr>
              <w:ind w:left="20"/>
              <w:spacing w:after="0" w:line="150" w:lineRule="exact"/>
              <w:rPr>
                <w:sz w:val="20"/>
                <w:szCs w:val="20"/>
                <w:color w:val="auto"/>
              </w:rPr>
            </w:pPr>
            <w:r>
              <w:rPr>
                <w:rFonts w:ascii="Arial" w:cs="Arial" w:eastAsia="Arial" w:hAnsi="Arial"/>
                <w:sz w:val="17"/>
                <w:szCs w:val="17"/>
                <w:color w:val="auto"/>
              </w:rPr>
              <w:t>Realized price with derivative settlements</w:t>
            </w:r>
          </w:p>
        </w:tc>
        <w:tc>
          <w:tcPr>
            <w:tcW w:w="2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6.28</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5.94</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3.25</w:t>
            </w:r>
          </w:p>
        </w:tc>
        <w:tc>
          <w:tcPr>
            <w:tcW w:w="1340" w:type="dxa"/>
            <w:vAlign w:val="bottom"/>
            <w:gridSpan w:val="2"/>
            <w:vMerge w:val="restart"/>
          </w:tcPr>
          <w:p>
            <w:pPr>
              <w:jc w:val="center"/>
              <w:ind w:left="15"/>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187"/>
        </w:trPr>
        <w:tc>
          <w:tcPr>
            <w:tcW w:w="3740" w:type="dxa"/>
            <w:vAlign w:val="bottom"/>
          </w:tcPr>
          <w:p>
            <w:pPr>
              <w:ind w:left="20"/>
              <w:spacing w:after="0" w:line="182" w:lineRule="exact"/>
              <w:rPr>
                <w:sz w:val="20"/>
                <w:szCs w:val="20"/>
                <w:color w:val="auto"/>
              </w:rPr>
            </w:pPr>
            <w:r>
              <w:rPr>
                <w:rFonts w:ascii="Arial" w:cs="Arial" w:eastAsia="Arial" w:hAnsi="Arial"/>
                <w:sz w:val="17"/>
                <w:szCs w:val="17"/>
                <w:color w:val="auto"/>
              </w:rPr>
              <w:t>($/Mcf)</w:t>
            </w: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line="169" w:lineRule="exact"/>
              <w:rPr>
                <w:sz w:val="20"/>
                <w:szCs w:val="20"/>
                <w:color w:val="auto"/>
              </w:rPr>
            </w:pPr>
            <w:r>
              <w:rPr>
                <w:rFonts w:ascii="Arial" w:cs="Arial" w:eastAsia="Arial" w:hAnsi="Arial"/>
                <w:sz w:val="17"/>
                <w:szCs w:val="17"/>
                <w:color w:val="auto"/>
              </w:rPr>
              <w:t>NYMEX Henry Hub ($/MMBtu)</w:t>
            </w:r>
          </w:p>
        </w:tc>
        <w:tc>
          <w:tcPr>
            <w:tcW w:w="2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4.95</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5.83</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7"/>
                <w:szCs w:val="17"/>
                <w:color w:val="auto"/>
              </w:rPr>
              <w:t>Average Monthly Settled Price</w:t>
            </w:r>
          </w:p>
        </w:tc>
        <w:tc>
          <w:tcPr>
            <w:tcW w:w="2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line="169" w:lineRule="exact"/>
              <w:rPr>
                <w:sz w:val="20"/>
                <w:szCs w:val="20"/>
                <w:color w:val="auto"/>
              </w:rPr>
            </w:pPr>
            <w:r>
              <w:rPr>
                <w:rFonts w:ascii="Arial" w:cs="Arial" w:eastAsia="Arial" w:hAnsi="Arial"/>
                <w:sz w:val="17"/>
                <w:szCs w:val="17"/>
                <w:color w:val="auto"/>
              </w:rPr>
              <w:t>Realized price without derivative settlements</w:t>
            </w:r>
          </w:p>
        </w:tc>
        <w:tc>
          <w:tcPr>
            <w:tcW w:w="2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6.28</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4"/>
                <w:szCs w:val="14"/>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5.94</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4"/>
                <w:szCs w:val="14"/>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3.29</w:t>
            </w:r>
          </w:p>
        </w:tc>
        <w:tc>
          <w:tcPr>
            <w:tcW w:w="1340" w:type="dxa"/>
            <w:vAlign w:val="bottom"/>
            <w:gridSpan w:val="2"/>
            <w:vMerge w:val="restart"/>
          </w:tcPr>
          <w:p>
            <w:pPr>
              <w:jc w:val="center"/>
              <w:ind w:left="15"/>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7"/>
                <w:szCs w:val="17"/>
                <w:color w:val="auto"/>
              </w:rPr>
              <w:t>($/Mcf)</w:t>
            </w:r>
          </w:p>
        </w:tc>
        <w:tc>
          <w:tcPr>
            <w:tcW w:w="2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40" w:type="dxa"/>
            <w:vAlign w:val="bottom"/>
          </w:tcPr>
          <w:p>
            <w:pPr>
              <w:ind w:left="20"/>
              <w:spacing w:after="0" w:line="150" w:lineRule="exact"/>
              <w:rPr>
                <w:sz w:val="20"/>
                <w:szCs w:val="20"/>
                <w:color w:val="auto"/>
              </w:rPr>
            </w:pPr>
            <w:r>
              <w:rPr>
                <w:rFonts w:ascii="Arial" w:cs="Arial" w:eastAsia="Arial" w:hAnsi="Arial"/>
                <w:sz w:val="17"/>
                <w:szCs w:val="17"/>
                <w:color w:val="auto"/>
              </w:rPr>
              <w:t>Realized price with derivative settlements</w:t>
            </w:r>
          </w:p>
        </w:tc>
        <w:tc>
          <w:tcPr>
            <w:tcW w:w="2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6.28</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5.94</w:t>
            </w:r>
          </w:p>
        </w:tc>
        <w:tc>
          <w:tcPr>
            <w:tcW w:w="1320" w:type="dxa"/>
            <w:vAlign w:val="bottom"/>
            <w:gridSpan w:val="2"/>
            <w:vMerge w:val="restart"/>
          </w:tcPr>
          <w:p>
            <w:pPr>
              <w:jc w:val="center"/>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3.25</w:t>
            </w:r>
          </w:p>
        </w:tc>
        <w:tc>
          <w:tcPr>
            <w:tcW w:w="1340" w:type="dxa"/>
            <w:vAlign w:val="bottom"/>
            <w:gridSpan w:val="2"/>
            <w:vMerge w:val="restart"/>
          </w:tcPr>
          <w:p>
            <w:pPr>
              <w:jc w:val="center"/>
              <w:ind w:left="15"/>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187"/>
        </w:trPr>
        <w:tc>
          <w:tcPr>
            <w:tcW w:w="3740" w:type="dxa"/>
            <w:vAlign w:val="bottom"/>
          </w:tcPr>
          <w:p>
            <w:pPr>
              <w:ind w:left="20"/>
              <w:spacing w:after="0" w:line="182" w:lineRule="exact"/>
              <w:rPr>
                <w:sz w:val="20"/>
                <w:szCs w:val="20"/>
                <w:color w:val="auto"/>
              </w:rPr>
            </w:pPr>
            <w:r>
              <w:rPr>
                <w:rFonts w:ascii="Arial" w:cs="Arial" w:eastAsia="Arial" w:hAnsi="Arial"/>
                <w:sz w:val="17"/>
                <w:szCs w:val="17"/>
                <w:color w:val="auto"/>
              </w:rPr>
              <w:t>($/Mcf)</w:t>
            </w: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prices increased for the three months ended March 31, 2022 compared to the three months ended December 31,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as the effects of the COVID-19 pandemic have subsided leaving crude oil production and product inventories at historically low levels. As demand has rebounded, producers have generally maintained capital discipline, OPEC+ members have failed to produce at stepped-up quotas, and the conflict between Russia and Ukraine has created a disconnect between buyers and sellers of Russian produced crude oil.</w:t>
      </w:r>
    </w:p>
    <w:p>
      <w:pPr>
        <w:spacing w:after="0" w:line="210"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California experienced a mild winter for the three months ended March 31, 2022; however, prices for NGLs moved higher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December 31, 2021 and March 31, 2021 as demand for oil alternatives increased.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Our realized price for natural gas increased for the three months ended March 31, 2022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and March 31, 2021 reflecting a premium resulting from the displacement of natural gas previously purchased from Russia.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on a per Boe basis for the three months ended March 31, 2022, December 31, 2021 and March 31, 2021. Energy operating costs consist of purchases of natural gas used to generate electricity, purchased electricity and internal costs to generate electricity used in our operations. Non-energy operating costs equal total operating costs less energy operating costs and gas processing costs. However, non-energy operating costs include the costs of purchasing natural gas used to generate steam for our steamfloods.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March 31, 2022</w:t>
            </w: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March 31, 2021</w:t>
            </w:r>
          </w:p>
        </w:tc>
      </w:tr>
      <w:tr>
        <w:trPr>
          <w:trHeight w:val="183"/>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per Boe)</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0.56</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r>
      <w:tr>
        <w:trPr>
          <w:trHeight w:val="223"/>
        </w:trPr>
        <w:tc>
          <w:tcPr>
            <w:tcW w:w="60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29"/>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5.15</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bl>
    <w:p>
      <w:pPr>
        <w:spacing w:after="0" w:line="8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unallocated general and administrative expenses.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carbon management assets and our Elk Hills power plant.</w:t>
      </w:r>
    </w:p>
    <w:p>
      <w:pPr>
        <w:spacing w:after="0" w:line="238"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Total operating costs for the three months ended March 31, 2022 were the same as the three months ended December 31, 2021, but higher on a per Boe basis as a result of lower production volumes. Operating costs increased in the three months ended March 31, 2022 compared to the same period in 2021 primarily as a result of higher natural gas and electricity prices. Lower production volumes in the first quarter of 2022 also contributed to the increase on a per Boe basis.</w:t>
      </w:r>
    </w:p>
    <w:p>
      <w:pPr>
        <w:spacing w:after="0" w:line="23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Total field taxes other than on income for the three months ended March 31, 2022 were higher than the three months ended December 31, 2021 primarily related to production and ad valorem increases and higher on a per Boe basis as a result of lower production volumes in the first quarter of 2022. Total field taxes other than on income were lower in the three months ended March 31, 2022 compared to the same period in 2021 due to a decrease in ad valorem and production taxes, partially offset by higher greenhouse gas taxes due to emission levels as we increased activity and market prices.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2022 vs. December 31, 2021</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three months ended March 31, 2022 and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4860" w:type="dxa"/>
            <w:vAlign w:val="bottom"/>
            <w:tcBorders>
              <w:bottom w:val="single" w:sz="8" w:color="auto"/>
            </w:tcBorders>
            <w:gridSpan w:val="4"/>
          </w:tcPr>
          <w:p>
            <w:pPr>
              <w:jc w:val="right"/>
              <w:ind w:right="12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2021</w:t>
            </w:r>
          </w:p>
        </w:tc>
        <w:tc>
          <w:tcPr>
            <w:tcW w:w="440" w:type="dxa"/>
            <w:vAlign w:val="bottom"/>
            <w:tcBorders>
              <w:bottom w:val="single" w:sz="8" w:color="auto"/>
            </w:tcBorders>
          </w:tcPr>
          <w:p>
            <w:pPr>
              <w:spacing w:after="0"/>
              <w:rPr>
                <w:sz w:val="19"/>
                <w:szCs w:val="19"/>
                <w:color w:val="auto"/>
              </w:rPr>
            </w:pPr>
          </w:p>
        </w:tc>
      </w:tr>
      <w:tr>
        <w:trPr>
          <w:trHeight w:val="182"/>
        </w:trPr>
        <w:tc>
          <w:tcPr>
            <w:tcW w:w="5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40" w:type="dxa"/>
            <w:vAlign w:val="bottom"/>
            <w:gridSpan w:val="3"/>
          </w:tcPr>
          <w:p>
            <w:pPr>
              <w:jc w:val="right"/>
              <w:ind w:right="177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202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Net loss from commodity derivatives</w:t>
            </w:r>
          </w:p>
        </w:tc>
        <w:tc>
          <w:tcPr>
            <w:tcW w:w="2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2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2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202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ind w:right="1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r>
      <w:tr>
        <w:trPr>
          <w:trHeight w:val="21"/>
        </w:trPr>
        <w:tc>
          <w:tcPr>
            <w:tcW w:w="58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were $628 million for the three months ended March 31, 2022, which is an increase of $39 million compared to $589 million for the three months ended December 31, 2021. This increase was due to higher realized prices, which was partially offset by lower production, as reflected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Natural Gas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40" w:type="dxa"/>
            <w:vAlign w:val="bottom"/>
            <w:gridSpan w:val="3"/>
          </w:tcPr>
          <w:p>
            <w:pPr>
              <w:jc w:val="right"/>
              <w:ind w:right="89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2021</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76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center"/>
              <w:ind w:left="14"/>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March 31, 2022</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effect of cash settlements on our commodity derivative contracts is not included in the table above. Payments on commodity derivatives were $181 million for the three months ended March 31, 2022 compared to payments of $99 million for the three months ended December 31, 2021. Including the effect of settlement payments for commodity derivatives, our oil, natural gas and NGL sales decreased by $43 million, or 9% compared to the three months ended December 31, 2021.</w:t>
      </w:r>
    </w:p>
    <w:p>
      <w:pPr>
        <w:spacing w:after="0" w:line="213" w:lineRule="exact"/>
        <w:rPr>
          <w:sz w:val="20"/>
          <w:szCs w:val="20"/>
          <w:color w:val="auto"/>
        </w:rPr>
      </w:pPr>
    </w:p>
    <w:p>
      <w:pPr>
        <w:ind w:right="300" w:firstLine="324"/>
        <w:spacing w:after="0" w:line="281" w:lineRule="auto"/>
        <w:rPr>
          <w:sz w:val="20"/>
          <w:szCs w:val="20"/>
          <w:color w:val="auto"/>
        </w:rPr>
      </w:pPr>
      <w:r>
        <w:rPr>
          <w:rFonts w:ascii="Arial" w:cs="Arial" w:eastAsia="Arial" w:hAnsi="Arial"/>
          <w:sz w:val="17"/>
          <w:szCs w:val="17"/>
          <w:i w:val="1"/>
          <w:iCs w:val="1"/>
          <w:color w:val="auto"/>
        </w:rPr>
        <w:t xml:space="preserve">Net loss from commodity derivatives </w:t>
      </w:r>
      <w:r>
        <w:rPr>
          <w:rFonts w:ascii="Arial" w:cs="Arial" w:eastAsia="Arial" w:hAnsi="Arial"/>
          <w:sz w:val="17"/>
          <w:szCs w:val="17"/>
          <w:color w:val="auto"/>
        </w:rPr>
        <w:t>— Net loss from commodity derivatives was $562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compared to a net loss of $73 million for the three months ended December 31, 2021. The increase in the net loss primarily resulted from non-cash changes in the fair value of our outstanding commodity derivatives resulted from the positions held at the end of each measurement period as well as the relationship between contract prices and the associated forward curves as shown in the table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bottom w:val="single" w:sz="8" w:color="auto"/>
            </w:tcBorders>
          </w:tcPr>
          <w:p>
            <w:pPr>
              <w:spacing w:after="0"/>
              <w:rPr>
                <w:sz w:val="20"/>
                <w:szCs w:val="20"/>
                <w:color w:val="auto"/>
              </w:rPr>
            </w:pPr>
          </w:p>
        </w:tc>
      </w:tr>
      <w:tr>
        <w:trPr>
          <w:trHeight w:val="223"/>
        </w:trPr>
        <w:tc>
          <w:tcPr>
            <w:tcW w:w="7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2021</w:t>
            </w:r>
          </w:p>
        </w:tc>
      </w:tr>
      <w:tr>
        <w:trPr>
          <w:trHeight w:val="183"/>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3"/>
          </w:tcPr>
          <w:p>
            <w:pPr>
              <w:jc w:val="right"/>
              <w:ind w:right="67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5"/>
                <w:szCs w:val="15"/>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(loss) gain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payments on settled commodity derivatives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7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commodity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relates to natural gas acquired from third parties and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sold in connection with certain of our marketing activities. Sales of purchased natural gas were $32 million for the three months ended March 31, 2022, a decrease of $39 million, or 55% from $71 million during the three months ended December 31, 2021. The decrease was primarily the result of lower volumes sold. Our natural gas sales net of related purchased natural gas expense were $11 million for the three months ended March 31, 2022 compared to $19 million for the three months ended December 31,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Other revenue increased by $15 million to $21 million for the three months ended March 31, 2022, compared to $6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December 31, 2021 primarily due to increased sales of purchased NGL volumes which were acquired to meet our delivery commitments while one of our cryogenic gas processing facilities was down for planned maintenance in the first quarter of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and non-operating expenses and income for the three months ended March 31, 2022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80" w:type="dxa"/>
            <w:vAlign w:val="bottom"/>
          </w:tcPr>
          <w:p>
            <w:pPr>
              <w:spacing w:after="0"/>
              <w:rPr>
                <w:sz w:val="20"/>
                <w:szCs w:val="20"/>
                <w:color w:val="auto"/>
              </w:rPr>
            </w:pPr>
          </w:p>
        </w:tc>
        <w:tc>
          <w:tcPr>
            <w:tcW w:w="534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 2021</w:t>
            </w:r>
          </w:p>
        </w:tc>
        <w:tc>
          <w:tcPr>
            <w:tcW w:w="500" w:type="dxa"/>
            <w:vAlign w:val="bottom"/>
            <w:tcBorders>
              <w:bottom w:val="single" w:sz="8" w:color="auto"/>
            </w:tcBorders>
          </w:tcPr>
          <w:p>
            <w:pPr>
              <w:spacing w:after="0"/>
              <w:rPr>
                <w:sz w:val="19"/>
                <w:szCs w:val="19"/>
                <w:color w:val="auto"/>
              </w:rPr>
            </w:pPr>
          </w:p>
        </w:tc>
      </w:tr>
      <w:tr>
        <w:trPr>
          <w:trHeight w:val="183"/>
        </w:trPr>
        <w:tc>
          <w:tcPr>
            <w:tcW w:w="5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00" w:type="dxa"/>
            <w:vAlign w:val="bottom"/>
            <w:gridSpan w:val="3"/>
          </w:tcPr>
          <w:p>
            <w:pPr>
              <w:jc w:val="right"/>
              <w:ind w:right="197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5"/>
                <w:szCs w:val="15"/>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2240" w:type="dxa"/>
            <w:vAlign w:val="bottom"/>
          </w:tcPr>
          <w:p>
            <w:pPr>
              <w:jc w:val="right"/>
              <w:ind w:right="20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360" w:type="dxa"/>
            <w:vAlign w:val="bottom"/>
          </w:tcPr>
          <w:p>
            <w:pPr>
              <w:jc w:val="right"/>
              <w:ind w:right="21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2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2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on income</w:t>
            </w:r>
          </w:p>
        </w:tc>
        <w:tc>
          <w:tcPr>
            <w:tcW w:w="2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Exploration expense</w:t>
            </w:r>
          </w:p>
        </w:tc>
        <w:tc>
          <w:tcPr>
            <w:tcW w:w="2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natural gas expense</w:t>
            </w:r>
          </w:p>
        </w:tc>
        <w:tc>
          <w:tcPr>
            <w:tcW w:w="2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Electricity generation expenses</w:t>
            </w:r>
          </w:p>
        </w:tc>
        <w:tc>
          <w:tcPr>
            <w:tcW w:w="2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costs</w:t>
            </w:r>
          </w:p>
        </w:tc>
        <w:tc>
          <w:tcPr>
            <w:tcW w:w="2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2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asset divestitures</w:t>
            </w:r>
          </w:p>
        </w:tc>
        <w:tc>
          <w:tcPr>
            <w:tcW w:w="2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(loss) income</w:t>
            </w:r>
          </w:p>
        </w:tc>
        <w:tc>
          <w:tcPr>
            <w:tcW w:w="2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37"/>
        </w:trPr>
        <w:tc>
          <w:tcPr>
            <w:tcW w:w="5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items, net</w:t>
            </w:r>
          </w:p>
        </w:tc>
        <w:tc>
          <w:tcPr>
            <w:tcW w:w="2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Interest and debt expense, net</w:t>
            </w:r>
          </w:p>
        </w:tc>
        <w:tc>
          <w:tcPr>
            <w:tcW w:w="2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 net</w:t>
            </w:r>
          </w:p>
        </w:tc>
        <w:tc>
          <w:tcPr>
            <w:tcW w:w="2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(Loss) income before income taxes</w:t>
            </w:r>
          </w:p>
        </w:tc>
        <w:tc>
          <w:tcPr>
            <w:tcW w:w="2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2240" w:type="dxa"/>
            <w:vAlign w:val="bottom"/>
            <w:tcBorders>
              <w:bottom w:val="single" w:sz="8" w:color="auto"/>
            </w:tcBorders>
          </w:tcPr>
          <w:p>
            <w:pPr>
              <w:jc w:val="right"/>
              <w:ind w:right="20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360" w:type="dxa"/>
            <w:vAlign w:val="bottom"/>
            <w:tcBorders>
              <w:bottom w:val="single" w:sz="8" w:color="auto"/>
            </w:tcBorders>
          </w:tcPr>
          <w:p>
            <w:pPr>
              <w:jc w:val="right"/>
              <w:ind w:right="21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r>
      <w:tr>
        <w:trPr>
          <w:trHeight w:val="20"/>
        </w:trPr>
        <w:tc>
          <w:tcPr>
            <w:tcW w:w="5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three months ended March 31, 2022 were $53 million, which was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$5 million, or 10% from $48 million for the three months ended December 31, 2021. This increase was primarily a result of higher prices for purchased natural gas, which we used to generate electricity for our operations, and for purchased electricity.</w:t>
      </w:r>
    </w:p>
    <w:p>
      <w:pPr>
        <w:spacing w:after="0" w:line="203"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three months ended March 31, 2022 were $124 million, which was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$6 million or 5% from $130 million for the three months ended December 31, 2021. This decrease was primarily a result of reduced downhole maintenance activity and reduced volumes of purchased natural gas used to generate steam for our steamfloods.</w:t>
      </w:r>
    </w:p>
    <w:p>
      <w:pPr>
        <w:spacing w:after="0" w:line="20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relates to natural gas acquired from third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marketing activities. This expense amounted to $21 million for the three months ended March 31, 2022, which was a decrease of $31 million, or 60% from $52 million for the three months ended December 31, 2021. The decrease was predominantly the result of lower volumes purchased in 2022.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3" w:right="439" w:bottom="1440" w:gutter="0" w:footer="0" w:header="0"/>
        </w:sectPr>
      </w:pPr>
    </w:p>
    <w:bookmarkStart w:id="29" w:name="page30"/>
    <w:bookmarkEnd w:id="29"/>
    <w:p>
      <w:pPr>
        <w:ind w:right="400" w:firstLine="324"/>
        <w:spacing w:after="0" w:line="261" w:lineRule="auto"/>
        <w:rPr>
          <w:sz w:val="20"/>
          <w:szCs w:val="20"/>
          <w:color w:val="auto"/>
        </w:rPr>
      </w:pPr>
      <w:r>
        <w:rPr>
          <w:rFonts w:ascii="Arial" w:cs="Arial" w:eastAsia="Arial" w:hAnsi="Arial"/>
          <w:sz w:val="18"/>
          <w:szCs w:val="18"/>
          <w:i w:val="1"/>
          <w:iCs w:val="1"/>
          <w:color w:val="auto"/>
        </w:rPr>
        <w:t xml:space="preserve">Other operating expenses, net </w:t>
      </w:r>
      <w:r>
        <w:rPr>
          <w:rFonts w:ascii="Arial" w:cs="Arial" w:eastAsia="Arial" w:hAnsi="Arial"/>
          <w:sz w:val="18"/>
          <w:szCs w:val="18"/>
          <w:color w:val="auto"/>
        </w:rPr>
        <w:t>— Other operating expenses, net increased by $16 million to $14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2022, compared to $2 million of income for the three months ended December 31, 2021 primarily due to increased purchased NGL volumes which were acquired to meet our delivery commitments while one of our cryogenic gas processing facilities was down for planned maintenance in the first quarter of 2022.</w:t>
      </w:r>
    </w:p>
    <w:p>
      <w:pPr>
        <w:spacing w:after="0" w:line="20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Net gain on asset divestitures </w:t>
      </w:r>
      <w:r>
        <w:rPr>
          <w:rFonts w:ascii="Arial" w:cs="Arial" w:eastAsia="Arial" w:hAnsi="Arial"/>
          <w:sz w:val="18"/>
          <w:szCs w:val="18"/>
          <w:color w:val="auto"/>
        </w:rPr>
        <w:t>– Net gain on asset divestitures for the three months ended March 31, 2022 was $ 54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$120 million for the three months ended December 31, 2021. The net gain on asset divestitures for the three months ended March 31, 2022 primarily relates to the sale of our 50% non-operated working interest in certain horizons within our Lost Hills field. We also recognized a gain on the sale of certain Ventura basin assets. Net gain on asset divestitures for the three months ended December 31, 2021 related to the sale of a majority of our Ventura basin assets. For more information on our asset divestitures, see </w:t>
      </w:r>
      <w:r>
        <w:rPr>
          <w:rFonts w:ascii="Arial" w:cs="Arial" w:eastAsia="Arial" w:hAnsi="Arial"/>
          <w:sz w:val="18"/>
          <w:szCs w:val="18"/>
          <w:i w:val="1"/>
          <w:iCs w:val="1"/>
          <w:color w:val="auto"/>
        </w:rPr>
        <w:t>Part I, Item 1 – Financial Information, Note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and Acquisitions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Note 3 Divestitures and Acquisitions </w:t>
      </w:r>
      <w:r>
        <w:rPr>
          <w:rFonts w:ascii="Arial" w:cs="Arial" w:eastAsia="Arial" w:hAnsi="Arial"/>
          <w:sz w:val="18"/>
          <w:szCs w:val="18"/>
          <w:color w:val="auto"/>
        </w:rPr>
        <w:t>in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Annual Report</w:t>
      </w:r>
      <w:r>
        <w:rPr>
          <w:rFonts w:ascii="Arial" w:cs="Arial" w:eastAsia="Arial" w:hAnsi="Arial"/>
          <w:sz w:val="18"/>
          <w:szCs w:val="18"/>
          <w:i w:val="1"/>
          <w:iCs w:val="1"/>
          <w:color w:val="auto"/>
        </w:rPr>
        <w:t>.</w:t>
      </w:r>
    </w:p>
    <w:p>
      <w:pPr>
        <w:spacing w:after="0" w:line="21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income tax benefit for the three months ended March 31, 2022 was $26 million, which includes a $31 million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tax provision to recognize a valuation allowance for capital loss carryforwards from our Lost Hills divestiture, compared to $396 million for the three months ended December 31, 2021. The income tax benefit for the three months ended December 31, 2021 resulted from the release of our valuation allowance in the fourth quarter of 2021 primarily based on projections of future taxable income at that time. See </w:t>
      </w:r>
      <w:r>
        <w:rPr>
          <w:rFonts w:ascii="Arial" w:cs="Arial" w:eastAsia="Arial" w:hAnsi="Arial"/>
          <w:sz w:val="18"/>
          <w:szCs w:val="18"/>
          <w:i w:val="1"/>
          <w:iCs w:val="1"/>
          <w:color w:val="auto"/>
        </w:rPr>
        <w:t>Part I, Item 1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Note 12 Income Taxes </w:t>
      </w:r>
      <w:r>
        <w:rPr>
          <w:rFonts w:ascii="Arial" w:cs="Arial" w:eastAsia="Arial" w:hAnsi="Arial"/>
          <w:sz w:val="18"/>
          <w:szCs w:val="18"/>
          <w:color w:val="auto"/>
        </w:rPr>
        <w:t>for more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2022 vs. March 31, 2021</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three months ended March 31, 2022 and 2021:</w:t>
      </w:r>
    </w:p>
    <w:p>
      <w:pPr>
        <w:spacing w:after="0" w:line="167"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Three months ended</w:t>
      </w:r>
    </w:p>
    <w:p>
      <w:pPr>
        <w:jc w:val="center"/>
        <w:ind w:left="56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2021</w:t>
            </w:r>
          </w:p>
        </w:tc>
      </w:tr>
      <w:tr>
        <w:trPr>
          <w:trHeight w:val="183"/>
        </w:trPr>
        <w:tc>
          <w:tcPr>
            <w:tcW w:w="5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0" w:type="dxa"/>
            <w:vAlign w:val="bottom"/>
            <w:gridSpan w:val="3"/>
          </w:tcPr>
          <w:p>
            <w:pPr>
              <w:jc w:val="right"/>
              <w:ind w:right="310"/>
              <w:spacing w:after="0"/>
              <w:rPr>
                <w:sz w:val="20"/>
                <w:szCs w:val="20"/>
                <w:color w:val="auto"/>
              </w:rPr>
            </w:pPr>
            <w:r>
              <w:rPr>
                <w:rFonts w:ascii="Arial" w:cs="Arial" w:eastAsia="Arial" w:hAnsi="Arial"/>
                <w:sz w:val="14"/>
                <w:szCs w:val="14"/>
                <w:color w:val="auto"/>
              </w:rPr>
              <w:t>(in millions)</w:t>
            </w:r>
          </w:p>
        </w:tc>
        <w:tc>
          <w:tcPr>
            <w:tcW w:w="1900" w:type="dxa"/>
            <w:vAlign w:val="bottom"/>
          </w:tcPr>
          <w:p>
            <w:pPr>
              <w:spacing w:after="0"/>
              <w:rPr>
                <w:sz w:val="15"/>
                <w:szCs w:val="15"/>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180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Net loss from commodity derivatives</w:t>
            </w:r>
          </w:p>
        </w:tc>
        <w:tc>
          <w:tcPr>
            <w:tcW w:w="1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1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1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18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0"/>
        </w:trPr>
        <w:tc>
          <w:tcPr>
            <w:tcW w:w="5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were $628 million for the three months ended March 31, 2022, which is an increase of $196 million compared to $432 million for the same period of 2021. This increase was due to higher realized prices, which was partially offset by lower production, as reflected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54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9"/>
              </w:rPr>
              <w:t>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center"/>
              <w:ind w:left="14"/>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center"/>
              <w:ind w:left="350"/>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March 31, 2022</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9"/>
              </w:rPr>
              <w:t>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effect of cash settlements on our commodity derivative contracts is not included in the table above. Payments on commodity derivatives were $181 million for the three months ended March 31, 2022 compared to payments of $39 million for the same period of 2021. Including the effect of settlement payments for commodity derivatives, our oil, natural gas and NGL sales increased by $54 million or 14% for the three months ended March 31, 2022 compared to the same prior-year period.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ind w:right="200" w:firstLine="324"/>
        <w:spacing w:after="0" w:line="261" w:lineRule="auto"/>
        <w:rPr>
          <w:sz w:val="20"/>
          <w:szCs w:val="20"/>
          <w:color w:val="auto"/>
        </w:rPr>
      </w:pPr>
      <w:r>
        <w:rPr>
          <w:rFonts w:ascii="Arial" w:cs="Arial" w:eastAsia="Arial" w:hAnsi="Arial"/>
          <w:sz w:val="18"/>
          <w:szCs w:val="18"/>
          <w:i w:val="1"/>
          <w:iCs w:val="1"/>
          <w:color w:val="auto"/>
        </w:rPr>
        <w:t xml:space="preserve">Net loss from commodity derivatives </w:t>
      </w:r>
      <w:r>
        <w:rPr>
          <w:rFonts w:ascii="Arial" w:cs="Arial" w:eastAsia="Arial" w:hAnsi="Arial"/>
          <w:sz w:val="18"/>
          <w:szCs w:val="18"/>
          <w:color w:val="auto"/>
        </w:rPr>
        <w:t>— Net loss from commodity derivatives was $562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a net loss of $213 million for the same prior year period. The increase in the net loss primarily resulted from non-cash changes in the fair value of our outstanding commodity derivatives resulted from the positions held at the end of each measurement period as well as the relationship between contract prices and the associated forward curves as shown in the table below:</w:t>
      </w:r>
    </w:p>
    <w:p>
      <w:pPr>
        <w:spacing w:after="0" w:line="85"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Three months ended</w:t>
      </w:r>
    </w:p>
    <w:p>
      <w:pPr>
        <w:jc w:val="center"/>
        <w:ind w:left="750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5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183"/>
        </w:trPr>
        <w:tc>
          <w:tcPr>
            <w:tcW w:w="7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5"/>
                <w:szCs w:val="15"/>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loss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75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payments on settled commodity derivatives</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 from commodity derivatives</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relates to natural gas acquired from third parties and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sold in connection with certain of our marketing activities. Sales of purchased natural gas were $32 million for the three months ended March 31, 2022, a decrease of $66 million, or 67% from $98 million during the same period of 2021. The decrease was predominantly the result of lower volumes and lower prices. Our natural gas sales net of related purchased natural gas expense were $11 million for the three months ended March 31, 2022 compared to $37 million for the same period of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The following table presents our operating and non-operating expenses for the three months ended March 31, 2022 and 2021:</w:t>
      </w:r>
    </w:p>
    <w:p>
      <w:pPr>
        <w:spacing w:after="0" w:line="18"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Three months ended</w:t>
      </w:r>
    </w:p>
    <w:p>
      <w:pPr>
        <w:jc w:val="center"/>
        <w:ind w:left="514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2021</w:t>
            </w:r>
          </w:p>
        </w:tc>
      </w:tr>
      <w:tr>
        <w:trPr>
          <w:trHeight w:val="183"/>
        </w:trPr>
        <w:tc>
          <w:tcPr>
            <w:tcW w:w="5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gridSpan w:val="3"/>
          </w:tcPr>
          <w:p>
            <w:pPr>
              <w:jc w:val="right"/>
              <w:ind w:right="390"/>
              <w:spacing w:after="0"/>
              <w:rPr>
                <w:sz w:val="20"/>
                <w:szCs w:val="20"/>
                <w:color w:val="auto"/>
              </w:rPr>
            </w:pPr>
            <w:r>
              <w:rPr>
                <w:rFonts w:ascii="Arial" w:cs="Arial" w:eastAsia="Arial" w:hAnsi="Arial"/>
                <w:sz w:val="14"/>
                <w:szCs w:val="14"/>
                <w:color w:val="auto"/>
              </w:rPr>
              <w:t>(in millions)</w:t>
            </w:r>
          </w:p>
        </w:tc>
        <w:tc>
          <w:tcPr>
            <w:tcW w:w="2080" w:type="dxa"/>
            <w:vAlign w:val="bottom"/>
          </w:tcPr>
          <w:p>
            <w:pPr>
              <w:spacing w:after="0"/>
              <w:rPr>
                <w:sz w:val="15"/>
                <w:szCs w:val="15"/>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2020" w:type="dxa"/>
            <w:vAlign w:val="bottom"/>
          </w:tcPr>
          <w:p>
            <w:pPr>
              <w:jc w:val="right"/>
              <w:ind w:right="18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0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2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0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on asset divestitures</w:t>
            </w:r>
          </w:p>
        </w:tc>
        <w:tc>
          <w:tcPr>
            <w:tcW w:w="2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loss</w:t>
            </w:r>
          </w:p>
        </w:tc>
        <w:tc>
          <w:tcPr>
            <w:tcW w:w="20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6"/>
        </w:trPr>
        <w:tc>
          <w:tcPr>
            <w:tcW w:w="5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20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Net loss on early extinguishment of debt</w:t>
            </w:r>
          </w:p>
        </w:tc>
        <w:tc>
          <w:tcPr>
            <w:tcW w:w="20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 net</w:t>
            </w:r>
          </w:p>
        </w:tc>
        <w:tc>
          <w:tcPr>
            <w:tcW w:w="20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02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1"/>
        </w:trPr>
        <w:tc>
          <w:tcPr>
            <w:tcW w:w="52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three months ended March 31, 2022 were $53 million, which was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$11 million, or 26% from $42 million for the same period of 2021. This increase was primarily a result of higher prices for purchased natural gas, which we used to generate electricity for our operations, and for purchased electricity.</w:t>
      </w:r>
    </w:p>
    <w:p>
      <w:pPr>
        <w:spacing w:after="0" w:line="203"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three months ended March 31, 2022 were $124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$7 million, or 6% from $117 million for the same period of 2021. This increase was primarily a result of higher prices for purchased natural gas, which we use to generate steam for our steamfloods.</w:t>
      </w:r>
    </w:p>
    <w:p>
      <w:pPr>
        <w:spacing w:after="0" w:line="20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relates to natural gas acquired from third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marketing activities. This expense amounted to $21 million for the three months ended March 31, 2022, which was a decrease of $40 million, or 66% from $61 million for the same period in 2021. The decrease was predominantly the result of lower volumes and prices in 2022.</w:t>
      </w:r>
    </w:p>
    <w:p>
      <w:pPr>
        <w:spacing w:after="0" w:line="207"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 xml:space="preserve">Net gain on asset divestitures </w:t>
      </w:r>
      <w:r>
        <w:rPr>
          <w:rFonts w:ascii="Arial" w:cs="Arial" w:eastAsia="Arial" w:hAnsi="Arial"/>
          <w:sz w:val="18"/>
          <w:szCs w:val="18"/>
          <w:color w:val="auto"/>
        </w:rPr>
        <w:t>– Net gain on asset divestitures for the three months ended March 31, 2022 was $54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relates to the sale of our 50% non-operated working interest in certain horizons within our Lost Hills field. We also recognized a gain on the sale of certain Ventura basin assets during the three months ended March 31, 2022. For more information on our asset divestitures,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 Item 1 – Financial Information, Note 7 Divestitures and Acquisitions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Note 3 Divestitures and Acquisitions </w:t>
      </w:r>
      <w:r>
        <w:rPr>
          <w:rFonts w:ascii="Arial" w:cs="Arial" w:eastAsia="Arial" w:hAnsi="Arial"/>
          <w:sz w:val="18"/>
          <w:szCs w:val="18"/>
          <w:color w:val="auto"/>
        </w:rPr>
        <w:t>in our 2021 Annual Report</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2" w:name="page33"/>
    <w:bookmarkEnd w:id="32"/>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income tax benefit for the three months ended March 31, 2022 was $26 million, which includes a $31 million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tax provision to recognize a valuation allowance for capital loss carryforwards from our Lost Hills divestiture. We did not recognize an income tax benefit in the three months ended March 31, 2021 due to a full valuation allowance against our net deferred tax assets at that time. See </w:t>
      </w:r>
      <w:r>
        <w:rPr>
          <w:rFonts w:ascii="Arial" w:cs="Arial" w:eastAsia="Arial" w:hAnsi="Arial"/>
          <w:sz w:val="18"/>
          <w:szCs w:val="18"/>
          <w:i w:val="1"/>
          <w:iCs w:val="1"/>
          <w:color w:val="auto"/>
        </w:rPr>
        <w:t xml:space="preserve">Part I, Item 1 – Financial Statements, Note 12 Income Taxes </w:t>
      </w:r>
      <w:r>
        <w:rPr>
          <w:rFonts w:ascii="Arial" w:cs="Arial" w:eastAsia="Arial" w:hAnsi="Arial"/>
          <w:sz w:val="18"/>
          <w:szCs w:val="18"/>
          <w:color w:val="auto"/>
        </w:rPr>
        <w:t>for more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7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primary sources of liquidity and capital resources are cash flows from operations, cash on hand and available borrowing capacity under our Revolving Credit Facility which matures in April 2024. We consider our low leverage and ability to control costs to be a core strength and strategic advantage, which we are focused on maintaining. Our primary uses of operating cash flow for the three months ended March 31, 2022 were for capital investments, dividends and repurchases of our common stock.</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60" w:type="dxa"/>
            <w:vAlign w:val="bottom"/>
          </w:tcPr>
          <w:p>
            <w:pPr>
              <w:jc w:val="center"/>
              <w:ind w:right="512"/>
              <w:spacing w:after="0"/>
              <w:rPr>
                <w:sz w:val="20"/>
                <w:szCs w:val="20"/>
                <w:color w:val="auto"/>
              </w:rPr>
            </w:pPr>
            <w:r>
              <w:rPr>
                <w:rFonts w:ascii="Arial" w:cs="Arial" w:eastAsia="Arial" w:hAnsi="Arial"/>
                <w:sz w:val="18"/>
                <w:szCs w:val="18"/>
                <w:b w:val="1"/>
                <w:bCs w:val="1"/>
                <w:color w:val="auto"/>
              </w:rPr>
              <w:t>March 31,</w:t>
            </w:r>
          </w:p>
        </w:tc>
      </w:tr>
      <w:tr>
        <w:trPr>
          <w:trHeight w:val="239"/>
        </w:trPr>
        <w:tc>
          <w:tcPr>
            <w:tcW w:w="8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center"/>
              <w:ind w:right="512"/>
              <w:spacing w:after="0"/>
              <w:rPr>
                <w:sz w:val="20"/>
                <w:szCs w:val="20"/>
                <w:color w:val="auto"/>
              </w:rPr>
            </w:pPr>
            <w:r>
              <w:rPr>
                <w:rFonts w:ascii="Arial" w:cs="Arial" w:eastAsia="Arial" w:hAnsi="Arial"/>
                <w:sz w:val="18"/>
                <w:szCs w:val="18"/>
                <w:b w:val="1"/>
                <w:bCs w:val="1"/>
                <w:color w:val="auto"/>
                <w:w w:val="99"/>
              </w:rPr>
              <w:t>2022</w:t>
            </w:r>
          </w:p>
        </w:tc>
      </w:tr>
      <w:tr>
        <w:trPr>
          <w:trHeight w:val="183"/>
        </w:trPr>
        <w:tc>
          <w:tcPr>
            <w:tcW w:w="8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60" w:type="dxa"/>
            <w:vAlign w:val="bottom"/>
          </w:tcPr>
          <w:p>
            <w:pPr>
              <w:jc w:val="center"/>
              <w:ind w:right="512"/>
              <w:spacing w:after="0"/>
              <w:rPr>
                <w:sz w:val="20"/>
                <w:szCs w:val="20"/>
                <w:color w:val="auto"/>
              </w:rPr>
            </w:pPr>
            <w:r>
              <w:rPr>
                <w:rFonts w:ascii="Arial" w:cs="Arial" w:eastAsia="Arial" w:hAnsi="Arial"/>
                <w:sz w:val="14"/>
                <w:szCs w:val="14"/>
                <w:color w:val="auto"/>
              </w:rPr>
              <w:t>(in millions)</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99"/>
              </w:rPr>
              <w:t>328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6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6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99"/>
              </w:rPr>
              <w:t>552</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6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left="1812"/>
              <w:spacing w:after="0"/>
              <w:rPr>
                <w:sz w:val="20"/>
                <w:szCs w:val="20"/>
                <w:color w:val="auto"/>
              </w:rPr>
            </w:pPr>
            <w:r>
              <w:rPr>
                <w:rFonts w:ascii="Arial" w:cs="Arial" w:eastAsia="Arial" w:hAnsi="Arial"/>
                <w:sz w:val="18"/>
                <w:szCs w:val="18"/>
                <w:color w:val="auto"/>
                <w:w w:val="99"/>
              </w:rPr>
              <w:t>(136)</w:t>
            </w: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center"/>
              <w:ind w:left="1812"/>
              <w:spacing w:after="0"/>
              <w:rPr>
                <w:sz w:val="20"/>
                <w:szCs w:val="20"/>
                <w:color w:val="auto"/>
              </w:rPr>
            </w:pPr>
            <w:r>
              <w:rPr>
                <w:rFonts w:ascii="Arial" w:cs="Arial" w:eastAsia="Arial" w:hAnsi="Arial"/>
                <w:sz w:val="18"/>
                <w:szCs w:val="18"/>
                <w:color w:val="auto"/>
                <w:w w:val="99"/>
              </w:rPr>
              <w:t>416</w:t>
            </w:r>
          </w:p>
        </w:tc>
      </w:tr>
      <w:tr>
        <w:trPr>
          <w:trHeight w:val="216"/>
        </w:trPr>
        <w:tc>
          <w:tcPr>
            <w:tcW w:w="82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CCEEFF"/>
          </w:tcPr>
          <w:p>
            <w:pPr>
              <w:jc w:val="center"/>
              <w:ind w:left="1812"/>
              <w:spacing w:after="0"/>
              <w:rPr>
                <w:sz w:val="20"/>
                <w:szCs w:val="20"/>
                <w:color w:val="auto"/>
              </w:rPr>
            </w:pPr>
            <w:r>
              <w:rPr>
                <w:rFonts w:ascii="Arial" w:cs="Arial" w:eastAsia="Arial" w:hAnsi="Arial"/>
                <w:sz w:val="18"/>
                <w:szCs w:val="18"/>
                <w:color w:val="auto"/>
                <w:w w:val="99"/>
              </w:rPr>
              <w:t>744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On April 29, 2022, the borrowing base under our Revolving Credit Facility was reaffirmed at $1.2 billion. Lender commitments under our Revolving Credit Facility increased by $60 million to $552 million in the three months ended March 31, 2022 following the addition of two new lenders to the facility. Our Revolving Credit Facility was amended as of April 29, 2022. See </w:t>
      </w:r>
      <w:r>
        <w:rPr>
          <w:rFonts w:ascii="Arial" w:cs="Arial" w:eastAsia="Arial" w:hAnsi="Arial"/>
          <w:sz w:val="18"/>
          <w:szCs w:val="18"/>
          <w:i w:val="1"/>
          <w:iCs w:val="1"/>
          <w:color w:val="auto"/>
        </w:rPr>
        <w:t>Part I, Item 1 – Financial Statements, Note 15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for more information regarding this amendment.</w:t>
      </w:r>
    </w:p>
    <w:p>
      <w:pPr>
        <w:spacing w:after="0" w:line="23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At current commodity prices and based upon our planned 2022 capital program described below, we expect to generate operating cash flow to support and invest in our core assets and preserve financial flexibility. We regularly review our financial position and evaluate whether we may (i) increase investments in our drilling program to accelerate value, (ii) return available cash to shareholders through dividends or stock buybacks to the extent permitted under our Revolving Credit Facility and Senior Notes indenture, (iii) advance carbon management activities, or (iv) maintain cash on our balance sheet. We believe we have sufficient sources of liquidity to meet our obligations for the next twelve months.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Prior to May 2022, our Revolving Credit Facility required us to maintain certain levels of hedges regardless of our leverage. We also entered into incremental hedges above and beyond these requirements for some time periods. In some circumstances, these hedges (including hedges entered into by us in 2020 to comply with covenants in our Revolving Credit Facility) may prevent us from realizing the full benefits of price increases. Following our recent amendment to our Revolving Credit Facility in April 2022, we are only required to maintain hedges in the event the ratio of our consolidated total secured debt to consolidated EBITDAX exceeds 1:1. We will continue to evaluate our hedging strategy based on prevailing market prices and conditions.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3" w:name="page34"/>
    <w:bookmarkEnd w:id="33"/>
    <w:p>
      <w:pPr>
        <w:ind w:right="60" w:firstLine="324"/>
        <w:spacing w:after="0" w:line="252" w:lineRule="auto"/>
        <w:rPr>
          <w:sz w:val="20"/>
          <w:szCs w:val="20"/>
          <w:color w:val="auto"/>
        </w:rPr>
      </w:pPr>
      <w:r>
        <w:rPr>
          <w:rFonts w:ascii="Arial" w:cs="Arial" w:eastAsia="Arial" w:hAnsi="Arial"/>
          <w:sz w:val="18"/>
          <w:szCs w:val="18"/>
          <w:color w:val="auto"/>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March 31, 2022.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9 Derivatives </w:t>
      </w:r>
      <w:r>
        <w:rPr>
          <w:rFonts w:ascii="Arial" w:cs="Arial" w:eastAsia="Arial" w:hAnsi="Arial"/>
          <w:sz w:val="18"/>
          <w:szCs w:val="18"/>
          <w:color w:val="auto"/>
        </w:rPr>
        <w:t>for further information on our derivatives and a summary of our open derivative contracts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2022 and </w:t>
      </w:r>
      <w:r>
        <w:rPr>
          <w:rFonts w:ascii="Arial" w:cs="Arial" w:eastAsia="Arial" w:hAnsi="Arial"/>
          <w:sz w:val="18"/>
          <w:szCs w:val="18"/>
          <w:i w:val="1"/>
          <w:iCs w:val="1"/>
          <w:color w:val="auto"/>
        </w:rPr>
        <w:t>Part I, Item 1 – Financial Statements, Note 15 Subsequent Events</w:t>
      </w:r>
      <w:r>
        <w:rPr>
          <w:rFonts w:ascii="Arial" w:cs="Arial" w:eastAsia="Arial" w:hAnsi="Arial"/>
          <w:sz w:val="18"/>
          <w:szCs w:val="18"/>
          <w:color w:val="auto"/>
        </w:rPr>
        <w:t xml:space="preserve"> for information for more information on an amendment to the hedging requirements included in our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Capital Program</w:t>
      </w:r>
    </w:p>
    <w:p>
      <w:pPr>
        <w:spacing w:after="0" w:line="27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 xml:space="preserve">Our capital program will be dynamic in response to oil market volatility while focusing on maintaining our oil production and strong liquidity and maximizing our free cash flow. We entered 2022 with a capital program of $330 million to $375 million and have revised our 2022 capital program to a range of $340 million to $385 million. For our oil and natural gas operations, in response to the continued strong commodity environment, we increased our capital program to add one drilling rig in our Long Beach operations. For our carbon management activities, we decreased our capital program to remove approximately $15 million for purchases of properties, land easements and leases. These amounts will be reported separately from our 2022 capital program in our condensed consolidated financial statements. This level of expected spending is consistent with our strategy of investing up to 50% of our operating cash flow back into our oil and gas operations and targeting investing approximately 25% of our operating cash flow in carbon management projects over the next several years. See a summary of our Business Strategy in </w:t>
      </w:r>
      <w:r>
        <w:rPr>
          <w:rFonts w:ascii="Arial" w:cs="Arial" w:eastAsia="Arial" w:hAnsi="Arial"/>
          <w:sz w:val="18"/>
          <w:szCs w:val="18"/>
          <w:i w:val="1"/>
          <w:iCs w:val="1"/>
          <w:color w:val="auto"/>
        </w:rPr>
        <w:t>Part I, Item 1 &amp; 2 – Business and Properties</w:t>
      </w:r>
      <w:r>
        <w:rPr>
          <w:rFonts w:ascii="Arial" w:cs="Arial" w:eastAsia="Arial" w:hAnsi="Arial"/>
          <w:sz w:val="18"/>
          <w:szCs w:val="18"/>
          <w:color w:val="auto"/>
        </w:rPr>
        <w:t>, in our 2021 Annual Report.</w:t>
      </w:r>
    </w:p>
    <w:p>
      <w:pPr>
        <w:spacing w:after="0" w:line="239"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Any curtailment of the development of our properties will lead to a decline in our production and may lower our reserves. A continued decline in our production and reserves would negatively impact our cash flow from operations and the value of our assets.</w:t>
      </w:r>
    </w:p>
    <w:p>
      <w:pPr>
        <w:spacing w:after="0" w:line="225"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amounts in the table below reflect components of our capital investment for the periods indicated, excluding changes in capital investment accruals: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40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2022 Full Year Estimate</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52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20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March 31, 2022</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80" w:type="dxa"/>
            <w:vAlign w:val="bottom"/>
            <w:gridSpan w:val="3"/>
          </w:tcPr>
          <w:p>
            <w:pPr>
              <w:jc w:val="right"/>
              <w:ind w:right="163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operations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$320 - $350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Carbon Management Business</w:t>
            </w:r>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jc w:val="right"/>
              <w:spacing w:after="0"/>
              <w:rPr>
                <w:sz w:val="20"/>
                <w:szCs w:val="20"/>
                <w:color w:val="auto"/>
              </w:rPr>
            </w:pPr>
            <w:r>
              <w:rPr>
                <w:rFonts w:ascii="Arial" w:cs="Arial" w:eastAsia="Arial" w:hAnsi="Arial"/>
                <w:sz w:val="18"/>
                <w:szCs w:val="18"/>
                <w:color w:val="auto"/>
                <w:w w:val="96"/>
              </w:rPr>
              <w:t>- 25</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rPr>
                <w:sz w:val="20"/>
                <w:szCs w:val="20"/>
                <w:color w:val="auto"/>
              </w:rPr>
            </w:pPr>
            <w:r>
              <w:rPr>
                <w:rFonts w:ascii="Arial" w:cs="Arial" w:eastAsia="Arial" w:hAnsi="Arial"/>
                <w:sz w:val="18"/>
                <w:szCs w:val="18"/>
                <w:b w:val="1"/>
                <w:bCs w:val="1"/>
                <w:color w:val="auto"/>
              </w:rPr>
              <w:t>Total Capital</w:t>
            </w: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$340 - $385</w:t>
            </w:r>
          </w:p>
        </w:tc>
        <w:tc>
          <w:tcPr>
            <w:tcW w:w="100" w:type="dxa"/>
            <w:vAlign w:val="bottom"/>
          </w:tcPr>
          <w:p>
            <w:pPr>
              <w:spacing w:after="0"/>
              <w:rPr>
                <w:sz w:val="19"/>
                <w:szCs w:val="19"/>
                <w:color w:val="auto"/>
              </w:rPr>
            </w:pPr>
          </w:p>
        </w:tc>
        <w:tc>
          <w:tcPr>
            <w:tcW w:w="204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6"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including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w:t>
      </w:r>
    </w:p>
    <w:p>
      <w:pPr>
        <w:spacing w:after="0" w:line="22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For the three months ended March 31, 2022, our operating cash flow increased 9%, or $13 million, to $160 million from $147 million in the same prior period of 2021. The increase in operating cash flow for the three months ended March 31, 2022 primarily relates to higher average realized prices (including the effects of settlements on our commodity derivatives) in 2022 compared to the same prior-year period. This increase was partially offset by lower production volumes in 2022 as compared to the same period in 2021.</w:t>
      </w:r>
    </w:p>
    <w:p>
      <w:pPr>
        <w:spacing w:after="0" w:line="213"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Our net cash used in investing activities increased $ 33 million from $20 million to $53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2022 compared to the same period in 2021. The increased use of cash for investing activities in 2022 primarily relates to higher capital investment and our acquisition of properties and land easements for carbon management activities. We also received $60 million from our divestitures including our remaining 50% working interest in certain zones of the Lost Hills field and certain assets in the Ventura basin. Investing activities in the same period of 2021 primarily included capital investments.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table below summarizes net cash used in investing activities for the three months ended March 31, 2022 and 2021:</w:t>
      </w:r>
    </w:p>
    <w:p>
      <w:pPr>
        <w:spacing w:after="0" w:line="261"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Three months ended</w:t>
      </w:r>
    </w:p>
    <w:p>
      <w:pPr>
        <w:jc w:val="center"/>
        <w:ind w:left="71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183"/>
        </w:trPr>
        <w:tc>
          <w:tcPr>
            <w:tcW w:w="7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15"/>
                <w:szCs w:val="15"/>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Changes in accrued capital investments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Acquisitions</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20" w:firstLine="324"/>
        <w:spacing w:after="0" w:line="258"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Our net cash used in financing activities was $84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net cash used in financing activities of $25 million for the same period of 2021. Financing activities for the three months ended March 31, 2022 included repurchases of common stock under our Share Repurchase Program and a dividend payment. Financing cash outflows for the three months ended March 31, 2021 included payments to a noncontrolling interest holder and net repayments of our long-term debt outstanding at that time.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net cash used by financing activities for the three and three months ended March 31, 2022 and 2021:</w:t>
      </w:r>
    </w:p>
    <w:p>
      <w:pPr>
        <w:spacing w:after="0" w:line="261"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Three months ended</w:t>
      </w:r>
    </w:p>
    <w:p>
      <w:pPr>
        <w:jc w:val="center"/>
        <w:ind w:left="71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183"/>
        </w:trPr>
        <w:tc>
          <w:tcPr>
            <w:tcW w:w="7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15"/>
                <w:szCs w:val="15"/>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transactions, net</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9"/>
              </w:rPr>
              <w:t>(11)</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Distributions paid to a noncontrolling interest holder</w:t>
            </w:r>
          </w:p>
        </w:tc>
        <w:tc>
          <w:tcPr>
            <w:tcW w:w="1400" w:type="dxa"/>
            <w:vAlign w:val="bottom"/>
          </w:tcPr>
          <w:p>
            <w:pPr>
              <w:spacing w:after="0"/>
              <w:rPr>
                <w:sz w:val="19"/>
                <w:szCs w:val="19"/>
                <w:color w:val="auto"/>
              </w:rPr>
            </w:pPr>
          </w:p>
        </w:tc>
        <w:tc>
          <w:tcPr>
            <w:tcW w:w="66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1420" w:type="dxa"/>
            <w:vAlign w:val="bottom"/>
          </w:tcPr>
          <w:p>
            <w:pPr>
              <w:jc w:val="center"/>
              <w:ind w:left="970"/>
              <w:spacing w:after="0"/>
              <w:rPr>
                <w:sz w:val="20"/>
                <w:szCs w:val="20"/>
                <w:color w:val="auto"/>
              </w:rPr>
            </w:pPr>
            <w:r>
              <w:rPr>
                <w:rFonts w:ascii="Arial" w:cs="Arial" w:eastAsia="Arial" w:hAnsi="Arial"/>
                <w:sz w:val="18"/>
                <w:szCs w:val="18"/>
                <w:color w:val="auto"/>
                <w:w w:val="99"/>
              </w:rPr>
              <w:t>(14)</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(71)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9"/>
              </w:rPr>
              <w:t>—</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dividends</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99"/>
              </w:rPr>
              <w:t>(13)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9"/>
              </w:rPr>
              <w:t>—</w:t>
            </w:r>
          </w:p>
        </w:tc>
      </w:tr>
      <w:tr>
        <w:trPr>
          <w:trHeight w:val="248"/>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w w:val="99"/>
              </w:rPr>
              <w:t>(84)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99"/>
              </w:rPr>
              <w:t>(25)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jc w:val="both"/>
        <w:ind w:right="140" w:firstLine="324"/>
        <w:spacing w:after="0" w:line="254"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2022 and December 31, 2021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8 Lawsuits, Claims, Commitments and Contingencies</w:t>
      </w:r>
      <w:r>
        <w:rPr>
          <w:rFonts w:ascii="Arial" w:cs="Arial" w:eastAsia="Arial" w:hAnsi="Arial"/>
          <w:sz w:val="18"/>
          <w:szCs w:val="18"/>
          <w:color w:val="auto"/>
        </w:rPr>
        <w:t xml:space="preserve">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Accounting and Disclosure Changes</w:t>
      </w:r>
    </w:p>
    <w:p>
      <w:pPr>
        <w:spacing w:after="0" w:line="256"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 xml:space="preserve">There have been no changes to our critical accounting estimates, which are summarized in </w:t>
      </w:r>
      <w:r>
        <w:rPr>
          <w:rFonts w:ascii="Arial" w:cs="Arial" w:eastAsia="Arial" w:hAnsi="Arial"/>
          <w:sz w:val="18"/>
          <w:szCs w:val="18"/>
          <w:i w:val="1"/>
          <w:iCs w:val="1"/>
          <w:color w:val="auto"/>
        </w:rPr>
        <w:t>Part II, Item 7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Critical Accounting Estimates </w:t>
      </w:r>
      <w:r>
        <w:rPr>
          <w:rFonts w:ascii="Arial" w:cs="Arial" w:eastAsia="Arial" w:hAnsi="Arial"/>
          <w:sz w:val="18"/>
          <w:szCs w:val="18"/>
          <w:color w:val="auto"/>
        </w:rPr>
        <w:t>of our 2021 Annual Report. See</w:t>
      </w:r>
      <w:r>
        <w:rPr>
          <w:rFonts w:ascii="Arial" w:cs="Arial" w:eastAsia="Arial" w:hAnsi="Arial"/>
          <w:sz w:val="18"/>
          <w:szCs w:val="18"/>
          <w:i w:val="1"/>
          <w:iCs w:val="1"/>
          <w:color w:val="auto"/>
        </w:rPr>
        <w:t xml:space="preserve"> Part I, Item 1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Statements, Note 2 Accounting and Disclosure Changes </w:t>
      </w:r>
      <w:r>
        <w:rPr>
          <w:rFonts w:ascii="Arial" w:cs="Arial" w:eastAsia="Arial" w:hAnsi="Arial"/>
          <w:sz w:val="18"/>
          <w:szCs w:val="18"/>
          <w:color w:val="auto"/>
        </w:rPr>
        <w:t>for a discussion of new accounting standards.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00" w:lineRule="exact"/>
        <w:rPr>
          <w:sz w:val="20"/>
          <w:szCs w:val="20"/>
          <w:color w:val="auto"/>
        </w:rPr>
      </w:pPr>
    </w:p>
    <w:p>
      <w:pPr>
        <w:spacing w:after="0" w:line="22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5" w:right="439" w:bottom="1440" w:gutter="0" w:footer="0" w:header="0"/>
        </w:sectPr>
      </w:pPr>
    </w:p>
    <w:p>
      <w:pPr>
        <w:spacing w:after="0" w:line="232" w:lineRule="exact"/>
        <w:rPr>
          <w:sz w:val="20"/>
          <w:szCs w:val="20"/>
          <w:color w:val="auto"/>
        </w:rPr>
      </w:pPr>
    </w:p>
    <w:p>
      <w:pPr>
        <w:jc w:val="both"/>
        <w:ind w:left="660" w:right="66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commodity prices and the potential for sustained low oil, natural gas and natural gas liquids prices;</w:t>
      </w:r>
    </w:p>
    <w:p>
      <w:pPr>
        <w:spacing w:after="0" w:line="1" w:lineRule="exact"/>
        <w:rPr>
          <w:rFonts w:ascii="Arial" w:cs="Arial" w:eastAsia="Arial" w:hAnsi="Arial"/>
          <w:sz w:val="18"/>
          <w:szCs w:val="18"/>
          <w:color w:val="auto"/>
        </w:rPr>
      </w:pPr>
    </w:p>
    <w:p>
      <w:pPr>
        <w:ind w:left="660" w:right="36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our products;</w:t>
      </w:r>
    </w:p>
    <w:p>
      <w:pPr>
        <w:spacing w:after="0" w:line="3" w:lineRule="exact"/>
        <w:rPr>
          <w:rFonts w:ascii="Arial" w:cs="Arial" w:eastAsia="Arial" w:hAnsi="Arial"/>
          <w:sz w:val="18"/>
          <w:szCs w:val="18"/>
          <w:color w:val="auto"/>
        </w:rPr>
      </w:pPr>
    </w:p>
    <w:p>
      <w:pPr>
        <w:ind w:left="660" w:right="28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 necessary for drilling or development projects;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business strategy and our capital plan;</w:t>
      </w:r>
    </w:p>
    <w:p>
      <w:pPr>
        <w:spacing w:after="0" w:line="9"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or acquisitions, or higher-than-expected decline rates;</w:t>
      </w:r>
    </w:p>
    <w:p>
      <w:pPr>
        <w:spacing w:after="0" w:line="1" w:lineRule="exact"/>
        <w:rPr>
          <w:rFonts w:ascii="Arial" w:cs="Arial" w:eastAsia="Arial" w:hAnsi="Arial"/>
          <w:sz w:val="18"/>
          <w:szCs w:val="18"/>
          <w:color w:val="auto"/>
        </w:rPr>
      </w:pPr>
    </w:p>
    <w:p>
      <w:pPr>
        <w:ind w:left="660" w:right="50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660" w:right="40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660" w:right="28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the benefits of business strategies and initiatives related to energy transition, including carbon capture and storage projects and other renewable energy efforts;</w:t>
      </w:r>
    </w:p>
    <w:p>
      <w:pPr>
        <w:spacing w:after="0" w:line="1" w:lineRule="exact"/>
        <w:rPr>
          <w:rFonts w:ascii="Arial" w:cs="Arial" w:eastAsia="Arial" w:hAnsi="Arial"/>
          <w:sz w:val="18"/>
          <w:szCs w:val="18"/>
          <w:color w:val="auto"/>
        </w:rPr>
      </w:pPr>
    </w:p>
    <w:p>
      <w:pPr>
        <w:ind w:left="660" w:right="46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finance and implement our carbon capture and storage projects;</w:t>
      </w:r>
    </w:p>
    <w:p>
      <w:pPr>
        <w:ind w:left="660" w:right="62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geopolitical, socio-demographic and economic trends and technological innovations;</w:t>
      </w:r>
    </w:p>
    <w:p>
      <w:pPr>
        <w:ind w:left="660" w:right="429"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dividend policy and our ability to declare future dividends;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331" w:right="22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ind w:left="331" w:right="2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ind w:left="331" w:right="4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interest payments on our debt, stock repurchases or changes to our capital plan;</w:t>
      </w:r>
    </w:p>
    <w:p>
      <w:pPr>
        <w:spacing w:after="0" w:line="1" w:lineRule="exact"/>
        <w:rPr>
          <w:rFonts w:ascii="Arial" w:cs="Arial" w:eastAsia="Arial" w:hAnsi="Arial"/>
          <w:sz w:val="18"/>
          <w:szCs w:val="18"/>
          <w:color w:val="auto"/>
        </w:rPr>
      </w:pPr>
    </w:p>
    <w:p>
      <w:pPr>
        <w:ind w:left="331" w:right="460" w:hanging="331"/>
        <w:spacing w:after="0" w:line="265" w:lineRule="auto"/>
        <w:tabs>
          <w:tab w:leader="none" w:pos="32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insufficient capital or liquidity unavailability of capital markets or inability to attract potential investors;</w:t>
      </w:r>
    </w:p>
    <w:p>
      <w:pPr>
        <w:ind w:left="331" w:right="18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ind w:left="331" w:right="380" w:hanging="331"/>
        <w:spacing w:after="0" w:line="265" w:lineRule="auto"/>
        <w:tabs>
          <w:tab w:leader="none" w:pos="32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ind w:left="331" w:right="1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331" w:right="20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ind w:left="331" w:right="42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gather and verify data regarding emissions, our environmental impacts and other initiatives;</w:t>
      </w:r>
    </w:p>
    <w:p>
      <w:pPr>
        <w:spacing w:after="0" w:line="1" w:lineRule="exact"/>
        <w:rPr>
          <w:rFonts w:ascii="Arial" w:cs="Arial" w:eastAsia="Arial" w:hAnsi="Arial"/>
          <w:sz w:val="18"/>
          <w:szCs w:val="18"/>
          <w:color w:val="auto"/>
        </w:rPr>
      </w:pPr>
    </w:p>
    <w:p>
      <w:pPr>
        <w:ind w:left="331" w:right="2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compliance of various third parties with our policies and procedures and legal requirements as well as contracts we enter into in connection with our climate-related initiatives;</w:t>
      </w:r>
    </w:p>
    <w:p>
      <w:pPr>
        <w:spacing w:after="0" w:line="1" w:lineRule="exact"/>
        <w:rPr>
          <w:rFonts w:ascii="Arial" w:cs="Arial" w:eastAsia="Arial" w:hAnsi="Arial"/>
          <w:sz w:val="18"/>
          <w:szCs w:val="18"/>
          <w:color w:val="auto"/>
        </w:rPr>
      </w:pPr>
    </w:p>
    <w:p>
      <w:pPr>
        <w:ind w:left="331" w:right="4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ind w:left="331" w:right="1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intensity of competition in the oil and gas industry;</w:t>
      </w:r>
    </w:p>
    <w:p>
      <w:pPr>
        <w:ind w:left="311" w:hanging="311"/>
        <w:spacing w:after="0"/>
        <w:tabs>
          <w:tab w:leader="none" w:pos="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31" w:right="110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ind w:left="311" w:hanging="311"/>
        <w:spacing w:after="0"/>
        <w:tabs>
          <w:tab w:leader="none" w:pos="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climate-related conditions and weather events;</w:t>
      </w:r>
    </w:p>
    <w:p>
      <w:pPr>
        <w:spacing w:after="0" w:line="227" w:lineRule="exact"/>
        <w:rPr>
          <w:sz w:val="20"/>
          <w:szCs w:val="20"/>
          <w:color w:val="auto"/>
        </w:rPr>
      </w:pPr>
    </w:p>
    <w:p>
      <w:pPr>
        <w:sectPr>
          <w:pgSz w:w="11900" w:h="16838" w:orient="portrait"/>
          <w:cols w:equalWidth="0" w:num="2">
            <w:col w:w="5509" w:space="720"/>
            <w:col w:w="4911"/>
          </w:cols>
          <w:pgMar w:left="320" w:top="1035" w:right="439" w:bottom="1440" w:gutter="0" w:footer="0" w:header="0"/>
          <w:type w:val="continuous"/>
        </w:sect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type w:val="continuous"/>
        </w:sectPr>
      </w:pPr>
    </w:p>
    <w:bookmarkStart w:id="36" w:name="page37"/>
    <w:bookmarkEnd w:id="36"/>
    <w:p>
      <w:pPr>
        <w:ind w:left="660" w:right="60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1" w:lineRule="exact"/>
        <w:rPr>
          <w:rFonts w:ascii="Arial" w:cs="Arial" w:eastAsia="Arial" w:hAnsi="Arial"/>
          <w:sz w:val="18"/>
          <w:szCs w:val="18"/>
          <w:color w:val="auto"/>
        </w:rPr>
      </w:pPr>
    </w:p>
    <w:p>
      <w:pPr>
        <w:ind w:left="660" w:right="60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p>
    <w:p>
      <w:pPr>
        <w:spacing w:after="0" w:line="200" w:lineRule="exact"/>
        <w:rPr>
          <w:sz w:val="20"/>
          <w:szCs w:val="20"/>
          <w:color w:val="auto"/>
        </w:rPr>
      </w:pPr>
    </w:p>
    <w:p>
      <w:pPr>
        <w:spacing w:after="0" w:line="29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 xml:space="preserve">For the three months ended March 31, 2022,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2021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7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Our financial results are sensitive to fluctuations in oil, NGL and natural gas prices. These commodity price changes also impact the volume changes under PSCs. We maintain a commodity hedging program primarily focused on crude oil to help protect our cash flows, margins and capital program from the volatility of crude oil prices. The primary market risk relating to our derivative contracts relates to fluctuations in market prices as compared to the fixed contract price for a notional amount of our production. As of March 31, 2022, we had net liabilities of $716 million for our derivative commodity positions which are carried at fair value, using industry-standard models with various inputs, including the forward curve for the relevant price index. For more information on our derivative positions as of March 31, 2022, refer to </w:t>
      </w:r>
      <w:r>
        <w:rPr>
          <w:rFonts w:ascii="Arial" w:cs="Arial" w:eastAsia="Arial" w:hAnsi="Arial"/>
          <w:sz w:val="18"/>
          <w:szCs w:val="18"/>
          <w:i w:val="1"/>
          <w:iCs w:val="1"/>
          <w:color w:val="auto"/>
        </w:rPr>
        <w:t>Part I, Item 1 – Financial Statements, Note 9 Derivatives.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w:t>
      </w:r>
    </w:p>
    <w:p>
      <w:pPr>
        <w:spacing w:after="0" w:line="23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of March 31, 2022, the majority of the credit exposures was with investment-grade counterparties. We believe exposure to counterparty credit-related losses related to our business at March 31, 2022 was not material and losses associated with counterparty credit risk have been insignificant for all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7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Changes in interest rate may affect the amount of interest we pay on our long-term debt. We had no variable-rate debt outstanding as of March 31, 2022. Our Senior Notes bear interest at a fixed rate of 7.125% per annum.</w:t>
      </w: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74"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Our Chief Executive Officer and our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March 31, 2022.</w:t>
      </w:r>
    </w:p>
    <w:p>
      <w:pPr>
        <w:spacing w:after="0" w:line="16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March 31, 2022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8" w:name="page39"/>
    <w:bookmarkEnd w:id="38"/>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8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2021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2021 Annual Report. There were no material changes to those risk factors during the three months ended March 31, 2022.</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4"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In 2021, our Board of Directors authorized a Share Repurchase Program. On May 4, 2022, our Board of Directors increased our Share Repurchase Program by $300 million to an aggregate $ 650 million and extended the term of the program until June 30, 2023.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 repurchase activity for the three months ended March 31, 2022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8"/>
                <w:szCs w:val="1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5"/>
                <w:szCs w:val="15"/>
                <w:color w:val="auto"/>
              </w:rPr>
            </w:pPr>
          </w:p>
        </w:tc>
        <w:tc>
          <w:tcPr>
            <w:tcW w:w="2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per 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19"/>
                <w:szCs w:val="19"/>
                <w:color w:val="auto"/>
              </w:rPr>
            </w:pPr>
          </w:p>
        </w:tc>
        <w:tc>
          <w:tcPr>
            <w:tcW w:w="220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February 1, 2022 - February 28, 2022</w:t>
            </w:r>
          </w:p>
        </w:tc>
        <w:tc>
          <w:tcPr>
            <w:tcW w:w="1240" w:type="dxa"/>
            <w:vAlign w:val="bottom"/>
          </w:tcPr>
          <w:p>
            <w:pPr>
              <w:jc w:val="right"/>
              <w:spacing w:after="0"/>
              <w:rPr>
                <w:sz w:val="20"/>
                <w:szCs w:val="20"/>
                <w:color w:val="auto"/>
              </w:rPr>
            </w:pPr>
            <w:r>
              <w:rPr>
                <w:rFonts w:ascii="Arial" w:cs="Arial" w:eastAsia="Arial" w:hAnsi="Arial"/>
                <w:sz w:val="18"/>
                <w:szCs w:val="18"/>
                <w:color w:val="auto"/>
              </w:rPr>
              <w:t>578,218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578,218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1,668,456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1,668,456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40" w:hanging="332"/>
        <w:spacing w:after="0" w:line="249"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dollar value of shares that may yet be purchased under the Share Repurchase Program totaled $131 million as of March 31, 2022. After giving effect to the increase of the Share Repurchase Program discussed above, the dollar value of shares that may yet be purchased under the Share Repurchase Program totaled $431 million as of March 31, 2022.</w:t>
      </w:r>
    </w:p>
    <w:p>
      <w:pPr>
        <w:spacing w:after="0" w:line="2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56" w:lineRule="exact"/>
        <w:rPr>
          <w:sz w:val="20"/>
          <w:szCs w:val="20"/>
          <w:color w:val="auto"/>
        </w:rPr>
      </w:pPr>
    </w:p>
    <w:p>
      <w:pPr>
        <w:ind w:right="420" w:firstLine="324"/>
        <w:spacing w:after="0" w:line="282" w:lineRule="auto"/>
        <w:rPr>
          <w:sz w:val="20"/>
          <w:szCs w:val="20"/>
          <w:color w:val="auto"/>
        </w:rPr>
      </w:pPr>
      <w:r>
        <w:rPr>
          <w:rFonts w:ascii="Arial" w:cs="Arial" w:eastAsia="Arial" w:hAnsi="Arial"/>
          <w:sz w:val="18"/>
          <w:szCs w:val="18"/>
          <w:color w:val="auto"/>
        </w:rPr>
        <w:t xml:space="preserve">In April 2022, we amended our Revolving Credit Facility. For a discuss of the amendment,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15 Subsequent Events, </w:t>
      </w:r>
      <w:r>
        <w:rPr>
          <w:rFonts w:ascii="Arial" w:cs="Arial" w:eastAsia="Arial" w:hAnsi="Arial"/>
          <w:sz w:val="18"/>
          <w:szCs w:val="18"/>
          <w:color w:val="auto"/>
        </w:rPr>
        <w:t>and the full text of the amendment is attached as an exhibit hereto.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16"/>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rPr>
            </w:pPr>
            <w:hyperlink r:id="rId51">
              <w:r>
                <w:rPr>
                  <w:rFonts w:ascii="Arial" w:cs="Arial" w:eastAsia="Arial" w:hAnsi="Arial"/>
                  <w:sz w:val="18"/>
                  <w:szCs w:val="18"/>
                  <w:color w:val="0000FF"/>
                </w:rPr>
                <w:t>Amended and Restated Certificate of Incorporation of California Resources Corporation (filed as Exhibit 3.1 to Registrant’s</w:t>
              </w:r>
            </w:hyperlink>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Registration Statement on Form 8-A filed October 27, 2020 and incorporated herein by reference).</w:t>
              </w:r>
            </w:hyperlink>
          </w:p>
        </w:tc>
        <w:tc>
          <w:tcPr>
            <w:tcW w:w="1900" w:type="dxa"/>
            <w:vAlign w:val="bottom"/>
            <w:tcBorders>
              <w:top w:val="single" w:sz="8" w:color="0000FF"/>
            </w:tcBorders>
            <w:gridSpan w:val="6"/>
          </w:tcPr>
          <w:p>
            <w:pPr>
              <w:spacing w:after="0"/>
              <w:rPr>
                <w:sz w:val="15"/>
                <w:szCs w:val="15"/>
                <w:color w:val="auto"/>
              </w:rPr>
            </w:pPr>
          </w:p>
        </w:tc>
        <w:tc>
          <w:tcPr>
            <w:tcW w:w="200" w:type="dxa"/>
            <w:vAlign w:val="bottom"/>
            <w:gridSpan w:val="2"/>
          </w:tcPr>
          <w:p>
            <w:pPr>
              <w:spacing w:after="0"/>
              <w:rPr>
                <w:sz w:val="15"/>
                <w:szCs w:val="15"/>
                <w:color w:val="auto"/>
              </w:rPr>
            </w:pPr>
          </w:p>
        </w:tc>
      </w:tr>
      <w:tr>
        <w:trPr>
          <w:trHeight w:val="290"/>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30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 xml:space="preserve">Certificate of Amendment of Amended and Restated Certificate of Incorporation of California Resources </w:t>
              </w:r>
            </w:hyperlink>
            <w:r>
              <w:rPr>
                <w:rFonts w:ascii="Arial" w:cs="Arial" w:eastAsia="Arial" w:hAnsi="Arial"/>
                <w:sz w:val="18"/>
                <w:szCs w:val="18"/>
                <w:color w:val="0000FF"/>
                <w:w w:val="99"/>
              </w:rPr>
              <w:t>Corporation.</w:t>
            </w:r>
          </w:p>
        </w:tc>
        <w:tc>
          <w:tcPr>
            <w:tcW w:w="620" w:type="dxa"/>
            <w:vAlign w:val="bottom"/>
            <w:gridSpan w:val="6"/>
          </w:tcPr>
          <w:p>
            <w:pPr>
              <w:spacing w:after="0"/>
              <w:rPr>
                <w:sz w:val="24"/>
                <w:szCs w:val="24"/>
                <w:color w:val="auto"/>
              </w:rPr>
            </w:pPr>
          </w:p>
        </w:tc>
      </w:tr>
      <w:tr>
        <w:trPr>
          <w:trHeight w:val="291"/>
        </w:trPr>
        <w:tc>
          <w:tcPr>
            <w:tcW w:w="900" w:type="dxa"/>
            <w:vAlign w:val="bottom"/>
          </w:tcPr>
          <w:p>
            <w:pPr>
              <w:ind w:lef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9500" w:type="dxa"/>
            <w:vAlign w:val="bottom"/>
            <w:tcBorders>
              <w:bottom w:val="single" w:sz="8" w:color="0000FF"/>
            </w:tcBorders>
            <w:gridSpan w:val="11"/>
          </w:tcPr>
          <w:p>
            <w:pP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Amended and Restated Bylaws of California Resources Corporation (filed as Exhibit 3.2 to the Registrant’s Registration</w:t>
              </w:r>
            </w:hyperlink>
          </w:p>
        </w:tc>
        <w:tc>
          <w:tcPr>
            <w:tcW w:w="420" w:type="dxa"/>
            <w:vAlign w:val="bottom"/>
            <w:gridSpan w:val="4"/>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920" w:type="dxa"/>
            <w:vAlign w:val="bottom"/>
            <w:gridSpan w:val="15"/>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Statement on Form 8-A filed October 27, 2020 and incorporated herein by reference).</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00" w:type="dxa"/>
            <w:vAlign w:val="bottom"/>
          </w:tcPr>
          <w:p>
            <w:pPr>
              <w:ind w:lef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w w:val="99"/>
              </w:rPr>
            </w:pPr>
            <w:hyperlink r:id="rId53">
              <w:r>
                <w:rPr>
                  <w:rFonts w:ascii="Arial" w:cs="Arial" w:eastAsia="Arial" w:hAnsi="Arial"/>
                  <w:sz w:val="18"/>
                  <w:szCs w:val="18"/>
                  <w:color w:val="0000FF"/>
                  <w:w w:val="99"/>
                </w:rPr>
                <w:t>Second Amendment to Credit Agreement, dated February 11, 2022, by and among California Resources Corporation, as the</w:t>
              </w:r>
            </w:hyperlink>
          </w:p>
        </w:tc>
      </w:tr>
      <w:tr>
        <w:trPr>
          <w:trHeight w:val="169"/>
        </w:trPr>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Borrower, the credit parties party thereto, the several lenders from time to time parties thereto and Citibank, N.A. as</w:t>
              </w:r>
            </w:hyperlink>
          </w:p>
        </w:tc>
        <w:tc>
          <w:tcPr>
            <w:tcW w:w="7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15"/>
          </w:tcPr>
          <w:p>
            <w:pPr>
              <w:spacing w:after="0" w:line="169" w:lineRule="exact"/>
              <w:rPr>
                <w:rFonts w:ascii="Arial" w:cs="Arial" w:eastAsia="Arial" w:hAnsi="Arial"/>
                <w:sz w:val="18"/>
                <w:szCs w:val="18"/>
                <w:color w:val="0000FF"/>
              </w:rPr>
            </w:pPr>
            <w:hyperlink r:id="rId53">
              <w:r>
                <w:rPr>
                  <w:rFonts w:ascii="Arial" w:cs="Arial" w:eastAsia="Arial" w:hAnsi="Arial"/>
                  <w:sz w:val="18"/>
                  <w:szCs w:val="18"/>
                  <w:color w:val="0000FF"/>
                </w:rPr>
                <w:t>administrative agent (filed as Exhibit 10.1 to the Registrant’s Current Report on Form 8-K filed February 16, 2022 and</w:t>
              </w:r>
            </w:hyperlink>
          </w:p>
        </w:tc>
      </w:tr>
      <w:tr>
        <w:trPr>
          <w:trHeight w:val="169"/>
        </w:trPr>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incorporated herein by reference).</w:t>
              </w:r>
            </w:hyperlink>
          </w:p>
        </w:tc>
        <w:tc>
          <w:tcPr>
            <w:tcW w:w="6600" w:type="dxa"/>
            <w:vAlign w:val="bottom"/>
            <w:tcBorders>
              <w:top w:val="single" w:sz="8" w:color="0000FF"/>
            </w:tcBorders>
            <w:gridSpan w:val="8"/>
          </w:tcPr>
          <w:p>
            <w:pPr>
              <w:spacing w:after="0"/>
              <w:rPr>
                <w:sz w:val="14"/>
                <w:szCs w:val="14"/>
                <w:color w:val="auto"/>
              </w:rPr>
            </w:pPr>
          </w:p>
        </w:tc>
        <w:tc>
          <w:tcPr>
            <w:tcW w:w="320" w:type="dxa"/>
            <w:vAlign w:val="bottom"/>
            <w:gridSpan w:val="2"/>
          </w:tcPr>
          <w:p>
            <w:pPr>
              <w:spacing w:after="0"/>
              <w:rPr>
                <w:sz w:val="14"/>
                <w:szCs w:val="14"/>
                <w:color w:val="auto"/>
              </w:rPr>
            </w:pPr>
          </w:p>
        </w:tc>
        <w:tc>
          <w:tcPr>
            <w:tcW w:w="280" w:type="dxa"/>
            <w:vAlign w:val="bottom"/>
            <w:gridSpan w:val="3"/>
          </w:tcPr>
          <w:p>
            <w:pPr>
              <w:spacing w:after="0"/>
              <w:rPr>
                <w:sz w:val="14"/>
                <w:szCs w:val="14"/>
                <w:color w:val="auto"/>
              </w:rPr>
            </w:pPr>
          </w:p>
        </w:tc>
      </w:tr>
      <w:tr>
        <w:trPr>
          <w:trHeight w:val="277"/>
        </w:trPr>
        <w:tc>
          <w:tcPr>
            <w:tcW w:w="90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Third Amendment to the Credit Agreement, dated April 29, 2022, by and among California Resources Corporation, as the</w:t>
              </w:r>
            </w:hyperlink>
          </w:p>
        </w:tc>
      </w:tr>
      <w:tr>
        <w:trPr>
          <w:trHeight w:val="169"/>
        </w:trPr>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45">
              <w:r>
                <w:rPr>
                  <w:rFonts w:ascii="Arial" w:cs="Arial" w:eastAsia="Arial" w:hAnsi="Arial"/>
                  <w:sz w:val="18"/>
                  <w:szCs w:val="18"/>
                  <w:color w:val="0000FF"/>
                </w:rPr>
                <w:t>Borrower, the credit parties party thereto, the several lenders from time to time parties thereto and Citibank, N.A. as</w:t>
              </w:r>
            </w:hyperlink>
          </w:p>
        </w:tc>
        <w:tc>
          <w:tcPr>
            <w:tcW w:w="280" w:type="dxa"/>
            <w:vAlign w:val="bottom"/>
            <w:gridSpan w:val="3"/>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w:anchor="page45">
              <w:r>
                <w:rPr>
                  <w:rFonts w:ascii="Arial" w:cs="Arial" w:eastAsia="Arial" w:hAnsi="Arial"/>
                  <w:sz w:val="18"/>
                  <w:szCs w:val="18"/>
                  <w:color w:val="0000FF"/>
                  <w:w w:val="98"/>
                </w:rPr>
                <w:t>administrative agent.</w:t>
              </w:r>
            </w:hyperlink>
          </w:p>
        </w:tc>
        <w:tc>
          <w:tcPr>
            <w:tcW w:w="7500" w:type="dxa"/>
            <w:vAlign w:val="bottom"/>
            <w:tcBorders>
              <w:top w:val="single" w:sz="8" w:color="0000FF"/>
            </w:tcBorders>
            <w:gridSpan w:val="7"/>
          </w:tcPr>
          <w:p>
            <w:pPr>
              <w:spacing w:after="0"/>
              <w:rPr>
                <w:sz w:val="14"/>
                <w:szCs w:val="14"/>
                <w:color w:val="auto"/>
              </w:rPr>
            </w:pPr>
          </w:p>
        </w:tc>
        <w:tc>
          <w:tcPr>
            <w:tcW w:w="760" w:type="dxa"/>
            <w:vAlign w:val="bottom"/>
            <w:gridSpan w:val="7"/>
          </w:tcPr>
          <w:p>
            <w:pPr>
              <w:spacing w:after="0"/>
              <w:rPr>
                <w:sz w:val="14"/>
                <w:szCs w:val="14"/>
                <w:color w:val="auto"/>
              </w:rPr>
            </w:pPr>
          </w:p>
        </w:tc>
      </w:tr>
      <w:tr>
        <w:trPr>
          <w:trHeight w:val="277"/>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42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Certification of CEO Pursuant to Section 302 of the Sarbanes-Oxley Act of 2002.</w:t>
              </w:r>
            </w:hyperlink>
          </w:p>
        </w:tc>
        <w:tc>
          <w:tcPr>
            <w:tcW w:w="3500" w:type="dxa"/>
            <w:vAlign w:val="bottom"/>
            <w:gridSpan w:val="11"/>
          </w:tcPr>
          <w:p>
            <w:pPr>
              <w:spacing w:after="0"/>
              <w:rPr>
                <w:sz w:val="24"/>
                <w:szCs w:val="24"/>
                <w:color w:val="auto"/>
              </w:rPr>
            </w:pPr>
          </w:p>
        </w:tc>
      </w:tr>
      <w:tr>
        <w:trPr>
          <w:trHeight w:val="263"/>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2"/>
                <w:szCs w:val="22"/>
                <w:color w:val="auto"/>
              </w:rPr>
            </w:pPr>
          </w:p>
        </w:tc>
        <w:tc>
          <w:tcPr>
            <w:tcW w:w="9920" w:type="dxa"/>
            <w:vAlign w:val="bottom"/>
            <w:gridSpan w:val="15"/>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of CFO Pursuant to Section 302 of the Sarbanes-Oxley Act of 2002.</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2"/>
                <w:szCs w:val="22"/>
                <w:color w:val="auto"/>
              </w:rPr>
            </w:pPr>
          </w:p>
        </w:tc>
        <w:tc>
          <w:tcPr>
            <w:tcW w:w="9920" w:type="dxa"/>
            <w:vAlign w:val="bottom"/>
            <w:gridSpan w:val="15"/>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Certifications of CEO and CFO Pursuant to Section 906 of the Sarbanes-Oxley Act of 2002.</w:t>
              </w:r>
            </w:hyperlink>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72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2640" w:type="dxa"/>
            <w:vAlign w:val="bottom"/>
            <w:gridSpan w:val="9"/>
          </w:tcPr>
          <w:p>
            <w:pPr>
              <w:spacing w:after="0"/>
              <w:rPr>
                <w:sz w:val="24"/>
                <w:szCs w:val="24"/>
                <w:color w:val="auto"/>
              </w:rPr>
            </w:pP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900" w:type="dxa"/>
            <w:vAlign w:val="bottom"/>
          </w:tcPr>
          <w:p>
            <w:pPr>
              <w:ind w:left="2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7" w:lineRule="exact"/>
        <w:rPr>
          <w:sz w:val="20"/>
          <w:szCs w:val="20"/>
          <w:color w:val="auto"/>
        </w:rPr>
      </w:pPr>
    </w:p>
    <w:p>
      <w:pPr>
        <w:ind w:left="1120" w:hanging="1094"/>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6" w:right="5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320" w:type="dxa"/>
            <w:vAlign w:val="bottom"/>
            <w:gridSpan w:val="2"/>
          </w:tcPr>
          <w:p>
            <w:pPr>
              <w:ind w:left="1060"/>
              <w:spacing w:after="0"/>
              <w:rPr>
                <w:sz w:val="20"/>
                <w:szCs w:val="20"/>
                <w:color w:val="auto"/>
              </w:rPr>
            </w:pPr>
            <w:r>
              <w:rPr>
                <w:rFonts w:ascii="Arial" w:cs="Arial" w:eastAsia="Arial" w:hAnsi="Arial"/>
                <w:sz w:val="18"/>
                <w:szCs w:val="18"/>
                <w:color w:val="auto"/>
              </w:rPr>
              <w:t>CALIFORNIA RESOURCES CORPORATION</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300" w:type="dxa"/>
            <w:vAlign w:val="bottom"/>
          </w:tcPr>
          <w:p>
            <w:pPr>
              <w:ind w:left="240"/>
              <w:spacing w:after="0"/>
              <w:rPr>
                <w:sz w:val="20"/>
                <w:szCs w:val="20"/>
                <w:color w:val="auto"/>
              </w:rPr>
            </w:pPr>
            <w:r>
              <w:rPr>
                <w:rFonts w:ascii="Arial" w:cs="Arial" w:eastAsia="Arial" w:hAnsi="Arial"/>
                <w:sz w:val="18"/>
                <w:szCs w:val="18"/>
                <w:color w:val="auto"/>
              </w:rPr>
              <w:t>May 5, 2022</w:t>
            </w:r>
          </w:p>
        </w:tc>
        <w:tc>
          <w:tcPr>
            <w:tcW w:w="106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23"/>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r>
        <w:trPr>
          <w:trHeight w:val="229"/>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Controller</w:t>
            </w:r>
          </w:p>
        </w:tc>
      </w:tr>
      <w:tr>
        <w:trPr>
          <w:trHeight w:val="230"/>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886"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spacing w:after="0" w:line="196"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California Resources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a corporation organized and existing under of the General Corporation Law of the State of Delaware (the “</w:t>
      </w:r>
      <w:r>
        <w:rPr>
          <w:rFonts w:ascii="Arial" w:cs="Arial" w:eastAsia="Arial" w:hAnsi="Arial"/>
          <w:sz w:val="22"/>
          <w:szCs w:val="22"/>
          <w:b w:val="1"/>
          <w:bCs w:val="1"/>
          <w:color w:val="auto"/>
        </w:rPr>
        <w:t>DGCL</w:t>
      </w:r>
      <w:r>
        <w:rPr>
          <w:rFonts w:ascii="Arial" w:cs="Arial" w:eastAsia="Arial" w:hAnsi="Arial"/>
          <w:sz w:val="22"/>
          <w:szCs w:val="22"/>
          <w:color w:val="auto"/>
        </w:rPr>
        <w:t>”), hereby certifies as follows:</w:t>
      </w:r>
    </w:p>
    <w:p>
      <w:pPr>
        <w:spacing w:after="0" w:line="162" w:lineRule="exact"/>
        <w:rPr>
          <w:sz w:val="20"/>
          <w:szCs w:val="20"/>
          <w:color w:val="auto"/>
        </w:rPr>
      </w:pPr>
    </w:p>
    <w:p>
      <w:pPr>
        <w:jc w:val="both"/>
        <w:ind w:firstLine="656"/>
        <w:spacing w:after="0" w:line="252" w:lineRule="auto"/>
        <w:tabs>
          <w:tab w:leader="none" w:pos="12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At a meeting of the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of the Corporation, resolutions were duly adopted setting forth proposed amendments (the “</w:t>
      </w:r>
      <w:r>
        <w:rPr>
          <w:rFonts w:ascii="Arial" w:cs="Arial" w:eastAsia="Arial" w:hAnsi="Arial"/>
          <w:sz w:val="22"/>
          <w:szCs w:val="22"/>
          <w:b w:val="1"/>
          <w:bCs w:val="1"/>
          <w:color w:val="auto"/>
        </w:rPr>
        <w:t>Amendments</w:t>
      </w:r>
      <w:r>
        <w:rPr>
          <w:rFonts w:ascii="Arial" w:cs="Arial" w:eastAsia="Arial" w:hAnsi="Arial"/>
          <w:sz w:val="22"/>
          <w:szCs w:val="22"/>
          <w:color w:val="auto"/>
        </w:rPr>
        <w:t>”) of the Amended and Restated Certificate of Incorporation of the Corporation, declaring the Amendments to be advisable and submitting the Amendments at a meeting of the stockholders of the Corporation for consideration thereof.</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Pursuant to resolutions of the Board, an annual meeting of stockholders of the Corporation was duly called and held on May 4, 2022, upon notice in accordance with Section 222 of the DGCL and at which meeting the necessary number of shares as required by statute and the Amended and Restated Certificate of Incorporation of the Corporation were voted in favor of approval of the Amendments.</w:t>
      </w:r>
    </w:p>
    <w:p>
      <w:pPr>
        <w:spacing w:after="0" w:line="187" w:lineRule="exact"/>
        <w:rPr>
          <w:rFonts w:ascii="Arial" w:cs="Arial" w:eastAsia="Arial" w:hAnsi="Arial"/>
          <w:sz w:val="22"/>
          <w:szCs w:val="22"/>
          <w:color w:val="auto"/>
        </w:rPr>
      </w:pPr>
    </w:p>
    <w:p>
      <w:pPr>
        <w:ind w:firstLine="656"/>
        <w:spacing w:after="0" w:line="263" w:lineRule="auto"/>
        <w:tabs>
          <w:tab w:leader="none" w:pos="12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Section 3 of Article Fifth of the Amended and Restated Certificate of Incorporation of the Corporation is hereby amended and restated in full as follows:</w:t>
      </w:r>
    </w:p>
    <w:p>
      <w:pPr>
        <w:spacing w:after="0" w:line="175" w:lineRule="exact"/>
        <w:rPr>
          <w:sz w:val="20"/>
          <w:szCs w:val="20"/>
          <w:color w:val="auto"/>
        </w:rPr>
      </w:pPr>
    </w:p>
    <w:p>
      <w:pPr>
        <w:jc w:val="both"/>
        <w:ind w:left="1300" w:right="1300" w:firstLine="652"/>
        <w:spacing w:after="0" w:line="248" w:lineRule="auto"/>
        <w:tabs>
          <w:tab w:leader="none" w:pos="2326" w:val="left"/>
        </w:tabs>
        <w:numPr>
          <w:ilvl w:val="1"/>
          <w:numId w:val="14"/>
        </w:numPr>
        <w:rPr>
          <w:rFonts w:ascii="Arial" w:cs="Arial" w:eastAsia="Arial" w:hAnsi="Arial"/>
          <w:sz w:val="22"/>
          <w:szCs w:val="22"/>
          <w:color w:val="auto"/>
        </w:rPr>
      </w:pPr>
      <w:r>
        <w:rPr>
          <w:rFonts w:ascii="Arial" w:cs="Arial" w:eastAsia="Arial" w:hAnsi="Arial"/>
          <w:sz w:val="22"/>
          <w:szCs w:val="22"/>
          <w:color w:val="auto"/>
        </w:rPr>
        <w:t>Removal of Directors. Any director may be removed at any time, with or without cause, upon the affirmative vote of the holders of at least a majority in voting power of the outstanding shares of stock of the Corporation entitled to vote generally for the election of directors, acting at a meeting of the stockholders in accordance with the DGCL, this Amended and Restated Certificate of Incorporation and the Bylaws.</w:t>
      </w:r>
    </w:p>
    <w:p>
      <w:pPr>
        <w:spacing w:after="0" w:line="191"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15"/>
        </w:numPr>
        <w:rPr>
          <w:rFonts w:ascii="Arial" w:cs="Arial" w:eastAsia="Arial" w:hAnsi="Arial"/>
          <w:sz w:val="22"/>
          <w:szCs w:val="22"/>
          <w:color w:val="auto"/>
        </w:rPr>
      </w:pPr>
      <w:r>
        <w:rPr>
          <w:rFonts w:ascii="Arial" w:cs="Arial" w:eastAsia="Arial" w:hAnsi="Arial"/>
          <w:sz w:val="22"/>
          <w:szCs w:val="22"/>
          <w:color w:val="auto"/>
        </w:rPr>
        <w:t>Article Tenth of the Amended and Restated Certificate of Incorporation of the Corporation is hereby amended and restated in full as follows:</w:t>
      </w:r>
    </w:p>
    <w:p>
      <w:pPr>
        <w:spacing w:after="0" w:line="175" w:lineRule="exact"/>
        <w:rPr>
          <w:sz w:val="20"/>
          <w:szCs w:val="20"/>
          <w:color w:val="auto"/>
        </w:rPr>
      </w:pPr>
    </w:p>
    <w:p>
      <w:pPr>
        <w:jc w:val="both"/>
        <w:ind w:left="1300" w:right="1300" w:firstLine="648"/>
        <w:spacing w:after="0" w:line="292" w:lineRule="auto"/>
        <w:rPr>
          <w:sz w:val="20"/>
          <w:szCs w:val="20"/>
          <w:color w:val="auto"/>
        </w:rPr>
      </w:pPr>
      <w:r>
        <w:rPr>
          <w:rFonts w:ascii="Arial" w:cs="Arial" w:eastAsia="Arial" w:hAnsi="Arial"/>
          <w:sz w:val="19"/>
          <w:szCs w:val="19"/>
          <w:color w:val="auto"/>
        </w:rPr>
        <w:t>TENTH: Notwithstanding any other provision of this Amended and Restated Certificate of Incorporation or the Bylaws (and in addition to any other vote that may be required by law, this Amended and Restated Certificate of Incorporation or the Bylaws),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this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8" w:right="339" w:bottom="1440" w:gutter="0" w:footer="0" w:header="0"/>
        </w:sectPr>
      </w:pPr>
    </w:p>
    <w:bookmarkStart w:id="42" w:name="page43"/>
    <w:bookmarkEnd w:id="42"/>
    <w:p>
      <w:pPr>
        <w:ind w:left="644" w:right="199"/>
        <w:spacing w:after="0" w:line="263" w:lineRule="auto"/>
        <w:rPr>
          <w:sz w:val="20"/>
          <w:szCs w:val="20"/>
          <w:color w:val="auto"/>
        </w:rPr>
      </w:pPr>
      <w:r>
        <w:rPr>
          <w:rFonts w:ascii="Arial" w:cs="Arial" w:eastAsia="Arial" w:hAnsi="Arial"/>
          <w:sz w:val="22"/>
          <w:szCs w:val="22"/>
          <w:color w:val="auto"/>
        </w:rPr>
        <w:t>shall be required to amend, alter, restate or repeal any provision of this Amended and Restated Certificate of Incorporation.</w:t>
      </w:r>
    </w:p>
    <w:p>
      <w:pPr>
        <w:spacing w:after="0" w:line="175" w:lineRule="exact"/>
        <w:rPr>
          <w:sz w:val="20"/>
          <w:szCs w:val="20"/>
          <w:color w:val="auto"/>
        </w:rPr>
      </w:pPr>
    </w:p>
    <w:p>
      <w:pPr>
        <w:ind w:left="644" w:hanging="644"/>
        <w:spacing w:after="0"/>
        <w:tabs>
          <w:tab w:leader="none" w:pos="644"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Amendments were duly adopted in accordance with the provisions of Section 242 of the DGCL.</w:t>
      </w:r>
    </w:p>
    <w:p>
      <w:pPr>
        <w:spacing w:after="0" w:line="254" w:lineRule="exact"/>
        <w:rPr>
          <w:rFonts w:ascii="Arial" w:cs="Arial" w:eastAsia="Arial" w:hAnsi="Arial"/>
          <w:sz w:val="19"/>
          <w:szCs w:val="19"/>
          <w:color w:val="auto"/>
        </w:rPr>
      </w:pPr>
    </w:p>
    <w:p>
      <w:pPr>
        <w:ind w:left="3864"/>
        <w:spacing w:after="0"/>
        <w:rPr>
          <w:rFonts w:ascii="Arial" w:cs="Arial" w:eastAsia="Arial" w:hAnsi="Arial"/>
          <w:sz w:val="19"/>
          <w:szCs w:val="19"/>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6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483"/>
          </w:cols>
          <w:pgMar w:left="976" w:top="1428" w:right="1440" w:bottom="1440" w:gutter="0" w:footer="0" w:header="0"/>
        </w:sectPr>
      </w:pPr>
    </w:p>
    <w:bookmarkStart w:id="43" w:name="page44"/>
    <w:bookmarkEnd w:id="43"/>
    <w:p>
      <w:pPr>
        <w:ind w:firstLine="648"/>
        <w:spacing w:after="0" w:line="244"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Certificate of Amendment to be signed by an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of the Corporation this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May, 2022.</w:t>
      </w:r>
    </w:p>
    <w:p>
      <w:pPr>
        <w:spacing w:after="0" w:line="320"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California Resources Corporation</w:t>
      </w:r>
    </w:p>
    <w:p>
      <w:pPr>
        <w:spacing w:after="0" w:line="200" w:lineRule="exact"/>
        <w:rPr>
          <w:sz w:val="20"/>
          <w:szCs w:val="20"/>
          <w:color w:val="auto"/>
        </w:rPr>
      </w:pPr>
    </w:p>
    <w:p>
      <w:pPr>
        <w:spacing w:after="0" w:line="250" w:lineRule="exact"/>
        <w:rPr>
          <w:sz w:val="20"/>
          <w:szCs w:val="20"/>
          <w:color w:val="auto"/>
        </w:rPr>
      </w:pPr>
    </w:p>
    <w:p>
      <w:pPr>
        <w:ind w:left="3580"/>
        <w:spacing w:after="0"/>
        <w:tabs>
          <w:tab w:leader="none" w:pos="4140" w:val="left"/>
        </w:tabs>
        <w:rPr>
          <w:sz w:val="20"/>
          <w:szCs w:val="20"/>
          <w:color w:val="auto"/>
        </w:rPr>
      </w:pPr>
      <w:r>
        <w:rPr>
          <w:rFonts w:ascii="Arial" w:cs="Arial" w:eastAsia="Arial" w:hAnsi="Arial"/>
          <w:sz w:val="22"/>
          <w:szCs w:val="22"/>
          <w:color w:val="auto"/>
        </w:rPr>
        <w:t>By:</w:t>
        <w:tab/>
        <w:t>/s/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-5715</wp:posOffset>
            </wp:positionV>
            <wp:extent cx="1348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4060"/>
        <w:spacing w:after="0" w:line="237" w:lineRule="auto"/>
        <w:tabs>
          <w:tab w:leader="none" w:pos="4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L. Preston</w:t>
      </w:r>
    </w:p>
    <w:p>
      <w:pPr>
        <w:ind w:left="4060"/>
        <w:spacing w:after="0" w:line="237" w:lineRule="auto"/>
        <w:tabs>
          <w:tab w:leader="none" w:pos="4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Administrative Officer and General</w:t>
      </w:r>
    </w:p>
    <w:p>
      <w:pPr>
        <w:ind w:left="4060"/>
        <w:spacing w:after="0"/>
        <w:rPr>
          <w:sz w:val="20"/>
          <w:szCs w:val="20"/>
          <w:color w:val="auto"/>
        </w:rPr>
      </w:pPr>
      <w:r>
        <w:rPr>
          <w:rFonts w:ascii="Arial" w:cs="Arial" w:eastAsia="Arial" w:hAnsi="Arial"/>
          <w:sz w:val="22"/>
          <w:szCs w:val="22"/>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10.2</w:t>
      </w: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THIRD AMENDMENT TO CREDIT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THIS THIRD AMENDMENT TO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effective as of April 29, 2022 (the “</w:t>
      </w:r>
      <w:r>
        <w:rPr>
          <w:rFonts w:ascii="Arial" w:cs="Arial" w:eastAsia="Arial" w:hAnsi="Arial"/>
          <w:sz w:val="19"/>
          <w:szCs w:val="19"/>
          <w:u w:val="single" w:color="auto"/>
          <w:color w:val="auto"/>
        </w:rPr>
        <w:t>Third Amendment Effective Date</w:t>
      </w:r>
      <w:r>
        <w:rPr>
          <w:rFonts w:ascii="Arial" w:cs="Arial" w:eastAsia="Arial" w:hAnsi="Arial"/>
          <w:sz w:val="19"/>
          <w:szCs w:val="19"/>
          <w:color w:val="auto"/>
        </w:rPr>
        <w:t>”) among CALIFORNIA RESOURCES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each other Credit Party party hereto, the Lenders party hereto and CITIBANK, N.A., as Administrative Agent.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WHEREAS, the Borrower, the Administrative Agent and the Lenders party thereto from time to time are parties to that certain Credit Agreement, dated as of October 27, 2020, as amended by that certain Limited Waiver to Credit Agreement, dated as of January 13, 2021, that certain Consent, dated as of February 19, 2021, that certain First Amendment to Credit Agreement, dated as of May 7, 2021, and that certain Second Amendment to Credit Agreement, dated as of February 11, 2022 (as amended, restated, amended and restated, supplemented or otherwise modified from time to time prior to the date hereof, the “</w:t>
      </w:r>
      <w:r>
        <w:rPr>
          <w:rFonts w:ascii="Arial" w:cs="Arial" w:eastAsia="Arial" w:hAnsi="Arial"/>
          <w:sz w:val="22"/>
          <w:szCs w:val="22"/>
          <w:u w:val="single" w:color="auto"/>
          <w:color w:val="auto"/>
        </w:rPr>
        <w:t>Existing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Agreement</w:t>
      </w:r>
      <w:r>
        <w:rPr>
          <w:rFonts w:ascii="Arial" w:cs="Arial" w:eastAsia="Arial" w:hAnsi="Arial"/>
          <w:sz w:val="22"/>
          <w:szCs w:val="22"/>
          <w:color w:val="auto"/>
        </w:rPr>
        <w:t>” and as amended by this Amendment,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unless otherwise defined herein, all capitalized terms used herein that are defined in the Credit Agreement shall have the meanings given such terms in the Credit Agreement); and</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WHEREAS, the parties to this Amendment desire to enter into this Amendment to, among other things, (i) reaffirm the Borrowing Base as $1,200,000,000 and (ii) amend the Existing Credit Agreement, each as provided herein.</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Subject to the satisfaction or waiver in writing of each of the conditions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and in reliance upon the representations, warranties, covenants and agreements contained in this Amendment, the parties hereto hereby agree as follows: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Section 1.1 of the Credit Agreement is hereby amended by:</w:t>
      </w:r>
    </w:p>
    <w:p>
      <w:pPr>
        <w:spacing w:after="0" w:line="179" w:lineRule="exact"/>
        <w:rPr>
          <w:sz w:val="20"/>
          <w:szCs w:val="20"/>
          <w:color w:val="auto"/>
        </w:rPr>
      </w:pPr>
    </w:p>
    <w:p>
      <w:pPr>
        <w:ind w:left="1940" w:hanging="636"/>
        <w:spacing w:after="0"/>
        <w:tabs>
          <w:tab w:leader="none" w:pos="19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amending and restating the following definitions in their entirety as follows:</w:t>
      </w:r>
    </w:p>
    <w:p>
      <w:pPr>
        <w:spacing w:after="0" w:line="179" w:lineRule="exact"/>
        <w:rPr>
          <w:sz w:val="20"/>
          <w:szCs w:val="20"/>
          <w:color w:val="auto"/>
        </w:rPr>
      </w:pPr>
    </w:p>
    <w:p>
      <w:pPr>
        <w:jc w:val="both"/>
        <w:ind w:left="13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Commodity Hedge Agreements</w:t>
      </w:r>
      <w:r>
        <w:rPr>
          <w:rFonts w:ascii="Arial" w:cs="Arial" w:eastAsia="Arial" w:hAnsi="Arial"/>
          <w:sz w:val="22"/>
          <w:szCs w:val="22"/>
          <w:color w:val="auto"/>
        </w:rPr>
        <w:t>” shall mean Hedge Agreements entered into with Approved Counterparties in respect of Hydrocarbons for the purpose of reducing the Credit Parties’ commodity price risk in respect of crude oil.</w:t>
      </w:r>
    </w:p>
    <w:p>
      <w:pPr>
        <w:spacing w:after="0" w:line="159" w:lineRule="exact"/>
        <w:rPr>
          <w:sz w:val="20"/>
          <w:szCs w:val="20"/>
          <w:color w:val="auto"/>
        </w:rPr>
      </w:pPr>
    </w:p>
    <w:p>
      <w:pPr>
        <w:jc w:val="both"/>
        <w:ind w:left="130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Free Cash Flow Utilizations</w:t>
      </w:r>
      <w:r>
        <w:rPr>
          <w:rFonts w:ascii="Arial" w:cs="Arial" w:eastAsia="Arial" w:hAnsi="Arial"/>
          <w:sz w:val="21"/>
          <w:szCs w:val="21"/>
          <w:color w:val="auto"/>
        </w:rPr>
        <w:t xml:space="preserve">” shall mean each of the following transactions that occur in reliance on </w:t>
      </w:r>
      <w:r>
        <w:rPr>
          <w:rFonts w:ascii="Arial" w:cs="Arial" w:eastAsia="Arial" w:hAnsi="Arial"/>
          <w:sz w:val="21"/>
          <w:szCs w:val="21"/>
          <w:u w:val="single" w:color="auto"/>
          <w:color w:val="auto"/>
        </w:rPr>
        <w:t>clause (a)(iv)</w:t>
      </w:r>
      <w:r>
        <w:rPr>
          <w:rFonts w:ascii="Arial" w:cs="Arial" w:eastAsia="Arial" w:hAnsi="Arial"/>
          <w:sz w:val="21"/>
          <w:szCs w:val="21"/>
          <w:color w:val="auto"/>
        </w:rPr>
        <w:t xml:space="preserve"> of the definition of “Restricted Payment Conditions”: (a) Investments made in reliance on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10.5(i)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the definition of “Restricted Payment Conditions”, (b) Restricted Payments made in reliance on </w:t>
      </w:r>
      <w:r>
        <w:rPr>
          <w:rFonts w:ascii="Arial" w:cs="Arial" w:eastAsia="Arial" w:hAnsi="Arial"/>
          <w:sz w:val="21"/>
          <w:szCs w:val="21"/>
          <w:u w:val="single" w:color="auto"/>
          <w:color w:val="auto"/>
        </w:rPr>
        <w:t>Section 10.6(i)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the definition of “Restricted Payment Conditions” and (c) repayments of Other Debt and other transactions contemplated by </w:t>
      </w:r>
      <w:r>
        <w:rPr>
          <w:rFonts w:ascii="Arial" w:cs="Arial" w:eastAsia="Arial" w:hAnsi="Arial"/>
          <w:sz w:val="21"/>
          <w:szCs w:val="21"/>
          <w:u w:val="single" w:color="auto"/>
          <w:color w:val="auto"/>
        </w:rPr>
        <w:t>Section 10.7(a)(iii)</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|US-DOCS\131473359.3||</w:t>
      </w:r>
    </w:p>
    <w:p>
      <w:pPr>
        <w:sectPr>
          <w:pgSz w:w="11900" w:h="16838" w:orient="portrait"/>
          <w:cols w:equalWidth="0" w:num="1">
            <w:col w:w="11240"/>
          </w:cols>
          <w:pgMar w:left="320" w:top="82" w:right="339" w:bottom="1440" w:gutter="0" w:footer="0" w:header="0"/>
        </w:sectPr>
      </w:pPr>
    </w:p>
    <w:bookmarkStart w:id="45" w:name="page46"/>
    <w:bookmarkEnd w:id="45"/>
    <w:p>
      <w:pPr>
        <w:jc w:val="both"/>
        <w:ind w:left="1300"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Agreements</w:t>
      </w:r>
      <w:r>
        <w:rPr>
          <w:rFonts w:ascii="Arial" w:cs="Arial" w:eastAsia="Arial" w:hAnsi="Arial"/>
          <w:sz w:val="19"/>
          <w:szCs w:val="19"/>
          <w:color w:val="auto"/>
        </w:rPr>
        <w:t>” shall mean (a) any and all rate swap transactions, basis swaps, credit derivative transactions, forward rate transactions, commodity swaps, commodity options, forward commodity contracts, future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total return swap, credit spread transaction, repurchase transaction, reserve repurchase transaction, securities lending transaction, weather index transaction, spot contracts, (x) fixed-price physical delivery contracts of crude oil with a tenor ending over 90 days from the date of execution or (y) fixed-price physical delivery contracts of natural gas or natural gas liquids with a tenor ending over 18 months from the date of execution, in each case whether or not exchange traded,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 Notwithstanding the foregoing, agreements or obligations to physically sell any commodity at any index-based price shall not be considered Hedge Agreements</w:t>
      </w:r>
    </w:p>
    <w:p>
      <w:pPr>
        <w:spacing w:after="0" w:line="390" w:lineRule="exact"/>
        <w:rPr>
          <w:sz w:val="20"/>
          <w:szCs w:val="20"/>
          <w:color w:val="auto"/>
        </w:rPr>
      </w:pPr>
    </w:p>
    <w:p>
      <w:pPr>
        <w:jc w:val="both"/>
        <w:ind w:left="13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 Conditions</w:t>
      </w:r>
      <w:r>
        <w:rPr>
          <w:rFonts w:ascii="Arial" w:cs="Arial" w:eastAsia="Arial" w:hAnsi="Arial"/>
          <w:sz w:val="21"/>
          <w:szCs w:val="21"/>
          <w:color w:val="auto"/>
        </w:rPr>
        <w:t xml:space="preserve">” shall mean as of any date of determination,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for the transaction with respect to which the Restricted Payment Conditions are being evaluated, either:</w:t>
      </w:r>
    </w:p>
    <w:p>
      <w:pPr>
        <w:spacing w:after="0" w:line="151" w:lineRule="exact"/>
        <w:rPr>
          <w:sz w:val="20"/>
          <w:szCs w:val="20"/>
          <w:color w:val="auto"/>
        </w:rPr>
      </w:pPr>
    </w:p>
    <w:p>
      <w:pPr>
        <w:jc w:val="both"/>
        <w:ind w:left="1960" w:firstLine="640"/>
        <w:spacing w:after="0" w:line="218" w:lineRule="auto"/>
        <w:tabs>
          <w:tab w:leader="none" w:pos="2940" w:val="left"/>
        </w:tabs>
        <w:numPr>
          <w:ilvl w:val="1"/>
          <w:numId w:val="18"/>
        </w:numPr>
        <w:rPr>
          <w:rFonts w:ascii="Arial" w:cs="Arial" w:eastAsia="Arial" w:hAnsi="Arial"/>
          <w:sz w:val="22"/>
          <w:szCs w:val="22"/>
          <w:color w:val="auto"/>
        </w:rPr>
      </w:pPr>
      <w:r>
        <w:rPr>
          <w:rFonts w:ascii="Arial" w:cs="Arial" w:eastAsia="Arial" w:hAnsi="Arial"/>
          <w:sz w:val="22"/>
          <w:szCs w:val="22"/>
          <w:color w:val="auto"/>
        </w:rPr>
        <w:t>(i) no Default, Event of Default or Borrowing Base Deficiency shall have occurred and be continuing, (ii) the Available Commitment is not less than 20.0% of the Total Commitment, (iii) the Consolidated Total Net Leverage Ratio is less than or equal to 2.50 to 1.00 and (iv) Distributable Free Cash Flow is greater than or equal to zero on such date of determination; or</w:t>
      </w:r>
    </w:p>
    <w:p>
      <w:pPr>
        <w:spacing w:after="0" w:line="160" w:lineRule="exact"/>
        <w:rPr>
          <w:rFonts w:ascii="Arial" w:cs="Arial" w:eastAsia="Arial" w:hAnsi="Arial"/>
          <w:sz w:val="22"/>
          <w:szCs w:val="22"/>
          <w:color w:val="auto"/>
        </w:rPr>
      </w:pPr>
    </w:p>
    <w:p>
      <w:pPr>
        <w:jc w:val="both"/>
        <w:ind w:left="1960" w:firstLine="640"/>
        <w:spacing w:after="0" w:line="234" w:lineRule="auto"/>
        <w:tabs>
          <w:tab w:leader="none" w:pos="2951" w:val="left"/>
        </w:tabs>
        <w:numPr>
          <w:ilvl w:val="1"/>
          <w:numId w:val="18"/>
        </w:numPr>
        <w:rPr>
          <w:rFonts w:ascii="Arial" w:cs="Arial" w:eastAsia="Arial" w:hAnsi="Arial"/>
          <w:sz w:val="21"/>
          <w:szCs w:val="21"/>
          <w:color w:val="auto"/>
        </w:rPr>
      </w:pPr>
      <w:r>
        <w:rPr>
          <w:rFonts w:ascii="Arial" w:cs="Arial" w:eastAsia="Arial" w:hAnsi="Arial"/>
          <w:sz w:val="21"/>
          <w:szCs w:val="21"/>
          <w:color w:val="auto"/>
        </w:rPr>
        <w:t>(i) no Default, Event of Default or Borrowing Base Deficiency shall have occurred and be continuing, (ii) the Available Commitment is not less than 30.0% of the Total Commitment and (iii) the Consolidated Total Net Leverage Ratio is less than or equal to 1.50 to 1.00.</w:t>
      </w:r>
    </w:p>
    <w:p>
      <w:pPr>
        <w:spacing w:after="0" w:line="157" w:lineRule="exact"/>
        <w:rPr>
          <w:rFonts w:ascii="Arial" w:cs="Arial" w:eastAsia="Arial" w:hAnsi="Arial"/>
          <w:sz w:val="21"/>
          <w:szCs w:val="21"/>
          <w:color w:val="auto"/>
        </w:rPr>
      </w:pPr>
    </w:p>
    <w:p>
      <w:pPr>
        <w:ind w:left="1960" w:right="4960" w:hanging="656"/>
        <w:spacing w:after="0" w:line="409" w:lineRule="auto"/>
        <w:tabs>
          <w:tab w:leader="none" w:pos="1955"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deleting the following definitions in their entirety: “</w:t>
      </w:r>
      <w:r>
        <w:rPr>
          <w:rFonts w:ascii="Arial" w:cs="Arial" w:eastAsia="Arial" w:hAnsi="Arial"/>
          <w:sz w:val="22"/>
          <w:szCs w:val="22"/>
          <w:u w:val="single" w:color="auto"/>
          <w:color w:val="auto"/>
        </w:rPr>
        <w:t>Specified Volumes</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Strip Price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firstLine="644"/>
        <w:spacing w:after="0" w:line="232" w:lineRule="auto"/>
        <w:tabs>
          <w:tab w:leader="none" w:pos="1953"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replacing (i) “</w:t>
      </w:r>
      <w:r>
        <w:rPr>
          <w:rFonts w:ascii="Arial" w:cs="Arial" w:eastAsia="Arial" w:hAnsi="Arial"/>
          <w:sz w:val="22"/>
          <w:szCs w:val="22"/>
          <w:u w:val="single" w:color="auto"/>
          <w:color w:val="auto"/>
        </w:rPr>
        <w:t>Section 3.7(b)</w:t>
      </w:r>
      <w:r>
        <w:rPr>
          <w:rFonts w:ascii="Arial" w:cs="Arial" w:eastAsia="Arial" w:hAnsi="Arial"/>
          <w:sz w:val="22"/>
          <w:szCs w:val="22"/>
          <w:color w:val="auto"/>
        </w:rPr>
        <w:t>” with “</w:t>
      </w:r>
      <w:r>
        <w:rPr>
          <w:rFonts w:ascii="Arial" w:cs="Arial" w:eastAsia="Arial" w:hAnsi="Arial"/>
          <w:sz w:val="22"/>
          <w:szCs w:val="22"/>
          <w:u w:val="single" w:color="auto"/>
          <w:color w:val="auto"/>
        </w:rPr>
        <w:t>Section 3.7(c)</w:t>
      </w:r>
      <w:r>
        <w:rPr>
          <w:rFonts w:ascii="Arial" w:cs="Arial" w:eastAsia="Arial" w:hAnsi="Arial"/>
          <w:sz w:val="22"/>
          <w:szCs w:val="22"/>
          <w:color w:val="auto"/>
        </w:rPr>
        <w:t>” in the definition of “</w:t>
      </w:r>
      <w:r>
        <w:rPr>
          <w:rFonts w:ascii="Arial" w:cs="Arial" w:eastAsia="Arial" w:hAnsi="Arial"/>
          <w:sz w:val="22"/>
          <w:szCs w:val="22"/>
          <w:u w:val="single" w:color="auto"/>
          <w:color w:val="auto"/>
        </w:rPr>
        <w:t>Cash Collateralize</w:t>
      </w:r>
      <w:r>
        <w:rPr>
          <w:rFonts w:ascii="Arial" w:cs="Arial" w:eastAsia="Arial" w:hAnsi="Arial"/>
          <w:sz w:val="22"/>
          <w:szCs w:val="22"/>
          <w:color w:val="auto"/>
        </w:rPr>
        <w:t>” and (ii) “</w:t>
      </w:r>
      <w:r>
        <w:rPr>
          <w:rFonts w:ascii="Arial" w:cs="Arial" w:eastAsia="Arial" w:hAnsi="Arial"/>
          <w:sz w:val="22"/>
          <w:szCs w:val="22"/>
          <w:u w:val="single" w:color="auto"/>
          <w:color w:val="auto"/>
        </w:rPr>
        <w:t>Section 11.11</w:t>
      </w:r>
      <w:r>
        <w:rPr>
          <w:rFonts w:ascii="Arial" w:cs="Arial" w:eastAsia="Arial" w:hAnsi="Arial"/>
          <w:sz w:val="22"/>
          <w:szCs w:val="22"/>
          <w:color w:val="auto"/>
        </w:rPr>
        <w:t>” with “</w:t>
      </w:r>
      <w:r>
        <w:rPr>
          <w:rFonts w:ascii="Arial" w:cs="Arial" w:eastAsia="Arial" w:hAnsi="Arial"/>
          <w:sz w:val="22"/>
          <w:szCs w:val="22"/>
          <w:u w:val="single" w:color="auto"/>
          <w:color w:val="auto"/>
        </w:rPr>
        <w:t>Section 10.11</w:t>
      </w:r>
      <w:r>
        <w:rPr>
          <w:rFonts w:ascii="Arial" w:cs="Arial" w:eastAsia="Arial" w:hAnsi="Arial"/>
          <w:sz w:val="22"/>
          <w:szCs w:val="22"/>
          <w:color w:val="auto"/>
        </w:rPr>
        <w:t>” in the definition of “</w:t>
      </w:r>
      <w:r>
        <w:rPr>
          <w:rFonts w:ascii="Arial" w:cs="Arial" w:eastAsia="Arial" w:hAnsi="Arial"/>
          <w:sz w:val="22"/>
          <w:szCs w:val="22"/>
          <w:u w:val="single" w:color="auto"/>
          <w:color w:val="auto"/>
        </w:rPr>
        <w:t>Consolidated EBITDAX</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|US-DOCS\131473359.3||</w:t>
      </w:r>
    </w:p>
    <w:p>
      <w:pPr>
        <w:sectPr>
          <w:pgSz w:w="11900" w:h="16838" w:orient="portrait"/>
          <w:cols w:equalWidth="0" w:num="1">
            <w:col w:w="11240"/>
          </w:cols>
          <w:pgMar w:left="320" w:top="1401" w:right="339" w:bottom="1440" w:gutter="0" w:footer="0" w:header="0"/>
        </w:sectPr>
      </w:pPr>
    </w:p>
    <w:bookmarkStart w:id="46" w:name="page47"/>
    <w:bookmarkEnd w:id="46"/>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Section 8.18 of the Credit Agreement is hereby amended and restated in its entirety to read in full as follows:</w:t>
      </w:r>
    </w:p>
    <w:p>
      <w:pPr>
        <w:spacing w:after="0" w:line="179" w:lineRule="exact"/>
        <w:rPr>
          <w:sz w:val="20"/>
          <w:szCs w:val="20"/>
          <w:color w:val="auto"/>
        </w:rPr>
      </w:pPr>
    </w:p>
    <w:p>
      <w:pPr>
        <w:jc w:val="both"/>
        <w:ind w:left="660" w:firstLine="648"/>
        <w:spacing w:after="0" w:line="222" w:lineRule="auto"/>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8.18</w:t>
      </w:r>
      <w:r>
        <w:rPr>
          <w:rFonts w:ascii="Arial" w:cs="Arial" w:eastAsia="Arial" w:hAnsi="Arial"/>
          <w:sz w:val="21"/>
          <w:szCs w:val="21"/>
          <w:color w:val="auto"/>
        </w:rPr>
        <w:t xml:space="preserve"> or otherwise disclosed to the Administrative Agent in writing, as of the most recent date that the certificate described in Section 9.14(c)(vii) is required to be delivered, no material agreements exist (which are not cancelable on 60 days’ notice or less without penalty or detriment) for the sale of production of the Borrower and Restricted Subsidiaries’ Hydrocarbons at a fixed non-index price (including calls on, or other rights to purchase, production, whether or not the same are currently being exercised) that (i) represent in respect of such agreements 2.5% or more of the Borrower’s and its Restricted Subsidiaries’ average monthly production of Hydrocarbon volumes and (ii) have a maturity or expiry date of longer than six months.</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Section 8.20(a) of the Credit Agreement is hereby amended and restated in its entirety to read in full as follows:</w:t>
      </w:r>
    </w:p>
    <w:p>
      <w:pPr>
        <w:spacing w:after="0" w:line="179" w:lineRule="exact"/>
        <w:rPr>
          <w:sz w:val="20"/>
          <w:szCs w:val="20"/>
          <w:color w:val="auto"/>
        </w:rPr>
      </w:pPr>
    </w:p>
    <w:p>
      <w:pPr>
        <w:jc w:val="both"/>
        <w:ind w:left="660" w:firstLine="644"/>
        <w:spacing w:after="0" w:line="244" w:lineRule="auto"/>
        <w:tabs>
          <w:tab w:leader="none" w:pos="1788" w:val="left"/>
        </w:tabs>
        <w:numPr>
          <w:ilvl w:val="0"/>
          <w:numId w:val="20"/>
        </w:numPr>
        <w:rPr>
          <w:rFonts w:ascii="Arial" w:cs="Arial" w:eastAsia="Arial" w:hAnsi="Arial"/>
          <w:sz w:val="19"/>
          <w:szCs w:val="19"/>
          <w:color w:val="auto"/>
        </w:rPr>
      </w:pPr>
      <w:r>
        <w:rPr>
          <w:rFonts w:ascii="Arial" w:cs="Arial" w:eastAsia="Arial" w:hAnsi="Arial"/>
          <w:sz w:val="19"/>
          <w:szCs w:val="19"/>
          <w:color w:val="auto"/>
        </w:rPr>
        <w:t>To the extent applicable, each of the Borrower and its Subsidiaries and, to the knowledge of any Authorized Officer of the Borrower and the other Credit Parties, each director, officer, employee, agent acting on behalf of any Credit Party and controlled affiliate of the Borrower or any Subsidiary, is in compliance, in all material respects, with (i) the Trading with the Enemy Act, as amended, the International Emergency Economic Powers Act, as amended, Sanctions Laws, the United States Foreign Corrupt Practices Act of 1977, as amended and other anti-corruption laws, and (ii) the Patriot Act. Neither the Borrower nor any of its Subsidiaries nor, to the knowledge of any Authorized Officer of the Borrower and the other Credit Parties, any director, officer, employee, agent acting on behalf of any Credit Party or controlled affiliate of the Borrower or any Subsidiary is currently the subject of any Sanctions, nor is the Borrower or any of its Subsidiaries located, organized or resident in any country or territory that is the subject of comprehensive Sanctions.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Section 9.1(g) is hereby amended and restated in its entirety to read in full as follows:</w:t>
      </w:r>
    </w:p>
    <w:p>
      <w:pPr>
        <w:spacing w:after="0" w:line="179" w:lineRule="exact"/>
        <w:rPr>
          <w:sz w:val="20"/>
          <w:szCs w:val="20"/>
          <w:color w:val="auto"/>
        </w:rPr>
      </w:pPr>
    </w:p>
    <w:p>
      <w:pPr>
        <w:jc w:val="both"/>
        <w:ind w:left="660" w:firstLine="644"/>
        <w:spacing w:after="0" w:line="238" w:lineRule="auto"/>
        <w:tabs>
          <w:tab w:leader="none" w:pos="1951"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Certificate of Authorized Officer – Hedge Agreements</w:t>
      </w:r>
      <w:r>
        <w:rPr>
          <w:rFonts w:ascii="Arial" w:cs="Arial" w:eastAsia="Arial" w:hAnsi="Arial"/>
          <w:sz w:val="19"/>
          <w:szCs w:val="19"/>
          <w:color w:val="auto"/>
        </w:rPr>
        <w:t xml:space="preserve">. On the date of delivery of (x) the financial statements provided for in </w:t>
      </w:r>
      <w:r>
        <w:rPr>
          <w:rFonts w:ascii="Arial" w:cs="Arial" w:eastAsia="Arial" w:hAnsi="Arial"/>
          <w:sz w:val="19"/>
          <w:szCs w:val="19"/>
          <w:u w:val="single" w:color="auto"/>
          <w:color w:val="auto"/>
        </w:rPr>
        <w:t>Section 9.1(a)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and (y) each Reserve Report delivered in connection with an Interim Redetermination, a certificate of an Authorized Officer of the Borrower (a “</w:t>
      </w:r>
      <w:r>
        <w:rPr>
          <w:rFonts w:ascii="Arial" w:cs="Arial" w:eastAsia="Arial" w:hAnsi="Arial"/>
          <w:sz w:val="19"/>
          <w:szCs w:val="19"/>
          <w:u w:val="single" w:color="auto"/>
          <w:color w:val="auto"/>
        </w:rPr>
        <w:t>Hedging Compliance Certificate</w:t>
      </w:r>
      <w:r>
        <w:rPr>
          <w:rFonts w:ascii="Arial" w:cs="Arial" w:eastAsia="Arial" w:hAnsi="Arial"/>
          <w:sz w:val="19"/>
          <w:szCs w:val="19"/>
          <w:color w:val="auto"/>
        </w:rPr>
        <w:t xml:space="preserve">”), setting forth (i) the calculations required to establish whether the Borrower and its Restricted Subsidiaries were in compliance with </w:t>
      </w:r>
      <w:r>
        <w:rPr>
          <w:rFonts w:ascii="Arial" w:cs="Arial" w:eastAsia="Arial" w:hAnsi="Arial"/>
          <w:sz w:val="19"/>
          <w:szCs w:val="19"/>
          <w:u w:val="single" w:color="auto"/>
          <w:color w:val="auto"/>
        </w:rPr>
        <w:t>Section 9.18</w:t>
      </w:r>
      <w:r>
        <w:rPr>
          <w:rFonts w:ascii="Arial" w:cs="Arial" w:eastAsia="Arial" w:hAnsi="Arial"/>
          <w:sz w:val="19"/>
          <w:szCs w:val="19"/>
          <w:color w:val="auto"/>
        </w:rPr>
        <w:t xml:space="preserve"> as of such date and (ii) a true and complete list of all commodity Hedge Agreements of the Borrower and each Credit Party, the material terms thereof (in respect of the type, term, effective date, termination date and notional amounts or volumes), any credit support agreements relating thereto not listed on </w:t>
      </w:r>
      <w:r>
        <w:rPr>
          <w:rFonts w:ascii="Arial" w:cs="Arial" w:eastAsia="Arial" w:hAnsi="Arial"/>
          <w:sz w:val="19"/>
          <w:szCs w:val="19"/>
          <w:u w:val="single" w:color="auto"/>
          <w:color w:val="auto"/>
        </w:rPr>
        <w:t>Schedule 8.21</w:t>
      </w:r>
      <w:r>
        <w:rPr>
          <w:rFonts w:ascii="Arial" w:cs="Arial" w:eastAsia="Arial" w:hAnsi="Arial"/>
          <w:sz w:val="19"/>
          <w:szCs w:val="19"/>
          <w:color w:val="auto"/>
        </w:rPr>
        <w:t xml:space="preserve"> or on any previously delivered Hedging Compliance Certificate and any margin required or supplied under any credit support document;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the Borrower and its Restricted Subsidiaries are not in compliance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9.18</w:t>
      </w:r>
      <w:r>
        <w:rPr>
          <w:rFonts w:ascii="Arial" w:cs="Arial" w:eastAsia="Arial" w:hAnsi="Arial"/>
          <w:sz w:val="19"/>
          <w:szCs w:val="19"/>
          <w:color w:val="auto"/>
        </w:rPr>
        <w:t xml:space="preserve"> on the date on which delivery of any Hedging Compliance Certificate would otherwise be required pursuant to this </w:t>
      </w:r>
      <w:r>
        <w:rPr>
          <w:rFonts w:ascii="Arial" w:cs="Arial" w:eastAsia="Arial" w:hAnsi="Arial"/>
          <w:sz w:val="19"/>
          <w:szCs w:val="19"/>
          <w:u w:val="single" w:color="auto"/>
          <w:color w:val="auto"/>
        </w:rPr>
        <w:t>Section 9.1(g)</w:t>
      </w:r>
      <w:r>
        <w:rPr>
          <w:rFonts w:ascii="Arial" w:cs="Arial" w:eastAsia="Arial" w:hAnsi="Arial"/>
          <w:sz w:val="19"/>
          <w:szCs w:val="19"/>
          <w:color w:val="auto"/>
        </w:rPr>
        <w:t xml:space="preserve">, (A) such non-compliance shall not constitute a Default and (B) the Borrower shall furnish to the Administrative Agent such Hedging Compliance Certificate demonstrating compliance with </w:t>
      </w:r>
      <w:r>
        <w:rPr>
          <w:rFonts w:ascii="Arial" w:cs="Arial" w:eastAsia="Arial" w:hAnsi="Arial"/>
          <w:sz w:val="19"/>
          <w:szCs w:val="19"/>
          <w:u w:val="single" w:color="auto"/>
          <w:color w:val="auto"/>
        </w:rPr>
        <w:t>Section 9.18</w:t>
      </w:r>
      <w:r>
        <w:rPr>
          <w:rFonts w:ascii="Arial" w:cs="Arial" w:eastAsia="Arial" w:hAnsi="Arial"/>
          <w:sz w:val="19"/>
          <w:szCs w:val="19"/>
          <w:color w:val="auto"/>
        </w:rPr>
        <w:t xml:space="preserve"> within thirty</w:t>
      </w:r>
    </w:p>
    <w:p>
      <w:pPr>
        <w:spacing w:after="0" w:line="10" w:lineRule="exact"/>
        <w:rPr>
          <w:rFonts w:ascii="Arial" w:cs="Arial" w:eastAsia="Arial" w:hAnsi="Arial"/>
          <w:sz w:val="19"/>
          <w:szCs w:val="19"/>
          <w:color w:val="auto"/>
        </w:rPr>
      </w:pPr>
    </w:p>
    <w:p>
      <w:pPr>
        <w:jc w:val="both"/>
        <w:ind w:left="660" w:right="20" w:hanging="4"/>
        <w:spacing w:after="0" w:line="217" w:lineRule="auto"/>
        <w:tabs>
          <w:tab w:leader="none" w:pos="10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days following such date. Notwithstanding anything contained in this </w:t>
      </w:r>
      <w:r>
        <w:rPr>
          <w:rFonts w:ascii="Arial" w:cs="Arial" w:eastAsia="Arial" w:hAnsi="Arial"/>
          <w:sz w:val="22"/>
          <w:szCs w:val="22"/>
          <w:u w:val="single" w:color="auto"/>
          <w:color w:val="auto"/>
        </w:rPr>
        <w:t>Section 9.1(g)</w:t>
      </w:r>
      <w:r>
        <w:rPr>
          <w:rFonts w:ascii="Arial" w:cs="Arial" w:eastAsia="Arial" w:hAnsi="Arial"/>
          <w:sz w:val="22"/>
          <w:szCs w:val="22"/>
          <w:color w:val="auto"/>
        </w:rPr>
        <w:t xml:space="preserve"> to the contrary, the foregoing requirements set forth in this </w:t>
      </w:r>
      <w:r>
        <w:rPr>
          <w:rFonts w:ascii="Arial" w:cs="Arial" w:eastAsia="Arial" w:hAnsi="Arial"/>
          <w:sz w:val="22"/>
          <w:szCs w:val="22"/>
          <w:u w:val="single" w:color="auto"/>
          <w:color w:val="auto"/>
        </w:rPr>
        <w:t>Section 9.1(g)</w:t>
      </w:r>
      <w:r>
        <w:rPr>
          <w:rFonts w:ascii="Arial" w:cs="Arial" w:eastAsia="Arial" w:hAnsi="Arial"/>
          <w:sz w:val="22"/>
          <w:szCs w:val="22"/>
          <w:color w:val="auto"/>
        </w:rPr>
        <w:t xml:space="preserve"> shall not apply at any time that the Consolidated Total Net Leverage Ratio as of the last day of the most recently ended Test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|US-DOCS\131473359.3||</w:t>
      </w:r>
    </w:p>
    <w:p>
      <w:pPr>
        <w:sectPr>
          <w:pgSz w:w="11900" w:h="16838" w:orient="portrait"/>
          <w:cols w:equalWidth="0" w:num="1">
            <w:col w:w="11240"/>
          </w:cols>
          <w:pgMar w:left="320" w:top="1401" w:right="339" w:bottom="1440" w:gutter="0" w:footer="0" w:header="0"/>
        </w:sectPr>
      </w:pPr>
    </w:p>
    <w:bookmarkStart w:id="47" w:name="page48"/>
    <w:bookmarkEnd w:id="47"/>
    <w:p>
      <w:pPr>
        <w:ind w:left="660" w:right="20"/>
        <w:spacing w:after="0" w:line="232" w:lineRule="auto"/>
        <w:rPr>
          <w:sz w:val="20"/>
          <w:szCs w:val="20"/>
          <w:color w:val="auto"/>
        </w:rPr>
      </w:pPr>
      <w:r>
        <w:rPr>
          <w:rFonts w:ascii="Arial" w:cs="Arial" w:eastAsia="Arial" w:hAnsi="Arial"/>
          <w:sz w:val="22"/>
          <w:szCs w:val="22"/>
          <w:color w:val="auto"/>
        </w:rPr>
        <w:t xml:space="preserve">Period for which financial statements have been delivered pursuant to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is less than or equal to 1.00 to 1.00.</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Section 9.18(a) of the Credit Agreement shall be amended to read “[reserved]”.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Section 9.18(b) of the Credit Agreement is hereby amended and restated in its entirety to read in full as follows:</w:t>
      </w:r>
    </w:p>
    <w:p>
      <w:pPr>
        <w:spacing w:after="0" w:line="179" w:lineRule="exact"/>
        <w:rPr>
          <w:sz w:val="20"/>
          <w:szCs w:val="20"/>
          <w:color w:val="auto"/>
        </w:rPr>
      </w:pPr>
    </w:p>
    <w:p>
      <w:pPr>
        <w:jc w:val="both"/>
        <w:ind w:left="660" w:firstLine="644"/>
        <w:spacing w:after="0"/>
        <w:tabs>
          <w:tab w:leader="none" w:pos="1991"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The Borrower and/or other Guarantors shall have in effect, as of the date on which each Hedging Compliance Certificate is required to be delivered, and thereafter maintain Acceptable Commodity Hedge Agreements, the notional volumes for which are no less than, for the period ending on the earlier of (x) twelve (12) months following such required date of delivery and (y) the Maturity Date: (i) if the Consolidated Total Net Leverage Ratio as of the last day of the most recently ended Test Period for which financial statements have been delivered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is greater than 2.00 to 1.00, 50% of the reasonably anticipated Hydrocarbon production for each fiscal quarter in respect of crude oil from the Credit Parties’ total Proved Developed Producing Reserves (as forecast based upon the Reserve Report delivered concurrently with such Hedging Compliance Certificate), calculated based on daily volumes on an annual basis, or (ii) if the Consolidated Total Net Leverage Ratio as of the last day of the most recently ended Test Period for which financial statements have been delivered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is less than or equal to 2.00 to 1.00 and greater than 1.00 to 1.00, 33% of the reasonably anticipated Hydrocarbon production for each fiscal quarter in respect of crude oil from the Credit Parties’ total Proved Developed Producing Reserves (as forecast based upon the Reserve Report delivered concurrently with such Hedging Compliance Certificate), calculated based on daily volumes on an annual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the foregoing requirements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shall not apply at any time that the Consolidated Total Net Leverage Ratio as of the last day of the most recently ended Test Period for which financial statements have been delivered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is less than or equal to 1.00 to 1.00 and (y) the foregoing requirements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shall be subject to the proviso at the end of </w:t>
      </w:r>
      <w:r>
        <w:rPr>
          <w:rFonts w:ascii="Arial" w:cs="Arial" w:eastAsia="Arial" w:hAnsi="Arial"/>
          <w:sz w:val="19"/>
          <w:szCs w:val="19"/>
          <w:u w:val="single" w:color="auto"/>
          <w:color w:val="auto"/>
        </w:rPr>
        <w:t>Section 9.1(g)</w:t>
      </w:r>
      <w:r>
        <w:rPr>
          <w:rFonts w:ascii="Arial" w:cs="Arial" w:eastAsia="Arial" w:hAnsi="Arial"/>
          <w:sz w:val="19"/>
          <w:szCs w:val="19"/>
          <w:color w:val="auto"/>
        </w:rPr>
        <w:t>.</w:t>
      </w:r>
    </w:p>
    <w:p>
      <w:pPr>
        <w:spacing w:after="0" w:line="3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Section 9.20 of the Credit Agreement is hereby amended and restated in its entirety to read in full as follows:</w:t>
      </w:r>
    </w:p>
    <w:p>
      <w:pPr>
        <w:spacing w:after="0" w:line="179" w:lineRule="exact"/>
        <w:rPr>
          <w:sz w:val="20"/>
          <w:szCs w:val="20"/>
          <w:color w:val="auto"/>
        </w:rPr>
      </w:pPr>
    </w:p>
    <w:p>
      <w:pPr>
        <w:jc w:val="both"/>
        <w:ind w:left="660" w:firstLine="648"/>
        <w:spacing w:after="0" w:line="242" w:lineRule="auto"/>
        <w:rPr>
          <w:sz w:val="20"/>
          <w:szCs w:val="20"/>
          <w:color w:val="auto"/>
        </w:rPr>
      </w:pPr>
      <w:r>
        <w:rPr>
          <w:rFonts w:ascii="Arial" w:cs="Arial" w:eastAsia="Arial" w:hAnsi="Arial"/>
          <w:sz w:val="19"/>
          <w:szCs w:val="19"/>
          <w:u w:val="single" w:color="auto"/>
          <w:color w:val="auto"/>
        </w:rPr>
        <w:t>Marketing Activities</w:t>
      </w:r>
      <w:r>
        <w:rPr>
          <w:rFonts w:ascii="Arial" w:cs="Arial" w:eastAsia="Arial" w:hAnsi="Arial"/>
          <w:sz w:val="19"/>
          <w:szCs w:val="19"/>
          <w:color w:val="auto"/>
        </w:rPr>
        <w:t>. The Borrower will not, and will not permit any of its Restricted Subsidiaries to, enter into contracts for the purchase and sale of Hydrocarbons (or Hedge Agreements for the purchase and sale of Hydrocarbons) other than (a) except with respect to fixed-price physical delivery contracts of natural gas or natural gas liquids with a tenor greater than 90 days, (i) contracts for the sale of Hydrocarbons scheduled or reasonably estimated to be produced from their Proved Reserves during the period of such contract, (ii) contracts for the sale of Hydrocarbons scheduled or reasonably estimated to be produced from Proved Reserves of third parties during the period of such contract associated with the Oil and Gas Properties of the Borrower and its Restricted Subsidiaries that the Borrower or one of its Restricted Subsidiaries has the right to market pursuant to joint operating agreements, unitization agreements or other similar contracts that are usual and customary in the Oil and Gas Business and (iii) other contracts for the purchase and/or sale of Hydrocarbons of third parties (A) which have generally offsetting provisions (i.e., corresponding pricing mechanics, delivery dates and points and volumes) such that no “position” is taken and (B) for which appropriate credit support has been taken to alleviate the material credit risks of the counterparty thereto and (b) with respect to fixed-price physical delivery contracts of natural gas or natural gas liquids with a tenor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|US-DOCS\131473359.3||</w:t>
      </w:r>
    </w:p>
    <w:p>
      <w:pPr>
        <w:sectPr>
          <w:pgSz w:w="11900" w:h="16838" w:orient="portrait"/>
          <w:cols w:equalWidth="0" w:num="1">
            <w:col w:w="11240"/>
          </w:cols>
          <w:pgMar w:left="320" w:top="1401" w:right="339" w:bottom="1440" w:gutter="0" w:footer="0" w:header="0"/>
        </w:sectPr>
      </w:pPr>
    </w:p>
    <w:bookmarkStart w:id="48" w:name="page49"/>
    <w:bookmarkEnd w:id="48"/>
    <w:p>
      <w:pPr>
        <w:ind w:left="660"/>
        <w:spacing w:after="0" w:line="247" w:lineRule="auto"/>
        <w:rPr>
          <w:sz w:val="20"/>
          <w:szCs w:val="20"/>
          <w:color w:val="auto"/>
        </w:rPr>
      </w:pPr>
      <w:r>
        <w:rPr>
          <w:rFonts w:ascii="Arial" w:cs="Arial" w:eastAsia="Arial" w:hAnsi="Arial"/>
          <w:sz w:val="19"/>
          <w:szCs w:val="19"/>
          <w:color w:val="auto"/>
        </w:rPr>
        <w:t>greater than 90 days, fixed-price physical delivery contracts of natural gas or natural gas liquids with a tenor not extending over 18 months from the date of execution (i) covering aggregate volumes of natural gas and natural gas liquids</w:t>
      </w:r>
    </w:p>
    <w:p>
      <w:pPr>
        <w:jc w:val="both"/>
        <w:ind w:left="660" w:hanging="4"/>
        <w:spacing w:after="0" w:line="211" w:lineRule="auto"/>
        <w:tabs>
          <w:tab w:leader="none" w:pos="992" w:val="left"/>
        </w:tabs>
        <w:numPr>
          <w:ilvl w:val="0"/>
          <w:numId w:val="24"/>
        </w:numPr>
        <w:rPr>
          <w:rFonts w:ascii="Arial" w:cs="Arial" w:eastAsia="Arial" w:hAnsi="Arial"/>
          <w:sz w:val="22"/>
          <w:szCs w:val="22"/>
          <w:color w:val="auto"/>
        </w:rPr>
      </w:pPr>
      <w:r>
        <w:rPr>
          <w:rFonts w:ascii="Arial" w:cs="Arial" w:eastAsia="Arial" w:hAnsi="Arial"/>
          <w:sz w:val="22"/>
          <w:szCs w:val="22"/>
          <w:color w:val="auto"/>
        </w:rPr>
        <w:t>not to exceed 50% of reasonably anticipated projected production from Proved Developed Producing Reserves for each quarterly period set forth in the most recently delivered Reserve Report and (y) that would not exceed the maximum volumes set forth in Section 10.10 if such fixed-price physical delivery contracts were deemed to be Hedge Agreements; and (ii) that are either unsecured and contain no adequate assurance provisions, or are secured by Letters of Credit or Permitted Liens and/or contain adequate assurance provisions that, in each case, are consistent with prior practice in the ordinary course of business.</w:t>
      </w:r>
    </w:p>
    <w:p>
      <w:pPr>
        <w:spacing w:after="0" w:line="15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b w:val="1"/>
          <w:bCs w:val="1"/>
          <w:u w:val="single" w:color="auto"/>
          <w:color w:val="auto"/>
        </w:rPr>
        <w:t>Borrowing Base Redetermination</w:t>
      </w:r>
      <w:r>
        <w:rPr>
          <w:rFonts w:ascii="Arial" w:cs="Arial" w:eastAsia="Arial" w:hAnsi="Arial"/>
          <w:sz w:val="21"/>
          <w:szCs w:val="21"/>
          <w:color w:val="auto"/>
        </w:rPr>
        <w:t xml:space="preserve">. Subject to the satisfaction or waiver in writing of each of the conditions set forth in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below and in reliance upon the representations, warranties, covenants and agreements contained in this Amendment, (a) the Administrative Agent and the Required Lenders hereby reaffirm the Borrowing Base, effective as of the date hereof, to be $1,200,000,000, (b) the Administrative Agent, the Required Lenders, the Borrower and the other Credit Parties hereby agree and acknowledge that such reaffirmed Borrowing Base shall remain in effect until the date such Borrowing Base is otherwise adjusted pursuant to the terms of the Credit Agreement. The Borrower hereby accepts such Borrowing Base as so reaffirmed to be effective upon the Third Amendment Effective Date. The Borrower and the Required Lenders acknowledge that the redetermination of the Borrowing Base provided for in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shall constitute the Spring 2022 Scheduled Redetermination scheduled for on or about April 1, 2022.</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b w:val="1"/>
          <w:bCs w:val="1"/>
          <w:u w:val="single" w:color="auto"/>
          <w:color w:val="auto"/>
        </w:rPr>
        <w:t>Conditions Precedent</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effectiveness of this Amendment is subject to satisfaction of each of the following conditions precedent:</w:t>
      </w:r>
    </w:p>
    <w:p>
      <w:pPr>
        <w:spacing w:after="0" w:line="17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u w:val="single" w:color="auto"/>
          <w:color w:val="auto"/>
        </w:rPr>
        <w:t>Executed Amendment</w:t>
      </w:r>
      <w:r>
        <w:rPr>
          <w:rFonts w:ascii="Arial" w:cs="Arial" w:eastAsia="Arial" w:hAnsi="Arial"/>
          <w:sz w:val="22"/>
          <w:szCs w:val="22"/>
          <w:color w:val="auto"/>
        </w:rPr>
        <w:t>. Administrative Agent shall have received counterparts of this Amendment duly executed by the Borrower, the other Credit Parties and the Required Lenders.</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u w:val="single" w:color="auto"/>
          <w:color w:val="auto"/>
        </w:rPr>
        <w:t>Absence of Defaults</w:t>
      </w:r>
      <w:r>
        <w:rPr>
          <w:rFonts w:ascii="Arial" w:cs="Arial" w:eastAsia="Arial" w:hAnsi="Arial"/>
          <w:sz w:val="22"/>
          <w:szCs w:val="22"/>
          <w:color w:val="auto"/>
        </w:rPr>
        <w:t>. No Default or Event of Default shall have occurred that is continuing immediately prior to and after giving effect to this Amendment.</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xml:space="preserve">. Each representation and warranty contained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shall be true and correct in all material respects or to the extent that any such representations and warranties are qualified by materiality, such representations and warranties shall be true and correct in all respects.</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u w:val="single" w:color="auto"/>
          <w:color w:val="auto"/>
        </w:rPr>
        <w:t>Fees</w:t>
      </w:r>
      <w:r>
        <w:rPr>
          <w:rFonts w:ascii="Arial" w:cs="Arial" w:eastAsia="Arial" w:hAnsi="Arial"/>
          <w:sz w:val="22"/>
          <w:szCs w:val="22"/>
          <w:color w:val="auto"/>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w:t>
      </w:r>
    </w:p>
    <w:p>
      <w:pPr>
        <w:spacing w:after="0" w:line="185" w:lineRule="exact"/>
        <w:rPr>
          <w:sz w:val="20"/>
          <w:szCs w:val="20"/>
          <w:color w:val="auto"/>
        </w:rPr>
      </w:pPr>
    </w:p>
    <w:p>
      <w:pPr>
        <w:jc w:val="both"/>
        <w:ind w:firstLine="225"/>
        <w:spacing w:after="0" w:line="298" w:lineRule="auto"/>
        <w:rPr>
          <w:sz w:val="20"/>
          <w:szCs w:val="20"/>
          <w:color w:val="auto"/>
        </w:rPr>
      </w:pPr>
      <w:r>
        <w:rPr>
          <w:rFonts w:ascii="Arial" w:cs="Arial" w:eastAsia="Arial" w:hAnsi="Arial"/>
          <w:sz w:val="19"/>
          <w:szCs w:val="19"/>
          <w:color w:val="auto"/>
        </w:rPr>
        <w:t>In order to induce the Administrative Agent and the Required Lenders to enter into this Amendment, each of the Borrower and the other Credit Parties hereby represents and warrants to the Administrative Agent and the Required Lenders that: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|US-DOCS\131473359.3||</w:t>
      </w:r>
    </w:p>
    <w:p>
      <w:pPr>
        <w:sectPr>
          <w:pgSz w:w="11900" w:h="16838" w:orient="portrait"/>
          <w:cols w:equalWidth="0" w:num="1">
            <w:col w:w="11240"/>
          </w:cols>
          <w:pgMar w:left="320" w:top="1401" w:right="339" w:bottom="1440" w:gutter="0" w:footer="0" w:header="0"/>
        </w:sectPr>
      </w:pPr>
    </w:p>
    <w:bookmarkStart w:id="49" w:name="page50"/>
    <w:bookmarkEnd w:id="49"/>
    <w:p>
      <w:pPr>
        <w:jc w:val="both"/>
        <w:ind w:firstLine="648"/>
        <w:spacing w:after="0" w:line="24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u w:val="single" w:color="auto"/>
          <w:color w:val="auto"/>
        </w:rPr>
        <w:t>Accuracy of Representations and Warranties</w:t>
      </w:r>
      <w:r>
        <w:rPr>
          <w:rFonts w:ascii="Arial" w:cs="Arial" w:eastAsia="Arial" w:hAnsi="Arial"/>
          <w:sz w:val="19"/>
          <w:szCs w:val="19"/>
          <w:color w:val="auto"/>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Third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given effect to any qualification therein) in all respects on such respective dates).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b w:val="1"/>
          <w:bCs w:val="1"/>
          <w:u w:val="single" w:color="auto"/>
          <w:color w:val="auto"/>
        </w:rPr>
        <w:t>No Conflicts</w:t>
      </w:r>
      <w:r>
        <w:rPr>
          <w:rFonts w:ascii="Arial" w:cs="Arial" w:eastAsia="Arial" w:hAnsi="Arial"/>
          <w:sz w:val="21"/>
          <w:szCs w:val="21"/>
          <w:color w:val="auto"/>
        </w:rPr>
        <w:t>. None of the execution, delivery or performance by any Credit Party of this Amendment will</w:t>
      </w:r>
    </w:p>
    <w:p>
      <w:pPr>
        <w:jc w:val="both"/>
        <w:ind w:firstLine="8"/>
        <w:spacing w:after="0" w:line="220" w:lineRule="auto"/>
        <w:tabs>
          <w:tab w:leader="none" w:pos="303" w:val="left"/>
        </w:tabs>
        <w:numPr>
          <w:ilvl w:val="0"/>
          <w:numId w:val="25"/>
        </w:numPr>
        <w:rPr>
          <w:rFonts w:ascii="Arial" w:cs="Arial" w:eastAsia="Arial" w:hAnsi="Arial"/>
          <w:sz w:val="21"/>
          <w:szCs w:val="21"/>
          <w:color w:val="auto"/>
        </w:rPr>
      </w:pPr>
      <w:r>
        <w:rPr>
          <w:rFonts w:ascii="Arial" w:cs="Arial" w:eastAsia="Arial" w:hAnsi="Arial"/>
          <w:sz w:val="21"/>
          <w:szCs w:val="21"/>
          <w:color w:val="auto"/>
        </w:rPr>
        <w:t>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such breach, default or Lien that would not reasonably be expected to result in a Material Adverse Effect or (c) violate any provision of the Organization Documents of such Credit Party or any of the Restricted Subsidiaries.</w:t>
      </w:r>
    </w:p>
    <w:p>
      <w:pPr>
        <w:spacing w:after="0" w:line="15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u w:val="single" w:color="auto"/>
          <w:color w:val="auto"/>
        </w:rPr>
        <w:t>Due Authorization</w:t>
      </w:r>
      <w:r>
        <w:rPr>
          <w:rFonts w:ascii="Arial" w:cs="Arial" w:eastAsia="Arial" w:hAnsi="Arial"/>
          <w:sz w:val="22"/>
          <w:szCs w:val="22"/>
          <w:color w:val="auto"/>
        </w:rPr>
        <w:t>. Each Credit Party has the corporate or other organizational power and authority to execute, deliver and carry out the terms and provisions of this Amendment, and has taken all necessary corporate or other organizational action to authorize the execution, delivery and performance of this Amendment, and has duly executed and delivered this Amendment.</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b w:val="1"/>
          <w:bCs w:val="1"/>
          <w:u w:val="single" w:color="auto"/>
          <w:color w:val="auto"/>
        </w:rPr>
        <w:t>Validity and Binding Effect</w:t>
      </w:r>
      <w:r>
        <w:rPr>
          <w:rFonts w:ascii="Arial" w:cs="Arial" w:eastAsia="Arial" w:hAnsi="Arial"/>
          <w:sz w:val="22"/>
          <w:szCs w:val="22"/>
          <w:color w:val="auto"/>
        </w:rPr>
        <w:t>. This Amendment constitutes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u w:val="single" w:color="auto"/>
          <w:color w:val="auto"/>
        </w:rPr>
        <w:t>Confirmation and Effect</w:t>
      </w:r>
      <w:r>
        <w:rPr>
          <w:rFonts w:ascii="Arial" w:cs="Arial" w:eastAsia="Arial" w:hAnsi="Arial"/>
          <w:sz w:val="22"/>
          <w:szCs w:val="22"/>
          <w:color w:val="auto"/>
        </w:rPr>
        <w:t>. The provisions of the Credit Agreement (as amended by this Amendment)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spacing w:after="0" w:line="156"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u w:val="single" w:color="auto"/>
          <w:color w:val="auto"/>
        </w:rPr>
        <w:t>Ratification and Affirmation of Credit Parties</w:t>
      </w:r>
      <w:r>
        <w:rPr>
          <w:rFonts w:ascii="Arial" w:cs="Arial" w:eastAsia="Arial" w:hAnsi="Arial"/>
          <w:sz w:val="22"/>
          <w:szCs w:val="22"/>
          <w:color w:val="auto"/>
        </w:rPr>
        <w:t>. Each of the Credit Parties hereby expressly (i) acknowledges the terms of this Amendment, (ii) ratifies and affirms its obligations under the Guarantee, the Security Documents and the other Credit Documents to which it is a party, (iii) acknowledges, renews and extends its continued liability under the Guarantee, the Security Documents and the other Credit Documents to which it is a party and (iv) agrees that its guarantee under the Guarantee, the Security Documents and the other Credit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|US-DOCS\131473359.3||</w:t>
      </w:r>
    </w:p>
    <w:p>
      <w:pPr>
        <w:sectPr>
          <w:pgSz w:w="11900" w:h="16838" w:orient="portrait"/>
          <w:cols w:equalWidth="0" w:num="1">
            <w:col w:w="11240"/>
          </w:cols>
          <w:pgMar w:left="320" w:top="1395"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Documents to which it is a party remains in full force and effect with respect to the Obligations as amended hereby.</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u w:val="single" w:color="auto"/>
          <w:color w:val="auto"/>
        </w:rPr>
        <w:t>Parties in Interest</w:t>
      </w:r>
      <w:r>
        <w:rPr>
          <w:rFonts w:ascii="Arial" w:cs="Arial" w:eastAsia="Arial" w:hAnsi="Arial"/>
          <w:sz w:val="22"/>
          <w:szCs w:val="22"/>
          <w:color w:val="auto"/>
        </w:rPr>
        <w:t>. All of the terms and provisions of this Amendment shall bind and inure to the benefit of the parties hereto and their respective successors and assigns.</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Counterparts; Facsimile</w:t>
      </w:r>
      <w:r>
        <w:rPr>
          <w:rFonts w:ascii="Arial" w:cs="Arial" w:eastAsia="Arial" w:hAnsi="Arial"/>
          <w:sz w:val="19"/>
          <w:szCs w:val="19"/>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b w:val="1"/>
          <w:bCs w:val="1"/>
          <w:u w:val="single" w:color="auto"/>
          <w:color w:val="auto"/>
        </w:rPr>
        <w:t>COMPLETE AGREEMENT</w:t>
      </w:r>
      <w:r>
        <w:rPr>
          <w:rFonts w:ascii="Arial" w:cs="Arial" w:eastAsia="Arial" w:hAnsi="Arial"/>
          <w:sz w:val="22"/>
          <w:szCs w:val="22"/>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5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b w:val="1"/>
          <w:bCs w:val="1"/>
          <w:u w:val="single" w:color="auto"/>
          <w:color w:val="auto"/>
        </w:rPr>
        <w:t>Interpretation</w:t>
      </w:r>
      <w:r>
        <w:rPr>
          <w:rFonts w:ascii="Arial" w:cs="Arial" w:eastAsia="Arial" w:hAnsi="Arial"/>
          <w:sz w:val="21"/>
          <w:szCs w:val="21"/>
          <w:color w:val="auto"/>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b w:val="1"/>
          <w:bCs w:val="1"/>
          <w:u w:val="single" w:color="auto"/>
          <w:color w:val="auto"/>
        </w:rPr>
        <w:t>Titles of Sections</w:t>
      </w:r>
      <w:r>
        <w:rPr>
          <w:rFonts w:ascii="Arial" w:cs="Arial" w:eastAsia="Arial" w:hAnsi="Arial"/>
          <w:sz w:val="19"/>
          <w:szCs w:val="19"/>
          <w:color w:val="auto"/>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12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b w:val="1"/>
          <w:bCs w:val="1"/>
          <w:u w:val="single" w:color="auto"/>
          <w:color w:val="auto"/>
        </w:rPr>
        <w:t>Payment of Expenses</w:t>
      </w:r>
      <w:r>
        <w:rPr>
          <w:rFonts w:ascii="Arial" w:cs="Arial" w:eastAsia="Arial" w:hAnsi="Arial"/>
          <w:sz w:val="22"/>
          <w:szCs w:val="22"/>
          <w:color w:val="auto"/>
        </w:rPr>
        <w:t>. Borrower agrees to pay or reimburse in accordance with Section 13.5 of the Credit Agreement Administrative Agent for all of its reasonable and documented out-of-pocket costs and expenses incurred in connection with this Amendment, 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|US-DOCS\131473359.3||</w:t>
      </w:r>
    </w:p>
    <w:p>
      <w:pPr>
        <w:sectPr>
          <w:pgSz w:w="11900" w:h="16838" w:orient="portrait"/>
          <w:cols w:equalWidth="0" w:num="1">
            <w:col w:w="11240"/>
          </w:cols>
          <w:pgMar w:left="320" w:top="1401" w:right="339" w:bottom="1440" w:gutter="0" w:footer="0" w:header="0"/>
        </w:sectPr>
      </w:pPr>
    </w:p>
    <w:bookmarkStart w:id="51" w:name="page52"/>
    <w:bookmarkEnd w:id="51"/>
    <w:p>
      <w:pPr>
        <w:jc w:val="both"/>
        <w:spacing w:after="0" w:line="232" w:lineRule="auto"/>
        <w:rPr>
          <w:sz w:val="20"/>
          <w:szCs w:val="20"/>
          <w:color w:val="auto"/>
        </w:rPr>
      </w:pPr>
      <w:r>
        <w:rPr>
          <w:rFonts w:ascii="Arial" w:cs="Arial" w:eastAsia="Arial" w:hAnsi="Arial"/>
          <w:sz w:val="22"/>
          <w:szCs w:val="22"/>
          <w:color w:val="auto"/>
        </w:rPr>
        <w:t>other documents prepared in connection herewith and the transactions contemplated hereby, including, without limitation, the reasonable fees and disbursements of counsel to Administrative Agent.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b w:val="1"/>
          <w:bCs w:val="1"/>
          <w:u w:val="single" w:color="auto"/>
          <w:color w:val="auto"/>
        </w:rPr>
        <w:t>Credit Documents</w:t>
      </w:r>
      <w:r>
        <w:rPr>
          <w:rFonts w:ascii="Arial" w:cs="Arial" w:eastAsia="Arial" w:hAnsi="Arial"/>
          <w:sz w:val="19"/>
          <w:szCs w:val="19"/>
          <w:color w:val="auto"/>
        </w:rPr>
        <w:t>. The Borrower acknowledges and agrees that this Amendment is a Credit Document.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AMENDMENT AND THE RIGHTS AND OBLIGATIONS OF THE PARTIES HEREUNDER SHALL BE GOVERNED BY, AND CONSTRUED AND INTERPRETED IN ACCORDANCE WITH, THE LAW OF THE STATE OF NEW YORK.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|US-DOCS\131473359.3||</w:t>
      </w:r>
    </w:p>
    <w:p>
      <w:pPr>
        <w:sectPr>
          <w:pgSz w:w="11900" w:h="16838" w:orient="portrait"/>
          <w:cols w:equalWidth="0" w:num="1">
            <w:col w:w="11240"/>
          </w:cols>
          <w:pgMar w:left="320" w:top="1401" w:right="339" w:bottom="1440" w:gutter="0" w:footer="0" w:header="0"/>
        </w:sectPr>
      </w:pPr>
    </w:p>
    <w:bookmarkStart w:id="52" w:name="page53"/>
    <w:bookmarkEnd w:id="52"/>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BORROWER:</w:t>
      </w:r>
      <w:r>
        <w:rPr>
          <w:sz w:val="20"/>
          <w:szCs w:val="20"/>
          <w:color w:val="auto"/>
        </w:rPr>
        <w:tab/>
      </w:r>
      <w:r>
        <w:rPr>
          <w:rFonts w:ascii="Arial" w:cs="Arial" w:eastAsia="Arial" w:hAnsi="Arial"/>
          <w:sz w:val="19"/>
          <w:szCs w:val="19"/>
          <w:color w:val="auto"/>
        </w:rPr>
        <w:t>CALIFORNIA RESOURCES CORPORATION</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274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3900"/>
        <w:spacing w:after="0" w:line="204" w:lineRule="auto"/>
        <w:tabs>
          <w:tab w:leader="none" w:pos="4720" w:val="left"/>
        </w:tabs>
        <w:rPr>
          <w:sz w:val="20"/>
          <w:szCs w:val="20"/>
          <w:color w:val="auto"/>
        </w:rPr>
      </w:pPr>
      <w:r>
        <w:rPr>
          <w:rFonts w:ascii="Arial" w:cs="Arial" w:eastAsia="Arial" w:hAnsi="Arial"/>
          <w:sz w:val="22"/>
          <w:szCs w:val="22"/>
          <w:color w:val="auto"/>
        </w:rPr>
        <w:t>Name:</w:t>
        <w:tab/>
        <w:t>Francisco Leon</w:t>
      </w:r>
    </w:p>
    <w:p>
      <w:pPr>
        <w:ind w:left="3900"/>
        <w:spacing w:after="0" w:line="205" w:lineRule="auto"/>
        <w:tabs>
          <w:tab w:leader="none" w:pos="4600" w:val="left"/>
        </w:tabs>
        <w:rPr>
          <w:sz w:val="20"/>
          <w:szCs w:val="20"/>
          <w:color w:val="auto"/>
        </w:rPr>
      </w:pPr>
      <w:r>
        <w:rPr>
          <w:rFonts w:ascii="Arial" w:cs="Arial" w:eastAsia="Arial" w:hAnsi="Arial"/>
          <w:sz w:val="22"/>
          <w:szCs w:val="22"/>
          <w:color w:val="auto"/>
        </w:rPr>
        <w:t>Title:</w:t>
        <w:tab/>
        <w:t>Executive Vice President and</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6"/>
          <w:szCs w:val="16"/>
          <w:color w:val="auto"/>
        </w:rPr>
        <w:t>Third Amendment – California Resources Corporation</w:t>
      </w:r>
    </w:p>
    <w:p>
      <w:pPr>
        <w:sectPr>
          <w:pgSz w:w="11900" w:h="16838" w:orient="portrait"/>
          <w:cols w:equalWidth="0" w:num="1">
            <w:col w:w="11240"/>
          </w:cols>
          <w:pgMar w:left="320" w:top="1401" w:right="339" w:bottom="1440" w:gutter="0" w:footer="0" w:header="0"/>
        </w:sectPr>
      </w:pPr>
    </w:p>
    <w:bookmarkStart w:id="53" w:name="page54"/>
    <w:bookmarkEnd w:id="53"/>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SUBSIDIARY GRANTORS: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CALIFORNIA RESOURCES COLES LEVEE, LLC</w:t>
      </w:r>
    </w:p>
    <w:p>
      <w:pPr>
        <w:spacing w:after="0" w:line="204" w:lineRule="auto"/>
        <w:rPr>
          <w:sz w:val="20"/>
          <w:szCs w:val="20"/>
          <w:color w:val="auto"/>
        </w:rPr>
      </w:pPr>
      <w:r>
        <w:rPr>
          <w:rFonts w:ascii="Arial" w:cs="Arial" w:eastAsia="Arial" w:hAnsi="Arial"/>
          <w:sz w:val="22"/>
          <w:szCs w:val="22"/>
          <w:color w:val="auto"/>
        </w:rPr>
        <w:t>CALIFORNIA RESOURCES ELK HILLS, LLC</w:t>
      </w:r>
    </w:p>
    <w:p>
      <w:pPr>
        <w:spacing w:after="0" w:line="205" w:lineRule="auto"/>
        <w:rPr>
          <w:sz w:val="20"/>
          <w:szCs w:val="20"/>
          <w:color w:val="auto"/>
        </w:rPr>
      </w:pPr>
      <w:r>
        <w:rPr>
          <w:rFonts w:ascii="Arial" w:cs="Arial" w:eastAsia="Arial" w:hAnsi="Arial"/>
          <w:sz w:val="22"/>
          <w:szCs w:val="22"/>
          <w:color w:val="auto"/>
        </w:rPr>
        <w:t>CALIFORNIA RESOURCES LONG BEACH, INC.</w:t>
      </w:r>
    </w:p>
    <w:p>
      <w:pPr>
        <w:spacing w:after="0" w:line="215" w:lineRule="auto"/>
        <w:rPr>
          <w:sz w:val="20"/>
          <w:szCs w:val="20"/>
          <w:color w:val="auto"/>
        </w:rPr>
      </w:pPr>
      <w:r>
        <w:rPr>
          <w:rFonts w:ascii="Arial" w:cs="Arial" w:eastAsia="Arial" w:hAnsi="Arial"/>
          <w:sz w:val="21"/>
          <w:szCs w:val="21"/>
          <w:color w:val="auto"/>
        </w:rPr>
        <w:t>CALIFORNIA RESOURCES PETROLEUM CORPORATION</w:t>
      </w:r>
    </w:p>
    <w:p>
      <w:pPr>
        <w:spacing w:after="0" w:line="237" w:lineRule="auto"/>
        <w:rPr>
          <w:sz w:val="20"/>
          <w:szCs w:val="20"/>
          <w:color w:val="auto"/>
        </w:rPr>
      </w:pPr>
      <w:r>
        <w:rPr>
          <w:rFonts w:ascii="Arial" w:cs="Arial" w:eastAsia="Arial" w:hAnsi="Arial"/>
          <w:sz w:val="19"/>
          <w:szCs w:val="19"/>
          <w:color w:val="auto"/>
        </w:rPr>
        <w:t>CALIFORNIA RESOURCES PRODUCTION CORPORATION</w:t>
      </w:r>
    </w:p>
    <w:p>
      <w:pPr>
        <w:spacing w:after="0" w:line="238" w:lineRule="auto"/>
        <w:rPr>
          <w:sz w:val="20"/>
          <w:szCs w:val="20"/>
          <w:color w:val="auto"/>
        </w:rPr>
      </w:pPr>
      <w:r>
        <w:rPr>
          <w:rFonts w:ascii="Arial" w:cs="Arial" w:eastAsia="Arial" w:hAnsi="Arial"/>
          <w:sz w:val="19"/>
          <w:szCs w:val="19"/>
          <w:color w:val="auto"/>
        </w:rPr>
        <w:t>CALIFORNIA RESOURCES REAL ESTATE VENTURES, LLC</w:t>
      </w:r>
    </w:p>
    <w:p>
      <w:pPr>
        <w:spacing w:after="0" w:line="205" w:lineRule="auto"/>
        <w:rPr>
          <w:sz w:val="20"/>
          <w:szCs w:val="20"/>
          <w:color w:val="auto"/>
        </w:rPr>
      </w:pPr>
      <w:r>
        <w:rPr>
          <w:rFonts w:ascii="Arial" w:cs="Arial" w:eastAsia="Arial" w:hAnsi="Arial"/>
          <w:sz w:val="22"/>
          <w:szCs w:val="22"/>
          <w:color w:val="auto"/>
        </w:rPr>
        <w:t>CALIFORNIA RESOURCES ROYALTY HOLDINGS, LLC</w:t>
      </w:r>
    </w:p>
    <w:p>
      <w:pPr>
        <w:spacing w:after="0" w:line="205" w:lineRule="auto"/>
        <w:rPr>
          <w:sz w:val="20"/>
          <w:szCs w:val="20"/>
          <w:color w:val="auto"/>
        </w:rPr>
      </w:pPr>
      <w:r>
        <w:rPr>
          <w:rFonts w:ascii="Arial" w:cs="Arial" w:eastAsia="Arial" w:hAnsi="Arial"/>
          <w:sz w:val="22"/>
          <w:szCs w:val="22"/>
          <w:color w:val="auto"/>
        </w:rPr>
        <w:t>CALIFORNIA RESOURCES TIDELANDS, INC.</w:t>
      </w:r>
    </w:p>
    <w:p>
      <w:pPr>
        <w:spacing w:after="0" w:line="204" w:lineRule="auto"/>
        <w:rPr>
          <w:sz w:val="20"/>
          <w:szCs w:val="20"/>
          <w:color w:val="auto"/>
        </w:rPr>
      </w:pPr>
      <w:r>
        <w:rPr>
          <w:rFonts w:ascii="Arial" w:cs="Arial" w:eastAsia="Arial" w:hAnsi="Arial"/>
          <w:sz w:val="22"/>
          <w:szCs w:val="22"/>
          <w:color w:val="auto"/>
        </w:rPr>
        <w:t>CALIFORNIA RESOURCES WILMINGTON, LLC</w:t>
      </w:r>
    </w:p>
    <w:p>
      <w:pPr>
        <w:spacing w:after="0" w:line="205" w:lineRule="auto"/>
        <w:rPr>
          <w:sz w:val="20"/>
          <w:szCs w:val="20"/>
          <w:color w:val="auto"/>
        </w:rPr>
      </w:pPr>
      <w:r>
        <w:rPr>
          <w:rFonts w:ascii="Arial" w:cs="Arial" w:eastAsia="Arial" w:hAnsi="Arial"/>
          <w:sz w:val="22"/>
          <w:szCs w:val="22"/>
          <w:color w:val="auto"/>
        </w:rPr>
        <w:t>CRC CONSTRUCTION SERVICES, LLC</w:t>
      </w:r>
    </w:p>
    <w:p>
      <w:pPr>
        <w:spacing w:after="0" w:line="205" w:lineRule="auto"/>
        <w:rPr>
          <w:sz w:val="20"/>
          <w:szCs w:val="20"/>
          <w:color w:val="auto"/>
        </w:rPr>
      </w:pPr>
      <w:r>
        <w:rPr>
          <w:rFonts w:ascii="Arial" w:cs="Arial" w:eastAsia="Arial" w:hAnsi="Arial"/>
          <w:sz w:val="22"/>
          <w:szCs w:val="22"/>
          <w:color w:val="auto"/>
        </w:rPr>
        <w:t>CRC MARKETING, INC.</w:t>
      </w:r>
    </w:p>
    <w:p>
      <w:pPr>
        <w:spacing w:after="0" w:line="205" w:lineRule="auto"/>
        <w:rPr>
          <w:sz w:val="20"/>
          <w:szCs w:val="20"/>
          <w:color w:val="auto"/>
        </w:rPr>
      </w:pPr>
      <w:r>
        <w:rPr>
          <w:rFonts w:ascii="Arial" w:cs="Arial" w:eastAsia="Arial" w:hAnsi="Arial"/>
          <w:sz w:val="22"/>
          <w:szCs w:val="22"/>
          <w:color w:val="auto"/>
        </w:rPr>
        <w:t>CRC SERVICES, LLC</w:t>
      </w:r>
    </w:p>
    <w:p>
      <w:pPr>
        <w:spacing w:after="0" w:line="205" w:lineRule="auto"/>
        <w:rPr>
          <w:sz w:val="20"/>
          <w:szCs w:val="20"/>
          <w:color w:val="auto"/>
        </w:rPr>
      </w:pPr>
      <w:r>
        <w:rPr>
          <w:rFonts w:ascii="Arial" w:cs="Arial" w:eastAsia="Arial" w:hAnsi="Arial"/>
          <w:sz w:val="22"/>
          <w:szCs w:val="22"/>
          <w:color w:val="auto"/>
        </w:rPr>
        <w:t>SOCAL HOLDING, LLC</w:t>
      </w:r>
    </w:p>
    <w:p>
      <w:pPr>
        <w:spacing w:after="0" w:line="205" w:lineRule="auto"/>
        <w:rPr>
          <w:sz w:val="20"/>
          <w:szCs w:val="20"/>
          <w:color w:val="auto"/>
        </w:rPr>
      </w:pPr>
      <w:r>
        <w:rPr>
          <w:rFonts w:ascii="Arial" w:cs="Arial" w:eastAsia="Arial" w:hAnsi="Arial"/>
          <w:sz w:val="22"/>
          <w:szCs w:val="22"/>
          <w:color w:val="auto"/>
        </w:rPr>
        <w:t>SOUTHERN SAN JOAQUIN PRODUCTION, INC.</w:t>
      </w:r>
    </w:p>
    <w:p>
      <w:pPr>
        <w:spacing w:after="0" w:line="205" w:lineRule="auto"/>
        <w:rPr>
          <w:sz w:val="20"/>
          <w:szCs w:val="20"/>
          <w:color w:val="auto"/>
        </w:rPr>
      </w:pPr>
      <w:r>
        <w:rPr>
          <w:rFonts w:ascii="Arial" w:cs="Arial" w:eastAsia="Arial" w:hAnsi="Arial"/>
          <w:sz w:val="22"/>
          <w:szCs w:val="22"/>
          <w:color w:val="auto"/>
        </w:rPr>
        <w:t>THUMS LONG BEACH COMPANY</w:t>
      </w:r>
    </w:p>
    <w:p>
      <w:pPr>
        <w:spacing w:after="0" w:line="205" w:lineRule="auto"/>
        <w:rPr>
          <w:sz w:val="20"/>
          <w:szCs w:val="20"/>
          <w:color w:val="auto"/>
        </w:rPr>
      </w:pPr>
      <w:r>
        <w:rPr>
          <w:rFonts w:ascii="Arial" w:cs="Arial" w:eastAsia="Arial" w:hAnsi="Arial"/>
          <w:sz w:val="22"/>
          <w:szCs w:val="22"/>
          <w:color w:val="auto"/>
        </w:rPr>
        <w:t>TIDELANDS OIL PRODUCTION COMPANY LLC</w:t>
      </w:r>
    </w:p>
    <w:p>
      <w:pPr>
        <w:spacing w:after="0" w:line="205" w:lineRule="auto"/>
        <w:rPr>
          <w:sz w:val="20"/>
          <w:szCs w:val="20"/>
          <w:color w:val="auto"/>
        </w:rPr>
      </w:pPr>
      <w:r>
        <w:rPr>
          <w:rFonts w:ascii="Arial" w:cs="Arial" w:eastAsia="Arial" w:hAnsi="Arial"/>
          <w:sz w:val="22"/>
          <w:szCs w:val="22"/>
          <w:color w:val="auto"/>
        </w:rPr>
        <w:t>CALIFORNIA HEAVY OIL, INC.</w:t>
      </w:r>
    </w:p>
    <w:p>
      <w:pPr>
        <w:spacing w:after="0" w:line="205" w:lineRule="auto"/>
        <w:rPr>
          <w:sz w:val="20"/>
          <w:szCs w:val="20"/>
          <w:color w:val="auto"/>
        </w:rPr>
      </w:pPr>
      <w:r>
        <w:rPr>
          <w:rFonts w:ascii="Arial" w:cs="Arial" w:eastAsia="Arial" w:hAnsi="Arial"/>
          <w:sz w:val="22"/>
          <w:szCs w:val="22"/>
          <w:color w:val="auto"/>
        </w:rPr>
        <w:t>ELK HILLS POWER, LLC</w:t>
      </w:r>
    </w:p>
    <w:p>
      <w:pPr>
        <w:spacing w:after="0" w:line="205" w:lineRule="auto"/>
        <w:rPr>
          <w:sz w:val="20"/>
          <w:szCs w:val="20"/>
          <w:color w:val="auto"/>
        </w:rPr>
      </w:pPr>
      <w:r>
        <w:rPr>
          <w:rFonts w:ascii="Arial" w:cs="Arial" w:eastAsia="Arial" w:hAnsi="Arial"/>
          <w:sz w:val="22"/>
          <w:szCs w:val="22"/>
          <w:color w:val="auto"/>
        </w:rPr>
        <w:t>EHP TOPCO HOLDING COMPANY, LLC</w:t>
      </w:r>
    </w:p>
    <w:p>
      <w:pPr>
        <w:spacing w:after="0"/>
        <w:rPr>
          <w:sz w:val="20"/>
          <w:szCs w:val="20"/>
          <w:color w:val="auto"/>
        </w:rPr>
      </w:pPr>
      <w:r>
        <w:rPr>
          <w:rFonts w:ascii="Arial" w:cs="Arial" w:eastAsia="Arial" w:hAnsi="Arial"/>
          <w:sz w:val="22"/>
          <w:szCs w:val="22"/>
          <w:color w:val="auto"/>
        </w:rPr>
        <w:t>EHP MIDCO HOLDING COMPANY, LLC</w:t>
      </w:r>
    </w:p>
    <w:p>
      <w:pPr>
        <w:spacing w:after="0" w:line="200" w:lineRule="exact"/>
        <w:rPr>
          <w:sz w:val="20"/>
          <w:szCs w:val="20"/>
          <w:color w:val="auto"/>
        </w:rPr>
      </w:pPr>
    </w:p>
    <w:p>
      <w:pPr>
        <w:sectPr>
          <w:pgSz w:w="11900" w:h="16838" w:orient="portrait"/>
          <w:cols w:equalWidth="0" w:num="2">
            <w:col w:w="4400" w:space="720"/>
            <w:col w:w="5940"/>
          </w:cols>
          <w:pgMar w:left="340" w:top="1436" w:right="499" w:bottom="1440" w:gutter="0" w:footer="0" w:header="0"/>
        </w:sectPr>
      </w:pPr>
    </w:p>
    <w:p>
      <w:pPr>
        <w:spacing w:after="0" w:line="299"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By:</w:t>
      </w:r>
    </w:p>
    <w:p>
      <w:pPr>
        <w:sectPr>
          <w:pgSz w:w="11900" w:h="16838" w:orient="portrait"/>
          <w:cols w:equalWidth="0" w:num="1">
            <w:col w:w="11060"/>
          </w:cols>
          <w:pgMar w:left="340" w:top="1436" w:right="499" w:bottom="1440" w:gutter="0" w:footer="0" w:header="0"/>
          <w:type w:val="continuous"/>
        </w:sectPr>
      </w:pPr>
    </w:p>
    <w:p>
      <w:pPr>
        <w:spacing w:after="0" w:line="21"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Francisco Leon</w:t>
      </w:r>
    </w:p>
    <w:p>
      <w:pPr>
        <w:spacing w:after="0" w:line="52" w:lineRule="exact"/>
        <w:rPr>
          <w:sz w:val="20"/>
          <w:szCs w:val="20"/>
          <w:color w:val="auto"/>
        </w:rPr>
      </w:pPr>
    </w:p>
    <w:p>
      <w:pPr>
        <w:sectPr>
          <w:pgSz w:w="11900" w:h="16838" w:orient="portrait"/>
          <w:cols w:equalWidth="0" w:num="2">
            <w:col w:w="5700" w:space="220"/>
            <w:col w:w="5140"/>
          </w:cols>
          <w:pgMar w:left="340" w:top="1436" w:right="499" w:bottom="1440" w:gutter="0" w:footer="0" w:header="0"/>
          <w:type w:val="continuous"/>
        </w:sectPr>
      </w:pPr>
    </w:p>
    <w:p>
      <w:pPr>
        <w:ind w:left="51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Executive Vice President and</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ectPr>
          <w:pgSz w:w="11900" w:h="16838" w:orient="portrait"/>
          <w:cols w:equalWidth="0" w:num="2">
            <w:col w:w="5580" w:space="220"/>
            <w:col w:w="5260"/>
          </w:cols>
          <w:pgMar w:left="340" w:top="1436" w:right="499" w:bottom="1440" w:gutter="0" w:footer="0" w:header="0"/>
          <w:type w:val="continuous"/>
        </w:sect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CALIFORNIA RESOURCES COLES LEVEE, L.P.</w:t>
      </w:r>
    </w:p>
    <w:p>
      <w:pPr>
        <w:spacing w:after="0" w:line="247"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Name: Francisco Leon</w:t>
      </w:r>
    </w:p>
    <w:p>
      <w:pPr>
        <w:spacing w:after="0" w:line="17" w:lineRule="exact"/>
        <w:rPr>
          <w:sz w:val="20"/>
          <w:szCs w:val="20"/>
          <w:color w:val="auto"/>
        </w:rPr>
      </w:pPr>
    </w:p>
    <w:p>
      <w:pPr>
        <w:ind w:left="5880" w:hanging="634"/>
        <w:spacing w:after="0" w:line="293" w:lineRule="auto"/>
        <w:rPr>
          <w:sz w:val="20"/>
          <w:szCs w:val="20"/>
          <w:color w:val="auto"/>
        </w:rPr>
      </w:pPr>
      <w:r>
        <w:rPr>
          <w:rFonts w:ascii="Arial" w:cs="Arial" w:eastAsia="Arial" w:hAnsi="Arial"/>
          <w:sz w:val="19"/>
          <w:szCs w:val="19"/>
          <w:color w:val="auto"/>
        </w:rPr>
        <w:t>Title: Executive Vice President and Chief Financial Officer of California Resources Coles Levee, LLC, its General Partner</w:t>
      </w:r>
    </w:p>
    <w:p>
      <w:pPr>
        <w:sectPr>
          <w:pgSz w:w="11900" w:h="16838" w:orient="portrait"/>
          <w:cols w:equalWidth="0" w:num="1">
            <w:col w:w="11060"/>
          </w:cols>
          <w:pgMar w:left="340" w:top="143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Signature Page</w:t>
      </w:r>
    </w:p>
    <w:p>
      <w:pPr>
        <w:jc w:val="center"/>
        <w:ind w:right="-139"/>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11060"/>
          </w:cols>
          <w:pgMar w:left="340" w:top="1436" w:right="499" w:bottom="1440" w:gutter="0" w:footer="0" w:header="0"/>
          <w:type w:val="continuous"/>
        </w:sectPr>
      </w:pPr>
    </w:p>
    <w:bookmarkStart w:id="54" w:name="page55"/>
    <w:bookmarkEnd w:id="54"/>
    <w:p>
      <w:pPr>
        <w:ind w:left="2780"/>
        <w:spacing w:after="0"/>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w:t>
      </w:r>
    </w:p>
    <w:p>
      <w:pPr>
        <w:ind w:left="2780"/>
        <w:spacing w:after="0"/>
        <w:rPr>
          <w:sz w:val="20"/>
          <w:szCs w:val="20"/>
          <w:color w:val="auto"/>
        </w:rPr>
      </w:pPr>
      <w:r>
        <w:rPr>
          <w:rFonts w:ascii="Arial" w:cs="Arial" w:eastAsia="Arial" w:hAnsi="Arial"/>
          <w:sz w:val="19"/>
          <w:szCs w:val="19"/>
          <w:color w:val="auto"/>
        </w:rPr>
        <w:t>as Administrative Agent and as Collateral Agent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-5715</wp:posOffset>
            </wp:positionV>
            <wp:extent cx="822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w:t>
      </w:r>
    </w:p>
    <w:p>
      <w:pPr>
        <w:ind w:left="278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-5715</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9019"/>
          </w:cols>
          <w:pgMar w:left="1440" w:top="1382" w:right="1440" w:bottom="1440" w:gutter="0" w:footer="0" w:header="0"/>
        </w:sectPr>
      </w:pPr>
    </w:p>
    <w:bookmarkStart w:id="55" w:name="page56"/>
    <w:bookmarkEnd w:id="55"/>
    <w:p>
      <w:pPr>
        <w:ind w:left="400"/>
        <w:spacing w:after="0"/>
        <w:rPr>
          <w:sz w:val="20"/>
          <w:szCs w:val="20"/>
          <w:color w:val="auto"/>
        </w:rPr>
      </w:pPr>
      <w:r>
        <w:rPr>
          <w:rFonts w:ascii="Arial" w:cs="Arial" w:eastAsia="Arial" w:hAnsi="Arial"/>
          <w:sz w:val="22"/>
          <w:szCs w:val="22"/>
          <w:b w:val="1"/>
          <w:bCs w:val="1"/>
          <w:color w:val="auto"/>
        </w:rPr>
        <w:t>KEYBANK, NATIONAL</w:t>
      </w:r>
    </w:p>
    <w:p>
      <w:pPr>
        <w:ind w:left="3420"/>
        <w:spacing w:after="0" w:line="204" w:lineRule="auto"/>
        <w:rPr>
          <w:sz w:val="20"/>
          <w:szCs w:val="20"/>
          <w:color w:val="auto"/>
        </w:rPr>
      </w:pPr>
      <w:r>
        <w:rPr>
          <w:rFonts w:ascii="Arial" w:cs="Arial" w:eastAsia="Arial" w:hAnsi="Arial"/>
          <w:sz w:val="22"/>
          <w:szCs w:val="22"/>
          <w:b w:val="1"/>
          <w:bCs w:val="1"/>
          <w:color w:val="auto"/>
        </w:rPr>
        <w:t>ASSOCIATION</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9019"/>
          </w:cols>
          <w:pgMar w:left="1440" w:top="1382" w:right="1440" w:bottom="1440" w:gutter="0" w:footer="0" w:header="0"/>
        </w:sectPr>
      </w:pPr>
    </w:p>
    <w:bookmarkStart w:id="56" w:name="page57"/>
    <w:bookmarkEnd w:id="56"/>
    <w:p>
      <w:pPr>
        <w:ind w:left="2780"/>
        <w:spacing w:after="0"/>
        <w:rPr>
          <w:sz w:val="20"/>
          <w:szCs w:val="20"/>
          <w:color w:val="auto"/>
        </w:rPr>
      </w:pPr>
      <w:r>
        <w:rPr>
          <w:rFonts w:ascii="Arial" w:cs="Arial" w:eastAsia="Arial" w:hAnsi="Arial"/>
          <w:sz w:val="22"/>
          <w:szCs w:val="22"/>
          <w:b w:val="1"/>
          <w:bCs w:val="1"/>
          <w:color w:val="auto"/>
        </w:rPr>
        <w:t>MUFG UNION BANK, N.A.</w:t>
      </w:r>
      <w:r>
        <w:rPr>
          <w:rFonts w:ascii="Arial" w:cs="Arial" w:eastAsia="Arial" w:hAnsi="Arial"/>
          <w:sz w:val="22"/>
          <w:szCs w:val="22"/>
          <w:color w:val="auto"/>
        </w:rPr>
        <w:t>,</w:t>
      </w: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9019"/>
          </w:cols>
          <w:pgMar w:left="1440" w:top="1382" w:right="1440" w:bottom="1440" w:gutter="0" w:footer="0" w:header="0"/>
        </w:sectPr>
      </w:pPr>
    </w:p>
    <w:bookmarkStart w:id="57" w:name="page58"/>
    <w:bookmarkEnd w:id="57"/>
    <w:p>
      <w:pPr>
        <w:ind w:left="2780"/>
        <w:spacing w:after="0"/>
        <w:rPr>
          <w:sz w:val="20"/>
          <w:szCs w:val="20"/>
          <w:color w:val="auto"/>
        </w:rPr>
      </w:pPr>
      <w:r>
        <w:rPr>
          <w:rFonts w:ascii="Arial" w:cs="Arial" w:eastAsia="Arial" w:hAnsi="Arial"/>
          <w:sz w:val="22"/>
          <w:szCs w:val="22"/>
          <w:b w:val="1"/>
          <w:bCs w:val="1"/>
          <w:color w:val="auto"/>
        </w:rPr>
        <w:t>MIZUHO BANK, LTD.</w:t>
      </w:r>
      <w:r>
        <w:rPr>
          <w:rFonts w:ascii="Arial" w:cs="Arial" w:eastAsia="Arial" w:hAnsi="Arial"/>
          <w:sz w:val="22"/>
          <w:szCs w:val="22"/>
          <w:color w:val="auto"/>
        </w:rPr>
        <w:t>,</w:t>
      </w: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9019"/>
          </w:cols>
          <w:pgMar w:left="1440" w:top="1382" w:right="1440" w:bottom="1440" w:gutter="0" w:footer="0" w:header="0"/>
        </w:sectPr>
      </w:pPr>
    </w:p>
    <w:bookmarkStart w:id="58" w:name="page59"/>
    <w:bookmarkEnd w:id="58"/>
    <w:p>
      <w:pPr>
        <w:ind w:left="2780"/>
        <w:spacing w:after="0"/>
        <w:rPr>
          <w:sz w:val="20"/>
          <w:szCs w:val="20"/>
          <w:color w:val="auto"/>
        </w:rPr>
      </w:pPr>
      <w:r>
        <w:rPr>
          <w:rFonts w:ascii="Arial" w:cs="Arial" w:eastAsia="Arial" w:hAnsi="Arial"/>
          <w:sz w:val="22"/>
          <w:szCs w:val="22"/>
          <w:b w:val="1"/>
          <w:bCs w:val="1"/>
          <w:color w:val="auto"/>
        </w:rPr>
        <w:t>ROYAL BANK OF CANADA</w:t>
      </w:r>
      <w:r>
        <w:rPr>
          <w:rFonts w:ascii="Arial" w:cs="Arial" w:eastAsia="Arial" w:hAnsi="Arial"/>
          <w:sz w:val="22"/>
          <w:szCs w:val="22"/>
          <w:color w:val="auto"/>
        </w:rPr>
        <w:t>,</w:t>
      </w: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9019"/>
          </w:cols>
          <w:pgMar w:left="1440" w:top="1382" w:right="1440" w:bottom="1440" w:gutter="0" w:footer="0" w:header="0"/>
        </w:sectPr>
      </w:pPr>
    </w:p>
    <w:bookmarkStart w:id="59" w:name="page60"/>
    <w:bookmarkEnd w:id="59"/>
    <w:p>
      <w:pPr>
        <w:jc w:val="right"/>
        <w:ind w:right="2279"/>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w:t>
      </w: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w:t>
      </w:r>
    </w:p>
    <w:p>
      <w:pPr>
        <w:jc w:val="center"/>
        <w:spacing w:after="0"/>
        <w:rPr>
          <w:sz w:val="20"/>
          <w:szCs w:val="20"/>
          <w:color w:val="auto"/>
        </w:rPr>
      </w:pPr>
      <w:r>
        <w:rPr>
          <w:rFonts w:ascii="Arial" w:cs="Arial" w:eastAsia="Arial" w:hAnsi="Arial"/>
          <w:sz w:val="16"/>
          <w:szCs w:val="16"/>
          <w:color w:val="auto"/>
        </w:rPr>
        <w:t>Third Amendment – California Resources Corporation</w:t>
      </w:r>
    </w:p>
    <w:p>
      <w:pPr>
        <w:sectPr>
          <w:pgSz w:w="11900" w:h="16838" w:orient="portrait"/>
          <w:cols w:equalWidth="0" w:num="1">
            <w:col w:w="9019"/>
          </w:cols>
          <w:pgMar w:left="1440" w:top="1382" w:right="1440"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w:t>
      </w:r>
    </w:p>
    <w:p>
      <w:pPr>
        <w:ind w:left="4540"/>
        <w:spacing w:after="0" w:line="204" w:lineRule="auto"/>
        <w:rPr>
          <w:sz w:val="20"/>
          <w:szCs w:val="20"/>
          <w:color w:val="auto"/>
        </w:rPr>
      </w:pPr>
      <w:r>
        <w:rPr>
          <w:rFonts w:ascii="Arial" w:cs="Arial" w:eastAsia="Arial" w:hAnsi="Arial"/>
          <w:sz w:val="22"/>
          <w:szCs w:val="22"/>
          <w:b w:val="1"/>
          <w:bCs w:val="1"/>
          <w:color w:val="auto"/>
        </w:rPr>
        <w:t>JEFFERIES FINANCE LLC</w:t>
      </w:r>
      <w:r>
        <w:rPr>
          <w:rFonts w:ascii="Arial" w:cs="Arial" w:eastAsia="Arial" w:hAnsi="Arial"/>
          <w:sz w:val="22"/>
          <w:szCs w:val="22"/>
          <w:color w:val="auto"/>
        </w:rPr>
        <w:t>,</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-5715</wp:posOffset>
            </wp:positionV>
            <wp:extent cx="822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w:t>
      </w:r>
    </w:p>
    <w:p>
      <w:pPr>
        <w:jc w:val="center"/>
        <w:ind w:right="-1100"/>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10139"/>
          </w:cols>
          <w:pgMar w:left="320" w:top="1382" w:right="1440" w:bottom="1440" w:gutter="0" w:footer="0" w:header="0"/>
        </w:sectPr>
      </w:pPr>
    </w:p>
    <w:bookmarkStart w:id="61" w:name="page62"/>
    <w:bookmarkEnd w:id="61"/>
    <w:p>
      <w:pPr>
        <w:spacing w:after="0" w:line="197"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MORGAN STANLEY SENIOR</w:t>
      </w:r>
    </w:p>
    <w:p>
      <w:pPr>
        <w:ind w:left="3420"/>
        <w:spacing w:after="0" w:line="204" w:lineRule="auto"/>
        <w:rPr>
          <w:sz w:val="20"/>
          <w:szCs w:val="20"/>
          <w:color w:val="auto"/>
        </w:rPr>
      </w:pPr>
      <w:r>
        <w:rPr>
          <w:rFonts w:ascii="Arial" w:cs="Arial" w:eastAsia="Arial" w:hAnsi="Arial"/>
          <w:sz w:val="22"/>
          <w:szCs w:val="22"/>
          <w:b w:val="1"/>
          <w:bCs w:val="1"/>
          <w:color w:val="auto"/>
        </w:rPr>
        <w:t>FUNDING INC.</w:t>
      </w:r>
      <w:r>
        <w:rPr>
          <w:rFonts w:ascii="Arial" w:cs="Arial" w:eastAsia="Arial" w:hAnsi="Arial"/>
          <w:sz w:val="22"/>
          <w:szCs w:val="22"/>
          <w:color w:val="auto"/>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w:t>
      </w:r>
    </w:p>
    <w:p>
      <w:pPr>
        <w:jc w:val="center"/>
        <w:spacing w:after="0"/>
        <w:rPr>
          <w:sz w:val="20"/>
          <w:szCs w:val="20"/>
          <w:color w:val="auto"/>
        </w:rPr>
      </w:pPr>
      <w:r>
        <w:rPr>
          <w:rFonts w:ascii="Arial" w:cs="Arial" w:eastAsia="Arial" w:hAnsi="Arial"/>
          <w:sz w:val="15"/>
          <w:szCs w:val="15"/>
          <w:color w:val="auto"/>
        </w:rPr>
        <w:t>Third Amendment – California Resources Corporation</w:t>
      </w:r>
    </w:p>
    <w:p>
      <w:pPr>
        <w:sectPr>
          <w:pgSz w:w="11900" w:h="16838" w:orient="portrait"/>
          <w:cols w:equalWidth="0" w:num="1">
            <w:col w:w="9019"/>
          </w:cols>
          <w:pgMar w:left="1440" w:top="1440" w:right="1440" w:bottom="1440" w:gutter="0" w:footer="0" w:header="0"/>
        </w:sectPr>
      </w:pPr>
    </w:p>
    <w:bookmarkStart w:id="62" w:name="page63"/>
    <w:bookmarkEnd w:id="62"/>
    <w:p>
      <w:pPr>
        <w:jc w:val="right"/>
        <w:ind w:right="1699"/>
        <w:spacing w:after="0"/>
        <w:rPr>
          <w:sz w:val="20"/>
          <w:szCs w:val="20"/>
          <w:color w:val="auto"/>
        </w:rPr>
      </w:pPr>
      <w:r>
        <w:rPr>
          <w:rFonts w:ascii="Arial" w:cs="Arial" w:eastAsia="Arial" w:hAnsi="Arial"/>
          <w:sz w:val="22"/>
          <w:szCs w:val="22"/>
          <w:b w:val="1"/>
          <w:bCs w:val="1"/>
          <w:color w:val="auto"/>
        </w:rPr>
        <w:t>MACQUARIE INVESTMENTS US INC.</w:t>
      </w:r>
      <w:r>
        <w:rPr>
          <w:rFonts w:ascii="Arial" w:cs="Arial" w:eastAsia="Arial" w:hAnsi="Arial"/>
          <w:sz w:val="22"/>
          <w:szCs w:val="22"/>
          <w:color w:val="auto"/>
        </w:rPr>
        <w:t>,</w:t>
      </w: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6"/>
          <w:szCs w:val="16"/>
          <w:color w:val="auto"/>
        </w:rPr>
        <w:t>Third Amendment – California Resources Corporation</w:t>
      </w:r>
    </w:p>
    <w:p>
      <w:pPr>
        <w:sectPr>
          <w:pgSz w:w="11900" w:h="16838" w:orient="portrait"/>
          <w:cols w:equalWidth="0" w:num="1">
            <w:col w:w="9019"/>
          </w:cols>
          <w:pgMar w:left="1440" w:top="1382" w:right="1440" w:bottom="1440" w:gutter="0" w:footer="0" w:header="0"/>
        </w:sectPr>
      </w:pPr>
    </w:p>
    <w:bookmarkStart w:id="63" w:name="page64"/>
    <w:bookmarkEnd w:id="63"/>
    <w:p>
      <w:pPr>
        <w:jc w:val="center"/>
        <w:ind w:right="-300"/>
        <w:spacing w:after="0"/>
        <w:rPr>
          <w:sz w:val="20"/>
          <w:szCs w:val="20"/>
          <w:color w:val="auto"/>
        </w:rPr>
      </w:pPr>
      <w:r>
        <w:rPr>
          <w:rFonts w:ascii="Arial" w:cs="Arial" w:eastAsia="Arial" w:hAnsi="Arial"/>
          <w:sz w:val="21"/>
          <w:szCs w:val="21"/>
          <w:b w:val="1"/>
          <w:bCs w:val="1"/>
          <w:color w:val="auto"/>
        </w:rPr>
        <w:t>BP ENERGY COMPANY</w:t>
      </w:r>
      <w:r>
        <w:rPr>
          <w:rFonts w:ascii="Arial" w:cs="Arial" w:eastAsia="Arial" w:hAnsi="Arial"/>
          <w:sz w:val="21"/>
          <w:szCs w:val="21"/>
          <w:color w:val="auto"/>
        </w:rPr>
        <w:t>,</w:t>
      </w: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393" w:right="1440" w:bottom="5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9019"/>
          </w:cols>
          <w:pgMar w:left="1440" w:top="1393" w:right="1440" w:bottom="565" w:gutter="0" w:footer="0" w:header="0"/>
          <w:type w:val="continuous"/>
        </w:sectPr>
      </w:pPr>
    </w:p>
    <w:bookmarkStart w:id="64" w:name="page65"/>
    <w:bookmarkEnd w:id="64"/>
    <w:p>
      <w:pPr>
        <w:jc w:val="right"/>
        <w:ind w:right="2399"/>
        <w:spacing w:after="0"/>
        <w:rPr>
          <w:sz w:val="20"/>
          <w:szCs w:val="20"/>
          <w:color w:val="auto"/>
        </w:rPr>
      </w:pPr>
      <w:r>
        <w:rPr>
          <w:rFonts w:ascii="Arial" w:cs="Arial" w:eastAsia="Arial" w:hAnsi="Arial"/>
          <w:sz w:val="22"/>
          <w:szCs w:val="22"/>
          <w:b w:val="1"/>
          <w:bCs w:val="1"/>
          <w:color w:val="auto"/>
        </w:rPr>
        <w:t>GOLDMAN SACHS BANK, USA</w:t>
      </w:r>
      <w:r>
        <w:rPr>
          <w:rFonts w:ascii="Arial" w:cs="Arial" w:eastAsia="Arial" w:hAnsi="Arial"/>
          <w:sz w:val="22"/>
          <w:szCs w:val="22"/>
          <w:color w:val="auto"/>
        </w:rPr>
        <w:t>,</w:t>
      </w: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382" w:right="1440"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jc w:val="center"/>
        <w:ind w:right="19"/>
        <w:spacing w:after="0"/>
        <w:rPr>
          <w:sz w:val="20"/>
          <w:szCs w:val="20"/>
          <w:color w:val="auto"/>
        </w:rPr>
      </w:pPr>
      <w:r>
        <w:rPr>
          <w:rFonts w:ascii="Arial" w:cs="Arial" w:eastAsia="Arial" w:hAnsi="Arial"/>
          <w:sz w:val="14"/>
          <w:szCs w:val="14"/>
          <w:color w:val="auto"/>
        </w:rPr>
        <w:t>Third Amendment – California Resources Corporation</w:t>
      </w:r>
    </w:p>
    <w:p>
      <w:pPr>
        <w:sectPr>
          <w:pgSz w:w="11900" w:h="16838" w:orient="portrait"/>
          <w:cols w:equalWidth="0" w:num="1">
            <w:col w:w="9019"/>
          </w:cols>
          <w:pgMar w:left="1440" w:top="1382" w:right="1440" w:bottom="808" w:gutter="0" w:footer="0" w:header="0"/>
          <w:type w:val="continuous"/>
        </w:sectPr>
      </w:pPr>
    </w:p>
    <w:bookmarkStart w:id="65" w:name="page66"/>
    <w:bookmarkEnd w:id="65"/>
    <w:p>
      <w:pPr>
        <w:jc w:val="right"/>
        <w:spacing w:after="0"/>
        <w:tabs>
          <w:tab w:leader="none" w:pos="2240" w:val="left"/>
        </w:tabs>
        <w:rPr>
          <w:sz w:val="20"/>
          <w:szCs w:val="20"/>
          <w:color w:val="auto"/>
        </w:rPr>
      </w:pPr>
      <w:r>
        <w:rPr>
          <w:rFonts w:ascii="Arial" w:cs="Arial" w:eastAsia="Arial" w:hAnsi="Arial"/>
          <w:sz w:val="22"/>
          <w:szCs w:val="22"/>
          <w:b w:val="1"/>
          <w:bCs w:val="1"/>
          <w:color w:val="auto"/>
        </w:rPr>
        <w:t>THE TORONTO-DOMINION BANK,</w:t>
      </w:r>
      <w:r>
        <w:rPr>
          <w:sz w:val="20"/>
          <w:szCs w:val="20"/>
          <w:color w:val="auto"/>
        </w:rPr>
        <w:tab/>
      </w:r>
      <w:r>
        <w:rPr>
          <w:rFonts w:ascii="Arial" w:cs="Arial" w:eastAsia="Arial" w:hAnsi="Arial"/>
          <w:sz w:val="21"/>
          <w:szCs w:val="21"/>
          <w:b w:val="1"/>
          <w:bCs w:val="1"/>
          <w:color w:val="auto"/>
        </w:rPr>
        <w:t>NEW YORK BRANCH</w:t>
      </w:r>
      <w:r>
        <w:rPr>
          <w:rFonts w:ascii="Arial" w:cs="Arial" w:eastAsia="Arial" w:hAnsi="Arial"/>
          <w:sz w:val="21"/>
          <w:szCs w:val="21"/>
          <w:color w:val="auto"/>
        </w:rPr>
        <w:t>,</w:t>
      </w:r>
    </w:p>
    <w:p>
      <w:pPr>
        <w:ind w:left="4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-5715</wp:posOffset>
            </wp:positionV>
            <wp:extent cx="822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Signature Page</w:t>
      </w:r>
    </w:p>
    <w:p>
      <w:pPr>
        <w:jc w:val="center"/>
        <w:ind w:right="540"/>
        <w:spacing w:after="0"/>
        <w:rPr>
          <w:sz w:val="20"/>
          <w:szCs w:val="20"/>
          <w:color w:val="auto"/>
        </w:rPr>
      </w:pPr>
      <w:r>
        <w:rPr>
          <w:rFonts w:ascii="Arial" w:cs="Arial" w:eastAsia="Arial" w:hAnsi="Arial"/>
          <w:sz w:val="16"/>
          <w:szCs w:val="16"/>
          <w:color w:val="auto"/>
        </w:rPr>
        <w:t>Third Amendment – California Resources Corporation</w:t>
      </w:r>
    </w:p>
    <w:p>
      <w:pPr>
        <w:sectPr>
          <w:pgSz w:w="11900" w:h="16838" w:orient="portrait"/>
          <w:cols w:equalWidth="0" w:num="1">
            <w:col w:w="9540"/>
          </w:cols>
          <w:pgMar w:left="1440" w:top="1382" w:right="9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58"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660" w:right="360" w:hanging="328"/>
        <w:spacing w:after="0" w:line="248"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60" w:right="360" w:hanging="328"/>
        <w:spacing w:after="0" w:line="254"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7"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Date: May 5, 2022</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8255</wp:posOffset>
            </wp:positionV>
            <wp:extent cx="28289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Mark A. (Mac) McFarland</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2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31"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May 5, 2022</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8255</wp:posOffset>
            </wp:positionV>
            <wp:extent cx="28803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8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28" w:lineRule="exact"/>
        <w:rPr>
          <w:sz w:val="20"/>
          <w:szCs w:val="20"/>
          <w:color w:val="auto"/>
        </w:rPr>
      </w:pPr>
    </w:p>
    <w:p>
      <w:pPr>
        <w:jc w:val="both"/>
        <w:ind w:right="22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March 31, 2022, as filed with the Securities and Exchange Commission on May 5, 2022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20"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(Mac) McFarland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5, 2022</w:t>
            </w:r>
          </w:p>
        </w:tc>
      </w:tr>
      <w:tr>
        <w:trPr>
          <w:trHeight w:val="351"/>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5, 2022</w:t>
            </w:r>
          </w:p>
        </w:tc>
      </w:tr>
    </w:tbl>
    <w:p>
      <w:pPr>
        <w:spacing w:after="0" w:line="200" w:lineRule="exact"/>
        <w:rPr>
          <w:sz w:val="20"/>
          <w:szCs w:val="20"/>
          <w:color w:val="auto"/>
        </w:rPr>
      </w:pPr>
    </w:p>
    <w:p>
      <w:pPr>
        <w:spacing w:after="0" w:line="21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76"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
      <w:numFmt w:val="bullet"/>
      <w:start w:val="1"/>
    </w:lvl>
    <w:lvl w:ilvl="1">
      <w:lvlJc w:val="left"/>
      <w:lvlText w:val="%2"/>
      <w:numFmt w:val="decimal"/>
      <w:start w:val="104"/>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lvl w:ilvl="1">
      <w:lvlJc w:val="left"/>
      <w:lvlText w:val="%2."/>
      <w:numFmt w:val="decimal"/>
      <w:start w:val="3"/>
    </w:lvl>
  </w:abstractNum>
  <w:abstractNum w:abstractNumId="14">
    <w:nsid w:val="333AB105"/>
    <w:multiLevelType w:val="hybridMultilevel"/>
    <w:lvl w:ilvl="0">
      <w:lvlJc w:val="left"/>
      <w:lvlText w:val="%1."/>
      <w:numFmt w:val="decimal"/>
      <w:start w:val="4"/>
    </w:lvl>
    <w:lvl w:ilvl="1">
      <w:lvlJc w:val="left"/>
      <w:lvlText w:val="%2"/>
      <w:numFmt w:val="decimal"/>
      <w:start w:val="1"/>
    </w:lvl>
  </w:abstractNum>
  <w:abstractNum w:abstractNumId="15">
    <w:nsid w:val="721DA317"/>
    <w:multiLevelType w:val="hybridMultilevel"/>
    <w:lvl w:ilvl="0">
      <w:lvlJc w:val="left"/>
      <w:lvlText w:val="%1."/>
      <w:numFmt w:val="decimal"/>
      <w:start w:val="5"/>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lvl w:ilvl="1">
      <w:lvlJc w:val="left"/>
      <w:lvlText w:val="(%2)"/>
      <w:numFmt w:val="lowerLetter"/>
      <w:start w:val="1"/>
    </w:lvl>
  </w:abstractNum>
  <w:abstractNum w:abstractNumId="18">
    <w:nsid w:val="6763845E"/>
    <w:multiLevelType w:val="hybridMultilevel"/>
    <w:lvl w:ilvl="0">
      <w:lvlJc w:val="left"/>
      <w:lvlText w:val="(%1)"/>
      <w:numFmt w:val="lowerLetter"/>
      <w:start w:val="2"/>
    </w:lvl>
    <w:lvl w:ilvl="1">
      <w:lvlJc w:val="left"/>
      <w:lvlText w:val="%2"/>
      <w:numFmt w:val="low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7"/>
    </w:lvl>
  </w:abstractNum>
  <w:abstractNum w:abstractNumId="21">
    <w:nsid w:val="79838CB2"/>
    <w:multiLevelType w:val="hybridMultilevel"/>
    <w:lvl w:ilvl="0">
      <w:lvlJc w:val="left"/>
      <w:lvlText w:val="(%1)"/>
      <w:numFmt w:val="decimal"/>
      <w:start w:val="30"/>
    </w:lvl>
    <w:lvl w:ilvl="1">
      <w:lvlJc w:val="left"/>
      <w:lvlText w:val="%2"/>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lowerRoman"/>
      <w:start w:val="10"/>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51" Type="http://schemas.openxmlformats.org/officeDocument/2006/relationships/hyperlink" Target="http://www.sec.gov/Archives/edgar/data/1609253/000160925320000137/a8aex31.htm" TargetMode="External"/><Relationship Id="rId52" Type="http://schemas.openxmlformats.org/officeDocument/2006/relationships/hyperlink" Target="http://www.sec.gov/Archives/edgar/data/1609253/000160925320000137/a8aex32.htm" TargetMode="External"/><Relationship Id="rId53" Type="http://schemas.openxmlformats.org/officeDocument/2006/relationships/hyperlink" Target="http://www.sec.gov/Archives/edgar/data/1609253/000160925322000004/a2022021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2022-05-06T12:14:43Z</dcterms:created>
  <dcterms:modified xsi:type="dcterms:W3CDTF">2022-05-06T12:14:43Z</dcterms:modified>
</cp:coreProperties>
</file>