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51"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60" w:type="dxa"/>
            <w:vAlign w:val="bottom"/>
            <w:gridSpan w:val="5"/>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Steck Brian</w:t>
              </w:r>
            </w:hyperlink>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tcPr>
          <w:p>
            <w:pPr>
              <w:ind w:left="80"/>
              <w:spacing w:after="0" w:line="17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California Resources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CRC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6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5"/>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60" w:type="dxa"/>
            <w:vAlign w:val="bottom"/>
            <w:gridSpan w:val="5"/>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76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60" w:type="dxa"/>
            <w:vAlign w:val="bottom"/>
            <w:gridSpan w:val="5"/>
            <w:vMerge w:val="continue"/>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27200 TOURNEY ROAD, SUITE 200</w:t>
            </w:r>
          </w:p>
        </w:tc>
        <w:tc>
          <w:tcPr>
            <w:tcW w:w="1640" w:type="dxa"/>
            <w:vAlign w:val="bottom"/>
            <w:gridSpan w:val="5"/>
          </w:tcPr>
          <w:p>
            <w:pPr>
              <w:ind w:left="160"/>
              <w:spacing w:after="0"/>
              <w:rPr>
                <w:sz w:val="20"/>
                <w:szCs w:val="20"/>
                <w:color w:val="auto"/>
              </w:rPr>
            </w:pPr>
            <w:r>
              <w:rPr>
                <w:rFonts w:ascii="Times New Roman" w:cs="Times New Roman" w:eastAsia="Times New Roman" w:hAnsi="Times New Roman"/>
                <w:sz w:val="17"/>
                <w:szCs w:val="17"/>
                <w:color w:val="0000FF"/>
              </w:rPr>
              <w:t>01/25/2021</w:t>
            </w: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500" w:type="dxa"/>
            <w:vAlign w:val="bottom"/>
            <w:tcBorders>
              <w:bottom w:val="single" w:sz="8" w:color="2C2C2C"/>
            </w:tcBorders>
            <w:gridSpan w:val="6"/>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3100" w:type="dxa"/>
            <w:vAlign w:val="bottom"/>
            <w:tcBorders>
              <w:bottom w:val="single" w:sz="8" w:color="2C2C2C"/>
            </w:tcBorders>
            <w:gridSpan w:val="6"/>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300" w:type="dxa"/>
            <w:vAlign w:val="bottom"/>
            <w:tcBorders>
              <w:bottom w:val="single" w:sz="8" w:color="9A9A9A"/>
            </w:tcBorders>
          </w:tcPr>
          <w:p>
            <w:pPr>
              <w:spacing w:after="0"/>
              <w:rPr>
                <w:sz w:val="4"/>
                <w:szCs w:val="4"/>
                <w:color w:val="auto"/>
              </w:rPr>
            </w:pPr>
          </w:p>
        </w:tc>
        <w:tc>
          <w:tcPr>
            <w:tcW w:w="820" w:type="dxa"/>
            <w:vAlign w:val="bottom"/>
            <w:tcBorders>
              <w:bottom w:val="single" w:sz="8" w:color="9A9A9A"/>
            </w:tcBorders>
          </w:tcPr>
          <w:p>
            <w:pPr>
              <w:spacing w:after="0"/>
              <w:rPr>
                <w:sz w:val="4"/>
                <w:szCs w:val="4"/>
                <w:color w:val="auto"/>
              </w:rPr>
            </w:pPr>
          </w:p>
        </w:tc>
        <w:tc>
          <w:tcPr>
            <w:tcW w:w="1340" w:type="dxa"/>
            <w:vAlign w:val="bottom"/>
            <w:tcBorders>
              <w:bottom w:val="single" w:sz="8" w:color="9A9A9A"/>
            </w:tcBorders>
          </w:tcPr>
          <w:p>
            <w:pPr>
              <w:spacing w:after="0"/>
              <w:rPr>
                <w:sz w:val="4"/>
                <w:szCs w:val="4"/>
                <w:color w:val="auto"/>
              </w:rPr>
            </w:pPr>
          </w:p>
        </w:tc>
        <w:tc>
          <w:tcPr>
            <w:tcW w:w="20" w:type="dxa"/>
            <w:vAlign w:val="bottom"/>
            <w:vMerge w:val="restart"/>
          </w:tcPr>
          <w:p>
            <w:pPr>
              <w:spacing w:after="0"/>
              <w:rPr>
                <w:sz w:val="4"/>
                <w:szCs w:val="4"/>
                <w:color w:val="auto"/>
              </w:rPr>
            </w:pPr>
          </w:p>
        </w:tc>
        <w:tc>
          <w:tcPr>
            <w:tcW w:w="60" w:type="dxa"/>
            <w:vAlign w:val="bottom"/>
            <w:vMerge w:val="restart"/>
          </w:tcPr>
          <w:p>
            <w:pPr>
              <w:spacing w:after="0"/>
              <w:rPr>
                <w:sz w:val="4"/>
                <w:szCs w:val="4"/>
                <w:color w:val="auto"/>
              </w:rPr>
            </w:pPr>
          </w:p>
        </w:tc>
        <w:tc>
          <w:tcPr>
            <w:tcW w:w="3500" w:type="dxa"/>
            <w:vAlign w:val="bottom"/>
            <w:gridSpan w:val="6"/>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4"/>
                <w:szCs w:val="4"/>
                <w:color w:val="auto"/>
              </w:rPr>
            </w:pPr>
          </w:p>
        </w:tc>
        <w:tc>
          <w:tcPr>
            <w:tcW w:w="80" w:type="dxa"/>
            <w:vAlign w:val="bottom"/>
            <w:vMerge w:val="restart"/>
          </w:tcPr>
          <w:p>
            <w:pPr>
              <w:spacing w:after="0"/>
              <w:rPr>
                <w:sz w:val="4"/>
                <w:szCs w:val="4"/>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3500" w:type="dxa"/>
            <w:vAlign w:val="bottom"/>
            <w:gridSpan w:val="6"/>
            <w:vMerge w:val="continue"/>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vMerge w:val="continue"/>
          </w:tcPr>
          <w:p>
            <w:pPr>
              <w:spacing w:after="0"/>
              <w:rPr>
                <w:sz w:val="10"/>
                <w:szCs w:val="10"/>
                <w:color w:val="auto"/>
              </w:rPr>
            </w:pPr>
          </w:p>
        </w:tc>
        <w:tc>
          <w:tcPr>
            <w:tcW w:w="342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560" w:type="dxa"/>
            <w:vAlign w:val="bottom"/>
          </w:tcPr>
          <w:p>
            <w:pPr>
              <w:spacing w:after="0"/>
              <w:rPr>
                <w:sz w:val="18"/>
                <w:szCs w:val="18"/>
                <w:color w:val="auto"/>
              </w:rPr>
            </w:pP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91355</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14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CLARITA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82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7"/>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4"/>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4"/>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vMerge w:val="continue"/>
          </w:tcPr>
          <w:p>
            <w:pPr>
              <w:spacing w:after="0"/>
              <w:rPr>
                <w:sz w:val="11"/>
                <w:szCs w:val="11"/>
                <w:color w:val="auto"/>
              </w:rPr>
            </w:pP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4"/>
          </w:tcPr>
          <w:p>
            <w:pPr>
              <w:ind w:left="900"/>
              <w:spacing w:after="0"/>
              <w:rPr>
                <w:sz w:val="20"/>
                <w:szCs w:val="20"/>
                <w:color w:val="auto"/>
              </w:rPr>
            </w:pPr>
            <w:r>
              <w:rPr>
                <w:rFonts w:ascii="Times New Roman" w:cs="Times New Roman" w:eastAsia="Times New Roman" w:hAnsi="Times New Roman"/>
                <w:sz w:val="17"/>
                <w:szCs w:val="17"/>
                <w:color w:val="0000FF"/>
              </w:rPr>
              <w:t>01/25/2021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32,711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32,711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3"/>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3"/>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vMerge w:val="restart"/>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0"/>
          <w:szCs w:val="20"/>
          <w:color w:val="auto"/>
        </w:rPr>
      </w:pPr>
    </w:p>
    <w:p>
      <w:pPr>
        <w:ind w:left="40" w:right="20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in three equal installments on each of January 25, 2022, 2023 and 2024 and, subject to certain exceptions, will be settled in shares of Common Stock on the date that is six months and one day following the Reporting Person's separation from service.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Ulrik Damborg,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01/27/2021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Brian Steck</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05186" TargetMode="External"/><Relationship Id="rId14"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2021-01-27T15:42:55Z</dcterms:created>
  <dcterms:modified xsi:type="dcterms:W3CDTF">2021-01-27T15:42:55Z</dcterms:modified>
</cp:coreProperties>
</file>