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15, 2025</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2" w:lineRule="exact"/>
        <w:rPr>
          <w:sz w:val="20"/>
          <w:szCs w:val="20"/>
          <w:color w:val="auto"/>
        </w:rPr>
      </w:pPr>
    </w:p>
    <w:p>
      <w:pPr>
        <w:ind w:right="40" w:firstLine="640"/>
        <w:spacing w:after="0" w:line="239" w:lineRule="auto"/>
        <w:rPr>
          <w:sz w:val="20"/>
          <w:szCs w:val="20"/>
          <w:color w:val="auto"/>
        </w:rPr>
      </w:pPr>
      <w:r>
        <w:rPr>
          <w:rFonts w:ascii="Times New Roman" w:cs="Times New Roman" w:eastAsia="Times New Roman" w:hAnsi="Times New Roman"/>
          <w:sz w:val="18"/>
          <w:szCs w:val="18"/>
          <w:color w:val="auto"/>
        </w:rPr>
        <w:t>On December 15, 2025, California Resources Corporation, a Delaware corporation (“</w:t>
      </w:r>
      <w:r>
        <w:rPr>
          <w:rFonts w:ascii="Times New Roman" w:cs="Times New Roman" w:eastAsia="Times New Roman" w:hAnsi="Times New Roman"/>
          <w:sz w:val="18"/>
          <w:szCs w:val="18"/>
          <w:u w:val="single" w:color="auto"/>
          <w:color w:val="auto"/>
        </w:rPr>
        <w:t>CRC</w:t>
      </w:r>
      <w:r>
        <w:rPr>
          <w:rFonts w:ascii="Times New Roman" w:cs="Times New Roman" w:eastAsia="Times New Roman" w:hAnsi="Times New Roman"/>
          <w:sz w:val="18"/>
          <w:szCs w:val="18"/>
          <w:color w:val="auto"/>
        </w:rPr>
        <w:t>”) entered into an amendment (the “</w:t>
      </w:r>
      <w:r>
        <w:rPr>
          <w:rFonts w:ascii="Times New Roman" w:cs="Times New Roman" w:eastAsia="Times New Roman" w:hAnsi="Times New Roman"/>
          <w:sz w:val="18"/>
          <w:szCs w:val="18"/>
          <w:u w:val="single" w:color="auto"/>
          <w:color w:val="auto"/>
        </w:rPr>
        <w:t>Eighth Amendment</w:t>
      </w:r>
      <w:r>
        <w:rPr>
          <w:rFonts w:ascii="Times New Roman" w:cs="Times New Roman" w:eastAsia="Times New Roman" w:hAnsi="Times New Roman"/>
          <w:sz w:val="18"/>
          <w:szCs w:val="18"/>
          <w:color w:val="auto"/>
        </w:rPr>
        <w:t>”) to the Amended and Restated Credit Agreement, dated as of April 26, 2023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with Citibank, N.A., as administrative agent and collateral agent, and the banks, financial institutions and other lending institutions from time to time parties thereto. The Eighth Amendment became effective upon the closing of the previously announced all-stock combination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contemplated by that certain Agreement and Plan of Merger, dated September 14,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CRC, Berry Corporation (bry), a Delaware corporation (“</w:t>
      </w:r>
      <w:r>
        <w:rPr>
          <w:rFonts w:ascii="Times New Roman" w:cs="Times New Roman" w:eastAsia="Times New Roman" w:hAnsi="Times New Roman"/>
          <w:sz w:val="18"/>
          <w:szCs w:val="18"/>
          <w:u w:val="single" w:color="auto"/>
          <w:color w:val="auto"/>
        </w:rPr>
        <w:t>Berry</w:t>
      </w:r>
      <w:r>
        <w:rPr>
          <w:rFonts w:ascii="Times New Roman" w:cs="Times New Roman" w:eastAsia="Times New Roman" w:hAnsi="Times New Roman"/>
          <w:sz w:val="18"/>
          <w:szCs w:val="18"/>
          <w:color w:val="auto"/>
        </w:rPr>
        <w:t>”) and Dornoch Merger Sub, LLC, a Delaware limited liability company and a direct, wholly-owned subsidiary of CRC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purpose of the Eighth Amendment was to, among other things, facilitate certain matters with respect to the closing of the Merger. Concurrently with the effectiveness of the Eighth Amendment and the closing of the Merger, CRC added an additional lender under the Credit Agreement and increased the aggregate elected commitment amount of the lenders thereunder from $1.45 billion to $1.46 billion. The above description of the Eighth Amendment is not complete and is qualified in its entirety by reference to the full text of the Eighth Amendment, which is filed as Exhibit 10.1 hereto and incorporated by reference herein.</w:t>
      </w:r>
    </w:p>
    <w:p>
      <w:pPr>
        <w:spacing w:after="0" w:line="200" w:lineRule="exact"/>
        <w:rPr>
          <w:sz w:val="20"/>
          <w:szCs w:val="20"/>
          <w:color w:val="auto"/>
        </w:rPr>
      </w:pPr>
    </w:p>
    <w:p>
      <w:pPr>
        <w:spacing w:after="0" w:line="20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68" w:lineRule="exact"/>
        <w:rPr>
          <w:sz w:val="20"/>
          <w:szCs w:val="20"/>
          <w:color w:val="auto"/>
        </w:rPr>
      </w:pPr>
    </w:p>
    <w:p>
      <w:pPr>
        <w:ind w:right="140" w:firstLine="640"/>
        <w:spacing w:after="0" w:line="276" w:lineRule="auto"/>
        <w:rPr>
          <w:sz w:val="20"/>
          <w:szCs w:val="20"/>
          <w:color w:val="auto"/>
        </w:rPr>
      </w:pPr>
      <w:r>
        <w:rPr>
          <w:rFonts w:ascii="Times New Roman" w:cs="Times New Roman" w:eastAsia="Times New Roman" w:hAnsi="Times New Roman"/>
          <w:sz w:val="18"/>
          <w:szCs w:val="18"/>
          <w:color w:val="auto"/>
        </w:rPr>
        <w:t>On December 18, 2025, CRC completed the Merger. 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Merger Sub merged with and into Berry, with Berry surviving the Merger as a direct, wholly-owned subsidiary of CRC.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8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each share of common stock, par value $0.001 per share, of Berry (“</w:t>
      </w:r>
      <w:r>
        <w:rPr>
          <w:rFonts w:ascii="Times New Roman" w:cs="Times New Roman" w:eastAsia="Times New Roman" w:hAnsi="Times New Roman"/>
          <w:sz w:val="18"/>
          <w:szCs w:val="18"/>
          <w:u w:val="single" w:color="auto"/>
          <w:color w:val="auto"/>
        </w:rPr>
        <w:t>Berry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other than shares of Berry Common Stock owned by CRC, Berry, Merger Sub or any other direct or indirect wholly-owned subsidiary of CRC or Berry, in each case, not held on behalf of third parties, was automatically converted into, and became exchangeable for 0.0718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common stock, par value $0.01 per share, of CRC (“</w:t>
      </w:r>
      <w:r>
        <w:rPr>
          <w:rFonts w:ascii="Times New Roman" w:cs="Times New Roman" w:eastAsia="Times New Roman" w:hAnsi="Times New Roman"/>
          <w:sz w:val="18"/>
          <w:szCs w:val="18"/>
          <w:u w:val="single" w:color="auto"/>
          <w:color w:val="auto"/>
        </w:rPr>
        <w:t>CRC Common Stock</w:t>
      </w:r>
      <w:r>
        <w:rPr>
          <w:rFonts w:ascii="Times New Roman" w:cs="Times New Roman" w:eastAsia="Times New Roman" w:hAnsi="Times New Roman"/>
          <w:sz w:val="18"/>
          <w:szCs w:val="18"/>
          <w:color w:val="auto"/>
        </w:rPr>
        <w:t>”), with cash (without interest) paid in lieu of fractional shares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Berry’s Equity Awards</w:t>
      </w:r>
    </w:p>
    <w:p>
      <w:pPr>
        <w:spacing w:after="0" w:line="184" w:lineRule="exact"/>
        <w:rPr>
          <w:sz w:val="20"/>
          <w:szCs w:val="20"/>
          <w:color w:val="auto"/>
        </w:rPr>
      </w:pPr>
    </w:p>
    <w:p>
      <w:pPr>
        <w:ind w:right="300" w:firstLine="640"/>
        <w:spacing w:after="0" w:line="269" w:lineRule="auto"/>
        <w:rPr>
          <w:sz w:val="20"/>
          <w:szCs w:val="20"/>
          <w:color w:val="auto"/>
        </w:rPr>
      </w:pPr>
      <w:r>
        <w:rPr>
          <w:rFonts w:ascii="Times New Roman" w:cs="Times New Roman" w:eastAsia="Times New Roman" w:hAnsi="Times New Roman"/>
          <w:sz w:val="17"/>
          <w:szCs w:val="17"/>
          <w:color w:val="auto"/>
        </w:rPr>
        <w:t>At the Effective Time, any vesting conditions applicable to each outstanding Berry restricted stock unit that is not subject to performance-based vesting conditions (a “</w:t>
      </w:r>
      <w:r>
        <w:rPr>
          <w:rFonts w:ascii="Times New Roman" w:cs="Times New Roman" w:eastAsia="Times New Roman" w:hAnsi="Times New Roman"/>
          <w:sz w:val="17"/>
          <w:szCs w:val="17"/>
          <w:u w:val="single" w:color="auto"/>
          <w:color w:val="auto"/>
        </w:rPr>
        <w:t>Berry RSU</w:t>
      </w:r>
      <w:r>
        <w:rPr>
          <w:rFonts w:ascii="Times New Roman" w:cs="Times New Roman" w:eastAsia="Times New Roman" w:hAnsi="Times New Roman"/>
          <w:sz w:val="17"/>
          <w:szCs w:val="17"/>
          <w:color w:val="auto"/>
        </w:rPr>
        <w:t>”) under the Stock Plans (as defined in the Merger Agreement) that would have accelerated at the Effective Time in accordance with its terms as in effect as of the date of the Merger Agreement (each such Berry RSU, a “</w:t>
      </w:r>
      <w:r>
        <w:rPr>
          <w:rFonts w:ascii="Times New Roman" w:cs="Times New Roman" w:eastAsia="Times New Roman" w:hAnsi="Times New Roman"/>
          <w:sz w:val="17"/>
          <w:szCs w:val="17"/>
          <w:u w:val="single" w:color="auto"/>
          <w:color w:val="auto"/>
        </w:rPr>
        <w:t>Single Trigger Berry RSU</w:t>
      </w:r>
      <w:r>
        <w:rPr>
          <w:rFonts w:ascii="Times New Roman" w:cs="Times New Roman" w:eastAsia="Times New Roman" w:hAnsi="Times New Roman"/>
          <w:sz w:val="17"/>
          <w:szCs w:val="17"/>
          <w:color w:val="auto"/>
        </w:rPr>
        <w:t xml:space="preserve">”) is deemed to have automatically accelerated in full, and each Single Trigger Berry RSU was automatically cancelled and the holder thereof received (without interest) an amount in cash equal to (1)(x) the number of shares of Berry Common Stock subject to such Single Trigger Berry RSU immediately prior to the Effective Time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(y) the Equity Award Cash-Out Price (as defined in the Merger Agreement),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 all unpaid dividend equivalents, if any, as of the Effective Time with respect to such Single Trigger Berry RSU,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(3) applicable taxes required to be withheld with respect to such payment.</w:t>
      </w:r>
    </w:p>
    <w:p>
      <w:pPr>
        <w:spacing w:after="0" w:line="119" w:lineRule="exact"/>
        <w:rPr>
          <w:sz w:val="20"/>
          <w:szCs w:val="20"/>
          <w:color w:val="auto"/>
        </w:rPr>
      </w:pPr>
    </w:p>
    <w:p>
      <w:pPr>
        <w:ind w:right="220" w:firstLine="640"/>
        <w:spacing w:after="0" w:line="238" w:lineRule="auto"/>
        <w:rPr>
          <w:sz w:val="20"/>
          <w:szCs w:val="20"/>
          <w:color w:val="auto"/>
        </w:rPr>
      </w:pPr>
      <w:r>
        <w:rPr>
          <w:rFonts w:ascii="Times New Roman" w:cs="Times New Roman" w:eastAsia="Times New Roman" w:hAnsi="Times New Roman"/>
          <w:sz w:val="18"/>
          <w:szCs w:val="18"/>
          <w:color w:val="auto"/>
        </w:rPr>
        <w:t>At the Effective Time, each Berry RSU under the Stock Plans that is not a Single Trigger Berry RSU, whether vested or unvested, automatically ceased to represent a restricted stock unit denominated in shares of Berry Common Stock and was converted into a restricted stock unit denominated in shares of CRC Common Stock (a “</w:t>
      </w:r>
      <w:r>
        <w:rPr>
          <w:rFonts w:ascii="Times New Roman" w:cs="Times New Roman" w:eastAsia="Times New Roman" w:hAnsi="Times New Roman"/>
          <w:sz w:val="18"/>
          <w:szCs w:val="18"/>
          <w:u w:val="single" w:color="auto"/>
          <w:color w:val="auto"/>
        </w:rPr>
        <w:t>CRC RSU</w:t>
      </w:r>
      <w:r>
        <w:rPr>
          <w:rFonts w:ascii="Times New Roman" w:cs="Times New Roman" w:eastAsia="Times New Roman" w:hAnsi="Times New Roman"/>
          <w:sz w:val="18"/>
          <w:szCs w:val="18"/>
          <w:color w:val="auto"/>
        </w:rPr>
        <w:t xml:space="preserve">”). The number of shares of CRC Common Stock subject to each such CRC RSU is equal to the product (rounded down to the nearest whole number) of (x) the number of shares of Berry Common Stock subject to such Berry RSU immediately prior to the Effective Time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Exchange Ratio. In addition, all unpaid dividend equivalents, if any, as of the Effective Time with respect to each such Berry RSU were assumed and became an obligation in connection with the applicable CRC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4"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At the Effective Time, any vesting conditions applicable to each outstanding performance-based restricted stock unit (a “</w:t>
      </w:r>
      <w:r>
        <w:rPr>
          <w:rFonts w:ascii="Times New Roman" w:cs="Times New Roman" w:eastAsia="Times New Roman" w:hAnsi="Times New Roman"/>
          <w:sz w:val="18"/>
          <w:szCs w:val="18"/>
          <w:u w:val="single" w:color="auto"/>
          <w:color w:val="auto"/>
        </w:rPr>
        <w:t>Berry PSU</w:t>
      </w:r>
      <w:r>
        <w:rPr>
          <w:rFonts w:ascii="Times New Roman" w:cs="Times New Roman" w:eastAsia="Times New Roman" w:hAnsi="Times New Roman"/>
          <w:sz w:val="18"/>
          <w:szCs w:val="18"/>
          <w:color w:val="auto"/>
        </w:rPr>
        <w:t>”) under the Stock Plans that would have accelerated at the Effective Time in accordance with its terms as in effect as of the date of the Merger Agreement (each such Berry PSU, a “</w:t>
      </w:r>
      <w:r>
        <w:rPr>
          <w:rFonts w:ascii="Times New Roman" w:cs="Times New Roman" w:eastAsia="Times New Roman" w:hAnsi="Times New Roman"/>
          <w:sz w:val="18"/>
          <w:szCs w:val="18"/>
          <w:u w:val="single" w:color="auto"/>
          <w:color w:val="auto"/>
        </w:rPr>
        <w:t>Single Trigger Berry PSU</w:t>
      </w:r>
      <w:r>
        <w:rPr>
          <w:rFonts w:ascii="Times New Roman" w:cs="Times New Roman" w:eastAsia="Times New Roman" w:hAnsi="Times New Roman"/>
          <w:sz w:val="18"/>
          <w:szCs w:val="18"/>
          <w:color w:val="auto"/>
        </w:rPr>
        <w:t xml:space="preserve">”), whether vested or unvested, is deemed to have automatically accelerated, and each Single Trigger Berry PSU was automatically cancelled and the holder thereof received (without interest) an amount in cash equal to (1)(x) the number of shares of Berry Common Stock subject to such Single Trigger Berry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Company Compensation Committee (as defined in the Merger Agreement) after good faith consultation with CRC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Equity Award Cash-Out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all unpaid dividend equivalents, if any, as of the Effective Time with respect to such Single Trigger Berry PSU (in respect of a number of shares of Berry Common Stock based on target performance or, solely to the extent required by the terms of the applicable award agreement, the greater of target performance and actual performance through the Effective Time as reasonably determined by the Company Compensation Committee),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(3) applicable taxes required to be withheld with respect to such payment.</w:t>
      </w:r>
    </w:p>
    <w:p>
      <w:pPr>
        <w:spacing w:after="0" w:line="147" w:lineRule="exact"/>
        <w:rPr>
          <w:sz w:val="20"/>
          <w:szCs w:val="20"/>
          <w:color w:val="auto"/>
        </w:rPr>
      </w:pPr>
    </w:p>
    <w:p>
      <w:pPr>
        <w:ind w:right="40" w:firstLine="640"/>
        <w:spacing w:after="0" w:line="234" w:lineRule="auto"/>
        <w:rPr>
          <w:sz w:val="20"/>
          <w:szCs w:val="20"/>
          <w:color w:val="auto"/>
        </w:rPr>
      </w:pPr>
      <w:r>
        <w:rPr>
          <w:rFonts w:ascii="Times New Roman" w:cs="Times New Roman" w:eastAsia="Times New Roman" w:hAnsi="Times New Roman"/>
          <w:sz w:val="18"/>
          <w:szCs w:val="18"/>
          <w:color w:val="auto"/>
        </w:rPr>
        <w:t>At the Effective Time, each Berry PSU under the Stock Plans that is not a Single Trigger Berry PSU (each, a “</w:t>
      </w:r>
      <w:r>
        <w:rPr>
          <w:rFonts w:ascii="Times New Roman" w:cs="Times New Roman" w:eastAsia="Times New Roman" w:hAnsi="Times New Roman"/>
          <w:sz w:val="18"/>
          <w:szCs w:val="18"/>
          <w:u w:val="single" w:color="auto"/>
          <w:color w:val="auto"/>
        </w:rPr>
        <w:t>Non-Single Trigger Berry PSU</w:t>
      </w:r>
      <w:r>
        <w:rPr>
          <w:rFonts w:ascii="Times New Roman" w:cs="Times New Roman" w:eastAsia="Times New Roman" w:hAnsi="Times New Roman"/>
          <w:sz w:val="18"/>
          <w:szCs w:val="18"/>
          <w:color w:val="auto"/>
        </w:rPr>
        <w:t xml:space="preserve">”), whether vested or unvested, automatically ceased to represent a performance stock unit denominated in shares of Berry Common Stock and was converted into a CRC RSU. The number of shares of CRC Common Stock subject to each such CRC RSU is equal to the product (rounded down to the nearest whole number) of (x) the number of shares of Berry Common Stock subject to such Non-Single Trigger Berry PSU immediately prior to the Effective Time, based on the greater of target performance and actual performance through the Effective Time as reasonably determined by the Company Compensation Committee in consultation with CRC,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(y) the Exchange Ratio. In addition, all unpaid dividend equivalents, if any, as of the Effective Time with respect to such Non-Single Trigger Berry PSU (based on performance determined in accordance with the preceding sentence) were assumed and became an obligation in connection with the applicable CRC RSU.</w:t>
      </w:r>
    </w:p>
    <w:p>
      <w:pPr>
        <w:spacing w:after="0" w:line="198" w:lineRule="exact"/>
        <w:rPr>
          <w:sz w:val="20"/>
          <w:szCs w:val="20"/>
          <w:color w:val="auto"/>
        </w:rPr>
      </w:pPr>
    </w:p>
    <w:p>
      <w:pPr>
        <w:ind w:right="40" w:firstLine="6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contained in this Item 2.01 does not purport to be complete and is subject to and qualified in its entirety by reference to the full text of the Merger Agreement, which was filed as Exhibit 2.1 to our Current Report on Form 8-K, filed on September 17, 2025, and is incorporated herein by reference.</w:t>
      </w:r>
    </w:p>
    <w:p>
      <w:pPr>
        <w:spacing w:after="0" w:line="178" w:lineRule="exact"/>
        <w:rPr>
          <w:sz w:val="20"/>
          <w:szCs w:val="20"/>
          <w:color w:val="auto"/>
        </w:rPr>
      </w:pPr>
    </w:p>
    <w:p>
      <w:pPr>
        <w:ind w:right="280" w:firstLine="640"/>
        <w:spacing w:after="0" w:line="261" w:lineRule="auto"/>
        <w:rPr>
          <w:sz w:val="20"/>
          <w:szCs w:val="20"/>
          <w:color w:val="auto"/>
        </w:rPr>
      </w:pPr>
      <w:r>
        <w:rPr>
          <w:rFonts w:ascii="Times New Roman" w:cs="Times New Roman" w:eastAsia="Times New Roman" w:hAnsi="Times New Roman"/>
          <w:sz w:val="18"/>
          <w:szCs w:val="18"/>
          <w:color w:val="auto"/>
        </w:rPr>
        <w:t>The issuance of shares of CRC Common Stock in connection with the Merger was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pursuant to a registration statement on Form S-4 (File No. 333-290871)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CRC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14, 2025, which became effective on November 3, 2025.</w:t>
      </w:r>
    </w:p>
    <w:p>
      <w:pPr>
        <w:spacing w:after="0" w:line="38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2" w:lineRule="exact"/>
        <w:rPr>
          <w:sz w:val="20"/>
          <w:szCs w:val="20"/>
          <w:color w:val="auto"/>
        </w:rPr>
      </w:pPr>
    </w:p>
    <w:p>
      <w:pPr>
        <w:ind w:right="420" w:firstLine="640"/>
        <w:spacing w:after="0" w:line="261" w:lineRule="auto"/>
        <w:rPr>
          <w:sz w:val="20"/>
          <w:szCs w:val="20"/>
          <w:color w:val="auto"/>
        </w:rPr>
      </w:pPr>
      <w:r>
        <w:rPr>
          <w:rFonts w:ascii="Times New Roman" w:cs="Times New Roman" w:eastAsia="Times New Roman" w:hAnsi="Times New Roman"/>
          <w:sz w:val="18"/>
          <w:szCs w:val="18"/>
          <w:color w:val="auto"/>
        </w:rPr>
        <w:t>On December 18, 2025, CRC issued a press release announcing the completion of the Merger. A copy of this press release is attached hereto as Exhibit 99.1 to this Current Report on Form 8-K.</w:t>
      </w:r>
    </w:p>
    <w:p>
      <w:pPr>
        <w:spacing w:after="0" w:line="136"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under Item 8.01, including the accompanying Exhibit 99.1, is being furnished pursuant to Item 8.01 of Form 8-K and shall not be deemed to be “filed” for purposes of Section 18 of the Exchange Act, or otherwise subject to the liabilities of that section. Such information shall not be incorporated by reference into any filing under the Securities Act or the Exchange Act, whether made before or after the date hereof,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8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0"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Financial statements of business or funds acquired.</w:t>
      </w:r>
    </w:p>
    <w:p>
      <w:pPr>
        <w:spacing w:after="0" w:line="168" w:lineRule="exact"/>
        <w:rPr>
          <w:sz w:val="20"/>
          <w:szCs w:val="20"/>
          <w:color w:val="auto"/>
        </w:rPr>
      </w:pPr>
    </w:p>
    <w:p>
      <w:pPr>
        <w:ind w:right="140" w:firstLine="1279"/>
        <w:spacing w:after="0" w:line="234" w:lineRule="auto"/>
        <w:rPr>
          <w:sz w:val="20"/>
          <w:szCs w:val="20"/>
          <w:color w:val="auto"/>
        </w:rPr>
      </w:pPr>
      <w:r>
        <w:rPr>
          <w:rFonts w:ascii="Times New Roman" w:cs="Times New Roman" w:eastAsia="Times New Roman" w:hAnsi="Times New Roman"/>
          <w:sz w:val="18"/>
          <w:szCs w:val="18"/>
          <w:color w:val="auto"/>
        </w:rPr>
        <w:t>The audited consolidated financial statements of Berry as of December 31, 2024 and for the year ended December 31, 2024 and the related notes are incorporated by reference to Part II, Item 8 of Berry’s Annual Report on Form 10-K for the year ended December 31, 2024, filed with the SEC on March 13, 2025. Certain estimates of Berry’s oil and natural gas reserves and related information incorporated by reference in the audited consolidated financial statements of Berry as of December 31, 2024 and for the year ended December 31, 2024 on Form 10-K for the year ended December 31, 2024, filed with the SEC on March 13, 2025, were derived from reports prepared by the independent engineering firm, DeGolyer and MacNaughton, and are also incorporated by reference herein. The unaudited condensed financial statements of Berry as of September 30, 2024 and for the nine months ended September 30, 2024 and the related notes are incorporated by reference to Part I, Item 1 of Berry’s Quarterly Report on Form 10-Q for the quarterly period ended September 30, 2025, filed with the SEC on November 5, 2025.</w:t>
      </w:r>
    </w:p>
    <w:p>
      <w:pPr>
        <w:spacing w:after="0" w:line="169"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Pro forma financial information.</w:t>
      </w:r>
    </w:p>
    <w:p>
      <w:pPr>
        <w:spacing w:after="0" w:line="182" w:lineRule="exact"/>
        <w:rPr>
          <w:sz w:val="20"/>
          <w:szCs w:val="20"/>
          <w:color w:val="auto"/>
        </w:rPr>
      </w:pPr>
    </w:p>
    <w:p>
      <w:pPr>
        <w:ind w:right="200" w:firstLine="1279"/>
        <w:spacing w:after="0" w:line="276" w:lineRule="auto"/>
        <w:rPr>
          <w:sz w:val="20"/>
          <w:szCs w:val="20"/>
          <w:color w:val="auto"/>
        </w:rPr>
      </w:pPr>
      <w:r>
        <w:rPr>
          <w:rFonts w:ascii="Times New Roman" w:cs="Times New Roman" w:eastAsia="Times New Roman" w:hAnsi="Times New Roman"/>
          <w:sz w:val="18"/>
          <w:szCs w:val="18"/>
          <w:color w:val="auto"/>
        </w:rPr>
        <w:t>The pro forma financial information required by Item 9.01(b) of Form 8-K will be filed by amendment no later than 71 calendar days after the date this Current Report on Form 8-K is required to be filed.</w:t>
      </w:r>
    </w:p>
    <w:p>
      <w:pPr>
        <w:spacing w:after="0" w:line="10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88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(d)</w:t>
            </w:r>
          </w:p>
        </w:tc>
        <w:tc>
          <w:tcPr>
            <w:tcW w:w="9680" w:type="dxa"/>
            <w:vAlign w:val="bottom"/>
            <w:gridSpan w:val="8"/>
          </w:tcPr>
          <w:p>
            <w:pPr>
              <w:ind w:left="20"/>
              <w:spacing w:after="0"/>
              <w:rPr>
                <w:sz w:val="20"/>
                <w:szCs w:val="20"/>
                <w:color w:val="auto"/>
              </w:rPr>
            </w:pPr>
            <w:r>
              <w:rPr>
                <w:rFonts w:ascii="Times New Roman" w:cs="Times New Roman" w:eastAsia="Times New Roman" w:hAnsi="Times New Roman"/>
                <w:sz w:val="18"/>
                <w:szCs w:val="18"/>
                <w:i w:val="1"/>
                <w:iCs w:val="1"/>
                <w:color w:val="auto"/>
              </w:rPr>
              <w:t>Exhibits</w:t>
            </w: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380" w:type="dxa"/>
            <w:vAlign w:val="bottom"/>
            <w:gridSpan w:val="6"/>
          </w:tcPr>
          <w:p>
            <w:pPr>
              <w:ind w:left="2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780" w:type="dxa"/>
            <w:vAlign w:val="bottom"/>
          </w:tcPr>
          <w:p>
            <w:pPr>
              <w:spacing w:after="0"/>
              <w:rPr>
                <w:sz w:val="19"/>
                <w:szCs w:val="19"/>
                <w:color w:val="auto"/>
              </w:rPr>
            </w:pPr>
          </w:p>
        </w:tc>
        <w:tc>
          <w:tcPr>
            <w:tcW w:w="81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Agreement and Plan of Merger, dated September 14, 2025, by and among California Resources Corporation, Berry</w:t>
              </w:r>
            </w:hyperlink>
          </w:p>
        </w:tc>
        <w:tc>
          <w:tcPr>
            <w:tcW w:w="720" w:type="dxa"/>
            <w:vAlign w:val="bottom"/>
          </w:tcPr>
          <w:p>
            <w:pPr>
              <w:spacing w:after="0"/>
              <w:rPr>
                <w:sz w:val="19"/>
                <w:szCs w:val="19"/>
                <w:color w:val="auto"/>
              </w:rPr>
            </w:pPr>
          </w:p>
        </w:tc>
      </w:tr>
      <w:tr>
        <w:trPr>
          <w:trHeight w:val="193"/>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00" w:type="dxa"/>
            <w:vAlign w:val="bottom"/>
            <w:tcBorders>
              <w:bottom w:val="single" w:sz="8" w:color="0000FF"/>
            </w:tcBorders>
            <w:gridSpan w:val="7"/>
          </w:tcPr>
          <w:p>
            <w:pPr>
              <w:spacing w:after="0" w:line="194"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Corporation (bry) and Dornoch Merger Sub, LLC* (filed as Exhibit 2.1 to the Company's Current Report on Form 8-K filed</w:t>
              </w:r>
            </w:hyperlink>
          </w:p>
        </w:tc>
      </w:tr>
      <w:tr>
        <w:trPr>
          <w:trHeight w:val="193"/>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00" w:type="dxa"/>
            <w:vAlign w:val="bottom"/>
            <w:gridSpan w:val="7"/>
          </w:tcPr>
          <w:p>
            <w:pPr>
              <w:spacing w:after="0" w:line="19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September 17, 2025).</w:t>
              </w:r>
            </w:hyperlink>
          </w:p>
        </w:tc>
      </w:tr>
      <w:tr>
        <w:trPr>
          <w:trHeight w:val="20"/>
        </w:trPr>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4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1"/>
                <w:szCs w:val="21"/>
                <w:color w:val="auto"/>
              </w:rPr>
            </w:pPr>
          </w:p>
        </w:tc>
        <w:tc>
          <w:tcPr>
            <w:tcW w:w="8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Eighth Amendment to Amended and Restated Credit Agreement, entered into as of December 15, 2025.</w:t>
            </w:r>
            <w:r>
              <w:rPr>
                <w:rFonts w:ascii="Times New Roman" w:cs="Times New Roman" w:eastAsia="Times New Roman" w:hAnsi="Times New Roman"/>
                <w:sz w:val="18"/>
                <w:szCs w:val="18"/>
                <w:color w:val="000000"/>
              </w:rPr>
              <w:t>***</w:t>
            </w:r>
          </w:p>
        </w:tc>
      </w:tr>
      <w:tr>
        <w:trPr>
          <w:trHeight w:val="24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780" w:type="dxa"/>
            <w:vAlign w:val="bottom"/>
          </w:tcPr>
          <w:p>
            <w:pPr>
              <w:spacing w:after="0"/>
              <w:rPr>
                <w:sz w:val="21"/>
                <w:szCs w:val="21"/>
                <w:color w:val="auto"/>
              </w:rPr>
            </w:pPr>
          </w:p>
        </w:tc>
        <w:tc>
          <w:tcPr>
            <w:tcW w:w="71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Consent of KPMG LLP (independent registered public accounting firm for Berry Corporation (bry)).</w:t>
            </w:r>
          </w:p>
        </w:tc>
        <w:tc>
          <w:tcPr>
            <w:tcW w:w="220" w:type="dxa"/>
            <w:vAlign w:val="bottom"/>
            <w:tcBorders>
              <w:top w:val="single" w:sz="8" w:color="0000FF"/>
            </w:tcBorders>
          </w:tcPr>
          <w:p>
            <w:pPr>
              <w:spacing w:after="0"/>
              <w:rPr>
                <w:sz w:val="21"/>
                <w:szCs w:val="21"/>
                <w:color w:val="auto"/>
              </w:rPr>
            </w:pPr>
          </w:p>
        </w:tc>
        <w:tc>
          <w:tcPr>
            <w:tcW w:w="1500" w:type="dxa"/>
            <w:vAlign w:val="bottom"/>
            <w:gridSpan w:val="3"/>
          </w:tcPr>
          <w:p>
            <w:pPr>
              <w:spacing w:after="0"/>
              <w:rPr>
                <w:sz w:val="21"/>
                <w:szCs w:val="21"/>
                <w:color w:val="auto"/>
              </w:rPr>
            </w:pPr>
          </w:p>
        </w:tc>
      </w:tr>
      <w:tr>
        <w:trPr>
          <w:trHeight w:val="24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780" w:type="dxa"/>
            <w:vAlign w:val="bottom"/>
          </w:tcPr>
          <w:p>
            <w:pPr>
              <w:spacing w:after="0"/>
              <w:rPr>
                <w:sz w:val="21"/>
                <w:szCs w:val="21"/>
                <w:color w:val="auto"/>
              </w:rPr>
            </w:pPr>
          </w:p>
        </w:tc>
        <w:tc>
          <w:tcPr>
            <w:tcW w:w="8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DeGolyer and MacNaughton (independent petroleum engineers for Berry Corporation (bry)).</w:t>
            </w:r>
          </w:p>
        </w:tc>
      </w:tr>
      <w:tr>
        <w:trPr>
          <w:trHeight w:val="24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780" w:type="dxa"/>
            <w:vAlign w:val="bottom"/>
          </w:tcPr>
          <w:p>
            <w:pPr>
              <w:spacing w:after="0"/>
              <w:rPr>
                <w:sz w:val="21"/>
                <w:szCs w:val="21"/>
                <w:color w:val="auto"/>
              </w:rPr>
            </w:pPr>
          </w:p>
        </w:tc>
        <w:tc>
          <w:tcPr>
            <w:tcW w:w="7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Press Release, dated December 18, 2025, issued by California Resources Corporation.</w:t>
            </w:r>
          </w:p>
        </w:tc>
        <w:tc>
          <w:tcPr>
            <w:tcW w:w="1460" w:type="dxa"/>
            <w:vAlign w:val="bottom"/>
            <w:gridSpan w:val="2"/>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62" w:lineRule="exact"/>
        <w:rPr>
          <w:sz w:val="20"/>
          <w:szCs w:val="20"/>
          <w:color w:val="auto"/>
        </w:rPr>
      </w:pPr>
    </w:p>
    <w:p>
      <w:pPr>
        <w:ind w:left="2440" w:hanging="1351"/>
        <w:spacing w:after="0"/>
        <w:tabs>
          <w:tab w:leader="none" w:pos="24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7" w:lineRule="exact"/>
        <w:rPr>
          <w:rFonts w:ascii="Times New Roman" w:cs="Times New Roman" w:eastAsia="Times New Roman" w:hAnsi="Times New Roman"/>
          <w:sz w:val="18"/>
          <w:szCs w:val="18"/>
          <w:color w:val="auto"/>
        </w:rPr>
      </w:pPr>
    </w:p>
    <w:p>
      <w:pPr>
        <w:ind w:left="400" w:right="180" w:hanging="4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upon request by the SEC; provided, however, that the registrant may request confidential treatment pursuant to Rule 24b-2 of the Securities Exchange Act of 1934, as amended, for any schedules or exhibits so furnished.</w:t>
      </w:r>
    </w:p>
    <w:p>
      <w:pPr>
        <w:spacing w:after="0" w:line="41"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9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1035685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82"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Information set forth in this communication, including financial estimates and statements as to the effects of the combination of CRC and Berry pursuant to the Merger Agreement described in our Current Report on Form 8-K, dated September 17, 2025,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are subject to risks and uncertainties that could cause actual results to differ materially from those expressed in, projected in, or implied by, such statements.</w:t>
      </w:r>
    </w:p>
    <w:p>
      <w:pPr>
        <w:spacing w:after="0" w:line="165"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from those described in the forward-looking statements include: (i) transaction costs, (ii) unknown liabilities, (iii) the risk that any announcements relating to the transaction could have adverse effects on the market price of CRC’s common stock, (iv) the ability to successfully integrate the businesses, (v) the ability to achieve projected operational and capital synergies or it may take longer than expected to achieve those synergies, (vi) risks related to financial community and rating agency perceptions of CRC or its business, operations, financial condition and the industry in which it operates, (vii) risks related to the potential impact of general economic, political and market factors on CRC, (viii) risks related to disruption of management time from ongoing business operations due to the transaction, (ix) effects of the announcement or completion of the transaction on the ability of CRC to retain customers and retain and hire key personnel and maintain relationships with its suppliers and customers, and (x) those expressed in CRC’s other forward-looking statements including those factors discussed in Part I, Item 1A – Risk Factors in CRC’s Annual Report on Form 10-K and its other filings with the SEC available at www.crc.com. The foregoing list of factors is not exhaustive. You should carefully consider the foregoing factors and the other risks and uncertainties described in the “Risk Factors” section of the Registration Statement filed by CRC with the SEC, which became effective on November 3, 2025, and other documents filed by CRC from time to time with the SEC.</w:t>
      </w:r>
    </w:p>
    <w:p>
      <w:pPr>
        <w:spacing w:after="0" w:line="152"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CRC cautions you not to place undue reliance on forward-looking statements contained in this communication,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 not warrant the accuracy or completeness of such third-party information.</w:t>
      </w:r>
    </w:p>
    <w:p>
      <w:pPr>
        <w:sectPr>
          <w:pgSz w:w="11900" w:h="16838" w:orient="portrait"/>
          <w:cols w:equalWidth="0" w:num="1">
            <w:col w:w="11200"/>
          </w:cols>
          <w:pgMar w:left="320" w:top="1399" w:right="379" w:bottom="1440" w:gutter="0" w:footer="0" w:header="0"/>
        </w:sectPr>
      </w:pPr>
    </w:p>
    <w:bookmarkStart w:id="6" w:name="page7"/>
    <w:bookmarkEnd w:id="6"/>
    <w:p>
      <w:pPr>
        <w:jc w:val="right"/>
        <w:ind w:left="80"/>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Certain portions of this exhibit (indicated by “[*****]”) have been omitted pursuant to Item 601(b)(10) of Regulation S-K. </w:t>
      </w: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EIGHTH AMENDMENT TO AMENDED AND RESTATED CREDIT AGREEMENT</w:t>
      </w:r>
    </w:p>
    <w:p>
      <w:pPr>
        <w:spacing w:after="0" w:line="196"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20"/>
          <w:szCs w:val="20"/>
          <w:color w:val="auto"/>
        </w:rPr>
        <w:t>This EIGHTH AMENDMENT TO AMENDED AND RESTATED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as of December 15, 2025 among CALIFORNIA RESOURCES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other Credit Party party hereto, the Lenders party hereto and CITIBANK, N.A., as Administrative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WITNESSETH:</w:t>
      </w:r>
    </w:p>
    <w:p>
      <w:pPr>
        <w:spacing w:after="0" w:line="196"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unless otherwise defined herein, all capitalized terms used herein that are defined in the Credit Agreement shall have the meanings given such terms in the Credit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parties to this Amendment desire to enter into this Amendment to amend the Existing Credit Agreement as provided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18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16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 xml:space="preserve">Subject to the satisfaction or waiver in writing of each of the conditions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and in reliance upon the representations, warranties, covenants and agreements contained in this Amendment, the parties hereto hereby agree that:</w:t>
      </w:r>
    </w:p>
    <w:p>
      <w:pPr>
        <w:spacing w:after="0" w:line="166" w:lineRule="exact"/>
        <w:rPr>
          <w:sz w:val="20"/>
          <w:szCs w:val="20"/>
          <w:color w:val="auto"/>
        </w:rPr>
      </w:pPr>
    </w:p>
    <w:p>
      <w:pPr>
        <w:ind w:left="640" w:firstLine="646"/>
        <w:spacing w:after="0" w:line="247" w:lineRule="auto"/>
        <w:tabs>
          <w:tab w:leader="none" w:pos="1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by amending and restating the following definitions in their entirety as follows:</w:t>
      </w:r>
    </w:p>
    <w:p>
      <w:pPr>
        <w:spacing w:after="0" w:line="166" w:lineRule="exact"/>
        <w:rPr>
          <w:sz w:val="20"/>
          <w:szCs w:val="20"/>
          <w:color w:val="auto"/>
        </w:rPr>
      </w:pPr>
    </w:p>
    <w:p>
      <w:pPr>
        <w:jc w:val="both"/>
        <w:ind w:left="1280" w:right="640" w:firstLine="640"/>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shall mean this Agreement, the First Amendment, the Second Amendment, the Third Amendment, the Fourth Amendment, the Fifth Amendment, the Sixth Amendment, the Seventh Amendment, the Eighth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spacing w:after="0" w:line="178" w:lineRule="exact"/>
        <w:rPr>
          <w:sz w:val="20"/>
          <w:szCs w:val="20"/>
          <w:color w:val="auto"/>
        </w:rPr>
      </w:pPr>
    </w:p>
    <w:p>
      <w:pPr>
        <w:jc w:val="both"/>
        <w:ind w:left="1280" w:right="640" w:firstLine="640"/>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shall mean the lesser of (x) $300,000,000, as the same may be reduced from time to time pursuant to Section 3.1 and (y) the Total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Letter of Credit Commitment as of the Eighth Amendment Effective Date shall be allocated to the Issuing Banks in accordance with the following table:</w:t>
      </w:r>
    </w:p>
    <w:p>
      <w:pPr>
        <w:spacing w:after="0" w:line="204" w:lineRule="exact"/>
        <w:rPr>
          <w:sz w:val="20"/>
          <w:szCs w:val="20"/>
          <w:color w:val="auto"/>
        </w:rPr>
      </w:pPr>
    </w:p>
    <w:tbl>
      <w:tblPr>
        <w:tblLayout w:type="fixed"/>
        <w:tblInd w:w="1290" w:type="dxa"/>
        <w:tblCellMar>
          <w:top w:w="0" w:type="dxa"/>
          <w:left w:w="0" w:type="dxa"/>
          <w:bottom w:w="0" w:type="dxa"/>
          <w:right w:w="0" w:type="dxa"/>
        </w:tblCellMar>
      </w:tblPr>
      <w:tr>
        <w:trPr>
          <w:trHeight w:val="285"/>
        </w:trPr>
        <w:tc>
          <w:tcPr>
            <w:tcW w:w="34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Issuing Bank</w:t>
            </w:r>
          </w:p>
        </w:tc>
        <w:tc>
          <w:tcPr>
            <w:tcW w:w="42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Letter of Credit Commitment</w:t>
            </w:r>
          </w:p>
        </w:tc>
      </w:tr>
      <w:tr>
        <w:trPr>
          <w:trHeight w:val="155"/>
        </w:trPr>
        <w:tc>
          <w:tcPr>
            <w:tcW w:w="3460" w:type="dxa"/>
            <w:vAlign w:val="bottom"/>
            <w:tcBorders>
              <w:left w:val="single" w:sz="8" w:color="auto"/>
              <w:bottom w:val="single" w:sz="8" w:color="auto"/>
              <w:right w:val="single" w:sz="8" w:color="auto"/>
            </w:tcBorders>
            <w:shd w:val="clear" w:color="auto" w:fill="BFBFBF"/>
          </w:tcPr>
          <w:p>
            <w:pPr>
              <w:spacing w:after="0"/>
              <w:rPr>
                <w:sz w:val="13"/>
                <w:szCs w:val="13"/>
                <w:color w:val="auto"/>
              </w:rPr>
            </w:pPr>
          </w:p>
        </w:tc>
        <w:tc>
          <w:tcPr>
            <w:tcW w:w="4220" w:type="dxa"/>
            <w:vAlign w:val="bottom"/>
            <w:tcBorders>
              <w:bottom w:val="single" w:sz="8" w:color="auto"/>
              <w:right w:val="single" w:sz="8" w:color="auto"/>
            </w:tcBorders>
            <w:shd w:val="clear" w:color="auto" w:fill="BFBFBF"/>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Citi</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line="1" w:lineRule="exact"/>
        <w:rPr>
          <w:sz w:val="20"/>
          <w:szCs w:val="20"/>
          <w:color w:val="auto"/>
        </w:rPr>
      </w:pPr>
    </w:p>
    <w:tbl>
      <w:tblPr>
        <w:tblLayout w:type="fixed"/>
        <w:tblInd w:w="170" w:type="dxa"/>
        <w:tblCellMar>
          <w:top w:w="0" w:type="dxa"/>
          <w:left w:w="0" w:type="dxa"/>
          <w:bottom w:w="0" w:type="dxa"/>
          <w:right w:w="0" w:type="dxa"/>
        </w:tblCellMar>
      </w:tblPr>
      <w:tr>
        <w:trPr>
          <w:trHeight w:val="285"/>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KeyBank National Association</w:t>
            </w:r>
          </w:p>
        </w:tc>
        <w:tc>
          <w:tcPr>
            <w:tcW w:w="4220" w:type="dxa"/>
            <w:vAlign w:val="bottom"/>
            <w:tcBorders>
              <w:top w:val="single" w:sz="8" w:color="auto"/>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Mizuho Bank, Ltd.</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MUFG Bank, Ltd.</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Royal Bank of Canada</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Deutsche Bank AG New York Branch</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$50,000,000.00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r>
        <w:trPr>
          <w:trHeight w:val="265"/>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Texas Capital Bank</w:t>
            </w:r>
          </w:p>
        </w:tc>
        <w:tc>
          <w:tcPr>
            <w:tcW w:w="4220" w:type="dxa"/>
            <w:vAlign w:val="bottom"/>
            <w:tcBorders>
              <w:right w:val="single" w:sz="8" w:color="auto"/>
            </w:tcBorders>
          </w:tcPr>
          <w:p>
            <w:pPr>
              <w:jc w:val="right"/>
              <w:ind w:right="1422"/>
              <w:spacing w:after="0"/>
              <w:rPr>
                <w:sz w:val="20"/>
                <w:szCs w:val="20"/>
                <w:color w:val="auto"/>
              </w:rPr>
            </w:pPr>
            <w:r>
              <w:rPr>
                <w:rFonts w:ascii="Times New Roman" w:cs="Times New Roman" w:eastAsia="Times New Roman" w:hAnsi="Times New Roman"/>
                <w:sz w:val="20"/>
                <w:szCs w:val="20"/>
                <w:color w:val="auto"/>
              </w:rPr>
              <w:t>$15,000,000.00</w:t>
            </w:r>
          </w:p>
        </w:tc>
      </w:tr>
      <w:tr>
        <w:trPr>
          <w:trHeight w:val="155"/>
        </w:trPr>
        <w:tc>
          <w:tcPr>
            <w:tcW w:w="3460" w:type="dxa"/>
            <w:vAlign w:val="bottom"/>
            <w:tcBorders>
              <w:left w:val="single" w:sz="8" w:color="auto"/>
              <w:bottom w:val="single" w:sz="8" w:color="auto"/>
              <w:right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324" w:lineRule="exact"/>
        <w:rPr>
          <w:sz w:val="20"/>
          <w:szCs w:val="20"/>
          <w:color w:val="auto"/>
        </w:rPr>
      </w:pPr>
    </w:p>
    <w:p>
      <w:pPr>
        <w:ind w:left="-480" w:firstLine="646"/>
        <w:spacing w:after="0" w:line="247" w:lineRule="auto"/>
        <w:tabs>
          <w:tab w:leader="none" w:pos="75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by inserting the following defined term in the appropriate alphabetical order:</w:t>
      </w:r>
    </w:p>
    <w:p>
      <w:pPr>
        <w:spacing w:after="0" w:line="166" w:lineRule="exact"/>
        <w:rPr>
          <w:sz w:val="20"/>
          <w:szCs w:val="20"/>
          <w:color w:val="auto"/>
        </w:rPr>
      </w:pPr>
    </w:p>
    <w:p>
      <w:pPr>
        <w:jc w:val="both"/>
        <w:ind w:left="160" w:right="640" w:firstLine="640"/>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Eighth Amendment</w:t>
      </w:r>
      <w:r>
        <w:rPr>
          <w:rFonts w:ascii="Times New Roman" w:cs="Times New Roman" w:eastAsia="Times New Roman" w:hAnsi="Times New Roman"/>
          <w:sz w:val="20"/>
          <w:szCs w:val="20"/>
          <w:color w:val="auto"/>
        </w:rPr>
        <w:t>” shall mean that certain Eighth Amendment to Amended and Restated Credit Agreement, dated as of December 15, 2025, among the Borrower, the Guarantors party thereto, the Administrative Agent and the Lenders party thereto.</w:t>
      </w:r>
    </w:p>
    <w:p>
      <w:pPr>
        <w:spacing w:after="0" w:line="175" w:lineRule="exact"/>
        <w:rPr>
          <w:sz w:val="20"/>
          <w:szCs w:val="20"/>
          <w:color w:val="auto"/>
        </w:rPr>
      </w:pPr>
    </w:p>
    <w:p>
      <w:pPr>
        <w:jc w:val="both"/>
        <w:ind w:left="160" w:right="640" w:firstLine="64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Eighth Amendment Effective Date</w:t>
      </w:r>
      <w:r>
        <w:rPr>
          <w:rFonts w:ascii="Times New Roman" w:cs="Times New Roman" w:eastAsia="Times New Roman" w:hAnsi="Times New Roman"/>
          <w:sz w:val="20"/>
          <w:szCs w:val="20"/>
          <w:color w:val="auto"/>
        </w:rPr>
        <w:t>” shall mean the date of satisfaction of the conditions precedent set forth in Section 2 of the Eighth Amendment.</w:t>
      </w:r>
    </w:p>
    <w:p>
      <w:pPr>
        <w:spacing w:after="0" w:line="180" w:lineRule="exact"/>
        <w:rPr>
          <w:sz w:val="20"/>
          <w:szCs w:val="20"/>
          <w:color w:val="auto"/>
        </w:rPr>
      </w:pPr>
    </w:p>
    <w:p>
      <w:pPr>
        <w:jc w:val="both"/>
        <w:ind w:left="160" w:right="640" w:firstLine="64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Letters of Credit</w:t>
      </w:r>
      <w:r>
        <w:rPr>
          <w:rFonts w:ascii="Times New Roman" w:cs="Times New Roman" w:eastAsia="Times New Roman" w:hAnsi="Times New Roman"/>
          <w:sz w:val="20"/>
          <w:szCs w:val="20"/>
          <w:color w:val="auto"/>
        </w:rPr>
        <w:t xml:space="preserve">” shall mean those Letters of Credit issued by Texas Capital Bank as issuer with Berry Petroleum Company, LLC, Macpherson Oil Company LLC, Berry Corporation (bry) and C&amp;J Well Services, LLC, as applicable, as applicant as specified on </w:t>
      </w: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 xml:space="preserve"> attached hereto, as such Letters of Credit may be renewed, extended or amended from time to time.</w:t>
      </w:r>
    </w:p>
    <w:p>
      <w:pPr>
        <w:spacing w:after="0" w:line="173" w:lineRule="exact"/>
        <w:rPr>
          <w:sz w:val="20"/>
          <w:szCs w:val="20"/>
          <w:color w:val="auto"/>
        </w:rPr>
      </w:pPr>
    </w:p>
    <w:p>
      <w:pPr>
        <w:ind w:left="580" w:hanging="414"/>
        <w:spacing w:after="0"/>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3.1(a) of the Existing Credit Agreement is hereby amended and restated in its entirety as follows:</w:t>
      </w:r>
    </w:p>
    <w:p>
      <w:pPr>
        <w:spacing w:after="0" w:line="196" w:lineRule="exact"/>
        <w:rPr>
          <w:sz w:val="20"/>
          <w:szCs w:val="20"/>
          <w:color w:val="auto"/>
        </w:rPr>
      </w:pPr>
    </w:p>
    <w:p>
      <w:pPr>
        <w:jc w:val="both"/>
        <w:ind w:left="160" w:right="640" w:firstLine="640"/>
        <w:spacing w:after="0" w:line="227" w:lineRule="auto"/>
        <w:rPr>
          <w:sz w:val="20"/>
          <w:szCs w:val="20"/>
          <w:color w:val="auto"/>
        </w:rPr>
      </w:pPr>
      <w:r>
        <w:rPr>
          <w:rFonts w:ascii="Times New Roman" w:cs="Times New Roman" w:eastAsia="Times New Roman" w:hAnsi="Times New Roman"/>
          <w:sz w:val="20"/>
          <w:szCs w:val="20"/>
          <w:color w:val="auto"/>
        </w:rPr>
        <w:t xml:space="preserve">“Subject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(ii) on and after the Eighth Amendment Effective Date, the Specified Letters of Credit shall be deemed issued hereunder and, on and after the Eighth Amendment Effective Date, shall constitute Letters of Credit for all purposes hereunder and under the Credit Documents and (iii) at any time and from time to time on and after the Closing Date and prior to the L/C Maturity Date, each Issuing Bank, severally, and not jointly, agrees, in reliance upon the agreements of the Lenders set forth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to issue upon the request of the Borrower and for the direct or indirect benefit of the Borrower and its Subsidiaries, a letter of credit or letters of credit in Dollars (the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in such form and with such Issuer Documents as may be approved by the applicable Issuing Bank in its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a co-applicant of, and jointly and severally liable with respect to, each Letter of Credit issued for the account of a Subsidiary;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up to $50,000,000 of Letters of Credit may be requested by the Borrower in support of any obligations of,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1426"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20"/>
          <w:szCs w:val="20"/>
          <w:color w:val="auto"/>
        </w:rPr>
        <w:t xml:space="preserve">the account of, any Unrestricted Subsidiary, subject to constituting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right="520" w:firstLine="1286"/>
        <w:spacing w:after="0" w:line="452" w:lineRule="auto"/>
        <w:tabs>
          <w:tab w:leader="none" w:pos="170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Schedule 1.1(f) (attached as </w:t>
      </w: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 xml:space="preserve"> to this Amendment) is hereby added to the Existing Credit Agreement. SECTION 2. </w:t>
      </w:r>
      <w:r>
        <w:rPr>
          <w:rFonts w:ascii="Times New Roman" w:cs="Times New Roman" w:eastAsia="Times New Roman" w:hAnsi="Times New Roman"/>
          <w:sz w:val="20"/>
          <w:szCs w:val="20"/>
          <w:b w:val="1"/>
          <w:bCs w:val="1"/>
          <w:u w:val="single" w:color="auto"/>
          <w:color w:val="auto"/>
        </w:rPr>
        <w:t>Conditions Precedent</w:t>
      </w:r>
      <w:r>
        <w:rPr>
          <w:rFonts w:ascii="Times New Roman" w:cs="Times New Roman" w:eastAsia="Times New Roman" w:hAnsi="Times New Roman"/>
          <w:sz w:val="20"/>
          <w:szCs w:val="20"/>
          <w:color w:val="auto"/>
        </w:rPr>
        <w: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this Amendment is subject to satisfaction of each of the following conditions precedent:</w:t>
      </w:r>
    </w:p>
    <w:p>
      <w:pPr>
        <w:spacing w:after="0" w:line="19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Executed Amendment</w:t>
      </w:r>
      <w:r>
        <w:rPr>
          <w:rFonts w:ascii="Times New Roman" w:cs="Times New Roman" w:eastAsia="Times New Roman" w:hAnsi="Times New Roman"/>
          <w:sz w:val="20"/>
          <w:szCs w:val="20"/>
          <w:color w:val="auto"/>
        </w:rPr>
        <w:t>. The Administrative Agent shall have received counterparts of this Amendment duly executed by the Borrower, the other Credit Parties, each Issuing Bank and the Lenders constituting Majority Lenders.</w:t>
      </w:r>
    </w:p>
    <w:p>
      <w:pPr>
        <w:spacing w:after="0" w:line="159"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Closing Certificate</w:t>
      </w:r>
      <w:r>
        <w:rPr>
          <w:rFonts w:ascii="Times New Roman" w:cs="Times New Roman" w:eastAsia="Times New Roman" w:hAnsi="Times New Roman"/>
          <w:sz w:val="20"/>
          <w:szCs w:val="20"/>
          <w:color w:val="auto"/>
        </w:rPr>
        <w:t xml:space="preserve">. The Administrative Agent shall have received a certificate executed by an Authorized Officer of the Borrower certifying that (a) no Default or Event of Default has occurred that is continuing immediately prior to and after giving effect to this Amendment and (b) each representation and warranty contained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spacing w:after="0" w:line="172"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169" w:lineRule="exact"/>
        <w:rPr>
          <w:sz w:val="20"/>
          <w:szCs w:val="20"/>
          <w:color w:val="auto"/>
        </w:rPr>
      </w:pPr>
    </w:p>
    <w:p>
      <w:pPr>
        <w:jc w:val="both"/>
        <w:ind w:firstLine="640"/>
        <w:spacing w:after="0" w:line="244"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b w:val="1"/>
          <w:bCs w:val="1"/>
          <w:u w:val="single" w:color="auto"/>
          <w:color w:val="auto"/>
        </w:rPr>
        <w:t>Closing of Merger</w:t>
      </w:r>
      <w:r>
        <w:rPr>
          <w:rFonts w:ascii="Times New Roman" w:cs="Times New Roman" w:eastAsia="Times New Roman" w:hAnsi="Times New Roman"/>
          <w:sz w:val="20"/>
          <w:szCs w:val="20"/>
          <w:color w:val="auto"/>
        </w:rPr>
        <w:t>. The Closing (as defined in the Merger Agreement (as defined below)) contemplated by that certain Agreement and Plan of Merger, dated September 14, 2025, among California Resources Corporation, Berry Corporation (bry) and Dornoch Merger Sub, LLC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shall have occurred.</w:t>
      </w:r>
    </w:p>
    <w:p>
      <w:pPr>
        <w:spacing w:after="0" w:line="16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162"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Accuracy of Representations and Warranties</w:t>
      </w:r>
      <w:r>
        <w:rPr>
          <w:rFonts w:ascii="Times New Roman" w:cs="Times New Roman" w:eastAsia="Times New Roman" w:hAnsi="Times New Roman"/>
          <w:sz w:val="20"/>
          <w:szCs w:val="20"/>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Eighth Amendment Effective Date (expect where such representations and warranties expressly relate to an earlier date, in which case such representations and warranties shall have been true and correct in all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6" w:right="339" w:bottom="1440" w:gutter="0" w:footer="0" w:header="0"/>
        </w:sectPr>
      </w:pPr>
    </w:p>
    <w:bookmarkStart w:id="9" w:name="page10"/>
    <w:bookmarkEnd w:id="9"/>
    <w:p>
      <w:pPr>
        <w:jc w:val="both"/>
        <w:spacing w:after="0" w:line="247" w:lineRule="auto"/>
        <w:rPr>
          <w:sz w:val="20"/>
          <w:szCs w:val="20"/>
          <w:color w:val="auto"/>
        </w:rPr>
      </w:pPr>
      <w:r>
        <w:rPr>
          <w:rFonts w:ascii="Times New Roman" w:cs="Times New Roman" w:eastAsia="Times New Roman" w:hAnsi="Times New Roman"/>
          <w:sz w:val="20"/>
          <w:szCs w:val="20"/>
          <w:color w:val="auto"/>
        </w:rPr>
        <w:t>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62" w:lineRule="exact"/>
        <w:rPr>
          <w:sz w:val="20"/>
          <w:szCs w:val="20"/>
          <w:color w:val="auto"/>
        </w:rPr>
      </w:pPr>
    </w:p>
    <w:p>
      <w:pPr>
        <w:jc w:val="both"/>
        <w:ind w:firstLine="640"/>
        <w:spacing w:after="0" w:line="23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u w:val="single" w:color="auto"/>
          <w:color w:val="auto"/>
        </w:rPr>
        <w:t>No Conflicts</w:t>
      </w:r>
      <w:r>
        <w:rPr>
          <w:rFonts w:ascii="Times New Roman" w:cs="Times New Roman" w:eastAsia="Times New Roman" w:hAnsi="Times New Roman"/>
          <w:sz w:val="20"/>
          <w:szCs w:val="20"/>
          <w:color w:val="auto"/>
        </w:rPr>
        <w:t>. None of the execution, delivery or performance by any Credit Party of this Amendment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spacing w:after="0" w:line="170"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Due Authorization</w:t>
      </w:r>
      <w:r>
        <w:rPr>
          <w:rFonts w:ascii="Times New Roman" w:cs="Times New Roman" w:eastAsia="Times New Roman" w:hAnsi="Times New Roman"/>
          <w:sz w:val="20"/>
          <w:szCs w:val="20"/>
          <w:color w:val="auto"/>
        </w:rPr>
        <w:t>. Each Credit Party has the corporate or other organizational power and authority to execute, deliver and carry out the terms and provisions of this Amendment, and has taken all necessary corporate or other organizational action to authorize the execution and delivery of this Amendment and performance of this Amendment and the Credit Agreement, and has duly executed and delivered this Amendment.</w:t>
      </w:r>
    </w:p>
    <w:p>
      <w:pPr>
        <w:spacing w:after="0" w:line="171"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b w:val="1"/>
          <w:bCs w:val="1"/>
          <w:u w:val="single" w:color="auto"/>
          <w:color w:val="auto"/>
        </w:rPr>
        <w:t>Validity and Binding Effect</w:t>
      </w:r>
      <w:r>
        <w:rPr>
          <w:rFonts w:ascii="Times New Roman" w:cs="Times New Roman" w:eastAsia="Times New Roman" w:hAnsi="Times New Roman"/>
          <w:sz w:val="20"/>
          <w:szCs w:val="20"/>
          <w:color w:val="auto"/>
        </w:rPr>
        <w:t>. This Amendment and the Credit Agreement constitute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6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b w:val="1"/>
          <w:bCs w:val="1"/>
          <w:u w:val="single" w:color="auto"/>
          <w:color w:val="auto"/>
        </w:rPr>
        <w:t>New Issuing Bank</w:t>
      </w:r>
      <w:r>
        <w:rPr>
          <w:rFonts w:ascii="Times New Roman" w:cs="Times New Roman" w:eastAsia="Times New Roman" w:hAnsi="Times New Roman"/>
          <w:sz w:val="20"/>
          <w:szCs w:val="20"/>
          <w:color w:val="auto"/>
        </w:rPr>
        <w:t>. In accordance with Section 3.5 of the Credit Agreement, as of the Eighth Amendment Effective date, (a) the Borrower hereby appoints Texas Capital Bank (the “</w:t>
      </w:r>
      <w:r>
        <w:rPr>
          <w:rFonts w:ascii="Times New Roman" w:cs="Times New Roman" w:eastAsia="Times New Roman" w:hAnsi="Times New Roman"/>
          <w:sz w:val="20"/>
          <w:szCs w:val="20"/>
          <w:u w:val="single" w:color="auto"/>
          <w:color w:val="auto"/>
        </w:rPr>
        <w:t>New Issuing Bank</w:t>
      </w:r>
      <w:r>
        <w:rPr>
          <w:rFonts w:ascii="Times New Roman" w:cs="Times New Roman" w:eastAsia="Times New Roman" w:hAnsi="Times New Roman"/>
          <w:sz w:val="20"/>
          <w:szCs w:val="20"/>
          <w:color w:val="auto"/>
        </w:rPr>
        <w:t>”), as an Issuing Bank under the Credit Agreement and the other Credit Documents (the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(b) the New Issuing Bank hereby accepts its appointment as an Issuing Bank and agrees that it shall be vested with all of the rights, powers, privileges, obligations and duties of an Issuing Bank under the Credit Agreement and the other Credit Documents from and after the Eighth Amendment Effective Date and (c) the Administrative Agent hereby consents to the Appointment. The New Issuing Bank hereby agrees that its individual Letter of Credit Commitment shall be $15,000,000.00.</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b w:val="1"/>
          <w:bCs w:val="1"/>
          <w:u w:val="single" w:color="auto"/>
          <w:color w:val="auto"/>
        </w:rPr>
        <w:t>Issuing Bank Consent to Additional Revolving Lender Certificate</w:t>
      </w:r>
      <w:r>
        <w:rPr>
          <w:rFonts w:ascii="Times New Roman" w:cs="Times New Roman" w:eastAsia="Times New Roman" w:hAnsi="Times New Roman"/>
          <w:sz w:val="20"/>
          <w:szCs w:val="20"/>
          <w:color w:val="auto"/>
        </w:rPr>
        <w:t>. Each Issuing Bank hereby consents to the admission of Cargill, Incorporated as a Lender under the Credit Agreement, whether pursuant to Section 2.16(c) of the Credit Agreement or otherwise in accordance with the terms of the Credit Agreement.</w:t>
      </w:r>
    </w:p>
    <w:p>
      <w:pPr>
        <w:spacing w:after="0" w:line="16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0"/>
        <w:spacing w:after="0" w:line="23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Confirmation and Effect</w:t>
      </w:r>
      <w:r>
        <w:rPr>
          <w:rFonts w:ascii="Times New Roman" w:cs="Times New Roman" w:eastAsia="Times New Roman" w:hAnsi="Times New Roman"/>
          <w:sz w:val="20"/>
          <w:szCs w:val="20"/>
          <w:color w:val="auto"/>
        </w:rPr>
        <w:t>. The provisions of the Credit Agreement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and each reference to the “Credit Agreement” in any other document, instrument or agreement executed and/or delivered in connection with the Credit Agreement shall mean and be a reference to the Credit Agreement. This Amendment shall not constitute a novation of the Credit Agreement or any of the Credit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6"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0"/>
          <w:szCs w:val="20"/>
          <w:color w:val="auto"/>
        </w:rPr>
        <w:t>Amendment shall automatically terminate and be of no further force and effect if the Merger Agreement is terminated in accordance with its terms.</w:t>
      </w:r>
    </w:p>
    <w:p>
      <w:pPr>
        <w:spacing w:after="0" w:line="162"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Ratification and Affirmation of Credit Parties</w:t>
      </w:r>
      <w:r>
        <w:rPr>
          <w:rFonts w:ascii="Times New Roman" w:cs="Times New Roman" w:eastAsia="Times New Roman" w:hAnsi="Times New Roman"/>
          <w:sz w:val="20"/>
          <w:szCs w:val="20"/>
          <w:color w:val="auto"/>
        </w:rPr>
        <w:t>. Each of the Credit Parties hereby expressly (a) acknowledges the terms of this Amendment, (b) ratifies and affirms its obligations under the Guarantee, the Security Documents and the other Credit Documents to which it is a party, (c) acknowledges, renews and extends its continued liability under the Guarantee, the Security Documents and the other Credit Documents to which it is a party and (d) agrees that its guarantee under the Guarantee, the Security Documents and the other Credit Documents to which it is a party remains in full force and effect with respect to the Obligations as amended hereby.</w:t>
      </w:r>
    </w:p>
    <w:p>
      <w:pPr>
        <w:spacing w:after="0" w:line="17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Parties in Interest</w:t>
      </w:r>
      <w:r>
        <w:rPr>
          <w:rFonts w:ascii="Times New Roman" w:cs="Times New Roman" w:eastAsia="Times New Roman" w:hAnsi="Times New Roman"/>
          <w:sz w:val="20"/>
          <w:szCs w:val="20"/>
          <w:color w:val="auto"/>
        </w:rPr>
        <w:t>. All of the terms and provisions of this Amendment shall bind and inure to the benefit of the parties hereto and their respective successors and assigns.</w:t>
      </w:r>
    </w:p>
    <w:p>
      <w:pPr>
        <w:spacing w:after="0" w:line="159"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Counterparts; Facsimile</w:t>
      </w:r>
      <w:r>
        <w:rPr>
          <w:rFonts w:ascii="Times New Roman" w:cs="Times New Roman" w:eastAsia="Times New Roman" w:hAnsi="Times New Roman"/>
          <w:sz w:val="20"/>
          <w:szCs w:val="20"/>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u w:val="single" w:color="auto"/>
          <w:color w:val="auto"/>
        </w:rPr>
        <w:t>COMPLETE AGREEMENT</w:t>
      </w:r>
      <w:r>
        <w:rPr>
          <w:rFonts w:ascii="Times New Roman" w:cs="Times New Roman" w:eastAsia="Times New Roman" w:hAnsi="Times New Roman"/>
          <w:sz w:val="20"/>
          <w:szCs w:val="20"/>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70"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71" w:lineRule="exact"/>
        <w:rPr>
          <w:sz w:val="20"/>
          <w:szCs w:val="20"/>
          <w:color w:val="auto"/>
        </w:rPr>
      </w:pPr>
    </w:p>
    <w:p>
      <w:pPr>
        <w:jc w:val="both"/>
        <w:ind w:firstLine="640"/>
        <w:spacing w:after="0" w:line="238"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b w:val="1"/>
          <w:bCs w:val="1"/>
          <w:u w:val="single" w:color="auto"/>
          <w:color w:val="auto"/>
        </w:rPr>
        <w:t>Titles of Sections</w:t>
      </w:r>
      <w:r>
        <w:rPr>
          <w:rFonts w:ascii="Times New Roman" w:cs="Times New Roman" w:eastAsia="Times New Roman" w:hAnsi="Times New Roman"/>
          <w:sz w:val="20"/>
          <w:szCs w:val="20"/>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69"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case any one or more of the provisions contained in this Amendment shall for any reason be held to be invalid, illegal or unenforceable in any respect, such invalidity, illegality,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6" w:right="339" w:bottom="1440" w:gutter="0" w:footer="0" w:header="0"/>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20"/>
          <w:szCs w:val="20"/>
          <w:color w:val="auto"/>
        </w:rPr>
        <w:t>unenforceability shall not affect any other provision hereof, and this Amendment shall be construed as if such invalid, illegal, or unenforceable provision had never been contained herein.</w:t>
      </w:r>
    </w:p>
    <w:p>
      <w:pPr>
        <w:spacing w:after="0" w:line="162"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b w:val="1"/>
          <w:bCs w:val="1"/>
          <w:u w:val="single" w:color="auto"/>
          <w:color w:val="auto"/>
        </w:rPr>
        <w:t>Payment of Expenses</w:t>
      </w:r>
      <w:r>
        <w:rPr>
          <w:rFonts w:ascii="Times New Roman" w:cs="Times New Roman" w:eastAsia="Times New Roman" w:hAnsi="Times New Roman"/>
          <w:sz w:val="20"/>
          <w:szCs w:val="20"/>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7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8"/>
          <w:szCs w:val="18"/>
          <w:b w:val="1"/>
          <w:bCs w:val="1"/>
          <w:u w:val="single" w:color="auto"/>
          <w:color w:val="auto"/>
        </w:rPr>
        <w:t>Credit Documents</w:t>
      </w:r>
      <w:r>
        <w:rPr>
          <w:rFonts w:ascii="Times New Roman" w:cs="Times New Roman" w:eastAsia="Times New Roman" w:hAnsi="Times New Roman"/>
          <w:sz w:val="18"/>
          <w:szCs w:val="18"/>
          <w:color w:val="auto"/>
        </w:rPr>
        <w:t>. The Borrower acknowledges and agrees that this Amendment is a Credit Document.</w:t>
      </w:r>
    </w:p>
    <w:p>
      <w:pPr>
        <w:spacing w:after="0" w:line="196"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AND ANY CLAIMS, CONTROVERSY, DISPUTE, OR CAUSE OF ACTION (WHETHER BASED IN CONTRACT, TORT, OR OTHERWISE AND WHETHER AT LAW OR IN EQUITY) AND THE RIGHTS AND OBLIGATIONS OF THE PARTIES HEREUNDER SHALL BE GOVERNED BY, AND CONSTRUED AND INTERPRETED IN ACCORDANCE WITH, THE LAW OF THE STATE OF NEW YORK.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6" w:right="339" w:bottom="1440" w:gutter="0" w:footer="0" w:header="0"/>
        </w:sectPr>
      </w:pPr>
    </w:p>
    <w:bookmarkStart w:id="12" w:name="page13"/>
    <w:bookmarkEnd w:id="12"/>
    <w:p>
      <w:pPr>
        <w:ind w:firstLine="640"/>
        <w:spacing w:after="0" w:line="275"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5140" w:type="dxa"/>
        <w:tblCellMar>
          <w:top w:w="0" w:type="dxa"/>
          <w:left w:w="0" w:type="dxa"/>
          <w:bottom w:w="0" w:type="dxa"/>
          <w:right w:w="0" w:type="dxa"/>
        </w:tblCellMar>
      </w:tblPr>
      <w:tr>
        <w:trPr>
          <w:trHeight w:val="2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Clio C. Crespy</w:t>
            </w:r>
          </w:p>
        </w:tc>
        <w:tc>
          <w:tcPr>
            <w:tcW w:w="0" w:type="dxa"/>
            <w:vAlign w:val="bottom"/>
          </w:tcPr>
          <w:p>
            <w:pPr>
              <w:spacing w:after="0"/>
              <w:rPr>
                <w:sz w:val="1"/>
                <w:szCs w:val="1"/>
                <w:color w:val="auto"/>
              </w:rPr>
            </w:pPr>
          </w:p>
        </w:tc>
      </w:tr>
      <w:tr>
        <w:trPr>
          <w:trHeight w:val="35"/>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860" w:type="dxa"/>
            <w:vAlign w:val="bottom"/>
            <w:vMerge w:val="continue"/>
          </w:tcPr>
          <w:p>
            <w:pPr>
              <w:spacing w:after="0"/>
              <w:rPr>
                <w:sz w:val="21"/>
                <w:szCs w:val="21"/>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Clio C. Crespy</w:t>
            </w:r>
          </w:p>
        </w:tc>
        <w:tc>
          <w:tcPr>
            <w:tcW w:w="0" w:type="dxa"/>
            <w:vAlign w:val="bottom"/>
          </w:tcPr>
          <w:p>
            <w:pPr>
              <w:spacing w:after="0"/>
              <w:rPr>
                <w:sz w:val="1"/>
                <w:szCs w:val="1"/>
                <w:color w:val="auto"/>
              </w:rPr>
            </w:pPr>
          </w:p>
        </w:tc>
      </w:tr>
      <w:tr>
        <w:trPr>
          <w:trHeight w:val="29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2"/>
          <w:szCs w:val="12"/>
          <w:color w:val="auto"/>
        </w:rPr>
        <w:t>IGHTH</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1240"/>
          </w:cols>
          <w:pgMar w:left="320" w:top="139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SUBSIDIARY GRANTORS:</w:t>
            </w: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CALIFORNIA HEAVY OIL, INC.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CALIFORNIA RESOURCES ELK HILLS,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CALIFORNIA RESOURCES LONG BEACH, INC.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CALIFORNIA RESOURCES PETROLEUM CORPORATION</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w w:val="99"/>
              </w:rPr>
              <w:t>CALIFORNIA RESOURCES PRODUCTION CORPORATION</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w w:val="96"/>
              </w:rPr>
              <w:t>CALIFORNIA RESOURCES REAL ESTATE VENTURES,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CALIFORNIA RESOURCES ROYALTY HOLDINGS,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CALIFORNIA RESOURCES TIDELANDS, INC.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CALIFORNIA RESOURCES WILMINGTON,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CRC CONSTRUCTION SERVICES,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CRC MARKETING, INC.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CRC SERVICES,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SOCAL HOLDING,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SOUTHERN SAN JOAQUIN PRODUCTION, INC.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THUMS LONG BEACH COMPANY</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TIDELANDS OIL PRODUCTION COMPANY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ELK HILLS POWER,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AERA ENERGY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AERA ENERGY SERVICES COMPANY</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AERA FEDERAL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BELRIDGE FARMS &amp; PACKING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GREEN GATE INTERMEDIATE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GREEN GATE RESOURCES E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GREEN GATE RESOURCES HOLDINGS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GREEN GATE RESOURCES PARENT LLC</w:t>
            </w:r>
          </w:p>
        </w:tc>
      </w:tr>
      <w:tr>
        <w:trPr>
          <w:trHeight w:val="227"/>
        </w:trPr>
        <w:tc>
          <w:tcPr>
            <w:tcW w:w="3720" w:type="dxa"/>
            <w:vAlign w:val="bottom"/>
          </w:tcPr>
          <w:p>
            <w:pPr>
              <w:spacing w:after="0"/>
              <w:rPr>
                <w:sz w:val="19"/>
                <w:szCs w:val="19"/>
                <w:color w:val="auto"/>
              </w:rPr>
            </w:pPr>
          </w:p>
        </w:tc>
        <w:tc>
          <w:tcPr>
            <w:tcW w:w="6600" w:type="dxa"/>
            <w:vAlign w:val="bottom"/>
          </w:tcPr>
          <w:p>
            <w:pPr>
              <w:ind w:left="1400"/>
              <w:spacing w:after="0" w:line="227" w:lineRule="exact"/>
              <w:rPr>
                <w:sz w:val="20"/>
                <w:szCs w:val="20"/>
                <w:color w:val="auto"/>
              </w:rPr>
            </w:pPr>
            <w:r>
              <w:rPr>
                <w:rFonts w:ascii="Times New Roman" w:cs="Times New Roman" w:eastAsia="Times New Roman" w:hAnsi="Times New Roman"/>
                <w:sz w:val="20"/>
                <w:szCs w:val="20"/>
                <w:color w:val="auto"/>
              </w:rPr>
              <w:t>GREEN GATE RESOURCES S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GREEN GATE SAN ARDO LLC</w:t>
            </w:r>
          </w:p>
        </w:tc>
      </w:tr>
      <w:tr>
        <w:trPr>
          <w:trHeight w:val="240"/>
        </w:trPr>
        <w:tc>
          <w:tcPr>
            <w:tcW w:w="3720" w:type="dxa"/>
            <w:vAlign w:val="bottom"/>
          </w:tcPr>
          <w:p>
            <w:pPr>
              <w:spacing w:after="0"/>
              <w:rPr>
                <w:sz w:val="20"/>
                <w:szCs w:val="20"/>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PETRA MERGER SUB S, LLC</w:t>
            </w:r>
          </w:p>
        </w:tc>
      </w:tr>
      <w:tr>
        <w:trPr>
          <w:trHeight w:val="254"/>
        </w:trPr>
        <w:tc>
          <w:tcPr>
            <w:tcW w:w="3720" w:type="dxa"/>
            <w:vAlign w:val="bottom"/>
          </w:tcPr>
          <w:p>
            <w:pPr>
              <w:spacing w:after="0"/>
              <w:rPr>
                <w:sz w:val="22"/>
                <w:szCs w:val="22"/>
                <w:color w:val="auto"/>
              </w:rPr>
            </w:pPr>
          </w:p>
        </w:tc>
        <w:tc>
          <w:tcPr>
            <w:tcW w:w="66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TERRAIN TECHNOLOGY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120" w:type="dxa"/>
        <w:tblCellMar>
          <w:top w:w="0" w:type="dxa"/>
          <w:left w:w="0" w:type="dxa"/>
          <w:bottom w:w="0" w:type="dxa"/>
          <w:right w:w="0" w:type="dxa"/>
        </w:tblCellMar>
      </w:tblPr>
      <w:tr>
        <w:trPr>
          <w:trHeight w:val="2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Clio C. Crespy</w:t>
            </w:r>
          </w:p>
        </w:tc>
        <w:tc>
          <w:tcPr>
            <w:tcW w:w="0" w:type="dxa"/>
            <w:vAlign w:val="bottom"/>
          </w:tcPr>
          <w:p>
            <w:pPr>
              <w:spacing w:after="0"/>
              <w:rPr>
                <w:sz w:val="1"/>
                <w:szCs w:val="1"/>
                <w:color w:val="auto"/>
              </w:rPr>
            </w:pPr>
          </w:p>
        </w:tc>
      </w:tr>
      <w:tr>
        <w:trPr>
          <w:trHeight w:val="35"/>
        </w:trPr>
        <w:tc>
          <w:tcPr>
            <w:tcW w:w="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860" w:type="dxa"/>
            <w:vAlign w:val="bottom"/>
            <w:vMerge w:val="continue"/>
          </w:tcPr>
          <w:p>
            <w:pPr>
              <w:spacing w:after="0"/>
              <w:rPr>
                <w:sz w:val="21"/>
                <w:szCs w:val="21"/>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Clio C. Crespy</w:t>
            </w:r>
          </w:p>
        </w:tc>
        <w:tc>
          <w:tcPr>
            <w:tcW w:w="0" w:type="dxa"/>
            <w:vAlign w:val="bottom"/>
          </w:tcPr>
          <w:p>
            <w:pPr>
              <w:spacing w:after="0"/>
              <w:rPr>
                <w:sz w:val="1"/>
                <w:szCs w:val="1"/>
                <w:color w:val="auto"/>
              </w:rPr>
            </w:pPr>
          </w:p>
        </w:tc>
      </w:tr>
      <w:tr>
        <w:trPr>
          <w:trHeight w:val="29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2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2"/>
          <w:szCs w:val="12"/>
          <w:color w:val="auto"/>
        </w:rPr>
        <w:t>IGHTH</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1220"/>
          </w:cols>
          <w:pgMar w:left="340" w:top="143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2"/>
          <w:szCs w:val="12"/>
          <w:color w:val="auto"/>
        </w:rPr>
        <w:t>IGHTH</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9019"/>
          </w:cols>
          <w:pgMar w:left="1440" w:top="1396"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consent to the incorporation by reference in the registration statements (Nos. 333-252736 and 333-264766) on Form S-8 and (No. 333-281267) on Form S-3 of California Resources Corporation of our report dated March 13, 2025, with respect to the consolidated financial statements of Berry Corporation (bry), and the effectiveness of internal control over financial reporting which report is incorporated by reference in the Form 8-K of California Resources Corporation dated December 18, 2025.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Dallas, TX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2025</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DeGolyer and MacNaughton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5001 Spring Valley Road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Suite 800 East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Dallas, Texas 75244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 368-6391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Fax</w:t>
      </w:r>
    </w:p>
    <w:p>
      <w:pPr>
        <w:spacing w:after="0" w:line="6" w:lineRule="exact"/>
        <w:rPr>
          <w:sz w:val="20"/>
          <w:szCs w:val="20"/>
          <w:color w:val="auto"/>
        </w:rPr>
      </w:pPr>
    </w:p>
    <w:p>
      <w:pPr>
        <w:ind w:left="5500" w:hanging="431"/>
        <w:spacing w:after="0"/>
        <w:tabs>
          <w:tab w:leader="none" w:pos="5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369-4061</w:t>
      </w:r>
    </w:p>
    <w:p>
      <w:pPr>
        <w:spacing w:after="0" w:line="6"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WWW.DEMAC.COM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December 18,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Long Beach, California 90831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We hereby consent to the use of information from, and the inclusion of, our report of third party dated January 3, 2025, containing our opinion of the proved reserves and future net revenue, as of December 31, 2024, of Berry Corporation (bry) (our “Letter Report”) by incorporation by reference into (1) the Form S-3 of California Resources Corporation (File No. 333-281267), (2) the Form S-8 of California Resources Corporation (File No. 333-252736) and (3) the Form S-8 of California Resources Corporation (File No. 333-264766). We further consent to this consent being filed as an exhibit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/s/ 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-8255</wp:posOffset>
            </wp:positionV>
            <wp:extent cx="2308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30886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DeGOLYER and MacNAUGHTON</w:t>
      </w:r>
    </w:p>
    <w:p>
      <w:pPr>
        <w:spacing w:after="0" w:line="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Texas Registered Engineering Firm F-716</w:t>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1426210</wp:posOffset>
            </wp:positionH>
            <wp:positionV relativeFrom="page">
              <wp:posOffset>571500</wp:posOffset>
            </wp:positionV>
            <wp:extent cx="1743075" cy="389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3075" cy="389255"/>
                    </a:xfrm>
                    <a:prstGeom prst="rect">
                      <a:avLst/>
                    </a:prstGeom>
                    <a:noFill/>
                  </pic:spPr>
                </pic:pic>
              </a:graphicData>
            </a:graphic>
          </wp:anchor>
        </w:drawing>
        <w:t>NEWS RELEASE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Corporation Closes Combination with Berry Corporation</w:t>
      </w: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LONG BEACH, Calif., Dec. 18, 2025 (GLOBE NEWSWIRE) -- </w:t>
      </w:r>
      <w:r>
        <w:rPr>
          <w:rFonts w:ascii="Arial" w:cs="Arial" w:eastAsia="Arial" w:hAnsi="Arial"/>
          <w:sz w:val="21"/>
          <w:szCs w:val="21"/>
          <w:color w:val="auto"/>
        </w:rPr>
        <w:t>California Resources Corporation (NYSE: CRC)</w:t>
      </w:r>
    </w:p>
    <w:p>
      <w:pPr>
        <w:spacing w:after="0" w:line="51" w:lineRule="exact"/>
        <w:rPr>
          <w:sz w:val="20"/>
          <w:szCs w:val="20"/>
          <w:color w:val="auto"/>
        </w:rPr>
      </w:pPr>
    </w:p>
    <w:p>
      <w:pPr>
        <w:jc w:val="both"/>
        <w:spacing w:after="0" w:line="285" w:lineRule="auto"/>
        <w:rPr>
          <w:sz w:val="20"/>
          <w:szCs w:val="20"/>
          <w:color w:val="auto"/>
        </w:rPr>
      </w:pPr>
      <w:r>
        <w:rPr>
          <w:rFonts w:ascii="Arial" w:cs="Arial" w:eastAsia="Arial" w:hAnsi="Arial"/>
          <w:sz w:val="21"/>
          <w:szCs w:val="21"/>
          <w:color w:val="auto"/>
        </w:rPr>
        <w:t>(“CRC”) today closed its all-stock combination with Berry Corporation (bry) (NASDAQ: BRY) (“Berry”). The transaction enhances CRC’s premier California portfolio of long-lived, low-decline conventional assets with significant development upside and adds strategic optionality in the Uinta basin.</w:t>
      </w:r>
    </w:p>
    <w:p>
      <w:pPr>
        <w:spacing w:after="0" w:line="18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“CRC is entering 2026 stronger than ever, ready to build on our operational momentum and deliver meaningful synergies for our shareholders,” said Francisco Leon, CRC’s President and Chief Executive Officer. “This transaction adds high-quality assets in our core San Joaquin Basin and enhances cash flow durability and operating efficiencies as we build a stronger, more durable platform aimed to deliver sustainable shareholder value.”</w:t>
      </w:r>
    </w:p>
    <w:p>
      <w:pPr>
        <w:spacing w:after="0" w:line="189"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Mr. Leon continued, “I would like to thank the CRC, Berry and C&amp;J employees for all their hard work in getting this deal across the finish line. Together, I am confident we can continue to improve our impressive operational track record and position CRC for even greater long-term success.”</w:t>
      </w:r>
    </w:p>
    <w:p>
      <w:pPr>
        <w:spacing w:after="0" w:line="189"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Under the terms of the definitive agreement, Berry’s former equity holders received approximately 5.6 million shares of CRC common stock, having an approximate aggregate value of $253 million based on CRC’s closing share price on December 17, 2025.</w:t>
      </w:r>
    </w:p>
    <w:p>
      <w:pPr>
        <w:spacing w:after="0" w:line="176"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21"/>
          <w:szCs w:val="21"/>
          <w:color w:val="auto"/>
        </w:rPr>
        <w:t>CRC expects to provide full-year 2026 guidance in conjunction with its year-end and fourth quarter 2025 earnings release. The combined company will be headquartered in Long Beach, California and led by CRC’s executive team.</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67"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80" w:lineRule="exact"/>
        <w:rPr>
          <w:sz w:val="20"/>
          <w:szCs w:val="20"/>
          <w:color w:val="auto"/>
        </w:rPr>
      </w:pPr>
    </w:p>
    <w:p>
      <w:pPr>
        <w:ind w:right="240" w:firstLine="320"/>
        <w:spacing w:after="0" w:line="242"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339" w:right="3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21"/>
          <w:szCs w:val="21"/>
          <w:color w:val="auto"/>
        </w:rPr>
        <w:t>are generally intended to identify forward-looking statements. Such forward-looking statements are subject to risks and uncertainties that could cause actual results to differ materially from those expressed in, or implied by, such statements.</w:t>
      </w:r>
    </w:p>
    <w:p>
      <w:pPr>
        <w:spacing w:after="0" w:line="200" w:lineRule="exact"/>
        <w:rPr>
          <w:sz w:val="20"/>
          <w:szCs w:val="20"/>
          <w:color w:val="auto"/>
        </w:rPr>
      </w:pPr>
    </w:p>
    <w:p>
      <w:pPr>
        <w:spacing w:after="0" w:line="242"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from those described in the forward-looking statements include: (i) the ability to successfully integrate Berry’s operations, systems, and personnel and to realize anticipated synergies, efficiencies, and cost savings on the expected timeline or at all; (ii) risks associated with the alignment of accounting, reporting, and operational processes following the transaction; (iii) the accuracy of preliminary 2026 production and capital guidance and the company’s ability to achieve expected operational performance or cost targets; (iv) fluctuations in commodity prices and differences between realized and benchmark pricing; (v) the availability of capital and CRC’s ability to manage leverage, liquidity, and financing costs; (vi) the impact of state and federal legislative, regulatory, or policy developments—particularly those relating to climate change, air quality, greenhouse gas emissions, or permitting in California; (vii) operational risks, including those related to drilling, completions, workover activity, infrastructure reliability, and supply chain disruptions; (viii) general economic, market, and business conditions affecting demand for energy in California and the western United States; and (ix) those expressed in CRC’s other forward-looking statements including those factors discussed in Part I, Item 1A – Risk Factors in CRC’s Annual Report on Form 10-K and its other filings with the U.S. Securities and Exchange Commission (the “SEC”) available at www.crc.com (“CRC’s SEC Filings”). The foregoing list of factors is not exhaustive. You should carefully consider the foregoing factors and the other risks and uncertainties described in CRC’s SEC Filings.</w:t>
      </w:r>
    </w:p>
    <w:p>
      <w:pPr>
        <w:spacing w:after="0" w:line="207"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the company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3560" w:type="dxa"/>
            <w:vAlign w:val="bottom"/>
            <w:gridSpan w:val="2"/>
          </w:tcPr>
          <w:p>
            <w:pPr>
              <w:spacing w:after="0"/>
              <w:rPr>
                <w:sz w:val="20"/>
                <w:szCs w:val="20"/>
                <w:color w:val="auto"/>
              </w:rPr>
            </w:pPr>
            <w:r>
              <w:rPr>
                <w:rFonts w:ascii="Arial" w:cs="Arial" w:eastAsia="Arial" w:hAnsi="Arial"/>
                <w:sz w:val="21"/>
                <w:szCs w:val="21"/>
                <w:color w:val="auto"/>
              </w:rPr>
              <w:t>Daniel Juck (Investor Relations)</w:t>
            </w:r>
          </w:p>
        </w:tc>
        <w:tc>
          <w:tcPr>
            <w:tcW w:w="2740" w:type="dxa"/>
            <w:vAlign w:val="bottom"/>
            <w:gridSpan w:val="2"/>
          </w:tcPr>
          <w:p>
            <w:pPr>
              <w:ind w:left="540"/>
              <w:spacing w:after="0"/>
              <w:rPr>
                <w:sz w:val="20"/>
                <w:szCs w:val="20"/>
                <w:color w:val="auto"/>
              </w:rPr>
            </w:pPr>
            <w:r>
              <w:rPr>
                <w:rFonts w:ascii="Arial" w:cs="Arial" w:eastAsia="Arial" w:hAnsi="Arial"/>
                <w:sz w:val="21"/>
                <w:szCs w:val="21"/>
                <w:color w:val="auto"/>
              </w:rPr>
              <w:t>Hailey Bonus (Media)</w:t>
            </w:r>
          </w:p>
        </w:tc>
      </w:tr>
      <w:tr>
        <w:trPr>
          <w:trHeight w:val="280"/>
        </w:trPr>
        <w:tc>
          <w:tcPr>
            <w:tcW w:w="2180" w:type="dxa"/>
            <w:vAlign w:val="bottom"/>
            <w:gridSpan w:val="3"/>
          </w:tcPr>
          <w:p>
            <w:pPr>
              <w:ind w:left="20"/>
              <w:spacing w:after="0"/>
              <w:rPr>
                <w:sz w:val="20"/>
                <w:szCs w:val="20"/>
                <w:color w:val="auto"/>
              </w:rPr>
            </w:pPr>
            <w:r>
              <w:rPr>
                <w:rFonts w:ascii="Arial" w:cs="Arial" w:eastAsia="Arial" w:hAnsi="Arial"/>
                <w:sz w:val="21"/>
                <w:szCs w:val="21"/>
                <w:color w:val="auto"/>
              </w:rPr>
              <w:t>818-661-3731</w:t>
            </w:r>
          </w:p>
        </w:tc>
        <w:tc>
          <w:tcPr>
            <w:tcW w:w="20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21"/>
                <w:szCs w:val="21"/>
                <w:color w:val="auto"/>
              </w:rPr>
              <w:t>818-661-6045</w:t>
            </w:r>
          </w:p>
        </w:tc>
        <w:tc>
          <w:tcPr>
            <w:tcW w:w="1500" w:type="dxa"/>
            <w:vAlign w:val="bottom"/>
          </w:tcPr>
          <w:p>
            <w:pPr>
              <w:spacing w:after="0"/>
              <w:rPr>
                <w:sz w:val="24"/>
                <w:szCs w:val="24"/>
                <w:color w:val="auto"/>
              </w:rPr>
            </w:pPr>
          </w:p>
        </w:tc>
        <w:tc>
          <w:tcPr>
            <w:tcW w:w="2740" w:type="dxa"/>
            <w:vAlign w:val="bottom"/>
            <w:gridSpan w:val="2"/>
          </w:tcPr>
          <w:p>
            <w:pPr>
              <w:ind w:left="540"/>
              <w:spacing w:after="0"/>
              <w:rPr>
                <w:sz w:val="20"/>
                <w:szCs w:val="20"/>
                <w:color w:val="auto"/>
              </w:rPr>
            </w:pPr>
            <w:r>
              <w:rPr>
                <w:rFonts w:ascii="Arial" w:cs="Arial" w:eastAsia="Arial" w:hAnsi="Arial"/>
                <w:sz w:val="21"/>
                <w:szCs w:val="21"/>
                <w:color w:val="auto"/>
              </w:rPr>
              <w:t>714-874-7732</w:t>
            </w:r>
          </w:p>
        </w:tc>
      </w:tr>
      <w:tr>
        <w:trPr>
          <w:trHeight w:val="226"/>
        </w:trPr>
        <w:tc>
          <w:tcPr>
            <w:tcW w:w="20" w:type="dxa"/>
            <w:vAlign w:val="bottom"/>
          </w:tcPr>
          <w:p>
            <w:pPr>
              <w:spacing w:after="0"/>
              <w:rPr>
                <w:sz w:val="19"/>
                <w:szCs w:val="19"/>
                <w:color w:val="auto"/>
              </w:rPr>
            </w:pPr>
          </w:p>
        </w:tc>
        <w:tc>
          <w:tcPr>
            <w:tcW w:w="416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3560" w:type="dxa"/>
            <w:vAlign w:val="bottom"/>
            <w:gridSpan w:val="2"/>
          </w:tcPr>
          <w:p>
            <w:pPr>
              <w:spacing w:after="0" w:line="226" w:lineRule="exact"/>
              <w:rPr>
                <w:sz w:val="20"/>
                <w:szCs w:val="20"/>
                <w:color w:val="auto"/>
              </w:rPr>
            </w:pPr>
            <w:r>
              <w:rPr>
                <w:rFonts w:ascii="Arial" w:cs="Arial" w:eastAsia="Arial" w:hAnsi="Arial"/>
                <w:sz w:val="21"/>
                <w:szCs w:val="21"/>
                <w:color w:val="421BFF"/>
              </w:rPr>
              <w:t>Daniel.Juck@crc.com</w:t>
            </w:r>
          </w:p>
        </w:tc>
        <w:tc>
          <w:tcPr>
            <w:tcW w:w="2740" w:type="dxa"/>
            <w:vAlign w:val="bottom"/>
            <w:gridSpan w:val="2"/>
          </w:tcPr>
          <w:p>
            <w:pPr>
              <w:ind w:left="540"/>
              <w:spacing w:after="0" w:line="226" w:lineRule="exact"/>
              <w:rPr>
                <w:sz w:val="20"/>
                <w:szCs w:val="20"/>
                <w:color w:val="auto"/>
              </w:rPr>
            </w:pPr>
            <w:r>
              <w:rPr>
                <w:rFonts w:ascii="Arial" w:cs="Arial" w:eastAsia="Arial" w:hAnsi="Arial"/>
                <w:sz w:val="21"/>
                <w:szCs w:val="21"/>
                <w:color w:val="421BFF"/>
                <w:w w:val="99"/>
              </w:rPr>
              <w:t>Hailey.Bonus@crc.com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shd w:val="clear" w:color="auto" w:fill="421B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2"/>
      <w:numFmt w:val="decimal"/>
      <w:start w:val="104"/>
    </w:lvl>
  </w:abstractNum>
  <w:abstractNum w:abstractNumId="2">
    <w:nsid w:val="507ED7AB"/>
    <w:multiLevelType w:val="hybridMultilevel"/>
    <w:lvl w:ilvl="0">
      <w:lvlJc w:val="left"/>
      <w:lvlText w:val="**"/>
      <w:numFmt w:val="bullet"/>
      <w:start w:val="1"/>
    </w:lvl>
    <w:lvl w:ilvl="1">
      <w:lvlJc w:val="left"/>
      <w:lvlText w:val="%2"/>
      <w:numFmt w:val="decimal"/>
      <w:start w:val="1"/>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decimal"/>
      <w:start w:val="2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15" Type="http://schemas.openxmlformats.org/officeDocument/2006/relationships/hyperlink" Target="https://www.sec.gov/Archives/edgar/data/1609253/000160925325000076/mergeragreementedg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2025-12-18T15:43:52Z</dcterms:created>
  <dcterms:modified xsi:type="dcterms:W3CDTF">2025-12-18T15:43:52Z</dcterms:modified>
</cp:coreProperties>
</file>