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000" w:type="dxa"/>
            <w:vAlign w:val="bottom"/>
            <w:gridSpan w:val="1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GOLDENTREE ASSET</w:t>
              </w:r>
            </w:hyperlink>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1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6"/>
            <w:vMerge w:val="continue"/>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6"/>
            <w:vMerge w:val="continue"/>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Director</w:t>
            </w: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6"/>
            <w:vMerge w:val="continue"/>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Borders>
              <w:top w:val="single" w:sz="8" w:color="0000EE"/>
            </w:tcBorders>
            <w:gridSpan w:val="4"/>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Borders>
              <w:bottom w:val="single" w:sz="8" w:color="0000EE"/>
            </w:tcBorders>
            <w:gridSpan w:val="4"/>
            <w:vMerge w:val="continue"/>
          </w:tcPr>
          <w:p>
            <w:pPr>
              <w:spacing w:after="0"/>
              <w:rPr>
                <w:sz w:val="10"/>
                <w:szCs w:val="10"/>
                <w:color w:val="auto"/>
              </w:rPr>
            </w:pPr>
          </w:p>
        </w:tc>
        <w:tc>
          <w:tcPr>
            <w:tcW w:w="460" w:type="dxa"/>
            <w:vAlign w:val="bottom"/>
            <w:gridSpan w:val="2"/>
            <w:vMerge w:val="restart"/>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Officer (give title</w:t>
            </w:r>
          </w:p>
        </w:tc>
        <w:tc>
          <w:tcPr>
            <w:tcW w:w="120" w:type="dxa"/>
            <w:vAlign w:val="bottom"/>
          </w:tcPr>
          <w:p>
            <w:pPr>
              <w:spacing w:after="0"/>
              <w:rPr>
                <w:sz w:val="10"/>
                <w:szCs w:val="10"/>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gridSpan w:val="4"/>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0" w:type="dxa"/>
            <w:vAlign w:val="bottom"/>
            <w:gridSpan w:val="1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gridSpan w:val="2"/>
          </w:tcPr>
          <w:p>
            <w:pPr>
              <w:spacing w:after="0" w:line="87" w:lineRule="exact"/>
              <w:rPr>
                <w:sz w:val="20"/>
                <w:szCs w:val="20"/>
                <w:color w:val="auto"/>
              </w:rPr>
            </w:pPr>
            <w:r>
              <w:rPr>
                <w:rFonts w:ascii="Arial" w:cs="Arial" w:eastAsia="Arial" w:hAnsi="Arial"/>
                <w:sz w:val="10"/>
                <w:szCs w:val="10"/>
                <w:color w:val="auto"/>
              </w:rPr>
              <w:t>below)</w:t>
            </w:r>
          </w:p>
        </w:tc>
        <w:tc>
          <w:tcPr>
            <w:tcW w:w="120" w:type="dxa"/>
            <w:vAlign w:val="bottom"/>
          </w:tcPr>
          <w:p>
            <w:pPr>
              <w:spacing w:after="0"/>
              <w:rPr>
                <w:sz w:val="8"/>
                <w:szCs w:val="8"/>
                <w:color w:val="auto"/>
              </w:rPr>
            </w:pPr>
          </w:p>
        </w:tc>
        <w:tc>
          <w:tcPr>
            <w:tcW w:w="740" w:type="dxa"/>
            <w:vAlign w:val="bottom"/>
          </w:tcPr>
          <w:p>
            <w:pPr>
              <w:ind w:left="220"/>
              <w:spacing w:after="0" w:line="87" w:lineRule="exact"/>
              <w:rPr>
                <w:sz w:val="20"/>
                <w:szCs w:val="20"/>
                <w:color w:val="auto"/>
              </w:rPr>
            </w:pPr>
            <w:r>
              <w:rPr>
                <w:rFonts w:ascii="Arial" w:cs="Arial" w:eastAsia="Arial" w:hAnsi="Arial"/>
                <w:sz w:val="10"/>
                <w:szCs w:val="10"/>
                <w:color w:val="auto"/>
              </w:rPr>
              <w:t>below)</w:t>
            </w: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gridSpan w:val="12"/>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0"/>
                <w:szCs w:val="20"/>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1120" w:type="dxa"/>
            <w:vAlign w:val="bottom"/>
            <w:gridSpan w:val="7"/>
          </w:tcPr>
          <w:p>
            <w:pPr>
              <w:ind w:left="80"/>
              <w:spacing w:after="0"/>
              <w:rPr>
                <w:sz w:val="20"/>
                <w:szCs w:val="20"/>
                <w:color w:val="auto"/>
              </w:rPr>
            </w:pPr>
            <w:r>
              <w:rPr>
                <w:rFonts w:ascii="Arial" w:cs="Arial" w:eastAsia="Arial" w:hAnsi="Arial"/>
                <w:sz w:val="17"/>
                <w:szCs w:val="17"/>
                <w:color w:val="0000FF"/>
              </w:rPr>
              <w:t>09/27/2021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300 PARK AVENUE</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21ST FLOOR</w:t>
            </w: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4"/>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6"/>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14"/>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Line)</w:t>
            </w: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20" w:type="dxa"/>
            <w:vAlign w:val="bottom"/>
            <w:gridSpan w:val="7"/>
          </w:tcPr>
          <w:p>
            <w:pPr>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20" w:type="dxa"/>
            <w:vAlign w:val="bottom"/>
            <w:gridSpan w:val="7"/>
            <w:vMerge w:val="restart"/>
          </w:tcPr>
          <w:p>
            <w:pPr>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4"/>
            <w:vMerge w:val="restart"/>
          </w:tcPr>
          <w:p>
            <w:pPr>
              <w:ind w:left="40"/>
              <w:spacing w:after="0"/>
              <w:rPr>
                <w:sz w:val="20"/>
                <w:szCs w:val="20"/>
                <w:color w:val="auto"/>
              </w:rPr>
            </w:pPr>
            <w:r>
              <w:rPr>
                <w:rFonts w:ascii="Arial" w:cs="Arial" w:eastAsia="Arial" w:hAnsi="Arial"/>
                <w:sz w:val="17"/>
                <w:szCs w:val="17"/>
                <w:color w:val="0000FF"/>
              </w:rPr>
              <w:t>NY</w:t>
            </w:r>
          </w:p>
        </w:tc>
        <w:tc>
          <w:tcPr>
            <w:tcW w:w="860" w:type="dxa"/>
            <w:vAlign w:val="bottom"/>
            <w:vMerge w:val="restart"/>
          </w:tcPr>
          <w:p>
            <w:pPr>
              <w:ind w:left="140"/>
              <w:spacing w:after="0"/>
              <w:rPr>
                <w:sz w:val="20"/>
                <w:szCs w:val="20"/>
                <w:color w:val="auto"/>
              </w:rPr>
            </w:pPr>
            <w:r>
              <w:rPr>
                <w:rFonts w:ascii="Arial" w:cs="Arial" w:eastAsia="Arial" w:hAnsi="Arial"/>
                <w:sz w:val="17"/>
                <w:szCs w:val="17"/>
                <w:color w:val="0000FF"/>
              </w:rPr>
              <w:t>10022</w:t>
            </w: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8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gridSpan w:val="2"/>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25"/>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3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6"/>
          </w:tcPr>
          <w:p>
            <w:pPr>
              <w:ind w:left="6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0"/>
              <w:spacing w:after="0"/>
              <w:rPr>
                <w:sz w:val="20"/>
                <w:szCs w:val="20"/>
                <w:color w:val="auto"/>
              </w:rPr>
            </w:pPr>
            <w:r>
              <w:rPr>
                <w:rFonts w:ascii="Arial" w:cs="Arial" w:eastAsia="Arial" w:hAnsi="Arial"/>
                <w:sz w:val="12"/>
                <w:szCs w:val="12"/>
                <w:b w:val="1"/>
                <w:bCs w:val="1"/>
                <w:color w:val="auto"/>
              </w:rPr>
              <w:t>6. Ownership</w:t>
            </w:r>
          </w:p>
        </w:tc>
        <w:tc>
          <w:tcPr>
            <w:tcW w:w="148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4"/>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96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Form: Direct</w:t>
            </w:r>
          </w:p>
        </w:tc>
        <w:tc>
          <w:tcPr>
            <w:tcW w:w="7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Beneficial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 or</w:t>
            </w:r>
          </w:p>
        </w:tc>
        <w:tc>
          <w:tcPr>
            <w:tcW w:w="120" w:type="dxa"/>
            <w:vAlign w:val="bottom"/>
          </w:tcPr>
          <w:p>
            <w:pPr>
              <w:spacing w:after="0"/>
              <w:rPr>
                <w:sz w:val="11"/>
                <w:szCs w:val="11"/>
                <w:color w:val="auto"/>
              </w:rPr>
            </w:pPr>
          </w:p>
        </w:tc>
        <w:tc>
          <w:tcPr>
            <w:tcW w:w="14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Indirect (I)</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Following</w:t>
            </w:r>
          </w:p>
        </w:tc>
        <w:tc>
          <w:tcPr>
            <w:tcW w:w="360" w:type="dxa"/>
            <w:vAlign w:val="bottom"/>
          </w:tcPr>
          <w:p>
            <w:pPr>
              <w:spacing w:after="0"/>
              <w:rPr>
                <w:sz w:val="14"/>
                <w:szCs w:val="14"/>
                <w:color w:val="auto"/>
              </w:rPr>
            </w:pPr>
          </w:p>
        </w:tc>
        <w:tc>
          <w:tcPr>
            <w:tcW w:w="8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(Instr. 4)</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gridSpan w:val="2"/>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96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vMerge w:val="restart"/>
          </w:tcPr>
          <w:p>
            <w:pPr>
              <w:ind w:left="460"/>
              <w:spacing w:after="0"/>
              <w:rPr>
                <w:sz w:val="20"/>
                <w:szCs w:val="20"/>
                <w:color w:val="auto"/>
              </w:rPr>
            </w:pPr>
            <w:r>
              <w:rPr>
                <w:rFonts w:ascii="Arial" w:cs="Arial" w:eastAsia="Arial" w:hAnsi="Arial"/>
                <w:sz w:val="17"/>
                <w:szCs w:val="17"/>
                <w:color w:val="0000FF"/>
              </w:rPr>
              <w:t>09/27/2021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jc w:val="right"/>
              <w:ind w:right="78"/>
              <w:spacing w:after="0"/>
              <w:rPr>
                <w:sz w:val="20"/>
                <w:szCs w:val="20"/>
                <w:color w:val="auto"/>
              </w:rPr>
            </w:pPr>
            <w:r>
              <w:rPr>
                <w:rFonts w:ascii="Arial" w:cs="Arial" w:eastAsia="Arial" w:hAnsi="Arial"/>
                <w:sz w:val="13"/>
                <w:szCs w:val="13"/>
                <w:color w:val="0000FF"/>
              </w:rPr>
              <w:t>P</w:t>
            </w:r>
          </w:p>
        </w:tc>
        <w:tc>
          <w:tcPr>
            <w:tcW w:w="400" w:type="dxa"/>
            <w:vAlign w:val="bottom"/>
          </w:tcPr>
          <w:p>
            <w:pPr>
              <w:spacing w:after="0"/>
              <w:rPr>
                <w:sz w:val="21"/>
                <w:szCs w:val="21"/>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0000FF"/>
              </w:rPr>
              <w:t>50,000</w:t>
            </w:r>
          </w:p>
        </w:tc>
        <w:tc>
          <w:tcPr>
            <w:tcW w:w="3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40.44</w:t>
            </w:r>
          </w:p>
        </w:tc>
        <w:tc>
          <w:tcPr>
            <w:tcW w:w="20" w:type="dxa"/>
            <w:vAlign w:val="bottom"/>
          </w:tcPr>
          <w:p>
            <w:pPr>
              <w:spacing w:after="0"/>
              <w:rPr>
                <w:sz w:val="21"/>
                <w:szCs w:val="21"/>
                <w:color w:val="auto"/>
              </w:rPr>
            </w:pPr>
          </w:p>
        </w:tc>
        <w:tc>
          <w:tcPr>
            <w:tcW w:w="960" w:type="dxa"/>
            <w:vAlign w:val="bottom"/>
            <w:gridSpan w:val="3"/>
            <w:vMerge w:val="restart"/>
          </w:tcPr>
          <w:p>
            <w:pPr>
              <w:ind w:left="160"/>
              <w:spacing w:after="0"/>
              <w:rPr>
                <w:sz w:val="20"/>
                <w:szCs w:val="20"/>
                <w:color w:val="auto"/>
              </w:rPr>
            </w:pPr>
            <w:r>
              <w:rPr>
                <w:rFonts w:ascii="Arial" w:cs="Arial" w:eastAsia="Arial" w:hAnsi="Arial"/>
                <w:sz w:val="17"/>
                <w:szCs w:val="17"/>
                <w:color w:val="0000FF"/>
                <w:w w:val="91"/>
              </w:rPr>
              <w:t>10,397,132</w:t>
            </w:r>
          </w:p>
        </w:tc>
        <w:tc>
          <w:tcPr>
            <w:tcW w:w="860" w:type="dxa"/>
            <w:vAlign w:val="bottom"/>
            <w:vMerge w:val="restart"/>
          </w:tcPr>
          <w:p>
            <w:pPr>
              <w:ind w:left="560"/>
              <w:spacing w:after="0"/>
              <w:rPr>
                <w:sz w:val="20"/>
                <w:szCs w:val="20"/>
                <w:color w:val="auto"/>
              </w:rPr>
            </w:pPr>
            <w:r>
              <w:rPr>
                <w:rFonts w:ascii="Arial" w:cs="Arial" w:eastAsia="Arial" w:hAnsi="Arial"/>
                <w:sz w:val="17"/>
                <w:szCs w:val="17"/>
                <w:color w:val="0000FF"/>
              </w:rPr>
              <w:t>I</w:t>
            </w:r>
          </w:p>
        </w:tc>
        <w:tc>
          <w:tcPr>
            <w:tcW w:w="120" w:type="dxa"/>
            <w:vAlign w:val="bottom"/>
          </w:tcPr>
          <w:p>
            <w:pPr>
              <w:spacing w:after="0"/>
              <w:rPr>
                <w:sz w:val="21"/>
                <w:szCs w:val="21"/>
                <w:color w:val="auto"/>
              </w:rPr>
            </w:pPr>
          </w:p>
        </w:tc>
        <w:tc>
          <w:tcPr>
            <w:tcW w:w="1480" w:type="dxa"/>
            <w:vAlign w:val="bottom"/>
            <w:gridSpan w:val="4"/>
          </w:tcPr>
          <w:p>
            <w:pPr>
              <w:ind w:left="120"/>
              <w:spacing w:after="0"/>
              <w:rPr>
                <w:sz w:val="20"/>
                <w:szCs w:val="20"/>
                <w:color w:val="auto"/>
              </w:rPr>
            </w:pPr>
            <w:r>
              <w:rPr>
                <w:rFonts w:ascii="Arial" w:cs="Arial" w:eastAsia="Arial" w:hAnsi="Arial"/>
                <w:sz w:val="17"/>
                <w:szCs w:val="17"/>
                <w:color w:val="0000FF"/>
              </w:rPr>
              <w:t>See footnotes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restart"/>
          </w:tcPr>
          <w:p>
            <w:pPr>
              <w:ind w:left="120"/>
              <w:spacing w:after="0"/>
              <w:rPr>
                <w:sz w:val="20"/>
                <w:szCs w:val="20"/>
                <w:color w:val="auto"/>
              </w:rPr>
            </w:pPr>
            <w:r>
              <w:rPr>
                <w:rFonts w:ascii="Arial" w:cs="Arial" w:eastAsia="Arial" w:hAnsi="Arial"/>
                <w:sz w:val="11"/>
                <w:szCs w:val="11"/>
                <w:color w:val="008000"/>
              </w:rPr>
              <w:t>(2)(3)(4)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vMerge w:val="restart"/>
          </w:tcPr>
          <w:p>
            <w:pPr>
              <w:ind w:left="460"/>
              <w:spacing w:after="0"/>
              <w:rPr>
                <w:sz w:val="20"/>
                <w:szCs w:val="20"/>
                <w:color w:val="auto"/>
              </w:rPr>
            </w:pPr>
            <w:r>
              <w:rPr>
                <w:rFonts w:ascii="Arial" w:cs="Arial" w:eastAsia="Arial" w:hAnsi="Arial"/>
                <w:sz w:val="17"/>
                <w:szCs w:val="17"/>
                <w:color w:val="0000FF"/>
              </w:rPr>
              <w:t>09/27/2021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jc w:val="right"/>
              <w:ind w:right="78"/>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21"/>
                <w:szCs w:val="2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rPr>
              <w:t>2,000</w:t>
            </w:r>
          </w:p>
        </w:tc>
        <w:tc>
          <w:tcPr>
            <w:tcW w:w="3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42.57</w:t>
            </w:r>
          </w:p>
        </w:tc>
        <w:tc>
          <w:tcPr>
            <w:tcW w:w="20" w:type="dxa"/>
            <w:vAlign w:val="bottom"/>
          </w:tcPr>
          <w:p>
            <w:pPr>
              <w:spacing w:after="0"/>
              <w:rPr>
                <w:sz w:val="21"/>
                <w:szCs w:val="21"/>
                <w:color w:val="auto"/>
              </w:rPr>
            </w:pPr>
          </w:p>
        </w:tc>
        <w:tc>
          <w:tcPr>
            <w:tcW w:w="960" w:type="dxa"/>
            <w:vAlign w:val="bottom"/>
            <w:gridSpan w:val="3"/>
            <w:vMerge w:val="restart"/>
          </w:tcPr>
          <w:p>
            <w:pPr>
              <w:ind w:left="160"/>
              <w:spacing w:after="0"/>
              <w:rPr>
                <w:sz w:val="20"/>
                <w:szCs w:val="20"/>
                <w:color w:val="auto"/>
              </w:rPr>
            </w:pPr>
            <w:r>
              <w:rPr>
                <w:rFonts w:ascii="Arial" w:cs="Arial" w:eastAsia="Arial" w:hAnsi="Arial"/>
                <w:sz w:val="17"/>
                <w:szCs w:val="17"/>
                <w:color w:val="0000FF"/>
                <w:w w:val="91"/>
              </w:rPr>
              <w:t>10,395,132</w:t>
            </w:r>
          </w:p>
        </w:tc>
        <w:tc>
          <w:tcPr>
            <w:tcW w:w="860" w:type="dxa"/>
            <w:vAlign w:val="bottom"/>
            <w:vMerge w:val="restart"/>
          </w:tcPr>
          <w:p>
            <w:pPr>
              <w:ind w:left="560"/>
              <w:spacing w:after="0"/>
              <w:rPr>
                <w:sz w:val="20"/>
                <w:szCs w:val="20"/>
                <w:color w:val="auto"/>
              </w:rPr>
            </w:pPr>
            <w:r>
              <w:rPr>
                <w:rFonts w:ascii="Arial" w:cs="Arial" w:eastAsia="Arial" w:hAnsi="Arial"/>
                <w:sz w:val="17"/>
                <w:szCs w:val="17"/>
                <w:color w:val="0000FF"/>
              </w:rPr>
              <w:t>I</w:t>
            </w:r>
          </w:p>
        </w:tc>
        <w:tc>
          <w:tcPr>
            <w:tcW w:w="120" w:type="dxa"/>
            <w:vAlign w:val="bottom"/>
          </w:tcPr>
          <w:p>
            <w:pPr>
              <w:spacing w:after="0"/>
              <w:rPr>
                <w:sz w:val="21"/>
                <w:szCs w:val="21"/>
                <w:color w:val="auto"/>
              </w:rPr>
            </w:pPr>
          </w:p>
        </w:tc>
        <w:tc>
          <w:tcPr>
            <w:tcW w:w="1480" w:type="dxa"/>
            <w:vAlign w:val="bottom"/>
            <w:gridSpan w:val="4"/>
          </w:tcPr>
          <w:p>
            <w:pPr>
              <w:ind w:left="120"/>
              <w:spacing w:after="0"/>
              <w:rPr>
                <w:sz w:val="20"/>
                <w:szCs w:val="20"/>
                <w:color w:val="auto"/>
              </w:rPr>
            </w:pPr>
            <w:r>
              <w:rPr>
                <w:rFonts w:ascii="Arial" w:cs="Arial" w:eastAsia="Arial" w:hAnsi="Arial"/>
                <w:sz w:val="17"/>
                <w:szCs w:val="17"/>
                <w:color w:val="0000FF"/>
              </w:rPr>
              <w:t>See footnotes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restart"/>
          </w:tcPr>
          <w:p>
            <w:pPr>
              <w:ind w:left="120"/>
              <w:spacing w:after="0"/>
              <w:rPr>
                <w:sz w:val="20"/>
                <w:szCs w:val="20"/>
                <w:color w:val="auto"/>
              </w:rPr>
            </w:pPr>
            <w:r>
              <w:rPr>
                <w:rFonts w:ascii="Arial" w:cs="Arial" w:eastAsia="Arial" w:hAnsi="Arial"/>
                <w:sz w:val="11"/>
                <w:szCs w:val="11"/>
                <w:color w:val="008000"/>
              </w:rPr>
              <w:t>(2)(3)</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2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40" w:type="dxa"/>
            <w:vAlign w:val="bottom"/>
            <w:gridSpan w:val="2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1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1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6"/>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jc w:val="right"/>
              <w:ind w:right="78"/>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1"/>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gridSpan w:val="1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300 PARK AVENUE</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340" w:type="dxa"/>
            <w:vAlign w:val="bottom"/>
            <w:gridSpan w:val="2"/>
          </w:tcPr>
          <w:p>
            <w:pPr>
              <w:ind w:left="50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300 PARK AVENUE</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340" w:type="dxa"/>
            <w:vAlign w:val="bottom"/>
            <w:gridSpan w:val="2"/>
          </w:tcPr>
          <w:p>
            <w:pPr>
              <w:ind w:left="50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Tananbaum Steven A.</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374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3747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50" w:lineRule="exact"/>
        <w:rPr>
          <w:rFonts w:ascii="Arial" w:cs="Arial" w:eastAsia="Arial" w:hAnsi="Arial"/>
          <w:sz w:val="13"/>
          <w:szCs w:val="13"/>
          <w:color w:val="008000"/>
        </w:rPr>
      </w:pPr>
    </w:p>
    <w:p>
      <w:pPr>
        <w:ind w:right="300"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 profit of $164,990 calculated by matching this purchase with the sale of 50,000 shares of Common Stock on September 15, 2021 at a purchase price of $43.75 per share, will be disgorged to the issuer on or about October 6, 2021.</w:t>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09/29/2021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09/29/2021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09/29/2021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31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2021-09-29T19:22:10Z</dcterms:created>
  <dcterms:modified xsi:type="dcterms:W3CDTF">2021-09-29T19:22:10Z</dcterms:modified>
</cp:coreProperties>
</file>