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1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140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Smith Marshall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3"/>
        <w:spacing w:after="0"/>
        <w:rPr>
          <w:sz w:val="20"/>
          <w:szCs w:val="20"/>
          <w:color w:val="auto"/>
        </w:rPr>
      </w:pPr>
      <w:r>
        <w:rPr>
          <w:rFonts w:ascii="Arial" w:cs="Arial" w:eastAsia="Arial" w:hAnsi="Arial"/>
          <w:sz w:val="17"/>
          <w:szCs w:val="17"/>
          <w:color w:val="0000FF"/>
        </w:rPr>
        <w:t>Senior EVP &amp; CFO</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gridSpan w:val="6"/>
          </w:tcPr>
          <w:p>
            <w:pPr>
              <w:jc w:val="center"/>
              <w:ind w:right="5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128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13,814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1"/>
              <w:spacing w:after="0"/>
              <w:rPr>
                <w:sz w:val="20"/>
                <w:szCs w:val="20"/>
                <w:color w:val="auto"/>
              </w:rPr>
            </w:pPr>
            <w:r>
              <w:rPr>
                <w:rFonts w:ascii="Arial" w:cs="Arial" w:eastAsia="Arial" w:hAnsi="Arial"/>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131,633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26"/>
                <w:szCs w:val="26"/>
                <w:color w:val="0000FF"/>
                <w:w w:val="84"/>
                <w:vertAlign w:val="subscript"/>
              </w:rPr>
              <w:t>D</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5,526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22.18</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126,107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20"/>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1,323</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22.18</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124,784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80" w:type="dxa"/>
            <w:vAlign w:val="bottom"/>
          </w:tcPr>
          <w:p>
            <w:pPr>
              <w:ind w:left="32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02/20/2019</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13,814</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13,814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27,626</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41,440 Restricted Stock Units (RSUs) granted on February 21, 2018. Each RSU was the economic equivalent of one share of California Resources Corporation (CRC) common stock. On February 20, 2019, 5,526 of the reporting person's RSUs were settled for cash, and the remaining 8,288 were settled for an equal number of shares of CRC common stock.</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RSUs vested on February 20, 2019; the remaining RSUs vest in two equal annual installments beginning February 20,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/s/ Ulrik Damborg, Attorney-</w:t>
            </w:r>
          </w:p>
        </w:tc>
        <w:tc>
          <w:tcPr>
            <w:tcW w:w="2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02/22/2019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 for Marshall D. Smith</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564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2019-12-24T08:37:27Z</dcterms:created>
  <dcterms:modified xsi:type="dcterms:W3CDTF">2019-12-24T08:37:27Z</dcterms:modified>
</cp:coreProperties>
</file>