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1"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June 30, 2022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37"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8" w:lineRule="exact"/>
        <w:rPr>
          <w:sz w:val="24"/>
          <w:szCs w:val="24"/>
          <w:color w:val="auto"/>
        </w:rPr>
      </w:pPr>
    </w:p>
    <w:tbl>
      <w:tblPr>
        <w:tblLayout w:type="fixed"/>
        <w:tblInd w:w="1700" w:type="dxa"/>
        <w:tblCellMar>
          <w:top w:w="0" w:type="dxa"/>
          <w:left w:w="0" w:type="dxa"/>
          <w:bottom w:w="0" w:type="dxa"/>
          <w:right w:w="0" w:type="dxa"/>
        </w:tblCellMar>
      </w:tblPr>
      <w:tr>
        <w:trPr>
          <w:trHeight w:val="258"/>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03"/>
        </w:trPr>
        <w:tc>
          <w:tcPr>
            <w:tcW w:w="4360" w:type="dxa"/>
            <w:vAlign w:val="bottom"/>
          </w:tcPr>
          <w:p>
            <w:pPr>
              <w:ind w:left="20"/>
              <w:spacing w:after="0" w:line="203"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203" w:lineRule="exact"/>
              <w:rPr>
                <w:sz w:val="20"/>
                <w:szCs w:val="20"/>
                <w:color w:val="auto"/>
              </w:rPr>
            </w:pPr>
            <w:r>
              <w:rPr>
                <w:rFonts w:ascii="Arial" w:cs="Arial" w:eastAsia="Arial" w:hAnsi="Arial"/>
                <w:sz w:val="20"/>
                <w:szCs w:val="20"/>
                <w:color w:val="auto"/>
              </w:rPr>
              <w:t>(I.R.S. Employer</w:t>
            </w:r>
          </w:p>
        </w:tc>
      </w:tr>
      <w:tr>
        <w:trPr>
          <w:trHeight w:val="261"/>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96"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1 World Trade Center, Suite 1500</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Long Beach, California 90831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03" w:right="339" w:bottom="1440" w:gutter="0" w:footer="0" w:header="0"/>
        </w:sectPr>
      </w:pPr>
    </w:p>
    <w:p>
      <w:pPr>
        <w:spacing w:after="0" w:line="14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1"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39"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03" w:right="339" w:bottom="1440" w:gutter="0" w:footer="0" w:header="0"/>
          <w:type w:val="continuous"/>
        </w:sectPr>
      </w:pPr>
    </w:p>
    <w:p>
      <w:pPr>
        <w:spacing w:after="0" w:line="153"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0"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5"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93" w:lineRule="exact"/>
        <w:rPr>
          <w:sz w:val="24"/>
          <w:szCs w:val="24"/>
          <w:color w:val="auto"/>
        </w:rPr>
      </w:pPr>
    </w:p>
    <w:p>
      <w:pPr>
        <w:ind w:left="1040"/>
        <w:spacing w:after="0" w:line="317"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36"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03" w:right="339" w:bottom="1440" w:gutter="0" w:footer="0" w:header="0"/>
          <w:type w:val="continuous"/>
        </w:sectPr>
      </w:pPr>
    </w:p>
    <w:p>
      <w:pPr>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line="222"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last practicable date.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June 30, 2022 was 75,375,633.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60" w:type="dxa"/>
            <w:vAlign w:val="bottom"/>
          </w:tcPr>
          <w:p>
            <w:pPr>
              <w:spacing w:after="0"/>
              <w:rPr>
                <w:sz w:val="21"/>
                <w:szCs w:val="21"/>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1"/>
                <w:szCs w:val="21"/>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39"/>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Stockholders' Equity</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Joint Ventures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Dividends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 Repurchase Program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Divestitures and Acquisitions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Regulatory Update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Prices and Realizations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2022 Capital Program</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Critical Accounting Estimates and Significant Accounting and Disclosure Changes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96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90" w:right="1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10-Q:</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FEED </w:t>
      </w:r>
      <w:r>
        <w:rPr>
          <w:rFonts w:ascii="Arial" w:cs="Arial" w:eastAsia="Arial" w:hAnsi="Arial"/>
          <w:sz w:val="18"/>
          <w:szCs w:val="18"/>
          <w:color w:val="auto"/>
        </w:rPr>
        <w:t>- Front-end engineering design.</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Full-Scope Net Zero </w:t>
      </w:r>
      <w:r>
        <w:rPr>
          <w:rFonts w:ascii="Arial" w:cs="Arial" w:eastAsia="Arial" w:hAnsi="Arial"/>
          <w:sz w:val="18"/>
          <w:szCs w:val="18"/>
          <w:color w:val="auto"/>
        </w:rPr>
        <w:t>- Achieving permanent storage of captured or removed carbon emissions in a volume equal to all of our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 and 3 emissions by 2045.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LIBOR </w:t>
      </w:r>
      <w:r>
        <w:rPr>
          <w:rFonts w:ascii="Arial" w:cs="Arial" w:eastAsia="Arial" w:hAnsi="Arial"/>
          <w:sz w:val="18"/>
          <w:szCs w:val="18"/>
          <w:color w:val="auto"/>
        </w:rPr>
        <w:t>- London Interbank Offered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and together with Russia and other allied producing countries</w:t>
      </w:r>
    </w:p>
    <w:p>
      <w:pPr>
        <w:spacing w:after="0" w:line="21" w:lineRule="exact"/>
        <w:rPr>
          <w:rFonts w:ascii="Arial" w:cs="Arial" w:eastAsia="Arial" w:hAnsi="Arial"/>
          <w:sz w:val="18"/>
          <w:szCs w:val="18"/>
          <w:color w:val="auto"/>
        </w:rPr>
      </w:pPr>
    </w:p>
    <w:p>
      <w:pPr>
        <w:ind w:left="660" w:hanging="328"/>
        <w:spacing w:after="0" w:line="231"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b w:val="1"/>
          <w:bCs w:val="1"/>
          <w:i w:val="1"/>
          <w:iCs w:val="1"/>
          <w:color w:val="auto"/>
        </w:rPr>
        <w:t xml:space="preserve">PHMS </w:t>
      </w:r>
      <w:r>
        <w:rPr>
          <w:rFonts w:ascii="Arial" w:cs="Arial" w:eastAsia="Arial" w:hAnsi="Arial"/>
          <w:sz w:val="18"/>
          <w:szCs w:val="18"/>
          <w:color w:val="auto"/>
        </w:rPr>
        <w:t>- Pipeline and Hazardous Materials Safety Administration.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Proved reserves that can be expected to be recovered through existing wells with existing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methods.</w:t>
      </w:r>
    </w:p>
    <w:p>
      <w:pPr>
        <w:ind w:left="660" w:right="30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ectPr>
          <w:pgSz w:w="11900" w:h="16838" w:orient="portrait"/>
          <w:cols w:equalWidth="0" w:num="1">
            <w:col w:w="11180"/>
          </w:cols>
          <w:pgMar w:left="320" w:top="890" w:right="39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4" w:name="page5"/>
    <w:bookmarkEnd w:id="4"/>
    <w:p>
      <w:pPr>
        <w:ind w:left="328" w:right="60" w:hanging="328"/>
        <w:spacing w:after="0" w:line="276"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Pr>
          <w:p>
            <w:pPr>
              <w:ind w:left="3500"/>
              <w:spacing w:after="0"/>
              <w:rPr>
                <w:sz w:val="20"/>
                <w:szCs w:val="20"/>
                <w:color w:val="auto"/>
              </w:rPr>
            </w:pPr>
            <w:r>
              <w:rPr>
                <w:rFonts w:ascii="Arial" w:cs="Arial" w:eastAsia="Arial" w:hAnsi="Arial"/>
                <w:sz w:val="18"/>
                <w:szCs w:val="18"/>
                <w:b w:val="1"/>
                <w:bCs w:val="1"/>
                <w:color w:val="auto"/>
              </w:rPr>
              <w:t>PART I</w:t>
            </w:r>
          </w:p>
        </w:tc>
        <w:tc>
          <w:tcPr>
            <w:tcW w:w="330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FINANCIAL INFORMATION</w:t>
            </w: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(unaudited)</w:t>
            </w: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60" w:type="dxa"/>
            <w:vAlign w:val="bottom"/>
            <w:gridSpan w:val="7"/>
          </w:tcPr>
          <w:p>
            <w:pPr>
              <w:jc w:val="center"/>
              <w:ind w:left="101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80" w:type="dxa"/>
            <w:vAlign w:val="bottom"/>
            <w:gridSpan w:val="4"/>
          </w:tcPr>
          <w:p>
            <w:pPr>
              <w:jc w:val="center"/>
              <w:ind w:left="2470"/>
              <w:spacing w:after="0"/>
              <w:rPr>
                <w:sz w:val="20"/>
                <w:szCs w:val="20"/>
                <w:color w:val="auto"/>
              </w:rPr>
            </w:pPr>
            <w:r>
              <w:rPr>
                <w:rFonts w:ascii="Arial" w:cs="Arial" w:eastAsia="Arial" w:hAnsi="Arial"/>
                <w:sz w:val="18"/>
                <w:szCs w:val="18"/>
                <w:b w:val="1"/>
                <w:bCs w:val="1"/>
                <w:color w:val="auto"/>
              </w:rPr>
              <w:t>Condensed Consolidated Balance Sheets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80" w:type="dxa"/>
            <w:vAlign w:val="bottom"/>
            <w:gridSpan w:val="4"/>
          </w:tcPr>
          <w:p>
            <w:pPr>
              <w:jc w:val="center"/>
              <w:ind w:left="2470"/>
              <w:spacing w:after="0"/>
              <w:rPr>
                <w:sz w:val="20"/>
                <w:szCs w:val="20"/>
                <w:color w:val="auto"/>
              </w:rPr>
            </w:pPr>
            <w:r>
              <w:rPr>
                <w:rFonts w:ascii="Arial" w:cs="Arial" w:eastAsia="Arial" w:hAnsi="Arial"/>
                <w:sz w:val="18"/>
                <w:szCs w:val="18"/>
                <w:b w:val="1"/>
                <w:bCs w:val="1"/>
                <w:color w:val="auto"/>
              </w:rPr>
              <w:t>As of June 30, 2022 and December 31, 2021</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80" w:type="dxa"/>
            <w:vAlign w:val="bottom"/>
            <w:gridSpan w:val="4"/>
          </w:tcPr>
          <w:p>
            <w:pPr>
              <w:jc w:val="center"/>
              <w:ind w:left="2470"/>
              <w:spacing w:after="0"/>
              <w:rPr>
                <w:sz w:val="20"/>
                <w:szCs w:val="20"/>
                <w:color w:val="auto"/>
              </w:rPr>
            </w:pPr>
            <w:r>
              <w:rPr>
                <w:rFonts w:ascii="Arial" w:cs="Arial" w:eastAsia="Arial" w:hAnsi="Arial"/>
                <w:sz w:val="18"/>
                <w:szCs w:val="18"/>
                <w:color w:val="auto"/>
                <w:w w:val="99"/>
              </w:rPr>
              <w:t>(in millions, except share data)</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ind w:left="16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33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3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780" w:type="dxa"/>
            <w:vAlign w:val="bottom"/>
            <w:gridSpan w:val="3"/>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Liabilities associated with assets held for sale</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rPr>
              <w:t>Total current liabilities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Long-term debt, net</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derivative contracts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Asset retirement obligations</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long-term liabilities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0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4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June 30, 2022 and December 31, 2021</w:t>
            </w:r>
          </w:p>
        </w:tc>
        <w:tc>
          <w:tcPr>
            <w:tcW w:w="3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40" w:type="dxa"/>
            <w:vAlign w:val="bottom"/>
            <w:gridSpan w:val="5"/>
          </w:tcPr>
          <w:p>
            <w:pPr>
              <w:ind w:left="320"/>
              <w:spacing w:after="0" w:line="176" w:lineRule="exact"/>
              <w:rPr>
                <w:sz w:val="20"/>
                <w:szCs w:val="20"/>
                <w:color w:val="auto"/>
              </w:rPr>
            </w:pPr>
            <w:r>
              <w:rPr>
                <w:rFonts w:ascii="Arial" w:cs="Arial" w:eastAsia="Arial" w:hAnsi="Arial"/>
                <w:sz w:val="18"/>
                <w:szCs w:val="18"/>
                <w:color w:val="auto"/>
              </w:rPr>
              <w:t>Common stock (200,000,000 shares authorized at $0.01 par value) (83,389,522 and</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40" w:type="dxa"/>
            <w:vAlign w:val="bottom"/>
            <w:gridSpan w:val="5"/>
          </w:tcPr>
          <w:p>
            <w:pPr>
              <w:ind w:left="480"/>
              <w:spacing w:after="0" w:line="176" w:lineRule="exact"/>
              <w:rPr>
                <w:sz w:val="20"/>
                <w:szCs w:val="20"/>
                <w:color w:val="auto"/>
              </w:rPr>
            </w:pPr>
            <w:r>
              <w:rPr>
                <w:rFonts w:ascii="Arial" w:cs="Arial" w:eastAsia="Arial" w:hAnsi="Arial"/>
                <w:sz w:val="18"/>
                <w:szCs w:val="18"/>
                <w:color w:val="auto"/>
              </w:rPr>
              <w:t>83,389,210 shares issued; 75,375,633 and 79,299,222 shares outstanding at June 30,</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40" w:type="dxa"/>
            <w:vAlign w:val="bottom"/>
            <w:gridSpan w:val="2"/>
          </w:tcPr>
          <w:p>
            <w:pPr>
              <w:ind w:left="480"/>
              <w:spacing w:after="0"/>
              <w:rPr>
                <w:sz w:val="20"/>
                <w:szCs w:val="20"/>
                <w:color w:val="auto"/>
              </w:rPr>
            </w:pPr>
            <w:r>
              <w:rPr>
                <w:rFonts w:ascii="Arial" w:cs="Arial" w:eastAsia="Arial" w:hAnsi="Arial"/>
                <w:sz w:val="18"/>
                <w:szCs w:val="18"/>
                <w:color w:val="auto"/>
              </w:rPr>
              <w:t>2022 and December 31, 2021)</w:t>
            </w:r>
          </w:p>
        </w:tc>
        <w:tc>
          <w:tcPr>
            <w:tcW w:w="3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CCEEFF"/>
          </w:tcPr>
          <w:p>
            <w:pPr>
              <w:spacing w:after="0"/>
              <w:rPr>
                <w:sz w:val="15"/>
                <w:szCs w:val="15"/>
                <w:color w:val="auto"/>
              </w:rPr>
            </w:pPr>
          </w:p>
        </w:tc>
        <w:tc>
          <w:tcPr>
            <w:tcW w:w="8040" w:type="dxa"/>
            <w:vAlign w:val="bottom"/>
            <w:gridSpan w:val="5"/>
            <w:shd w:val="clear" w:color="auto" w:fill="CCEEFF"/>
          </w:tcPr>
          <w:p>
            <w:pPr>
              <w:ind w:left="320"/>
              <w:spacing w:after="0" w:line="176" w:lineRule="exact"/>
              <w:rPr>
                <w:sz w:val="20"/>
                <w:szCs w:val="20"/>
                <w:color w:val="auto"/>
              </w:rPr>
            </w:pPr>
            <w:r>
              <w:rPr>
                <w:rFonts w:ascii="Arial" w:cs="Arial" w:eastAsia="Arial" w:hAnsi="Arial"/>
                <w:sz w:val="18"/>
                <w:szCs w:val="18"/>
                <w:color w:val="auto"/>
              </w:rPr>
              <w:t>Treasury stock (8,013,889 shares held at cost at June 30, 2022 and 4,089,988 shares held at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at December 31, 2021)</w:t>
            </w:r>
          </w:p>
        </w:tc>
        <w:tc>
          <w:tcPr>
            <w:tcW w:w="3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3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2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00" w:type="dxa"/>
            <w:vAlign w:val="bottom"/>
            <w:gridSpan w:val="5"/>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80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7"/>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0" w:type="dxa"/>
            <w:vAlign w:val="bottom"/>
          </w:tcPr>
          <w:p>
            <w:pPr>
              <w:jc w:val="center"/>
              <w:ind w:right="121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0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Oil, natural gas and NGL sales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Net loss from commodity derivatives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purchased natural gas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Electricity sales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50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revenues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r>
      <w:tr>
        <w:trPr>
          <w:trHeight w:val="75"/>
        </w:trPr>
        <w:tc>
          <w:tcPr>
            <w:tcW w:w="50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costs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and amortization</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Asset impairments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on income</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Exploration expense</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Purchased natural gas expense</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Electricity generation expenses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costs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Accretion expense</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expenses, net</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50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r>
      <w:tr>
        <w:trPr>
          <w:trHeight w:val="210"/>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gain on asset divestitures</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94"/>
        </w:trPr>
        <w:tc>
          <w:tcPr>
            <w:tcW w:w="50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Reorganization items, net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5080" w:type="dxa"/>
            <w:vAlign w:val="bottom"/>
          </w:tcPr>
          <w:p>
            <w:pPr>
              <w:ind w:left="360"/>
              <w:spacing w:after="0"/>
              <w:rPr>
                <w:sz w:val="20"/>
                <w:szCs w:val="20"/>
                <w:color w:val="auto"/>
              </w:rPr>
            </w:pPr>
            <w:r>
              <w:rPr>
                <w:rFonts w:ascii="Arial" w:cs="Arial" w:eastAsia="Arial" w:hAnsi="Arial"/>
                <w:sz w:val="16"/>
                <w:szCs w:val="16"/>
                <w:color w:val="auto"/>
              </w:rPr>
              <w:t>Interest and debt expense, net</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on early extinguishment of debt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0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non-operating income (expenses), net</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9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5"/>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w:t>
            </w: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 per share</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Basic</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Basic</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168"/>
        </w:trPr>
        <w:tc>
          <w:tcPr>
            <w:tcW w:w="5080" w:type="dxa"/>
            <w:vAlign w:val="bottom"/>
          </w:tcPr>
          <w:p>
            <w:pPr>
              <w:ind w:left="20"/>
              <w:spacing w:after="0" w:line="168" w:lineRule="exact"/>
              <w:rPr>
                <w:sz w:val="20"/>
                <w:szCs w:val="20"/>
                <w:color w:val="auto"/>
              </w:rPr>
            </w:pPr>
            <w:r>
              <w:rPr>
                <w:rFonts w:ascii="Arial" w:cs="Arial" w:eastAsia="Arial" w:hAnsi="Arial"/>
                <w:sz w:val="16"/>
                <w:szCs w:val="16"/>
                <w:color w:val="auto"/>
              </w:rPr>
              <w:t>Diluted</w:t>
            </w:r>
          </w:p>
        </w:tc>
        <w:tc>
          <w:tcPr>
            <w:tcW w:w="9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Arial" w:cs="Arial" w:eastAsia="Arial" w:hAnsi="Arial"/>
                <w:sz w:val="16"/>
                <w:szCs w:val="16"/>
                <w:color w:val="auto"/>
              </w:rPr>
              <w:t>78.8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Arial" w:cs="Arial" w:eastAsia="Arial" w:hAnsi="Arial"/>
                <w:sz w:val="16"/>
                <w:szCs w:val="16"/>
                <w:color w:val="auto"/>
              </w:rPr>
              <w:t>83.1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Arial" w:cs="Arial" w:eastAsia="Arial" w:hAnsi="Arial"/>
                <w:sz w:val="16"/>
                <w:szCs w:val="16"/>
                <w:color w:val="auto"/>
              </w:rPr>
              <w:t>79.6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Arial" w:cs="Arial" w:eastAsia="Arial" w:hAnsi="Arial"/>
                <w:sz w:val="16"/>
                <w:szCs w:val="16"/>
                <w:color w:val="auto"/>
              </w:rPr>
              <w:t>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(Loss) For the three and six months ended June 30, 2022 and 2021 </w:t>
      </w:r>
      <w:r>
        <w:rPr>
          <w:rFonts w:ascii="Arial" w:cs="Arial" w:eastAsia="Arial" w:hAnsi="Arial"/>
          <w:sz w:val="18"/>
          <w:szCs w:val="18"/>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88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5"/>
        </w:trPr>
        <w:tc>
          <w:tcPr>
            <w:tcW w:w="43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loss attributable to common</w:t>
            </w:r>
          </w:p>
        </w:tc>
        <w:tc>
          <w:tcPr>
            <w:tcW w:w="1160" w:type="dxa"/>
            <w:vAlign w:val="bottom"/>
            <w:tcBorders>
              <w:top w:val="single" w:sz="8" w:color="auto"/>
            </w:tcBorders>
            <w:vMerge w:val="restart"/>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39"/>
        </w:trPr>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stock</w:t>
            </w:r>
          </w:p>
        </w:tc>
        <w:tc>
          <w:tcPr>
            <w:tcW w:w="116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320" w:type="dxa"/>
            <w:vAlign w:val="bottom"/>
            <w:tcBorders>
              <w:bottom w:val="single" w:sz="8" w:color="CCEEFF"/>
            </w:tcBorders>
            <w:vMerge w:val="continue"/>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March 31, 2022</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Repurchases of common stock</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Cash dividends ($0.17 per share)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December 31, 2021</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Repurchases of common stock</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Cash dividends ($0.17 per share)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June 30, 2022</w:t>
      </w:r>
    </w:p>
    <w:p>
      <w:pPr>
        <w:spacing w:after="0" w:line="20" w:lineRule="exact"/>
        <w:rPr>
          <w:sz w:val="20"/>
          <w:szCs w:val="20"/>
          <w:color w:val="auto"/>
        </w:rPr>
      </w:pPr>
      <w:r>
        <w:rPr>
          <w:sz w:val="20"/>
          <w:szCs w:val="20"/>
          <w:color w:val="auto"/>
        </w:rPr>
        <w:br w:type="column"/>
      </w:r>
    </w:p>
    <w:p>
      <w:pPr>
        <w:jc w:val="center"/>
        <w:ind w:left="380" w:right="2500"/>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Stockholders' Equity For the three and six months ended June 30, 2022 </w:t>
      </w:r>
      <w:r>
        <w:rPr>
          <w:rFonts w:ascii="Arial" w:cs="Arial" w:eastAsia="Arial" w:hAnsi="Arial"/>
          <w:sz w:val="18"/>
          <w:szCs w:val="18"/>
          <w:color w:val="auto"/>
        </w:rPr>
        <w:t>(in millions)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 Paid-in</w:t>
            </w:r>
          </w:p>
        </w:tc>
        <w:tc>
          <w:tcPr>
            <w:tcW w:w="6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 Other</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center"/>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60" w:type="dxa"/>
            <w:vAlign w:val="bottom"/>
            <w:gridSpan w:val="3"/>
            <w:vMerge w:val="continue"/>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Comprehensive</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6"/>
                <w:szCs w:val="16"/>
                <w:color w:val="auto"/>
              </w:rPr>
            </w:pPr>
          </w:p>
        </w:tc>
        <w:tc>
          <w:tcPr>
            <w:tcW w:w="1100" w:type="dxa"/>
            <w:vAlign w:val="bottom"/>
          </w:tcPr>
          <w:p>
            <w:pPr>
              <w:jc w:val="center"/>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1,293</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1,296</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Six months ended June 30, 2022</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 Paid-in</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2"/>
                <w:szCs w:val="12"/>
                <w:color w:val="auto"/>
              </w:rPr>
            </w:pPr>
          </w:p>
        </w:tc>
        <w:tc>
          <w:tcPr>
            <w:tcW w:w="110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460" w:type="dxa"/>
            <w:vAlign w:val="bottom"/>
            <w:gridSpan w:val="3"/>
            <w:vMerge w:val="continue"/>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Comprehensive</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6"/>
                <w:szCs w:val="16"/>
                <w:color w:val="auto"/>
              </w:rPr>
            </w:pPr>
          </w:p>
        </w:tc>
        <w:tc>
          <w:tcPr>
            <w:tcW w:w="1100" w:type="dxa"/>
            <w:vAlign w:val="bottom"/>
          </w:tcPr>
          <w:p>
            <w:pPr>
              <w:jc w:val="center"/>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1,288</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6"/>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1,296</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-2322195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-2056765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-1799590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-822325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-556895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-299720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280"/>
            <w:col w:w="8720"/>
          </w:cols>
          <w:pgMar w:left="320" w:top="931"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2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jc w:val="right"/>
              <w:ind w:right="8"/>
              <w:spacing w:after="0"/>
              <w:rPr>
                <w:sz w:val="20"/>
                <w:szCs w:val="20"/>
                <w:color w:val="auto"/>
              </w:rPr>
            </w:pPr>
            <w:r>
              <w:rPr>
                <w:rFonts w:ascii="Arial" w:cs="Arial" w:eastAsia="Arial" w:hAnsi="Arial"/>
                <w:sz w:val="14"/>
                <w:szCs w:val="14"/>
                <w:b w:val="1"/>
                <w:bCs w:val="1"/>
                <w:color w:val="auto"/>
              </w:rPr>
              <w:t>Three months ended June 30, 2021</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20" w:type="dxa"/>
            <w:vAlign w:val="bottom"/>
            <w:gridSpan w:val="3"/>
          </w:tcPr>
          <w:p>
            <w:pPr>
              <w:jc w:val="center"/>
              <w:ind w:right="220"/>
              <w:spacing w:after="0" w:line="145"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2"/>
                <w:szCs w:val="12"/>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03"/>
        </w:trPr>
        <w:tc>
          <w:tcPr>
            <w:tcW w:w="2400" w:type="dxa"/>
            <w:vAlign w:val="bottom"/>
          </w:tcPr>
          <w:p>
            <w:pPr>
              <w:ind w:left="120"/>
              <w:spacing w:after="0" w:line="202" w:lineRule="exact"/>
              <w:rPr>
                <w:sz w:val="20"/>
                <w:szCs w:val="20"/>
                <w:color w:val="auto"/>
              </w:rPr>
            </w:pPr>
            <w:r>
              <w:rPr>
                <w:rFonts w:ascii="Arial" w:cs="Arial" w:eastAsia="Arial" w:hAnsi="Arial"/>
                <w:sz w:val="14"/>
                <w:szCs w:val="14"/>
                <w:color w:val="auto"/>
              </w:rPr>
              <w:t>Net (loss) income</w:t>
            </w:r>
            <w:r>
              <w:rPr>
                <w:rFonts w:ascii="Arial" w:cs="Arial" w:eastAsia="Arial" w:hAnsi="Arial"/>
                <w:sz w:val="18"/>
                <w:szCs w:val="18"/>
                <w:color w:val="auto"/>
                <w:vertAlign w:val="superscript"/>
              </w:rPr>
              <w:t>(a)</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ind w:left="10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20" w:type="dxa"/>
            <w:vAlign w:val="bottom"/>
            <w:gridSpan w:val="3"/>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09"/>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gridSpan w:val="3"/>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4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gridSpan w:val="3"/>
          </w:tcPr>
          <w:p>
            <w:pPr>
              <w:ind w:left="10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0"/>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1,273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2"/>
                <w:szCs w:val="12"/>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03"/>
        </w:trPr>
        <w:tc>
          <w:tcPr>
            <w:tcW w:w="2400" w:type="dxa"/>
            <w:vAlign w:val="bottom"/>
          </w:tcPr>
          <w:p>
            <w:pPr>
              <w:ind w:left="120"/>
              <w:spacing w:after="0" w:line="202" w:lineRule="exact"/>
              <w:rPr>
                <w:sz w:val="20"/>
                <w:szCs w:val="20"/>
                <w:color w:val="auto"/>
              </w:rPr>
            </w:pPr>
            <w:r>
              <w:rPr>
                <w:rFonts w:ascii="Arial" w:cs="Arial" w:eastAsia="Arial" w:hAnsi="Arial"/>
                <w:sz w:val="14"/>
                <w:szCs w:val="14"/>
                <w:color w:val="auto"/>
              </w:rPr>
              <w:t>Net (loss) income</w:t>
            </w:r>
            <w:r>
              <w:rPr>
                <w:rFonts w:ascii="Arial" w:cs="Arial" w:eastAsia="Arial" w:hAnsi="Arial"/>
                <w:sz w:val="18"/>
                <w:szCs w:val="18"/>
                <w:color w:val="auto"/>
                <w:vertAlign w:val="superscript"/>
              </w:rPr>
              <w:t>(a)</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ind w:left="10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3"/>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13"/>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gridSpan w:val="3"/>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4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gridSpan w:val="3"/>
          </w:tcPr>
          <w:p>
            <w:pPr>
              <w:ind w:left="10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0"/>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1,273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right="340" w:hanging="492"/>
        <w:spacing w:after="0" w:line="261" w:lineRule="auto"/>
        <w:tabs>
          <w:tab w:leader="none" w:pos="487"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and six months ended June 30, 2021, we allocated $4 million and $9 million of net income to noncontrolling interest holders, respectively, with the remaining $111 million and $205 million of net loss attributed to holders of our common stock, both of which were included in stockholders' equity on our condensed</w:t>
      </w:r>
    </w:p>
    <w:p>
      <w:pPr>
        <w:ind w:left="500"/>
        <w:spacing w:after="0" w:line="192" w:lineRule="auto"/>
        <w:rPr>
          <w:sz w:val="20"/>
          <w:szCs w:val="20"/>
          <w:color w:val="auto"/>
        </w:rPr>
      </w:pPr>
      <w:r>
        <w:rPr>
          <w:rFonts w:ascii="Arial" w:cs="Arial" w:eastAsia="Arial" w:hAnsi="Arial"/>
          <w:sz w:val="6"/>
          <w:szCs w:val="6"/>
          <w:color w:val="auto"/>
        </w:rPr>
        <w:t>consolidated balance sheet.</w:t>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5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4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75"/>
        </w:trPr>
        <w:tc>
          <w:tcPr>
            <w:tcW w:w="5500" w:type="dxa"/>
            <w:vAlign w:val="bottom"/>
          </w:tcPr>
          <w:p>
            <w:pPr>
              <w:ind w:left="140"/>
              <w:spacing w:after="0" w:line="176" w:lineRule="exact"/>
              <w:rPr>
                <w:sz w:val="20"/>
                <w:szCs w:val="20"/>
                <w:color w:val="auto"/>
              </w:rPr>
            </w:pPr>
            <w:r>
              <w:rPr>
                <w:rFonts w:ascii="Arial" w:cs="Arial" w:eastAsia="Arial" w:hAnsi="Arial"/>
                <w:sz w:val="18"/>
                <w:szCs w:val="18"/>
                <w:color w:val="auto"/>
              </w:rPr>
              <w:t>Adjustments to reconcile net income (loss) to net cash provided by</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5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Deferred income tax expense</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impairments</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Net loss from commodity derivatives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payments on settled commodity derivatives</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Net loss on early extinguishment of debt</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gain on asset divestitures</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Other non-cash charges to income, net</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 net</w:t>
            </w:r>
          </w:p>
        </w:tc>
        <w:tc>
          <w:tcPr>
            <w:tcW w:w="4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88"/>
        </w:trPr>
        <w:tc>
          <w:tcPr>
            <w:tcW w:w="5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investments</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Changes in accrued capital investments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asset divestitures</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used in investing activities</w:t>
            </w:r>
          </w:p>
        </w:tc>
        <w:tc>
          <w:tcPr>
            <w:tcW w:w="4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88"/>
        </w:trPr>
        <w:tc>
          <w:tcPr>
            <w:tcW w:w="55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Repayments of Revolving Credit Facility</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Senior Notes</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Second Lien Term Loan</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Repayment of EHP Notes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Common stock dividends</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paid to a noncontrolling interest holder</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used in financing activities</w:t>
            </w:r>
          </w:p>
        </w:tc>
        <w:tc>
          <w:tcPr>
            <w:tcW w:w="4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Increase in cash</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Cash—beginning of period</w:t>
            </w:r>
          </w:p>
        </w:tc>
        <w:tc>
          <w:tcPr>
            <w:tcW w:w="4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Cash—end of period</w:t>
            </w:r>
          </w:p>
        </w:tc>
        <w:tc>
          <w:tcPr>
            <w:tcW w:w="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36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4"/>
        </w:trPr>
        <w:tc>
          <w:tcPr>
            <w:tcW w:w="5500" w:type="dxa"/>
            <w:vAlign w:val="bottom"/>
          </w:tcPr>
          <w:p>
            <w:pPr>
              <w:spacing w:after="0"/>
              <w:rPr>
                <w:sz w:val="24"/>
                <w:szCs w:val="24"/>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-770890</wp:posOffset>
            </wp:positionV>
            <wp:extent cx="7969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We are an independent oil and natural gas exploration and production company operating properties exclusively within California. We are committed to energy transition and have some of the lowest carbon intensity production in the United States. Through our subsidiary, Carbon TerraVault, we are in the early stages of permitting several carbon capture and storage projects in California and on August 3, 2022, we entered into a strategic partnership as discussed further in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to develop certain projects. Separately, we are evaluating the feasibility of a carbon capture system to be located at our Elk Hills power plant (CalCapture). Except when the context otherwise requires or where otherwise indicated, all references to ‘‘CRC,’’ the ‘‘Company,’’ ‘‘we,’’ ‘‘us’’ and ‘‘our’’ refer to California Resources Corporation and its subsidiaries.</w:t>
      </w:r>
    </w:p>
    <w:p>
      <w:pPr>
        <w:spacing w:after="0" w:line="210"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w:t>
      </w:r>
    </w:p>
    <w:p>
      <w:pPr>
        <w:spacing w:after="0" w:line="20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2021 (2021 Annual Report).</w:t>
      </w:r>
    </w:p>
    <w:p>
      <w:pPr>
        <w:spacing w:after="0" w:line="206"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 xml:space="preserve">The carrying amounts of cash and on-balance sheet financial instruments, other than debt, approximate fair value. Refer to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for the fair value of our debt.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2022, we amended our Revolving Credit Facility to replace the benchmark rate from the London Interbank Offered Rate to the secured overnight financing rate (SOFR). As a result of this amendment, we can elect to borrow at either an adjusted SOFR rate or an alternate base rate (ABR), subject to a 1% floor and 2% floor, respectively, plus an applicable margin. The 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3% to 4% and (ii) in the case of ABR loans, 2% to 3%. The unused portion of the facility is subject to a commitment fee of 0.50% per annum. We also pay customary fees and expenses. Interest on ABR loans is payable quarterly in arrears. Interest on SOFR loans is payable at the end of each SOFR period, but not less than quarterly.</w:t>
      </w:r>
    </w:p>
    <w:p>
      <w:pPr>
        <w:spacing w:after="0" w:line="212" w:lineRule="exact"/>
        <w:rPr>
          <w:sz w:val="20"/>
          <w:szCs w:val="20"/>
          <w:color w:val="auto"/>
        </w:rPr>
      </w:pPr>
    </w:p>
    <w:p>
      <w:pPr>
        <w:ind w:right="700" w:firstLine="324"/>
        <w:spacing w:after="0" w:line="262" w:lineRule="auto"/>
        <w:rPr>
          <w:sz w:val="20"/>
          <w:szCs w:val="20"/>
          <w:color w:val="auto"/>
        </w:rPr>
      </w:pPr>
      <w:r>
        <w:rPr>
          <w:rFonts w:ascii="Arial" w:cs="Arial" w:eastAsia="Arial" w:hAnsi="Arial"/>
          <w:sz w:val="18"/>
          <w:szCs w:val="18"/>
          <w:color w:val="auto"/>
        </w:rPr>
        <w:t xml:space="preserve">ASC Topic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contains guidance for applying U.S. GAAP to contracts, hedging relationships and other transactions that are impacted by reference rate reform. Under this guidance, we elected to account for this debt amendment as a modification of the original instrument. The debt modification did not have a material impact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7"/>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3  SUPPLEMENTAL BALANCE SHEET INFORMATION</w:t>
            </w:r>
          </w:p>
        </w:tc>
        <w:tc>
          <w:tcPr>
            <w:tcW w:w="1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current assets </w:t>
            </w:r>
            <w:r>
              <w:rPr>
                <w:rFonts w:ascii="Arial" w:cs="Arial" w:eastAsia="Arial" w:hAnsi="Arial"/>
                <w:sz w:val="18"/>
                <w:szCs w:val="18"/>
                <w:color w:val="auto"/>
              </w:rPr>
              <w:t>— Other current assets includes the following:</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38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2022</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joint interest partners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Greenhouse gas allowances</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Margin deposits</w:t>
            </w: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Other noncurrent assets </w:t>
            </w:r>
            <w:r>
              <w:rPr>
                <w:rFonts w:ascii="Arial" w:cs="Arial" w:eastAsia="Arial" w:hAnsi="Arial"/>
                <w:sz w:val="18"/>
                <w:szCs w:val="18"/>
                <w:color w:val="auto"/>
              </w:rPr>
              <w:t>- Other noncurrent assets includes the following:</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38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2022</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financing costs - Revolving Credit Facility</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Emission reduction credits</w:t>
            </w: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power plant maintenance</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w:t>
            </w:r>
          </w:p>
        </w:tc>
        <w:tc>
          <w:tcPr>
            <w:tcW w:w="1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noncurrent assets</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includes the following:</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38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center"/>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3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2022</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employee-related costs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Premiums due on derivative contracts</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Liability for settlement payments on derivative contracts</w:t>
            </w: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Amounts due under production-sharing contracts</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9"/>
        </w:trPr>
        <w:tc>
          <w:tcPr>
            <w:tcW w:w="7380" w:type="dxa"/>
            <w:vAlign w:val="bottom"/>
          </w:tcPr>
          <w:p>
            <w:pPr>
              <w:ind w:left="340"/>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includes the following:</w:t>
            </w: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90"/>
        </w:trPr>
        <w:tc>
          <w:tcPr>
            <w:tcW w:w="73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380" w:type="dxa"/>
            <w:vAlign w:val="bottom"/>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92"/>
        </w:trPr>
        <w:tc>
          <w:tcPr>
            <w:tcW w:w="7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r>
      <w:tr>
        <w:trPr>
          <w:trHeight w:val="23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Premiums due on derivative contracts</w:t>
            </w:r>
          </w:p>
        </w:tc>
        <w:tc>
          <w:tcPr>
            <w:tcW w:w="1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38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1"/>
        </w:trPr>
        <w:tc>
          <w:tcPr>
            <w:tcW w:w="7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SUPPLEMENTAL CASH FLOW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paid $20 million of U.S. federal income tax payments during the three and six months ended June 30, 2022. We did not make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federal and state income tax payments during the three and six months ended June 30, 2021.</w:t>
      </w:r>
    </w:p>
    <w:p>
      <w:pPr>
        <w:spacing w:after="0" w:line="234"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Interest paid, net of capitalized amounts was insignificant for the three months ended June 30, 2022 and $2 million for the three months ended June 30, 2021. Interest paid, net of capitalized amounts was $22 million and $4 million for the six months ended June 30, 2022 and 2021, respectively.</w:t>
      </w:r>
    </w:p>
    <w:p>
      <w:pPr>
        <w:spacing w:after="0" w:line="198"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Non-cash investing activities in the three and six months ended June 30, 2022 included $1 million of additional earn-out consideration related to our Ventura basin divestiture.</w:t>
      </w:r>
    </w:p>
    <w:p>
      <w:pPr>
        <w:spacing w:after="0" w:line="18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Non-cash financing activities in the three and six months ended June 30, 2022 included $1 million of dividends accrued for stock-based compensation awards. No dividends were accrued for the three or six months ended June 30, 2021.</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INVENTORIES</w:t>
      </w:r>
    </w:p>
    <w:p>
      <w:pPr>
        <w:spacing w:after="0" w:line="252"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color w:val="auto"/>
        </w:rPr>
        <w:t>Materials and supplies, which primarily consist of well equipment and tubular goods used in our oil and natural gas operations, are valued at weighted-average cost and are reviewed periodically for obsolescence. Finished goods include produced oil and NGLs in storage, which are valued at the lower of cost or net realizable value. Inventories, by category, are as follows:</w:t>
      </w:r>
    </w:p>
    <w:tbl>
      <w:tblPr>
        <w:tblLayout w:type="fixed"/>
        <w:tblInd w:w="0" w:type="dxa"/>
        <w:tblCellMar>
          <w:top w:w="0" w:type="dxa"/>
          <w:left w:w="0" w:type="dxa"/>
          <w:bottom w:w="0" w:type="dxa"/>
          <w:right w:w="0" w:type="dxa"/>
        </w:tblCellMar>
      </w:tblPr>
      <w:tr>
        <w:trPr>
          <w:trHeight w:val="229"/>
        </w:trPr>
        <w:tc>
          <w:tcPr>
            <w:tcW w:w="738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r>
      <w:tr>
        <w:trPr>
          <w:trHeight w:val="235"/>
        </w:trPr>
        <w:tc>
          <w:tcPr>
            <w:tcW w:w="7380" w:type="dxa"/>
            <w:vAlign w:val="bottom"/>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r>
      <w:tr>
        <w:trPr>
          <w:trHeight w:val="192"/>
        </w:trPr>
        <w:tc>
          <w:tcPr>
            <w:tcW w:w="7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6"/>
                <w:szCs w:val="16"/>
                <w:color w:val="auto"/>
              </w:rPr>
            </w:pPr>
          </w:p>
        </w:tc>
      </w:tr>
      <w:tr>
        <w:trPr>
          <w:trHeight w:val="23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44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spacing w:after="0"/>
        <w:tabs>
          <w:tab w:leader="none" w:pos="880" w:val="left"/>
        </w:tabs>
        <w:rPr>
          <w:sz w:val="20"/>
          <w:szCs w:val="20"/>
          <w:color w:val="auto"/>
        </w:rPr>
      </w:pPr>
      <w:r>
        <w:rPr>
          <w:rFonts w:ascii="Arial" w:cs="Arial" w:eastAsia="Arial" w:hAnsi="Arial"/>
          <w:sz w:val="18"/>
          <w:szCs w:val="18"/>
          <w:b w:val="1"/>
          <w:bCs w:val="1"/>
          <w:color w:val="auto"/>
        </w:rPr>
        <w:t>NOTE 6</w:t>
        <w:tab/>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2022 and December 31, 2021, our long-term debt consisted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356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Interest 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192"/>
        </w:trPr>
        <w:tc>
          <w:tcPr>
            <w:tcW w:w="356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color w:val="auto"/>
              </w:rPr>
              <w:t>(in millions)</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166"/>
        </w:trPr>
        <w:tc>
          <w:tcPr>
            <w:tcW w:w="35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rPr>
              <w:t>Revolving Credit Facility</w:t>
            </w:r>
          </w:p>
        </w:tc>
        <w:tc>
          <w:tcPr>
            <w:tcW w:w="1260" w:type="dxa"/>
            <w:vAlign w:val="bottom"/>
            <w:shd w:val="clear" w:color="auto" w:fill="CCEEFF"/>
          </w:tcPr>
          <w:p>
            <w:pPr>
              <w:jc w:val="right"/>
              <w:ind w:right="1079"/>
              <w:spacing w:after="0" w:line="166" w:lineRule="exact"/>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line="166"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jc w:val="center"/>
              <w:ind w:right="100"/>
              <w:spacing w:after="0" w:line="166" w:lineRule="exact"/>
              <w:rPr>
                <w:sz w:val="20"/>
                <w:szCs w:val="20"/>
                <w:color w:val="auto"/>
              </w:rPr>
            </w:pPr>
            <w:r>
              <w:rPr>
                <w:rFonts w:ascii="Arial" w:cs="Arial" w:eastAsia="Arial" w:hAnsi="Arial"/>
                <w:sz w:val="16"/>
                <w:szCs w:val="16"/>
                <w:color w:val="auto"/>
              </w:rPr>
              <w:t>SOFR plus 3%-4%</w:t>
            </w:r>
          </w:p>
        </w:tc>
        <w:tc>
          <w:tcPr>
            <w:tcW w:w="176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rPr>
              <w:t>April 29, 2024</w:t>
            </w:r>
          </w:p>
        </w:tc>
      </w:tr>
      <w:tr>
        <w:trPr>
          <w:trHeight w:val="216"/>
        </w:trPr>
        <w:tc>
          <w:tcPr>
            <w:tcW w:w="3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8"/>
                <w:szCs w:val="18"/>
                <w:color w:val="auto"/>
              </w:rPr>
            </w:pPr>
          </w:p>
        </w:tc>
      </w:tr>
      <w:tr>
        <w:trPr>
          <w:trHeight w:val="215"/>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34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0"/>
        </w:trPr>
        <w:tc>
          <w:tcPr>
            <w:tcW w:w="35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1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5"/>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280" w:firstLine="324"/>
        <w:spacing w:after="0" w:line="260"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currently consists of a senior revolving loan facility (Revolving Credit Facility) with an aggregate commitment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$552 million, which we are permitted to increase if we obtain additional commitments from new or existing lenders. This amount includes</w:t>
      </w:r>
    </w:p>
    <w:p>
      <w:pPr>
        <w:spacing w:after="0" w:line="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$60 million of additional commitments from new lenders that we obtained in February 2022. Our Revolving Credit Facility also includes a sub-limit of $200 million for the issuance of letters of credit. Letters of credit were issued to support ordinary course marketing, insurance, regulatory and other matters.</w:t>
      </w:r>
    </w:p>
    <w:p>
      <w:pPr>
        <w:spacing w:after="0" w:line="20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borrowing base is redetermined semi-annually and was reaffirmed at $1.2 billion on April 29, 2022.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w:t>
      </w:r>
    </w:p>
    <w:p>
      <w:pPr>
        <w:spacing w:after="0" w:line="203"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On April 29, 2022, we amended our Revolving Credit Facility to, among other things, modify the minimum hedge requirement and the restricted payment and investment covenants contained in the Revolving Credit Facility.</w:t>
      </w:r>
    </w:p>
    <w:p>
      <w:pPr>
        <w:spacing w:after="0" w:line="1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As a result of this amendment, the rolling hedge requirement as described in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4 Debt </w:t>
      </w:r>
      <w:r>
        <w:rPr>
          <w:rFonts w:ascii="Arial" w:cs="Arial" w:eastAsia="Arial" w:hAnsi="Arial"/>
          <w:sz w:val="18"/>
          <w:szCs w:val="18"/>
          <w:color w:val="auto"/>
        </w:rPr>
        <w:t>in our 2021 Annual Report has been modified. As amended, our Revolving Credit Facility requires us to maintain hedges</w:t>
      </w:r>
      <w:r>
        <w:rPr>
          <w:rFonts w:ascii="Arial" w:cs="Arial" w:eastAsia="Arial" w:hAnsi="Arial"/>
          <w:sz w:val="18"/>
          <w:szCs w:val="18"/>
          <w:i w:val="1"/>
          <w:iCs w:val="1"/>
          <w:color w:val="auto"/>
        </w:rPr>
        <w:t xml:space="preserve"> </w:t>
      </w:r>
      <w:r>
        <w:rPr>
          <w:rFonts w:ascii="Arial" w:cs="Arial" w:eastAsia="Arial" w:hAnsi="Arial"/>
          <w:sz w:val="18"/>
          <w:szCs w:val="18"/>
          <w:color w:val="auto"/>
        </w:rPr>
        <w:t>on a minimum amount of crude oil production (determined on (i) the date of delivery of annual and quarterly financial statements and (ii) the date of delivery of a reserve report delivered in connection with an interim borrowing base redetermination) of no less than (i) in the event that our Consolidated Total Net Leverage Ratio (as defined in the Credit Agreement) is greater than 2:1 as of the end of the most recent fiscal quarter test period, 50%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2:1 but greater than 1:1 as of the end of the most recent fiscal quarter test period, 33%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1:1 as of the last day of the most recently ended fiscal quarter test period.</w:t>
      </w:r>
    </w:p>
    <w:p>
      <w:pPr>
        <w:spacing w:after="0" w:line="214" w:lineRule="exact"/>
        <w:rPr>
          <w:sz w:val="20"/>
          <w:szCs w:val="20"/>
          <w:color w:val="auto"/>
        </w:rPr>
      </w:pPr>
    </w:p>
    <w:p>
      <w:pPr>
        <w:ind w:right="120" w:firstLine="324"/>
        <w:spacing w:after="0" w:line="282" w:lineRule="auto"/>
        <w:rPr>
          <w:sz w:val="20"/>
          <w:szCs w:val="20"/>
          <w:color w:val="auto"/>
        </w:rPr>
      </w:pPr>
      <w:r>
        <w:rPr>
          <w:rFonts w:ascii="Arial" w:cs="Arial" w:eastAsia="Arial" w:hAnsi="Arial"/>
          <w:sz w:val="17"/>
          <w:szCs w:val="17"/>
          <w:color w:val="auto"/>
        </w:rPr>
        <w:t>Furthermore, the restricted payment and investments covenants were modified to permit unlimited investments and/or restricted payments so long as (i)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30.0% of the total commitment and (iii) the Consolidated Total Net Leverage Ratio is less than or equal to 1.5:1.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color w:val="auto"/>
        </w:rPr>
        <w:t>As of June 30, 2022, our availability under our Revolving Credit Facility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center"/>
              <w:ind w:right="313"/>
              <w:spacing w:after="0"/>
              <w:rPr>
                <w:sz w:val="20"/>
                <w:szCs w:val="20"/>
                <w:color w:val="auto"/>
              </w:rPr>
            </w:pPr>
            <w:r>
              <w:rPr>
                <w:rFonts w:ascii="Arial" w:cs="Arial" w:eastAsia="Arial" w:hAnsi="Arial"/>
                <w:sz w:val="18"/>
                <w:szCs w:val="18"/>
                <w:b w:val="1"/>
                <w:bCs w:val="1"/>
                <w:color w:val="auto"/>
                <w:w w:val="99"/>
              </w:rPr>
              <w:t>June 30,</w:t>
            </w:r>
          </w:p>
        </w:tc>
      </w:tr>
      <w:tr>
        <w:trPr>
          <w:trHeight w:val="235"/>
        </w:trPr>
        <w:tc>
          <w:tcPr>
            <w:tcW w:w="9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13"/>
              <w:spacing w:after="0"/>
              <w:rPr>
                <w:sz w:val="20"/>
                <w:szCs w:val="20"/>
                <w:color w:val="auto"/>
              </w:rPr>
            </w:pPr>
            <w:r>
              <w:rPr>
                <w:rFonts w:ascii="Arial" w:cs="Arial" w:eastAsia="Arial" w:hAnsi="Arial"/>
                <w:sz w:val="18"/>
                <w:szCs w:val="18"/>
                <w:b w:val="1"/>
                <w:bCs w:val="1"/>
                <w:color w:val="auto"/>
                <w:w w:val="99"/>
              </w:rPr>
              <w:t>2022</w:t>
            </w:r>
          </w:p>
        </w:tc>
      </w:tr>
      <w:tr>
        <w:trPr>
          <w:trHeight w:val="192"/>
        </w:trPr>
        <w:tc>
          <w:tcPr>
            <w:tcW w:w="9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jc w:val="center"/>
              <w:ind w:right="313"/>
              <w:spacing w:after="0"/>
              <w:rPr>
                <w:sz w:val="20"/>
                <w:szCs w:val="20"/>
                <w:color w:val="auto"/>
              </w:rPr>
            </w:pPr>
            <w:r>
              <w:rPr>
                <w:rFonts w:ascii="Arial" w:cs="Arial" w:eastAsia="Arial" w:hAnsi="Arial"/>
                <w:sz w:val="14"/>
                <w:szCs w:val="14"/>
                <w:color w:val="auto"/>
              </w:rPr>
              <w:t>(in millions)</w:t>
            </w:r>
          </w:p>
        </w:tc>
      </w:tr>
      <w:tr>
        <w:trPr>
          <w:trHeight w:val="233"/>
        </w:trPr>
        <w:tc>
          <w:tcPr>
            <w:tcW w:w="9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center"/>
              <w:ind w:left="1173"/>
              <w:spacing w:after="0"/>
              <w:rPr>
                <w:sz w:val="20"/>
                <w:szCs w:val="20"/>
                <w:color w:val="auto"/>
              </w:rPr>
            </w:pPr>
            <w:r>
              <w:rPr>
                <w:rFonts w:ascii="Arial" w:cs="Arial" w:eastAsia="Arial" w:hAnsi="Arial"/>
                <w:sz w:val="18"/>
                <w:szCs w:val="18"/>
                <w:color w:val="auto"/>
                <w:w w:val="99"/>
              </w:rPr>
              <w:t>552</w:t>
            </w:r>
          </w:p>
        </w:tc>
      </w:tr>
      <w:tr>
        <w:trPr>
          <w:trHeight w:val="230"/>
        </w:trPr>
        <w:tc>
          <w:tcPr>
            <w:tcW w:w="9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1173"/>
              <w:spacing w:after="0"/>
              <w:rPr>
                <w:sz w:val="20"/>
                <w:szCs w:val="20"/>
                <w:color w:val="auto"/>
              </w:rPr>
            </w:pPr>
            <w:r>
              <w:rPr>
                <w:rFonts w:ascii="Arial" w:cs="Arial" w:eastAsia="Arial" w:hAnsi="Arial"/>
                <w:sz w:val="18"/>
                <w:szCs w:val="18"/>
                <w:color w:val="auto"/>
                <w:w w:val="99"/>
              </w:rPr>
              <w:t>(136)</w:t>
            </w:r>
          </w:p>
        </w:tc>
      </w:tr>
      <w:tr>
        <w:trPr>
          <w:trHeight w:val="248"/>
        </w:trPr>
        <w:tc>
          <w:tcPr>
            <w:tcW w:w="9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center"/>
              <w:ind w:left="1173"/>
              <w:spacing w:after="0"/>
              <w:rPr>
                <w:sz w:val="20"/>
                <w:szCs w:val="20"/>
                <w:color w:val="auto"/>
              </w:rPr>
            </w:pPr>
            <w:r>
              <w:rPr>
                <w:rFonts w:ascii="Arial" w:cs="Arial" w:eastAsia="Arial" w:hAnsi="Arial"/>
                <w:sz w:val="18"/>
                <w:szCs w:val="18"/>
                <w:color w:val="auto"/>
                <w:w w:val="99"/>
              </w:rPr>
              <w:t>416</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At June 30, 2022, we were in compliance with all financial and other debt covenants under our Revolving Credit Facility and Senior Notes.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right="1000" w:firstLine="324"/>
        <w:spacing w:after="0" w:line="287" w:lineRule="auto"/>
        <w:rPr>
          <w:sz w:val="20"/>
          <w:szCs w:val="20"/>
          <w:color w:val="auto"/>
        </w:rPr>
      </w:pPr>
      <w:r>
        <w:rPr>
          <w:rFonts w:ascii="Arial" w:cs="Arial" w:eastAsia="Arial" w:hAnsi="Arial"/>
          <w:sz w:val="18"/>
          <w:szCs w:val="18"/>
          <w:color w:val="auto"/>
        </w:rPr>
        <w:t>The estimated fair value of our fixed-rate debt at June 30, 2022 and December 31, 2021 was approximately $581 million and $623 million, respectively. We estimate fair value based on prices known from market transactions (Level 1).</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DIVESTITURES AND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 Basin Transactions</w:t>
      </w:r>
    </w:p>
    <w:p>
      <w:pPr>
        <w:spacing w:after="0" w:line="250"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During the second quarter of 2021, we entered into transactions to sell our Ventura basin assets. The transactions contemplate multiple closings that are subject to customary closing conditions.</w:t>
      </w:r>
    </w:p>
    <w:p>
      <w:pPr>
        <w:spacing w:after="0" w:line="180"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 xml:space="preserve">During the three and six months ended June 30, 2022, we recorded a gain of $ 4 million and $10 million, respectively, related to the sale of certain Ventura basin assets. The amount recognized in the three months ended June 30, 2022 of $4 million related to additional earn-out consideration on closings that occurred in the second half of 2021 and the first half of 2022. In addition, we also received $2 million to secure performance of abandonment obligations which we expect to reimburse to the buyer once the abandonment obligations are met. As a result, we recorded a liability of $2 million included as accrued liabilities on our condensed consolidated balance sheet as of June 30, 2022, and we did not recognize gain on asset divestitures for this portion of the transaction. See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3 Divestitures and Acquisitions </w:t>
      </w:r>
      <w:r>
        <w:rPr>
          <w:rFonts w:ascii="Arial" w:cs="Arial" w:eastAsia="Arial" w:hAnsi="Arial"/>
          <w:sz w:val="18"/>
          <w:szCs w:val="18"/>
          <w:color w:val="auto"/>
        </w:rPr>
        <w:t>in our 2021 Annual Report for additional information on the Ventura basin transactions.</w:t>
      </w:r>
    </w:p>
    <w:p>
      <w:pPr>
        <w:spacing w:after="0" w:line="210"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We expect to divest of our remaining assets in the Ventura basin during the second half of 2022, pending final approval from the State Lands Commission. These remaining assets, consisting of property, plant and equipment and the associated asset retirement obligations, are classified as held for sale on our condensed consolidated balance sheet as of June 30,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 Transaction</w:t>
      </w:r>
    </w:p>
    <w:p>
      <w:pPr>
        <w:spacing w:after="0" w:line="250" w:lineRule="exact"/>
        <w:rPr>
          <w:sz w:val="20"/>
          <w:szCs w:val="20"/>
          <w:color w:val="auto"/>
        </w:rPr>
      </w:pPr>
    </w:p>
    <w:p>
      <w:pPr>
        <w:ind w:right="180" w:firstLine="324"/>
        <w:spacing w:after="0"/>
        <w:rPr>
          <w:sz w:val="20"/>
          <w:szCs w:val="20"/>
          <w:color w:val="auto"/>
        </w:rPr>
      </w:pPr>
      <w:r>
        <w:rPr>
          <w:rFonts w:ascii="Arial" w:cs="Arial" w:eastAsia="Arial" w:hAnsi="Arial"/>
          <w:sz w:val="18"/>
          <w:szCs w:val="18"/>
          <w:color w:val="auto"/>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steam generators across the Lost Hills field for future carbon management projects. We also retained 100% of the deep rights and related seismic data.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CRC Plaza</w:t>
      </w:r>
    </w:p>
    <w:p>
      <w:pPr>
        <w:spacing w:after="0" w:line="25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 xml:space="preserve">In June 2022, we sold our commercial office building located in Bakersfield, California for net proceeds of $ 13 million, recognizing no gain or loss on sale. In May 2022, we recorded a $2 million impairment charge to write down the carrying value of the building to its fair value, which was determined based on a market approach (using Level 3 inputs in the fair value hierarchy). As part of the sale, we entered into an operating lease for a portion of the building with a term of 18 months. Refer to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2 Property, Plant and Equipment </w:t>
      </w:r>
      <w:r>
        <w:rPr>
          <w:rFonts w:ascii="Arial" w:cs="Arial" w:eastAsia="Arial" w:hAnsi="Arial"/>
          <w:sz w:val="18"/>
          <w:szCs w:val="18"/>
          <w:color w:val="auto"/>
        </w:rPr>
        <w:t>in our 2021 Annual Report for information regarding an impairment charge to</w:t>
      </w:r>
      <w:r>
        <w:rPr>
          <w:rFonts w:ascii="Arial" w:cs="Arial" w:eastAsia="Arial" w:hAnsi="Arial"/>
          <w:sz w:val="18"/>
          <w:szCs w:val="18"/>
          <w:i w:val="1"/>
          <w:iCs w:val="1"/>
          <w:color w:val="auto"/>
        </w:rPr>
        <w:t xml:space="preserve"> </w:t>
      </w:r>
      <w:r>
        <w:rPr>
          <w:rFonts w:ascii="Arial" w:cs="Arial" w:eastAsia="Arial" w:hAnsi="Arial"/>
          <w:sz w:val="18"/>
          <w:szCs w:val="18"/>
          <w:color w:val="auto"/>
        </w:rPr>
        <w:t>CRC Plaza recorded in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50"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During the six months ended June 30, 2022, we sold non-core assets recognizing a $1 million loss. During the six months ended June 30, 2021, we sold non-core assets recognizing a $2 million gain.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0" w:lineRule="exact"/>
        <w:rPr>
          <w:sz w:val="20"/>
          <w:szCs w:val="20"/>
          <w:color w:val="auto"/>
        </w:rPr>
      </w:pPr>
    </w:p>
    <w:p>
      <w:pPr>
        <w:ind w:right="880" w:firstLine="324"/>
        <w:spacing w:after="0" w:line="287" w:lineRule="auto"/>
        <w:rPr>
          <w:sz w:val="20"/>
          <w:szCs w:val="20"/>
          <w:color w:val="auto"/>
        </w:rPr>
      </w:pPr>
      <w:r>
        <w:rPr>
          <w:rFonts w:ascii="Arial" w:cs="Arial" w:eastAsia="Arial" w:hAnsi="Arial"/>
          <w:sz w:val="18"/>
          <w:szCs w:val="18"/>
          <w:color w:val="auto"/>
        </w:rPr>
        <w:t>During the six months ended June 30, 2022, we acquired properties and land easements for carbon management activities for approximately $17 million. There were no acquisitions for the three months ended June 30, 2022.</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25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for these items at June 30, 2022 and December 31, 2021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w:t>
      </w:r>
    </w:p>
    <w:p>
      <w:pPr>
        <w:spacing w:after="0" w:line="23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During the second quarter of 2022, we entered into an agreement to extend our $12 million commitment to invest capital at one of our oil and natural gas properties from May 2022 to December 31, 2022, with an optional six-month extension. The agreement may relieve us from our remaining obligation upon acceptance of certain land use requirements which may occur on or before December 31, 2022, with similar extension options.</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maintain a commodity hedging program primarily focused on crude oil to help protect our cash flows, margins and capital program from the volatility of commodity prices. We did not have any derivative instruments designated as accounting hedges as of and for the three and six months ended June 30, 2022 and 2021. Unless otherwise indicated, we use the term "hedge" to describe derivative instruments that are designed to achieve our hedging requirements and program goals.</w:t>
      </w:r>
    </w:p>
    <w:p>
      <w:pPr>
        <w:sectPr>
          <w:pgSz w:w="11900" w:h="16838" w:orient="portrait"/>
          <w:cols w:equalWidth="0" w:num="1">
            <w:col w:w="11240"/>
          </w:cols>
          <w:pgMar w:left="320" w:top="8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17" w:name="page18"/>
    <w:bookmarkEnd w:id="17"/>
    <w:p>
      <w:pPr>
        <w:ind w:right="140" w:firstLine="324"/>
        <w:spacing w:after="0" w:line="262" w:lineRule="auto"/>
        <w:rPr>
          <w:sz w:val="20"/>
          <w:szCs w:val="20"/>
          <w:color w:val="auto"/>
        </w:rPr>
      </w:pPr>
      <w:r>
        <w:rPr>
          <w:rFonts w:ascii="Arial" w:cs="Arial" w:eastAsia="Arial" w:hAnsi="Arial"/>
          <w:sz w:val="18"/>
          <w:szCs w:val="18"/>
          <w:color w:val="auto"/>
        </w:rPr>
        <w:t xml:space="preserve">Currently, we may not hedge more than 85% of reasonably anticipated total forecasted production of crude oil, natural gas and NGLs from our oil and gas properties for a 48-month period, except that we may purchase puts and floors up to 100% of such production. The percentage of our crude oil production hedged is calculated exclusive of offsetting positions on our derivative contracts. See </w:t>
      </w:r>
      <w:r>
        <w:rPr>
          <w:rFonts w:ascii="Arial" w:cs="Arial" w:eastAsia="Arial" w:hAnsi="Arial"/>
          <w:sz w:val="18"/>
          <w:szCs w:val="18"/>
          <w:i w:val="1"/>
          <w:iCs w:val="1"/>
          <w:color w:val="auto"/>
        </w:rPr>
        <w:t>Note 6 Debt</w:t>
      </w:r>
      <w:r>
        <w:rPr>
          <w:rFonts w:ascii="Arial" w:cs="Arial" w:eastAsia="Arial" w:hAnsi="Arial"/>
          <w:sz w:val="18"/>
          <w:szCs w:val="18"/>
          <w:color w:val="auto"/>
        </w:rPr>
        <w:t xml:space="preserve"> for more information on an amendment to our Revolving Credit Facility and our hedging requirements.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Summary of open derivative contracts </w:t>
      </w:r>
      <w:r>
        <w:rPr>
          <w:rFonts w:ascii="Arial" w:cs="Arial" w:eastAsia="Arial" w:hAnsi="Arial"/>
          <w:sz w:val="18"/>
          <w:szCs w:val="18"/>
          <w:color w:val="auto"/>
        </w:rPr>
        <w:t>— We held the following Brent-based crude oil contracts as of June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Q4</w:t>
            </w:r>
          </w:p>
        </w:tc>
        <w:tc>
          <w:tcPr>
            <w:tcW w:w="240" w:type="dxa"/>
            <w:vAlign w:val="bottom"/>
          </w:tcPr>
          <w:p>
            <w:pPr>
              <w:spacing w:after="0"/>
              <w:rPr>
                <w:sz w:val="17"/>
                <w:szCs w:val="17"/>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Q1</w:t>
            </w: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6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2H</w:t>
            </w:r>
          </w:p>
        </w:tc>
        <w:tc>
          <w:tcPr>
            <w:tcW w:w="26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5"/>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66.36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68.05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Net Purchased Puts</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Purchased puts and sold puts with the same strike price have been presented on a net basis.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SoCal Border-based natural gas contracts as of June 30,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Q4</w:t>
            </w:r>
          </w:p>
        </w:tc>
        <w:tc>
          <w:tcPr>
            <w:tcW w:w="240" w:type="dxa"/>
            <w:vAlign w:val="bottom"/>
          </w:tcPr>
          <w:p>
            <w:pPr>
              <w:spacing w:after="0"/>
              <w:rPr>
                <w:sz w:val="18"/>
                <w:szCs w:val="18"/>
                <w:color w:val="auto"/>
              </w:rPr>
            </w:pPr>
          </w:p>
        </w:tc>
        <w:tc>
          <w:tcPr>
            <w:tcW w:w="126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9"/>
              </w:rPr>
              <w:t>Q1</w:t>
            </w:r>
          </w:p>
        </w:tc>
        <w:tc>
          <w:tcPr>
            <w:tcW w:w="126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9"/>
              </w:rPr>
              <w:t>Q2</w:t>
            </w:r>
          </w:p>
        </w:tc>
        <w:tc>
          <w:tcPr>
            <w:tcW w:w="12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rPr>
              <w:t>2H</w:t>
            </w: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3"/>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780" w:type="dxa"/>
            <w:vAlign w:val="bottom"/>
          </w:tcPr>
          <w:p>
            <w:pPr>
              <w:ind w:left="140"/>
              <w:spacing w:after="0"/>
              <w:rPr>
                <w:sz w:val="20"/>
                <w:szCs w:val="20"/>
                <w:color w:val="auto"/>
              </w:rPr>
            </w:pPr>
            <w:r>
              <w:rPr>
                <w:rFonts w:ascii="Arial" w:cs="Arial" w:eastAsia="Arial" w:hAnsi="Arial"/>
                <w:sz w:val="18"/>
                <w:szCs w:val="18"/>
                <w:color w:val="auto"/>
              </w:rPr>
              <w:t>Weighted-average price per MMBTU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124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right="420" w:hanging="328"/>
        <w:spacing w:after="0" w:line="249" w:lineRule="auto"/>
        <w:tabs>
          <w:tab w:leader="none" w:pos="655"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3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use combinations of these positions to increase the efficacy of our hedging program and, subject to certain conditions, meet the requirements of our Revolving Credit Facility. The majority of our derivative positions for the remainder of 2022 and 2023 were entered into subsequent to our emergence from bankruptcy to comply with the hedging requirements of our Revolving Credit Facility that were applicable at the time.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ind w:right="720" w:firstLine="324"/>
        <w:spacing w:after="0" w:line="287"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The following tables present the fair values on a recurring basis (at gross and net)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derivatives as of June 30, 2022 and December 31, 2021: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5980" w:type="dxa"/>
            <w:vAlign w:val="bottom"/>
            <w:tcBorders>
              <w:top w:val="single" w:sz="8" w:color="auto"/>
            </w:tcBorders>
            <w:gridSpan w:val="2"/>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ind w:left="40"/>
              <w:spacing w:after="0" w:line="177"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5"/>
        </w:trPr>
        <w:tc>
          <w:tcPr>
            <w:tcW w:w="59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020" w:type="dxa"/>
            <w:vAlign w:val="bottom"/>
            <w:tcBorders>
              <w:top w:val="single" w:sz="8" w:color="auto"/>
            </w:tcBorders>
            <w:gridSpan w:val="2"/>
            <w:vMerge w:val="restart"/>
          </w:tcPr>
          <w:p>
            <w:pPr>
              <w:ind w:left="2360"/>
              <w:spacing w:after="0"/>
              <w:rPr>
                <w:sz w:val="20"/>
                <w:szCs w:val="20"/>
                <w:color w:val="auto"/>
              </w:rPr>
            </w:pPr>
            <w:r>
              <w:rPr>
                <w:rFonts w:ascii="Arial" w:cs="Arial" w:eastAsia="Arial" w:hAnsi="Arial"/>
                <w:sz w:val="18"/>
                <w:szCs w:val="18"/>
                <w:b w:val="1"/>
                <w:bCs w:val="1"/>
                <w:color w:val="auto"/>
              </w:rPr>
              <w:t>Classification</w:t>
            </w: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60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020" w:type="dxa"/>
            <w:vAlign w:val="bottom"/>
            <w:gridSpan w:val="2"/>
          </w:tcPr>
          <w:p>
            <w:pPr>
              <w:ind w:left="10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 Fair value of derivative contracts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 Fair value of derivative contracts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loss from commodity derivatives on our condensed consolidated statements of operations for the three and six months ended June 30, 2022 and 2021. The changes in fair value result from the relationship between our existing positions, volatility, time to expiration, contract prices and the associated forward curves.</w:t>
      </w: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52" w:lineRule="exact"/>
        <w:rPr>
          <w:sz w:val="20"/>
          <w:szCs w:val="20"/>
          <w:color w:val="auto"/>
        </w:rPr>
      </w:pPr>
    </w:p>
    <w:p>
      <w:pPr>
        <w:jc w:val="both"/>
        <w:ind w:right="700" w:firstLine="324"/>
        <w:spacing w:after="0" w:line="268" w:lineRule="auto"/>
        <w:rPr>
          <w:sz w:val="20"/>
          <w:szCs w:val="20"/>
          <w:color w:val="auto"/>
        </w:rPr>
      </w:pPr>
      <w:r>
        <w:rPr>
          <w:rFonts w:ascii="Arial" w:cs="Arial" w:eastAsia="Arial" w:hAnsi="Arial"/>
          <w:sz w:val="18"/>
          <w:szCs w:val="18"/>
          <w:color w:val="auto"/>
        </w:rPr>
        <w:t>Basic and diluted earnings per share (EPS) were calculated using the treasury stock method for the three and six months ended June 30, 2022 and 2021. Our restricted stock unit (RSU) and performance stock unit (PSU) awards are not considered participating securities since the dividend rights on unvested shares are forfeitable.</w:t>
      </w:r>
    </w:p>
    <w:p>
      <w:pPr>
        <w:spacing w:after="0" w:line="19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For basic EPS, the weighted-average number of common shares outstanding excludes shares underlying our equity-settled awards and warrants. For diluted EPS, the basic shares outstanding are adjusted by adding potential common shares, if dilutive.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and six months ended June 30,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24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594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94"/>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188"/>
        </w:trPr>
        <w:tc>
          <w:tcPr>
            <w:tcW w:w="5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color w:val="auto"/>
              </w:rPr>
              <w:t>(in millions, except per-share amounts)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 noncontrolling interests</w:t>
            </w:r>
          </w:p>
        </w:tc>
        <w:tc>
          <w:tcPr>
            <w:tcW w:w="8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1"/>
        </w:trPr>
        <w:tc>
          <w:tcPr>
            <w:tcW w:w="5940" w:type="dxa"/>
            <w:vAlign w:val="bottom"/>
            <w:tcBorders>
              <w:top w:val="single" w:sz="8" w:color="CCEEFF"/>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 (loss) attributable to common stock</w:t>
            </w:r>
          </w:p>
        </w:tc>
        <w:tc>
          <w:tcPr>
            <w:tcW w:w="8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237"/>
        </w:trPr>
        <w:tc>
          <w:tcPr>
            <w:tcW w:w="59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Potential Common Shares, if dilutive:</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Restricted Stock Units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Stock Units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196"/>
        </w:trPr>
        <w:tc>
          <w:tcPr>
            <w:tcW w:w="5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9"/>
        </w:trPr>
        <w:tc>
          <w:tcPr>
            <w:tcW w:w="5940" w:type="dxa"/>
            <w:vAlign w:val="bottom"/>
          </w:tcPr>
          <w:p>
            <w:pPr>
              <w:ind w:left="140"/>
              <w:spacing w:after="0"/>
              <w:rPr>
                <w:sz w:val="20"/>
                <w:szCs w:val="20"/>
                <w:color w:val="auto"/>
              </w:rPr>
            </w:pPr>
            <w:r>
              <w:rPr>
                <w:rFonts w:ascii="Arial" w:cs="Arial" w:eastAsia="Arial" w:hAnsi="Arial"/>
                <w:sz w:val="18"/>
                <w:szCs w:val="18"/>
                <w:color w:val="auto"/>
              </w:rPr>
              <w:t>Diluted</w:t>
            </w: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2.41</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EPS in periods of losses: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spacing w:after="0"/>
              <w:rPr>
                <w:sz w:val="20"/>
                <w:szCs w:val="20"/>
                <w:color w:val="auto"/>
              </w:rPr>
            </w:pPr>
          </w:p>
        </w:tc>
        <w:tc>
          <w:tcPr>
            <w:tcW w:w="372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28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7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09"/>
        </w:trPr>
        <w:tc>
          <w:tcPr>
            <w:tcW w:w="4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3"/>
          </w:tcPr>
          <w:p>
            <w:pPr>
              <w:ind w:left="1200"/>
              <w:spacing w:after="0"/>
              <w:rPr>
                <w:sz w:val="20"/>
                <w:szCs w:val="20"/>
                <w:color w:val="auto"/>
              </w:rPr>
            </w:pPr>
            <w:r>
              <w:rPr>
                <w:rFonts w:ascii="Arial" w:cs="Arial" w:eastAsia="Arial" w:hAnsi="Arial"/>
                <w:sz w:val="16"/>
                <w:szCs w:val="16"/>
                <w:color w:val="auto"/>
              </w:rPr>
              <w:t>(in millions)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issuable upon exercise of warrants</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Shares issuable upon settlement of RSUs</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settlement of PSUs</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Total antidilutive shares</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4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six months ended June 30, 2022 and 2021:</w:t>
      </w:r>
    </w:p>
    <w:p>
      <w:pPr>
        <w:sectPr>
          <w:pgSz w:w="11900" w:h="16838" w:orient="portrait"/>
          <w:cols w:equalWidth="0" w:num="1">
            <w:col w:w="11240"/>
          </w:cols>
          <w:pgMar w:left="320" w:top="890" w:right="339" w:bottom="1440" w:gutter="0" w:footer="0" w:header="0"/>
        </w:sectPr>
      </w:pPr>
    </w:p>
    <w:p>
      <w:pPr>
        <w:spacing w:after="0" w:line="7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Three months ended June 30,</w:t>
      </w:r>
    </w:p>
    <w:p>
      <w:pPr>
        <w:spacing w:after="0" w:line="28" w:lineRule="exact"/>
        <w:rPr>
          <w:sz w:val="20"/>
          <w:szCs w:val="20"/>
          <w:color w:val="auto"/>
        </w:rPr>
      </w:pPr>
    </w:p>
    <w:tbl>
      <w:tblPr>
        <w:tblLayout w:type="fixed"/>
        <w:tblInd w:w="33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2022</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2440" w:type="dxa"/>
            <w:vAlign w:val="bottom"/>
          </w:tcPr>
          <w:p>
            <w:pPr>
              <w:jc w:val="center"/>
              <w:ind w:left="45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24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40" w:type="dxa"/>
            <w:vAlign w:val="bottom"/>
          </w:tcPr>
          <w:p>
            <w:pPr>
              <w:spacing w:after="0"/>
              <w:rPr>
                <w:sz w:val="16"/>
                <w:szCs w:val="16"/>
                <w:color w:val="auto"/>
              </w:rPr>
            </w:pPr>
          </w:p>
        </w:tc>
        <w:tc>
          <w:tcPr>
            <w:tcW w:w="2440" w:type="dxa"/>
            <w:vAlign w:val="bottom"/>
          </w:tcPr>
          <w:p>
            <w:pPr>
              <w:jc w:val="center"/>
              <w:ind w:right="1355"/>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2021</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2460" w:type="dxa"/>
            <w:vAlign w:val="bottom"/>
          </w:tcPr>
          <w:p>
            <w:pPr>
              <w:jc w:val="center"/>
              <w:ind w:left="47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w:t>
            </w:r>
          </w:p>
        </w:tc>
        <w:tc>
          <w:tcPr>
            <w:tcW w:w="24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20" w:type="dxa"/>
            <w:vAlign w:val="bottom"/>
          </w:tcPr>
          <w:p>
            <w:pPr>
              <w:spacing w:after="0"/>
              <w:rPr>
                <w:sz w:val="16"/>
                <w:szCs w:val="16"/>
                <w:color w:val="auto"/>
              </w:rPr>
            </w:pPr>
          </w:p>
        </w:tc>
        <w:tc>
          <w:tcPr>
            <w:tcW w:w="2460" w:type="dxa"/>
            <w:vAlign w:val="bottom"/>
          </w:tcPr>
          <w:p>
            <w:pPr>
              <w:jc w:val="center"/>
              <w:ind w:right="1335"/>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220" w:space="140"/>
            <w:col w:w="388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Service cost - benefits earned during the</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88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Interest cost on projected benefit</w:t>
            </w:r>
          </w:p>
        </w:tc>
        <w:tc>
          <w:tcPr>
            <w:tcW w:w="8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8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0" w:right="339" w:bottom="1440" w:gutter="0" w:footer="0" w:header="0"/>
          <w:type w:val="continuous"/>
        </w:sectPr>
      </w:pPr>
    </w:p>
    <w:p>
      <w:pPr>
        <w:spacing w:after="0" w:line="33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Six months ended June 30,</w:t>
      </w:r>
    </w:p>
    <w:p>
      <w:pPr>
        <w:spacing w:after="0" w:line="28" w:lineRule="exact"/>
        <w:rPr>
          <w:sz w:val="20"/>
          <w:szCs w:val="20"/>
          <w:color w:val="auto"/>
        </w:rPr>
      </w:pPr>
    </w:p>
    <w:tbl>
      <w:tblPr>
        <w:tblLayout w:type="fixed"/>
        <w:tblInd w:w="33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2022</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2440" w:type="dxa"/>
            <w:vAlign w:val="bottom"/>
          </w:tcPr>
          <w:p>
            <w:pPr>
              <w:jc w:val="center"/>
              <w:ind w:left="45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24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40" w:type="dxa"/>
            <w:vAlign w:val="bottom"/>
          </w:tcPr>
          <w:p>
            <w:pPr>
              <w:spacing w:after="0"/>
              <w:rPr>
                <w:sz w:val="16"/>
                <w:szCs w:val="16"/>
                <w:color w:val="auto"/>
              </w:rPr>
            </w:pPr>
          </w:p>
        </w:tc>
        <w:tc>
          <w:tcPr>
            <w:tcW w:w="2440" w:type="dxa"/>
            <w:vAlign w:val="bottom"/>
          </w:tcPr>
          <w:p>
            <w:pPr>
              <w:jc w:val="center"/>
              <w:ind w:right="1355"/>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1655"/>
              <w:spacing w:after="0"/>
              <w:rPr>
                <w:sz w:val="20"/>
                <w:szCs w:val="20"/>
                <w:color w:val="auto"/>
              </w:rPr>
            </w:pPr>
            <w:r>
              <w:rPr>
                <w:rFonts w:ascii="Arial" w:cs="Arial" w:eastAsia="Arial" w:hAnsi="Arial"/>
                <w:sz w:val="18"/>
                <w:szCs w:val="18"/>
                <w:b w:val="1"/>
                <w:bCs w:val="1"/>
                <w:color w:val="auto"/>
              </w:rPr>
              <w:t>2021</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2460" w:type="dxa"/>
            <w:vAlign w:val="bottom"/>
          </w:tcPr>
          <w:p>
            <w:pPr>
              <w:jc w:val="center"/>
              <w:ind w:left="475"/>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w:t>
            </w:r>
          </w:p>
        </w:tc>
        <w:tc>
          <w:tcPr>
            <w:tcW w:w="246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b w:val="1"/>
                <w:bCs w:val="1"/>
                <w:color w:val="auto"/>
              </w:rPr>
              <w:t>Benefit</w:t>
            </w:r>
          </w:p>
        </w:tc>
      </w:tr>
      <w:tr>
        <w:trPr>
          <w:trHeight w:val="188"/>
        </w:trPr>
        <w:tc>
          <w:tcPr>
            <w:tcW w:w="1420" w:type="dxa"/>
            <w:vAlign w:val="bottom"/>
          </w:tcPr>
          <w:p>
            <w:pPr>
              <w:spacing w:after="0"/>
              <w:rPr>
                <w:sz w:val="16"/>
                <w:szCs w:val="16"/>
                <w:color w:val="auto"/>
              </w:rPr>
            </w:pPr>
          </w:p>
        </w:tc>
        <w:tc>
          <w:tcPr>
            <w:tcW w:w="2460" w:type="dxa"/>
            <w:vAlign w:val="bottom"/>
          </w:tcPr>
          <w:p>
            <w:pPr>
              <w:jc w:val="center"/>
              <w:ind w:right="1335"/>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220" w:space="140"/>
            <w:col w:w="388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Service cost - benefits earned during the</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88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Interest cost on projected benefit</w:t>
            </w:r>
          </w:p>
        </w:tc>
        <w:tc>
          <w:tcPr>
            <w:tcW w:w="88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8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did not make any significant contributions for the three months ended June 30, 2022 and contributed approximately $1 million to our defined benefit plans during the six months ended June 30, 2022. We contributed approximately $1 million to our defined benefit plans during the three and six months ended June 30, 2021. We expect to satisfy minimum funding requirements with contributions of approximately $1 million to our defined benefit pension plans during the remainder of 2022.</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difference between the U.S. federal statutory tax rate of 21% and our effective tax rate of 29% for the three months ended June 30, 2022 primarily relates to state taxes. The difference between the U.S. federal statutory tax rate of 21% and our effective tax rate of 77% for the six months ended June 30, 2022 primarily relates to state taxes and recording a valuation allowance for a capital loss realized on the Lost Hills divestiture, the deductibility of which is limited to future capital gains. The difference between the U.S. federal statutory tax rate of 21% and our effective tax rate of zero for the three and six months ended June 30, 2021, primarily relates to state taxes and changes to maintain a full valuation allowance against our net deferred tax assets given our anticipated future earnings trends at that time.</w:t>
      </w:r>
    </w:p>
    <w:p>
      <w:pPr>
        <w:spacing w:after="0" w:line="209" w:lineRule="exact"/>
        <w:rPr>
          <w:sz w:val="20"/>
          <w:szCs w:val="20"/>
          <w:color w:val="auto"/>
        </w:rPr>
      </w:pPr>
    </w:p>
    <w:p>
      <w:pPr>
        <w:ind w:right="560" w:firstLine="324"/>
        <w:spacing w:after="0" w:line="287" w:lineRule="auto"/>
        <w:rPr>
          <w:sz w:val="20"/>
          <w:szCs w:val="20"/>
          <w:color w:val="auto"/>
        </w:rPr>
      </w:pPr>
      <w:r>
        <w:rPr>
          <w:rFonts w:ascii="Arial" w:cs="Arial" w:eastAsia="Arial" w:hAnsi="Arial"/>
          <w:sz w:val="18"/>
          <w:szCs w:val="18"/>
          <w:color w:val="auto"/>
        </w:rPr>
        <w:t>Realization of our deferred tax assets is subjective and remains dependent on a number of factors including our ability to generate sufficient taxable income, including capital gains, in future periods.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1" w:name="page22"/>
    <w:bookmarkEnd w:id="21"/>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STOCKHOLDERS' EQUITY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5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Board of Directors authorized a Share Repurchase Program to acquire up to $650 million of our common stock through June 30, 2023.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w:t>
      </w:r>
    </w:p>
    <w:p>
      <w:pPr>
        <w:spacing w:after="0" w:line="206" w:lineRule="exact"/>
        <w:rPr>
          <w:sz w:val="20"/>
          <w:szCs w:val="20"/>
          <w:color w:val="auto"/>
        </w:rPr>
      </w:pPr>
    </w:p>
    <w:p>
      <w:pPr>
        <w:jc w:val="both"/>
        <w:ind w:right="160" w:firstLine="324"/>
        <w:spacing w:after="0" w:line="262" w:lineRule="auto"/>
        <w:rPr>
          <w:sz w:val="20"/>
          <w:szCs w:val="20"/>
          <w:color w:val="auto"/>
        </w:rPr>
      </w:pPr>
      <w:r>
        <w:rPr>
          <w:rFonts w:ascii="Arial" w:cs="Arial" w:eastAsia="Arial" w:hAnsi="Arial"/>
          <w:sz w:val="18"/>
          <w:szCs w:val="18"/>
          <w:color w:val="auto"/>
        </w:rPr>
        <w:t>For the three months ended June 30, 2022, we repurchased 2,255,445 shares of our common stock at an average price of $42.57 per share for $96 million. For the six months ended June 30, 2022, we repurchased 3,923,901 shares of our common stock at an average price of $42.55 per share for $167 million. For the three and six months ended June 30, 2021, we repurchased 1,440,203 shares of our common stock, at an average price of $31.56 per share for $45 million.</w:t>
      </w:r>
    </w:p>
    <w:p>
      <w:pPr>
        <w:spacing w:after="0" w:line="20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of June 30, 2022, we have repurchased an aggregate 8,013,889 shares of our common stock, at an average price of $39.26 per share for $315 million, since inception of the Share Repurchase Program in May 2021. Shares repurchased were held as treasury stock as of June 30,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250"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On February 23, 2022, our Board of Directors declared a quarterly cash dividend of $0.17 per share of common stock. The dividend was payable to shareholders of record at the close of business on March 7, 2022 and was paid on March 16, 2022. On May 4, 2022, our Board of Directors declared a quarterly cash dividend of $ 0.17 per share of common stock. The dividend was payable to shareholders of record at the close of business on June 1, 2022 and was paid on June 16, 2022.</w:t>
      </w:r>
    </w:p>
    <w:p>
      <w:pPr>
        <w:spacing w:after="0" w:line="20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 xml:space="preserve">Future cash dividends, and the establishment of record and payment dates, are subject to final determination by our Board of Directors each quarter after reviewing our financial performance and position.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information on future cash dividends.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We reserved an aggregate 4,384,182 shares of our common stock for warrants which are exercisable at $ 36 per share through October 26, 2024. The Warrant Agreement contains customary anti-dilution adjustments in the event of any stock split, reverse stock split, stock dividend and certain other distributions. The warrant holder may elect, in its sole discretion, to pay cash or to exercise on a cashless basis, pursuant to which the holder will not be required to pay cash for shares of common stock upon exercise of the warrant but will instead receive fewer shares. See </w:t>
      </w:r>
      <w:r>
        <w:rPr>
          <w:rFonts w:ascii="Arial" w:cs="Arial" w:eastAsia="Arial" w:hAnsi="Arial"/>
          <w:sz w:val="18"/>
          <w:szCs w:val="18"/>
          <w:i w:val="1"/>
          <w:iCs w:val="1"/>
          <w:color w:val="auto"/>
        </w:rPr>
        <w:t>Part II, Item 8 – Financial Statements and Supplementary Data, Note 10 Equity</w:t>
      </w:r>
      <w:r>
        <w:rPr>
          <w:rFonts w:ascii="Arial" w:cs="Arial" w:eastAsia="Arial" w:hAnsi="Arial"/>
          <w:sz w:val="18"/>
          <w:szCs w:val="18"/>
          <w:color w:val="auto"/>
        </w:rPr>
        <w:t xml:space="preserve"> in our 2021 Annual Report for a description of our warrants and </w:t>
      </w:r>
      <w:r>
        <w:rPr>
          <w:rFonts w:ascii="Arial" w:cs="Arial" w:eastAsia="Arial" w:hAnsi="Arial"/>
          <w:sz w:val="18"/>
          <w:szCs w:val="18"/>
          <w:i w:val="1"/>
          <w:iCs w:val="1"/>
          <w:color w:val="auto"/>
        </w:rPr>
        <w:t>Note 14 Chapter 11 Proceedings</w:t>
      </w:r>
      <w:r>
        <w:rPr>
          <w:rFonts w:ascii="Arial" w:cs="Arial" w:eastAsia="Arial" w:hAnsi="Arial"/>
          <w:sz w:val="18"/>
          <w:szCs w:val="18"/>
          <w:color w:val="auto"/>
        </w:rPr>
        <w:t xml:space="preserve"> for more information on the issuance of these warrants pursuant to our joint plan of reorganization.</w:t>
      </w:r>
    </w:p>
    <w:p>
      <w:pPr>
        <w:spacing w:after="0" w:line="210"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During the three and six months ended June 30, 2022, we issued an insignificant number of shares of our common stock in exchange for warrants. As of June 30, 2022, we had outstanding warrants exercisable into 4,295,434 shares of our common stock (subject to adjustments pursuant to the terms of the warrants).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Noncontrolling Interests</w:t>
      </w:r>
    </w:p>
    <w:p>
      <w:pPr>
        <w:spacing w:after="0" w:line="25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development joint venture with Benefit Street Partners (BSP JV) contemplated that BSP contributed funds for the development of our oil and natural gas properties in exchange for preferred interests in the BSP JV. In September 2021, BSP's preferred interest was automatically redeemed in full under the terms of the joint venture agreement. Prior to redemption, BSP's preferred interest was reported in equity on our condensed consolidated balance sheets and BSP’s share of net income (loss) was reported in net income attributable to noncontrolling interests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REVENUE RECOGNITION</w:t>
      </w:r>
    </w:p>
    <w:p>
      <w:pPr>
        <w:spacing w:after="0" w:line="239" w:lineRule="exact"/>
        <w:rPr>
          <w:sz w:val="20"/>
          <w:szCs w:val="20"/>
          <w:color w:val="auto"/>
        </w:rPr>
      </w:pPr>
    </w:p>
    <w:p>
      <w:pPr>
        <w:ind w:right="360" w:firstLine="324"/>
        <w:spacing w:after="0" w:line="271" w:lineRule="auto"/>
        <w:rPr>
          <w:sz w:val="20"/>
          <w:szCs w:val="20"/>
          <w:color w:val="auto"/>
        </w:rPr>
      </w:pPr>
      <w:r>
        <w:rPr>
          <w:rFonts w:ascii="Arial" w:cs="Arial" w:eastAsia="Arial" w:hAnsi="Arial"/>
          <w:sz w:val="18"/>
          <w:szCs w:val="18"/>
          <w:color w:val="auto"/>
        </w:rPr>
        <w:t>We derive most of our revenue from sales of oil, natural gas and NGLs, with the remaining revenue primarily generated from sales of electricity and marketing activities related to storage and managing excess pipeline capacity.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sales of produced oil, natural gas and NGLs to customers: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3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54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192"/>
        </w:trPr>
        <w:tc>
          <w:tcPr>
            <w:tcW w:w="3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2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3540" w:type="dxa"/>
            <w:vAlign w:val="bottom"/>
          </w:tcPr>
          <w:p>
            <w:pPr>
              <w:ind w:left="140"/>
              <w:spacing w:after="0"/>
              <w:rPr>
                <w:sz w:val="20"/>
                <w:szCs w:val="20"/>
                <w:color w:val="auto"/>
              </w:rPr>
            </w:pPr>
            <w:r>
              <w:rPr>
                <w:rFonts w:ascii="Arial" w:cs="Arial" w:eastAsia="Arial" w:hAnsi="Arial"/>
                <w:sz w:val="18"/>
                <w:szCs w:val="18"/>
                <w:color w:val="auto"/>
              </w:rPr>
              <w:t>Oil, natural gas and NGL sales</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1"/>
        </w:trPr>
        <w:tc>
          <w:tcPr>
            <w:tcW w:w="3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Joint Venture</w:t>
      </w:r>
    </w:p>
    <w:p>
      <w:pPr>
        <w:spacing w:after="0" w:line="250" w:lineRule="exact"/>
        <w:rPr>
          <w:sz w:val="20"/>
          <w:szCs w:val="20"/>
          <w:color w:val="auto"/>
        </w:rPr>
      </w:pPr>
    </w:p>
    <w:p>
      <w:pPr>
        <w:ind w:right="200" w:firstLine="324"/>
        <w:spacing w:after="0"/>
        <w:rPr>
          <w:sz w:val="20"/>
          <w:szCs w:val="20"/>
          <w:color w:val="auto"/>
        </w:rPr>
      </w:pPr>
      <w:r>
        <w:rPr>
          <w:rFonts w:ascii="Arial" w:cs="Arial" w:eastAsia="Arial" w:hAnsi="Arial"/>
          <w:sz w:val="18"/>
          <w:szCs w:val="18"/>
          <w:color w:val="auto"/>
        </w:rPr>
        <w:t>In August 2022, we entered into a Joint Venture and Investment Agreement, and a series of other agreements, with BGTF Sierra Aggregator LLC (Brookfield) to form a joint venture for the development of a carbon management business in California (Carbon TerraVault JV). The joint venture, through a series of wholly owned subsidiaries, will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w:t>
      </w:r>
    </w:p>
    <w:p>
      <w:pPr>
        <w:spacing w:after="0" w:line="155"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We acquired a 51% interest in the Carbon TerraVault JV through the contribution of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Brookfield acquired a 49% interest in the Carbon TerraVault JV in exchange for an initial investment of $137 million, payable in three equal installments upon completion of certain milestones. The first installment of $46 million was funded on August 3, 2022. Brookfield has committed an initial $500 million to invest in CCS projects that are jointly approved through the JV, inclusive of the initial investment of $137 million.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520" w:firstLine="324"/>
        <w:spacing w:after="0" w:line="318" w:lineRule="auto"/>
        <w:rPr>
          <w:sz w:val="20"/>
          <w:szCs w:val="20"/>
          <w:color w:val="auto"/>
        </w:rPr>
      </w:pPr>
      <w:r>
        <w:rPr>
          <w:rFonts w:ascii="Arial" w:cs="Arial" w:eastAsia="Arial" w:hAnsi="Arial"/>
          <w:sz w:val="17"/>
          <w:szCs w:val="17"/>
          <w:color w:val="auto"/>
        </w:rPr>
        <w:t>On August 3, 2022, our Board of Directors declared a quarterly cash dividend of $ 0.17 per share of common stock. The dividend is payable to shareholders of record at the close of business on September 1, 2022 and is expected to be paid on September 16,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May 2022, our shareholders approved a new California Resources Corporation Employee Stock Purchase Plan (ESPP), which took effect in July 2022. The ESPP will provide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 July 2022, we repurchased 1,122,947 shares of our common stock at an average price of $40.00 per share for $45 million. As of July 31, 2022, we have repurchased an aggregate 9,136,836 shares of our common stock, at an average price of $39.34 per share for $360 million, since the inception of the Share Repurchase Program in May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make value-based capital investments. Further, we are committed to energy transition and have some of the lowest carbon intensity production in the United States.</w:t>
      </w:r>
    </w:p>
    <w:p>
      <w:pPr>
        <w:spacing w:after="0" w:line="20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Through our subsidiary, Carbon TerraVault, we are in the early stages of developing several carbon capture and storage projects in California. Currently, we have applied for permits for two initial permanent CCS projects at the Elk Hills Field. In May 2022, we applied for permits for an additional 80 MMT of carbon storage, which once approved, will increase our total potential permitted storage to 120 MMT. We are targeting filing additional carbon storage permits before the end of 2022, which, once approved, would increase our total permitted storage to 200 MMT to be utilized in carbon capture and storage projects. Separately, we are evaluating the feasibility of a carbon capture system to be located at our Elk Hills power plant (CalCapture). We will be conducting a new front-end engineering design (FEED) study to explore the application of proprietary post-combustion capture and compression of up to 95%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the Elk Hills power plant. We are also pursuing multiple solar projects for supplying the grid (front-of-the-meter solar) and powering our operations (behind-the-meter solar).</w:t>
      </w:r>
    </w:p>
    <w:p>
      <w:pPr>
        <w:spacing w:after="0" w:line="219"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 xml:space="preserve">While all of these projects are in early stages, we expect that the size and scope of our projects providing these and similar services and capital spent on such projects will continue to grow given our strategy of expansion into these services. For more information about the risks involved in our carbon capture projects, see </w:t>
      </w:r>
      <w:r>
        <w:rPr>
          <w:rFonts w:ascii="Arial" w:cs="Arial" w:eastAsia="Arial" w:hAnsi="Arial"/>
          <w:sz w:val="18"/>
          <w:szCs w:val="18"/>
          <w:i w:val="1"/>
          <w:iCs w:val="1"/>
          <w:color w:val="auto"/>
        </w:rPr>
        <w:t>Part I, Item 1A – Risk Factors</w:t>
      </w:r>
      <w:r>
        <w:rPr>
          <w:rFonts w:ascii="Arial" w:cs="Arial" w:eastAsia="Arial" w:hAnsi="Arial"/>
          <w:sz w:val="18"/>
          <w:szCs w:val="18"/>
          <w:color w:val="auto"/>
        </w:rPr>
        <w:t xml:space="preserve"> in our Annual Report on Form 10-K for the year ended December 31, 2021 (2021 Annual Report)</w:t>
      </w:r>
      <w:r>
        <w:rPr>
          <w:rFonts w:ascii="Arial" w:cs="Arial" w:eastAsia="Arial" w:hAnsi="Arial"/>
          <w:sz w:val="18"/>
          <w:szCs w:val="18"/>
          <w:i w:val="1"/>
          <w:iCs w:val="1"/>
          <w:color w:val="auto"/>
        </w:rPr>
        <w:t>.</w:t>
      </w:r>
    </w:p>
    <w:p>
      <w:pPr>
        <w:spacing w:after="0" w:line="20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Joint Venture</w:t>
      </w:r>
    </w:p>
    <w:p>
      <w:pPr>
        <w:spacing w:after="0" w:line="250" w:lineRule="exact"/>
        <w:rPr>
          <w:sz w:val="20"/>
          <w:szCs w:val="20"/>
          <w:color w:val="auto"/>
        </w:rPr>
      </w:pPr>
    </w:p>
    <w:p>
      <w:pPr>
        <w:ind w:right="160" w:firstLine="324"/>
        <w:spacing w:after="0"/>
        <w:rPr>
          <w:sz w:val="20"/>
          <w:szCs w:val="20"/>
          <w:color w:val="auto"/>
        </w:rPr>
      </w:pPr>
      <w:r>
        <w:rPr>
          <w:rFonts w:ascii="Arial" w:cs="Arial" w:eastAsia="Arial" w:hAnsi="Arial"/>
          <w:sz w:val="18"/>
          <w:szCs w:val="18"/>
          <w:color w:val="auto"/>
        </w:rPr>
        <w:t>In August 2022, we entered into a Joint Venture and Investment Agreement, and a series of other agreements, with BGTF Sierra Aggregator LLC (Brookfield) to form a joint venture for the development of a carbon management business in California (Carbon TerraVault JV). The joint venture, through a series of wholly owned subsidiaries, will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w:t>
      </w:r>
    </w:p>
    <w:p>
      <w:pPr>
        <w:spacing w:after="0" w:line="155"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We acquired a 51% interest in the Carbon TerraVault JV through the contribution of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Brookfield acquired a 49% interest in the Carbon TerraVault JV in exchange for an initial investment of $137 million, payable in three equal installments upon completion of certain milestones. The first installment of $46 million was funded on August 3, 2022. Brookfield has committed an initial $500 million to invest in CCS projects that are jointly approved through the JV, inclusive of the initial investment of $137 million. Brookfield could additionally invest over $1 billion in the strategic partnership assuming it fully participates in CCS projects for 200 million metric tons of total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on similar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2021, our Board of Directors approved a cash dividend policy which anticipates a total annual dividend of $0.68 per share of common stock, payable in quarterly increments of $0.17 per share of common stock. On August 3, 2022, our Board of Directors declared a quarterly cash dividend of $0.17 per share of common stock. The dividend is payable to shareholders of record at the close of business on September 1, 2022 and is expected to be paid on September 16, 2022. The actual declaration of future cash dividends, and the establishment of record and payment dates, is subject to final determination by our Board of Directors each quarter after reviewing our financial performance and position. The aggregate payment for this quarterly dividend is approximately $13 million.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Share Repurchase Program</w:t>
      </w:r>
    </w:p>
    <w:p>
      <w:pPr>
        <w:spacing w:after="0" w:line="25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Board of Directors authorized a Share Repurchase Program to acquire up to $650 million of our common stock through June 30, 2023. The repurchases may be effected from time-to-time through open market purchases, privately negotiated transactions, Rule 10b5-1 plans, accelerated stock repurchases, derivative contracts or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w:t>
      </w:r>
    </w:p>
    <w:p>
      <w:pPr>
        <w:spacing w:after="0" w:line="20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 xml:space="preserve">As of July 31, 2022, we have repurchased an aggregate 9,136,836 shares of our common stock, at an average price of $39.34 per share for $ 360 million, since the inception of the Share Repurchase Program in May 2021. Shares repurchased are held as treasury stock. See </w:t>
      </w:r>
      <w:r>
        <w:rPr>
          <w:rFonts w:ascii="Arial" w:cs="Arial" w:eastAsia="Arial" w:hAnsi="Arial"/>
          <w:sz w:val="18"/>
          <w:szCs w:val="18"/>
          <w:i w:val="1"/>
          <w:iCs w:val="1"/>
          <w:color w:val="auto"/>
        </w:rPr>
        <w:t xml:space="preserve">Part I, Item 1 – Financial Statements, Note 13 Equity </w:t>
      </w:r>
      <w:r>
        <w:rPr>
          <w:rFonts w:ascii="Arial" w:cs="Arial" w:eastAsia="Arial" w:hAnsi="Arial"/>
          <w:sz w:val="18"/>
          <w:szCs w:val="18"/>
          <w:color w:val="auto"/>
        </w:rPr>
        <w:t>for more information on our share repurchase activity during the three and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252"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7 Divestitures and Acquisitions</w:t>
      </w:r>
      <w:r>
        <w:rPr>
          <w:rFonts w:ascii="Arial" w:cs="Arial" w:eastAsia="Arial" w:hAnsi="Arial"/>
          <w:sz w:val="18"/>
          <w:szCs w:val="18"/>
          <w:color w:val="auto"/>
        </w:rPr>
        <w:t xml:space="preserve"> for information on our transactions during the three and six months ended June 30, 2022 and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5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natural gas prices and differentials may fluctuate significantly as a result of numerous market-related variables. These and other factors make it impossible to predict realized prices reliably. We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Global oil prices increased in the first half of 2022 with Russia's invasion of Ukraine and following boycotts of Russian oil and sanctions imposed on Russia by the United States and other countries, increasing demand from the remaining world producers of oil. Global oil prices were also positively impacted as demand outpaced supply as COVID-19 restrictions eased. In the United States, natural gas prices were influenced by increased domestic demand, global demand for natural gas in the form of liquified natural gas exports as a result of the Russia-Ukraine conflict and concerns over low inventories. Natural gas prices also rose during the first half of 2022 due to a colder-than-normal winter that increased demand while supplies remained steady. Commodity prices have recently declined slightly from the high experienced in the second quarter and the demand for commodities could decline further due to, among other things, a prolonged high inflationary environment or a recession or a widespread resurgence of the COVID-19 outbreak. Although the forward strip prices for commodities remains high relative to commodity prices in recent years for the next twelve months and beyond, the current commodity price environment remains uncertain. The extent to which commodity prices and our operating and financial results of future periods will be impacted by the ongoing conflict in Ukraine, increasing inflation, government efforts to reduce inflation, any recession, the COVID-19 pandemic and the actions of foreign oil and gas producers will depend largely on future developments, which are highly uncertain and cannot be accurately predicted.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following table presents the average daily benchmark prices for oil and natural gas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1760" w:type="dxa"/>
            <w:vAlign w:val="bottom"/>
            <w:gridSpan w:val="3"/>
          </w:tcPr>
          <w:p>
            <w:pPr>
              <w:ind w:left="220"/>
              <w:spacing w:after="0"/>
              <w:rPr>
                <w:sz w:val="20"/>
                <w:szCs w:val="20"/>
                <w:color w:val="auto"/>
              </w:rPr>
            </w:pPr>
            <w:r>
              <w:rPr>
                <w:rFonts w:ascii="Arial" w:cs="Arial" w:eastAsia="Arial" w:hAnsi="Arial"/>
                <w:sz w:val="18"/>
                <w:szCs w:val="18"/>
                <w:b w:val="1"/>
                <w:bCs w:val="1"/>
                <w:color w:val="auto"/>
                <w:w w:val="98"/>
              </w:rPr>
              <w:t>Six months ended</w:t>
            </w:r>
          </w:p>
        </w:tc>
        <w:tc>
          <w:tcPr>
            <w:tcW w:w="54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March 31, 2022</w:t>
            </w:r>
          </w:p>
        </w:tc>
        <w:tc>
          <w:tcPr>
            <w:tcW w:w="100" w:type="dxa"/>
            <w:vAlign w:val="bottom"/>
          </w:tcPr>
          <w:p>
            <w:pPr>
              <w:spacing w:after="0"/>
              <w:rPr>
                <w:sz w:val="19"/>
                <w:szCs w:val="19"/>
                <w:color w:val="auto"/>
              </w:rPr>
            </w:pPr>
          </w:p>
        </w:tc>
        <w:tc>
          <w:tcPr>
            <w:tcW w:w="13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2022</w:t>
            </w: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65.06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108.41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94.29</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61.96</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 Average Daily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color w:val="auto"/>
              </w:rPr>
              <w:t>NYMEX Henry Hub ($/MMBtu) Average Monthly Settled Price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 and Cost Inflation</w:t>
      </w:r>
    </w:p>
    <w:p>
      <w:pPr>
        <w:spacing w:after="0" w:line="2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Operating and capital costs in the oil and natural gas industry are heavily influenced by commodity price environments which are cyclical in nature. Typically, suppliers will negotiate increases for drilling and completion, oilfield services, equipment and materials as prices for energy-related commodities and raw materials (such as steel, metals and chemicals) increase. Recent worldwide and U.S. supply chain issues, together with rising commodity prices and tight labor markets in the U.S., have created cost inflation during 2022 which may continue in future periods. We have taken measures to limit the effects of the inflationary market by entering into contracts for materials and services with terms of one to three years. We have also taken steps to build our on-hand supply stock for items frequently used in our operations to address possible supply chain disruptions. Despite these efforts, we have experienced significant increased costs thus far in 2022 and we anticipate additional increases in the cost of goods and services and wages in our operations during the remainder of 2022. These increases will factor into our operating and capital costs for the second half of 2022 and could also negatively impact our results of operations and cash flows in 2023 and beyond.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25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CalGEM is California's primary regulator of the oil and natural gas industry on private and state lands, with additional oversight from the State Lands Commission’s administration of state surface and mineral interests. CalGEM currently requires an operator to identify the manner in which the California Environmental Quality Act (CEQA) has been satisfied prior to issuing various state permits, typically through either an environmental review or an exemption by a state or local agency. In Kern County, this requirement has typically been satisfied by complying with the local oil and gas ordinance which was supported by an Environmental Impact Report (EIR) certified by the Kern County Board of Supervisors in 2015.</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group of petitioners has challenged the EIR and on February 25, 2020, a California Appellate Court issued a ruling that required Kern County to decertify the EIR and set aside the amended Zoning Ordinance. In response, Kern County prepared, circulated and certified a supplementary recirculated EIR (Supplemental EIR) to address the ruling from the Court and, in April 2021, resumed issuing local permits relying on the Supplemental EIR. However, on May 26, 2022, a hearing was held in Kern County and the Court ruled that Kern County’s local permitting system must cease until the trial court has verified that the noted deficiencies have been remedied and that the remedies satisfy the concerns raised by the Appellate Court. The next hearing of the trial court is scheduled for September 28, 2022.</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If the EIR is not reinstated or adequately modified following resolution of the litigation described above, obtaining drilling permits for our operations in areas where we do not have field or project specific CEQA coverage could be delayed or become more costly as a result of compliance with CEQA. We have CEQA coverage at Elk Hills and Wilmington fields, which are two of our most significant assets. We believe that we currently have a sufficient inventory of drilling permits for our anticipated operations through 2022.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Production</w:t>
      </w:r>
    </w:p>
    <w:p>
      <w:pPr>
        <w:spacing w:after="0" w:line="26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following table sets forth our average net production of oil, NGLs and natural gas per day in each of the California oil and natural gas basins in which we operated for the periods presented. See </w:t>
      </w:r>
      <w:r>
        <w:rPr>
          <w:rFonts w:ascii="Arial" w:cs="Arial" w:eastAsia="Arial" w:hAnsi="Arial"/>
          <w:sz w:val="18"/>
          <w:szCs w:val="18"/>
          <w:i w:val="1"/>
          <w:iCs w:val="1"/>
          <w:color w:val="auto"/>
        </w:rPr>
        <w:t>Part II, Item 8 – Financial Statements and Supplementary Data, Note 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and Acquisitions </w:t>
      </w:r>
      <w:r>
        <w:rPr>
          <w:rFonts w:ascii="Arial" w:cs="Arial" w:eastAsia="Arial" w:hAnsi="Arial"/>
          <w:sz w:val="18"/>
          <w:szCs w:val="18"/>
          <w:color w:val="auto"/>
        </w:rPr>
        <w:t>in our 2021 Annual Report for information regarding the divestiture of our Ventura basin operations and</w:t>
      </w:r>
      <w:r>
        <w:rPr>
          <w:rFonts w:ascii="Arial" w:cs="Arial" w:eastAsia="Arial" w:hAnsi="Arial"/>
          <w:sz w:val="18"/>
          <w:szCs w:val="18"/>
          <w:i w:val="1"/>
          <w:iCs w:val="1"/>
          <w:color w:val="auto"/>
        </w:rPr>
        <w:t xml:space="preserve"> Part I, Item 1 – Financial Statements, Note 7 Divestitures and Acquisitions </w:t>
      </w:r>
      <w:r>
        <w:rPr>
          <w:rFonts w:ascii="Arial" w:cs="Arial" w:eastAsia="Arial" w:hAnsi="Arial"/>
          <w:sz w:val="18"/>
          <w:szCs w:val="18"/>
          <w:color w:val="auto"/>
        </w:rPr>
        <w:t>above for information regarding the divestiture of our 50% non-operated</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interest in certain horizons within our Lost Hills field, located in the San Joaquin basin.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60" w:type="dxa"/>
            <w:vAlign w:val="bottom"/>
          </w:tcPr>
          <w:p>
            <w:pPr>
              <w:spacing w:after="0"/>
              <w:rPr>
                <w:sz w:val="20"/>
                <w:szCs w:val="20"/>
                <w:color w:val="auto"/>
              </w:rPr>
            </w:pPr>
          </w:p>
        </w:tc>
        <w:tc>
          <w:tcPr>
            <w:tcW w:w="3240" w:type="dxa"/>
            <w:vAlign w:val="bottom"/>
            <w:gridSpan w:val="4"/>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31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6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Pr>
          <w:p>
            <w:pPr>
              <w:spacing w:after="0"/>
              <w:rPr>
                <w:sz w:val="19"/>
                <w:szCs w:val="19"/>
                <w:color w:val="auto"/>
              </w:rPr>
            </w:pPr>
          </w:p>
        </w:tc>
        <w:tc>
          <w:tcPr>
            <w:tcW w:w="16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June 30, 2022</w:t>
            </w:r>
          </w:p>
        </w:tc>
        <w:tc>
          <w:tcPr>
            <w:tcW w:w="1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86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860" w:type="dxa"/>
            <w:vAlign w:val="bottom"/>
          </w:tcPr>
          <w:p>
            <w:pPr>
              <w:ind w:left="5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60" w:type="dxa"/>
            <w:vAlign w:val="bottom"/>
          </w:tcPr>
          <w:p>
            <w:pPr>
              <w:ind w:left="5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860" w:type="dxa"/>
            <w:vAlign w:val="bottom"/>
          </w:tcPr>
          <w:p>
            <w:pPr>
              <w:ind w:left="320"/>
              <w:spacing w:after="0"/>
              <w:rPr>
                <w:sz w:val="20"/>
                <w:szCs w:val="20"/>
                <w:color w:val="auto"/>
              </w:rPr>
            </w:pPr>
            <w:r>
              <w:rPr>
                <w:rFonts w:ascii="Arial" w:cs="Arial" w:eastAsia="Arial" w:hAnsi="Arial"/>
                <w:sz w:val="18"/>
                <w:szCs w:val="18"/>
                <w:color w:val="auto"/>
              </w:rPr>
              <w:t>Ventura Basin</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Sacramento Basin</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860" w:type="dxa"/>
            <w:vAlign w:val="bottom"/>
          </w:tcPr>
          <w:p>
            <w:pPr>
              <w:ind w:left="52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Total daily net production for the three months ended June 30, 2022, compared to the three months ended March 31, 2022 increased by approximately 3 MBoe/d, or 3%. This increase includes approximately 5 MBoe/d resulting from the return of production at one of our cryogenic gas processing facilities, which had planned maintenance during the first quarter of 2022. These increases were partially offset by decreases resulting from natural decline and the divestiture of our remaining 50% working interest in certain zones in the Lost Hills field in February 2022. Our production-sharing contracts (PSCs), which are described below, negatively impacted our net oil production in the three months ended June 30, 2022 by approximately 1 MBoe/d, compared to the three months ended March 31, 2022.</w:t>
      </w:r>
    </w:p>
    <w:p>
      <w:pPr>
        <w:spacing w:after="0" w:line="20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Total daily net production for the six months ended June 30, 2022, compared to the same period in 2021, decreased by approximately 10 MBoe/d, or 10%. The decrease in production includes the divestiture of our remaining 50% working interest in certain zones in the Lost Hills field in February 2022 and the divestiture of our Ventura basin operations beginning in the fourth quarter of 2021, which reduced our total net production by approximately 5 MBoe/d for the six months ended June 30, 2022 compared to the prior year period. The decrease also included planned maintenance at one of our cryogenic gas processing facilities in the first quarter of 2022 as well as natural decline. These decreases were partially offset by improved operational results from our developmental drilling program and our acquisition of the working interests in certain joint venture wells held by Macquarie Infrastructure and Real Assets Inc. (MIRA) in the third quarter of 2021. Our PSCs, which are described below, negatively impacted our net oil production in the six months ended June 30, 2022 by approximately 1 MBoe/d,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Production-Sharing Contracts (PSCs)</w:t>
      </w:r>
    </w:p>
    <w:p>
      <w:pPr>
        <w:spacing w:after="0" w:line="2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operating and abandonment costs and an additional share for profit. Our portion of the production represents volumes: (i) to recover our partners’ share of capital, operating and abandonment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contracts represented approximately 14% and 15% of our net production for the three and six months ended June 30, 2022, respectively.</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and general and administrative costs but only our net share of production equally inflates our oil, natural gas and NGL sales revenue, general and administrative expenses and operating costs but has no effect on our net results.</w:t>
      </w:r>
    </w:p>
    <w:p>
      <w:pPr>
        <w:spacing w:after="0" w:line="209"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The reporting of our PSC-type contracts creates a difference between reported operating costs, which are for the full field, and reported volumes, which are only our net share, inflating the per barrel operating costs. Operating costs, excluding effects of PSC-type contracts is a non-GAAP measure which adjusts for excess costs attributable to PSC-type contracts for the periods presented in the tables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8"/>
                <w:szCs w:val="18"/>
                <w:b w:val="1"/>
                <w:bCs w:val="1"/>
                <w:color w:val="auto"/>
              </w:rPr>
              <w:t>March 31, 2022</w:t>
            </w: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color w:val="auto"/>
              </w:rPr>
              <w:t>($ per Boe)</w:t>
            </w:r>
          </w:p>
        </w:tc>
      </w:tr>
      <w:tr>
        <w:trPr>
          <w:trHeight w:val="23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PSC-type contracts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excluding effects of PSC-type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8"/>
                <w:szCs w:val="18"/>
                <w:b w:val="1"/>
                <w:bCs w:val="1"/>
                <w:color w:val="auto"/>
              </w:rPr>
              <w:t>June 30, 2021</w:t>
            </w:r>
          </w:p>
        </w:tc>
      </w:tr>
      <w:tr>
        <w:trPr>
          <w:trHeight w:val="192"/>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color w:val="auto"/>
              </w:rPr>
              <w:t>($ per Boe)</w:t>
            </w:r>
          </w:p>
        </w:tc>
      </w:tr>
      <w:tr>
        <w:trPr>
          <w:trHeight w:val="23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PSC-type contracts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excluding effects of PSC-type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8" w:name="page29"/>
    <w:bookmarkEnd w:id="28"/>
    <w:p>
      <w:pPr>
        <w:ind w:right="120" w:firstLine="324"/>
        <w:spacing w:after="0" w:line="281" w:lineRule="auto"/>
        <w:rPr>
          <w:sz w:val="20"/>
          <w:szCs w:val="20"/>
          <w:color w:val="auto"/>
        </w:rPr>
      </w:pPr>
      <w:r>
        <w:rPr>
          <w:rFonts w:ascii="Arial" w:cs="Arial" w:eastAsia="Arial" w:hAnsi="Arial"/>
          <w:sz w:val="18"/>
          <w:szCs w:val="18"/>
          <w:color w:val="auto"/>
        </w:rPr>
        <w:t>The following table reconciles our average net production to our average gross production (which includes production from the fields we operate and our share of production for fields operated by others.)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p>
        </w:tc>
        <w:tc>
          <w:tcPr>
            <w:tcW w:w="282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27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700" w:type="dxa"/>
            <w:vAlign w:val="bottom"/>
          </w:tcPr>
          <w:p>
            <w:pPr>
              <w:spacing w:after="0"/>
              <w:rPr>
                <w:sz w:val="19"/>
                <w:szCs w:val="19"/>
                <w:color w:val="auto"/>
              </w:rPr>
            </w:pPr>
          </w:p>
        </w:tc>
        <w:tc>
          <w:tcPr>
            <w:tcW w:w="14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March 31, 2022</w:t>
            </w:r>
          </w:p>
        </w:tc>
        <w:tc>
          <w:tcPr>
            <w:tcW w:w="100" w:type="dxa"/>
            <w:vAlign w:val="bottom"/>
            <w:tcBorders>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2021</w:t>
            </w:r>
          </w:p>
        </w:tc>
      </w:tr>
      <w:tr>
        <w:trPr>
          <w:trHeight w:val="192"/>
        </w:trPr>
        <w:tc>
          <w:tcPr>
            <w:tcW w:w="5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1080"/>
              <w:spacing w:after="0"/>
              <w:rPr>
                <w:sz w:val="20"/>
                <w:szCs w:val="20"/>
                <w:color w:val="auto"/>
              </w:rPr>
            </w:pPr>
            <w:r>
              <w:rPr>
                <w:rFonts w:ascii="Arial" w:cs="Arial" w:eastAsia="Arial" w:hAnsi="Arial"/>
                <w:sz w:val="14"/>
                <w:szCs w:val="14"/>
                <w:color w:val="auto"/>
              </w:rPr>
              <w:t>(MBoe/d)</w:t>
            </w:r>
          </w:p>
        </w:tc>
        <w:tc>
          <w:tcPr>
            <w:tcW w:w="1320" w:type="dxa"/>
            <w:vAlign w:val="bottom"/>
          </w:tcPr>
          <w:p>
            <w:pPr>
              <w:spacing w:after="0"/>
              <w:rPr>
                <w:sz w:val="16"/>
                <w:szCs w:val="16"/>
                <w:color w:val="auto"/>
              </w:rPr>
            </w:pPr>
          </w:p>
        </w:tc>
      </w:tr>
      <w:tr>
        <w:trPr>
          <w:trHeight w:val="23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5700" w:type="dxa"/>
            <w:vAlign w:val="bottom"/>
          </w:tcPr>
          <w:p>
            <w:pPr>
              <w:ind w:left="240"/>
              <w:spacing w:after="0"/>
              <w:rPr>
                <w:sz w:val="20"/>
                <w:szCs w:val="20"/>
                <w:color w:val="auto"/>
              </w:rPr>
            </w:pPr>
            <w:r>
              <w:rPr>
                <w:rFonts w:ascii="Arial" w:cs="Arial" w:eastAsia="Arial" w:hAnsi="Arial"/>
                <w:sz w:val="18"/>
                <w:szCs w:val="18"/>
                <w:color w:val="auto"/>
              </w:rPr>
              <w:t>Partners' share under PSC contracts</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working interest and royalty holders' share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Production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Realizations</w:t>
      </w:r>
    </w:p>
    <w:p>
      <w:pPr>
        <w:spacing w:after="0" w:line="252"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indexes for our products for the periods presented: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5"/>
        </w:trPr>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4"/>
          </w:tcPr>
          <w:p>
            <w:pPr>
              <w:ind w:left="460"/>
              <w:spacing w:after="0"/>
              <w:rPr>
                <w:sz w:val="20"/>
                <w:szCs w:val="20"/>
                <w:color w:val="auto"/>
              </w:rPr>
            </w:pPr>
            <w:r>
              <w:rPr>
                <w:rFonts w:ascii="Arial" w:cs="Arial" w:eastAsia="Arial" w:hAnsi="Arial"/>
                <w:sz w:val="17"/>
                <w:szCs w:val="17"/>
                <w:b w:val="1"/>
                <w:bCs w:val="1"/>
                <w:color w:val="auto"/>
              </w:rPr>
              <w:t>June 30, 2022</w:t>
            </w:r>
          </w:p>
        </w:tc>
        <w:tc>
          <w:tcPr>
            <w:tcW w:w="260" w:type="dxa"/>
            <w:vAlign w:val="bottom"/>
          </w:tcPr>
          <w:p>
            <w:pPr>
              <w:spacing w:after="0"/>
              <w:rPr>
                <w:sz w:val="19"/>
                <w:szCs w:val="19"/>
                <w:color w:val="auto"/>
              </w:rPr>
            </w:pPr>
          </w:p>
        </w:tc>
        <w:tc>
          <w:tcPr>
            <w:tcW w:w="2320" w:type="dxa"/>
            <w:vAlign w:val="bottom"/>
            <w:gridSpan w:val="3"/>
          </w:tcPr>
          <w:p>
            <w:pPr>
              <w:ind w:left="420"/>
              <w:spacing w:after="0"/>
              <w:rPr>
                <w:sz w:val="20"/>
                <w:szCs w:val="20"/>
                <w:color w:val="auto"/>
              </w:rPr>
            </w:pPr>
            <w:r>
              <w:rPr>
                <w:rFonts w:ascii="Arial" w:cs="Arial" w:eastAsia="Arial" w:hAnsi="Arial"/>
                <w:sz w:val="17"/>
                <w:szCs w:val="17"/>
                <w:b w:val="1"/>
                <w:bCs w:val="1"/>
                <w:color w:val="auto"/>
              </w:rPr>
              <w:t>March 31, 2022</w:t>
            </w:r>
          </w:p>
        </w:tc>
      </w:tr>
      <w:tr>
        <w:trPr>
          <w:trHeight w:val="223"/>
        </w:trPr>
        <w:tc>
          <w:tcPr>
            <w:tcW w:w="5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Price</w:t>
            </w:r>
          </w:p>
        </w:tc>
        <w:tc>
          <w:tcPr>
            <w:tcW w:w="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111.79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97.38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112.32</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96.13</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99%</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63.17</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60.30</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62%</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WTI</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108.41</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94.29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112.32</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96.13</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102%</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63.17</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58%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64%</w:t>
            </w:r>
          </w:p>
        </w:tc>
      </w:tr>
      <w:tr>
        <w:trPr>
          <w:trHeight w:val="270"/>
        </w:trPr>
        <w:tc>
          <w:tcPr>
            <w:tcW w:w="5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68.29</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61%</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78.63</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81%</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68.29</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78.63</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83%</w:t>
            </w:r>
          </w:p>
        </w:tc>
      </w:tr>
      <w:tr>
        <w:trPr>
          <w:trHeight w:val="270"/>
        </w:trPr>
        <w:tc>
          <w:tcPr>
            <w:tcW w:w="5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 Average Daily Price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6.62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6.85</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150%</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150%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 Average Monthly Settled Price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7.17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2"/>
        </w:trPr>
        <w:tc>
          <w:tcPr>
            <w:tcW w:w="59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6.85</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96%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6.28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127%</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127%</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5"/>
        </w:trPr>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4"/>
          </w:tcPr>
          <w:p>
            <w:pPr>
              <w:ind w:left="460"/>
              <w:spacing w:after="0"/>
              <w:rPr>
                <w:sz w:val="20"/>
                <w:szCs w:val="20"/>
                <w:color w:val="auto"/>
              </w:rPr>
            </w:pPr>
            <w:r>
              <w:rPr>
                <w:rFonts w:ascii="Arial" w:cs="Arial" w:eastAsia="Arial" w:hAnsi="Arial"/>
                <w:sz w:val="17"/>
                <w:szCs w:val="17"/>
                <w:b w:val="1"/>
                <w:bCs w:val="1"/>
                <w:color w:val="auto"/>
              </w:rPr>
              <w:t>June 30, 2022</w:t>
            </w:r>
          </w:p>
        </w:tc>
        <w:tc>
          <w:tcPr>
            <w:tcW w:w="260" w:type="dxa"/>
            <w:vAlign w:val="bottom"/>
          </w:tcPr>
          <w:p>
            <w:pPr>
              <w:spacing w:after="0"/>
              <w:rPr>
                <w:sz w:val="19"/>
                <w:szCs w:val="19"/>
                <w:color w:val="auto"/>
              </w:rPr>
            </w:pPr>
          </w:p>
        </w:tc>
        <w:tc>
          <w:tcPr>
            <w:tcW w:w="2320" w:type="dxa"/>
            <w:vAlign w:val="bottom"/>
            <w:gridSpan w:val="3"/>
          </w:tcPr>
          <w:p>
            <w:pPr>
              <w:ind w:left="480"/>
              <w:spacing w:after="0"/>
              <w:rPr>
                <w:sz w:val="20"/>
                <w:szCs w:val="20"/>
                <w:color w:val="auto"/>
              </w:rPr>
            </w:pPr>
            <w:r>
              <w:rPr>
                <w:rFonts w:ascii="Arial" w:cs="Arial" w:eastAsia="Arial" w:hAnsi="Arial"/>
                <w:sz w:val="17"/>
                <w:szCs w:val="17"/>
                <w:b w:val="1"/>
                <w:bCs w:val="1"/>
                <w:color w:val="auto"/>
              </w:rPr>
              <w:t>June 30, 2021</w:t>
            </w:r>
          </w:p>
        </w:tc>
      </w:tr>
      <w:tr>
        <w:trPr>
          <w:trHeight w:val="223"/>
        </w:trPr>
        <w:tc>
          <w:tcPr>
            <w:tcW w:w="5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Price</w:t>
            </w:r>
          </w:p>
        </w:tc>
        <w:tc>
          <w:tcPr>
            <w:tcW w:w="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Price</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Realization</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104.59</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65.06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104.07</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64.89</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100%</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61.71</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53.91</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83%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WTI</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101.35</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61.96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104.07</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64.89</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105%</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61.71</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61%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87%</w:t>
            </w:r>
          </w:p>
        </w:tc>
      </w:tr>
      <w:tr>
        <w:trPr>
          <w:trHeight w:val="216"/>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72.57</w:t>
            </w:r>
          </w:p>
        </w:tc>
        <w:tc>
          <w:tcPr>
            <w:tcW w:w="1320" w:type="dxa"/>
            <w:vAlign w:val="bottom"/>
            <w:gridSpan w:val="2"/>
          </w:tcPr>
          <w:p>
            <w:pPr>
              <w:jc w:val="center"/>
              <w:ind w:left="15"/>
              <w:spacing w:after="0"/>
              <w:rPr>
                <w:sz w:val="20"/>
                <w:szCs w:val="20"/>
                <w:color w:val="auto"/>
              </w:rPr>
            </w:pPr>
            <w:r>
              <w:rPr>
                <w:rFonts w:ascii="Arial" w:cs="Arial" w:eastAsia="Arial" w:hAnsi="Arial"/>
                <w:sz w:val="17"/>
                <w:szCs w:val="17"/>
                <w:color w:val="auto"/>
                <w:w w:val="99"/>
              </w:rPr>
              <w:t>69%</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46.75</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72%</w:t>
            </w:r>
          </w:p>
        </w:tc>
      </w:tr>
      <w:tr>
        <w:trPr>
          <w:trHeight w:val="232"/>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72.57</w:t>
            </w:r>
          </w:p>
        </w:tc>
        <w:tc>
          <w:tcPr>
            <w:tcW w:w="132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9"/>
              </w:rPr>
              <w:t>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34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rPr>
              <w:t>75%</w:t>
            </w:r>
          </w:p>
        </w:tc>
      </w:tr>
      <w:tr>
        <w:trPr>
          <w:trHeight w:val="216"/>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Average Daily Price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5.40</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8"/>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6.58</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3.17</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116%</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115%</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NYMEX Henry Hub ($/MMBtu) Average Monthly Settled Price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6.06</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9"/>
        </w:trPr>
        <w:tc>
          <w:tcPr>
            <w:tcW w:w="5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7"/>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without derivative settlements ($/Mcf)</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6.58</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3.17</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115%</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7"/>
                <w:szCs w:val="17"/>
                <w:color w:val="auto"/>
              </w:rPr>
              <w:t>Realized price with derivative settlements ($/Mcf)</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w:t>
            </w:r>
          </w:p>
        </w:tc>
        <w:tc>
          <w:tcPr>
            <w:tcW w:w="1320" w:type="dxa"/>
            <w:vAlign w:val="bottom"/>
            <w:gridSpan w:val="2"/>
          </w:tcPr>
          <w:p>
            <w:pPr>
              <w:jc w:val="center"/>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color w:val="auto"/>
              </w:rPr>
              <w:t>114%</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0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prices increased for the three months ended June 30, 2022 compared to the three months ended March 31, 2022 as a</w:t>
      </w:r>
      <w:r>
        <w:rPr>
          <w:rFonts w:ascii="Arial" w:cs="Arial" w:eastAsia="Arial" w:hAnsi="Arial"/>
          <w:sz w:val="18"/>
          <w:szCs w:val="18"/>
          <w:i w:val="1"/>
          <w:iCs w:val="1"/>
          <w:color w:val="auto"/>
        </w:rPr>
        <w:t xml:space="preserve"> </w:t>
      </w:r>
      <w:r>
        <w:rPr>
          <w:rFonts w:ascii="Arial" w:cs="Arial" w:eastAsia="Arial" w:hAnsi="Arial"/>
          <w:sz w:val="18"/>
          <w:szCs w:val="18"/>
          <w:color w:val="auto"/>
        </w:rPr>
        <w:t>demand continued to outpace supply. Prices also increased for the six months ended June 30, 2022 compared to the same prior-year period as the effects of the COVID-19 pandemic have subsided leaving crude oil production and product inventories at low levels. As demand has rebounded, producers have generally maintained capital discipline, OPEC+ members have failed to produce at stepped-up quotas, and the conflict between Russia and Ukraine has created a disconnect between buyers and sellers of Russian produced crude oil.</w:t>
      </w:r>
    </w:p>
    <w:p>
      <w:pPr>
        <w:spacing w:after="0" w:line="206"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NGL prices for the three months ended June 30, 2022 decreased compared to the three months ended March 31, 2022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seasonal winter premiums coming out of the market and pricing weakness caused by higher production. NGL prices for the six months ended June 30, 2022 increased compared to the six months ended June 30, 2021 as the NGL markets benefited from higher values in the market as a whole.</w:t>
      </w:r>
    </w:p>
    <w:p>
      <w:pPr>
        <w:spacing w:after="0" w:line="203"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Our realized price for natural gas increased for the three and six months ended June 30, 2022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2022 and six months ended June 30, 2021 as a result of increased demand domestically and on the export front in terms of liquefied natural gas exports and lower-than-average natural gas inventories.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5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November 2020, the SEC amended Regulation S-K to, among other things, provide companies with the option to discuss material changes to results of operations between the current and immediately preceding quarter. We have elected to discuss our results of operations on a sequential-quarter basis. We believe this approach provides more meaningful and useful information to measure our performance from the immediately preceding quarter. In accordance with this final rule, we are not required to include a comparison of the current quarter and the same prior-year quarter.</w:t>
      </w:r>
    </w:p>
    <w:p>
      <w:pPr>
        <w:spacing w:after="0" w:line="20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months ended June 30, 2022 and March 31, 2022 and the six months ended June 30, 2022 and 2021. Energy operating costs consist of purchases of natural gas used to generate electricity, purchased electricity and internal costs to generate electricity used in our operations. Non-energy operating costs equal total operating costs less energy operating costs and gas processing costs. However, non-energy operating costs include the costs of purchasing natural gas from third parties that is used to generate steam for our steamfloods.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2022</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June 30, 2021</w:t>
            </w:r>
          </w:p>
        </w:tc>
      </w:tr>
      <w:tr>
        <w:trPr>
          <w:trHeight w:val="192"/>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r>
      <w:tr>
        <w:trPr>
          <w:trHeight w:val="223"/>
        </w:trPr>
        <w:tc>
          <w:tcPr>
            <w:tcW w:w="5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230"/>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bl>
    <w:p>
      <w:pPr>
        <w:spacing w:after="0" w:line="7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carbon management assets and our Elk Hills power plant.</w:t>
      </w:r>
    </w:p>
    <w:p>
      <w:pPr>
        <w:spacing w:after="0" w:line="23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Operating costs for the three months ended June 30, 2022 were slightly higher than the three months ended March 31, 2021 on both a total and per Boe basis as a result of higher natural gas prices and increased compensation-related expenses. Operating costs in the six months ended June 30, 2022 were higher than the same period in 2021 primarily as a result of higher natural gas and electricity prices. Lower production volumes in 2022 also contributed to the increase on a per Boe basis. We expect operating costs related to repair and maintenance activities to increase during the second half of 2022 as inflationary pressures increase costs for services, labor and supplies.</w:t>
      </w:r>
    </w:p>
    <w:p>
      <w:pPr>
        <w:spacing w:after="0" w:line="20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Total field taxes other than on income for the three months ended June 30, 2022 were higher than the three months ended March 31, 2022 primarily related to increases in production taxes. Total field taxes other than on income were lower in the six months ended June 30, 2022 compared to the same period in 2021, but higher on a per Boe basis due to lower production volumes in 2022. The decrease in total field taxes was due to lower ad valorem taxes, partially offset by increased production taxes and higher greenhouse gas taxes due to emission levels as we increased activity and market prices.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2022 compared to March 31, 2022</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revenues for the three months ended June 30, 2022 and March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474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 2022</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2022</w:t>
            </w:r>
          </w:p>
        </w:tc>
        <w:tc>
          <w:tcPr>
            <w:tcW w:w="560" w:type="dxa"/>
            <w:vAlign w:val="bottom"/>
            <w:tcBorders>
              <w:bottom w:val="single" w:sz="8" w:color="auto"/>
            </w:tcBorders>
          </w:tcPr>
          <w:p>
            <w:pPr>
              <w:spacing w:after="0"/>
              <w:rPr>
                <w:sz w:val="19"/>
                <w:szCs w:val="19"/>
                <w:color w:val="auto"/>
              </w:rPr>
            </w:pPr>
          </w:p>
        </w:tc>
      </w:tr>
      <w:tr>
        <w:trPr>
          <w:trHeight w:val="192"/>
        </w:trPr>
        <w:tc>
          <w:tcPr>
            <w:tcW w:w="5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740" w:type="dxa"/>
            <w:vAlign w:val="bottom"/>
            <w:gridSpan w:val="3"/>
          </w:tcPr>
          <w:p>
            <w:pPr>
              <w:jc w:val="right"/>
              <w:ind w:right="163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6"/>
                <w:szCs w:val="16"/>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000" w:type="dxa"/>
            <w:vAlign w:val="bottom"/>
            <w:shd w:val="clear" w:color="auto" w:fill="CCEEFF"/>
          </w:tcPr>
          <w:p>
            <w:pPr>
              <w:jc w:val="right"/>
              <w:ind w:right="1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loss from commodity derivatives</w:t>
            </w:r>
          </w:p>
        </w:tc>
        <w:tc>
          <w:tcPr>
            <w:tcW w:w="2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2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2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94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2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204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1"/>
        </w:trPr>
        <w:tc>
          <w:tcPr>
            <w:tcW w:w="59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were $718 million for the three months ended June 30, 2022, which is an increase of $90 million compared to $628 million for the three months ended March 31, 2022. This increase was primarily due to higher realized prices and higher NGL production after we resumed operation at one of our cryogenic gas processing facilities following planned maintenance in the first quarter of 2022. These increases were partially offset by lower oil production as a result of asset divestitures and natural decline.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NGLs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Natural Gas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92"/>
        </w:trPr>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gridSpan w:val="3"/>
          </w:tcPr>
          <w:p>
            <w:pPr>
              <w:jc w:val="right"/>
              <w:ind w:right="89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June 30, 2022</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3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The effect of cash settlements on our commodity derivative contracts is not included in the table above. Payments on commodity derivatives were $241 million for the three months ended June 30, 2022 compared to payments of $181 million for the three months ended March 31, 2022. Including the effect of settlement payments for commodity derivatives, our oil, natural gas and NGL sales increased by $30 million, or 7% compared to the three months ended March 31, 2022.</w:t>
      </w:r>
    </w:p>
    <w:p>
      <w:pPr>
        <w:spacing w:after="0" w:line="20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i w:val="1"/>
          <w:iCs w:val="1"/>
          <w:color w:val="auto"/>
        </w:rPr>
        <w:t xml:space="preserve">Net loss from commodity derivatives </w:t>
      </w:r>
      <w:r>
        <w:rPr>
          <w:rFonts w:ascii="Arial" w:cs="Arial" w:eastAsia="Arial" w:hAnsi="Arial"/>
          <w:sz w:val="18"/>
          <w:szCs w:val="18"/>
          <w:color w:val="auto"/>
        </w:rPr>
        <w:t>— Net loss from commodity derivatives was $100 million for the three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net loss of $562 million for the three months ended March 31, 2022. The decrease in the net loss primarily resulted from non-cash changes in the fair value of our outstanding commodity derivatives resulted from the positions held at the end of each measurement period as well as the relationship between contract prices and the associated forward curves as shown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31, 2022</w:t>
            </w:r>
          </w:p>
        </w:tc>
      </w:tr>
      <w:tr>
        <w:trPr>
          <w:trHeight w:val="192"/>
        </w:trPr>
        <w:tc>
          <w:tcPr>
            <w:tcW w:w="7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60" w:type="dxa"/>
            <w:vAlign w:val="bottom"/>
            <w:gridSpan w:val="4"/>
          </w:tcPr>
          <w:p>
            <w:pPr>
              <w:jc w:val="right"/>
              <w:ind w:right="1330"/>
              <w:spacing w:after="0"/>
              <w:rPr>
                <w:sz w:val="20"/>
                <w:szCs w:val="20"/>
                <w:color w:val="auto"/>
              </w:rPr>
            </w:pPr>
            <w:r>
              <w:rPr>
                <w:rFonts w:ascii="Arial" w:cs="Arial" w:eastAsia="Arial" w:hAnsi="Arial"/>
                <w:sz w:val="14"/>
                <w:szCs w:val="14"/>
                <w:color w:val="auto"/>
              </w:rPr>
              <w:t>(in millions)</w:t>
            </w:r>
          </w:p>
        </w:tc>
      </w:tr>
      <w:tr>
        <w:trPr>
          <w:trHeight w:val="234"/>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993"/>
              <w:spacing w:after="0"/>
              <w:rPr>
                <w:sz w:val="20"/>
                <w:szCs w:val="20"/>
                <w:color w:val="auto"/>
              </w:rPr>
            </w:pPr>
            <w:r>
              <w:rPr>
                <w:rFonts w:ascii="Arial" w:cs="Arial" w:eastAsia="Arial" w:hAnsi="Arial"/>
                <w:sz w:val="18"/>
                <w:szCs w:val="18"/>
                <w:color w:val="auto"/>
                <w:w w:val="99"/>
              </w:rPr>
              <w:t>141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76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payments on settled commodity derivatives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993"/>
              <w:spacing w:after="0"/>
              <w:rPr>
                <w:sz w:val="20"/>
                <w:szCs w:val="20"/>
                <w:color w:val="auto"/>
              </w:rPr>
            </w:pPr>
            <w:r>
              <w:rPr>
                <w:rFonts w:ascii="Arial" w:cs="Arial" w:eastAsia="Arial" w:hAnsi="Arial"/>
                <w:sz w:val="18"/>
                <w:szCs w:val="18"/>
                <w:color w:val="auto"/>
                <w:w w:val="99"/>
              </w:rPr>
              <w:t>(241)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48"/>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commodity derivatives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center"/>
              <w:ind w:left="993"/>
              <w:spacing w:after="0"/>
              <w:rPr>
                <w:sz w:val="20"/>
                <w:szCs w:val="20"/>
                <w:color w:val="auto"/>
              </w:rPr>
            </w:pPr>
            <w:r>
              <w:rPr>
                <w:rFonts w:ascii="Arial" w:cs="Arial" w:eastAsia="Arial" w:hAnsi="Arial"/>
                <w:sz w:val="18"/>
                <w:szCs w:val="18"/>
                <w:color w:val="auto"/>
                <w:w w:val="99"/>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2" w:name="page33"/>
    <w:bookmarkEnd w:id="32"/>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relates to natural gas acquired from third parties and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sold in connection with certain of our marketing activities. Sales of purchased natural gas were $75 million for the three months ended June 30, 2022, an increase of $43 million, or 134% from $32 million during the three months ended March 31, 2022. The increase was primarily the result of higher volumes sold and higher natural gas prices. Our natural gas sales net of related purchased natural gas expense were $8 million for the three months ended June 30, 2022 compared to $11 million for the three months ended March 31, 2022.</w:t>
      </w:r>
    </w:p>
    <w:p>
      <w:pPr>
        <w:spacing w:after="0" w:line="206"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by $15 million to $49 million for the three months ended June 30, 2022 compared to $34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2022. The increase was predominantly due to higher electricity prices resulting from higher natural gas prices.</w:t>
      </w:r>
    </w:p>
    <w:p>
      <w:pPr>
        <w:spacing w:after="0" w:line="198"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Other revenue decreased to $ 5 million in the three months ended June 30, 2022, from $21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The decrease was primarily due to increased sales of purchased NGL volumes in the first quarter of 2022 in order to meet our delivery commitments while one of our cryogenic gas processing facilities was down for planned maintenance.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and non-operating expenses and income for the three months ended June 30, 2022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0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99"/>
              </w:rPr>
              <w:t>Three months ended</w:t>
            </w:r>
          </w:p>
        </w:tc>
        <w:tc>
          <w:tcPr>
            <w:tcW w:w="620" w:type="dxa"/>
            <w:vAlign w:val="bottom"/>
            <w:tcBorders>
              <w:bottom w:val="single" w:sz="8" w:color="auto"/>
            </w:tcBorders>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2022</w:t>
            </w: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2022</w:t>
            </w:r>
          </w:p>
        </w:tc>
        <w:tc>
          <w:tcPr>
            <w:tcW w:w="620" w:type="dxa"/>
            <w:vAlign w:val="bottom"/>
            <w:tcBorders>
              <w:bottom w:val="single" w:sz="8" w:color="auto"/>
            </w:tcBorders>
          </w:tcPr>
          <w:p>
            <w:pPr>
              <w:spacing w:after="0"/>
              <w:rPr>
                <w:sz w:val="19"/>
                <w:szCs w:val="19"/>
                <w:color w:val="auto"/>
              </w:rPr>
            </w:pPr>
          </w:p>
        </w:tc>
      </w:tr>
      <w:tr>
        <w:trPr>
          <w:trHeight w:val="192"/>
        </w:trPr>
        <w:tc>
          <w:tcPr>
            <w:tcW w:w="5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0" w:type="dxa"/>
            <w:vAlign w:val="bottom"/>
            <w:gridSpan w:val="3"/>
          </w:tcPr>
          <w:p>
            <w:pPr>
              <w:jc w:val="right"/>
              <w:ind w:right="185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6"/>
                <w:szCs w:val="16"/>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020" w:type="dxa"/>
            <w:vAlign w:val="bottom"/>
          </w:tcPr>
          <w:p>
            <w:pPr>
              <w:jc w:val="right"/>
              <w:ind w:right="18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2220" w:type="dxa"/>
            <w:vAlign w:val="bottom"/>
          </w:tcPr>
          <w:p>
            <w:pPr>
              <w:jc w:val="right"/>
              <w:ind w:right="20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20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2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on asset divestitures</w:t>
            </w:r>
          </w:p>
        </w:tc>
        <w:tc>
          <w:tcPr>
            <w:tcW w:w="2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20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5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20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expenses, net</w:t>
            </w:r>
          </w:p>
        </w:tc>
        <w:tc>
          <w:tcPr>
            <w:tcW w:w="2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0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2020" w:type="dxa"/>
            <w:vAlign w:val="bottom"/>
            <w:tcBorders>
              <w:bottom w:val="single" w:sz="8" w:color="auto"/>
            </w:tcBorders>
            <w:shd w:val="clear" w:color="auto" w:fill="CCEEFF"/>
          </w:tcPr>
          <w:p>
            <w:pPr>
              <w:jc w:val="right"/>
              <w:ind w:right="18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ind w:right="20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three months ended June 30, 2022 were $57 million, which was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 million, or 8% from $53 million for the three months ended March 31, 2022. This increase was primarily a result of higher prices for purchased natural gas, which we use to generate electricity for our operations, and for purchased electricity.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three months ended June 30, 2022 were $129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$5 million or 4% from $124 million for the three months ended March 31, 2022. This increase was primarily a result of higher compensation-related expenses and increased downhole maintenance activity.</w:t>
      </w:r>
    </w:p>
    <w:p>
      <w:pPr>
        <w:spacing w:after="0" w:line="19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 General and administrative expenses increased $8 million to $56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2022 compared to $48 million for the three months ended March 31, 2022 primarily as a result of increased compensation-related increases and additional headcount as shown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p>
        </w:tc>
        <w:tc>
          <w:tcPr>
            <w:tcW w:w="426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Borders>
              <w:bottom w:val="single" w:sz="8" w:color="auto"/>
            </w:tcBorders>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 2022</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2022</w:t>
            </w:r>
          </w:p>
        </w:tc>
        <w:tc>
          <w:tcPr>
            <w:tcW w:w="380" w:type="dxa"/>
            <w:vAlign w:val="bottom"/>
            <w:tcBorders>
              <w:bottom w:val="single" w:sz="8" w:color="auto"/>
            </w:tcBorders>
          </w:tcPr>
          <w:p>
            <w:pPr>
              <w:spacing w:after="0"/>
              <w:rPr>
                <w:sz w:val="19"/>
                <w:szCs w:val="19"/>
                <w:color w:val="auto"/>
              </w:rPr>
            </w:pPr>
          </w:p>
        </w:tc>
      </w:tr>
      <w:tr>
        <w:trPr>
          <w:trHeight w:val="192"/>
        </w:trPr>
        <w:tc>
          <w:tcPr>
            <w:tcW w:w="6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20" w:type="dxa"/>
            <w:vAlign w:val="bottom"/>
            <w:gridSpan w:val="3"/>
          </w:tcPr>
          <w:p>
            <w:pPr>
              <w:jc w:val="right"/>
              <w:ind w:right="149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G&amp;A </w:t>
            </w:r>
            <w:r>
              <w:rPr>
                <w:rFonts w:ascii="Arial" w:cs="Arial" w:eastAsia="Arial" w:hAnsi="Arial"/>
                <w:sz w:val="18"/>
                <w:szCs w:val="18"/>
                <w:i w:val="1"/>
                <w:iCs w:val="1"/>
                <w:color w:val="auto"/>
              </w:rPr>
              <w:t>–</w:t>
            </w:r>
            <w:r>
              <w:rPr>
                <w:rFonts w:ascii="Arial" w:cs="Arial" w:eastAsia="Arial" w:hAnsi="Arial"/>
                <w:sz w:val="18"/>
                <w:szCs w:val="18"/>
                <w:color w:val="auto"/>
              </w:rPr>
              <w:t xml:space="preserve"> E&amp;P, corporate and other</w:t>
            </w:r>
          </w:p>
        </w:tc>
        <w:tc>
          <w:tcPr>
            <w:tcW w:w="18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G&amp;A </w:t>
            </w:r>
            <w:r>
              <w:rPr>
                <w:rFonts w:ascii="Arial" w:cs="Arial" w:eastAsia="Arial" w:hAnsi="Arial"/>
                <w:sz w:val="18"/>
                <w:szCs w:val="18"/>
                <w:i w:val="1"/>
                <w:iCs w:val="1"/>
                <w:color w:val="auto"/>
              </w:rPr>
              <w:t>–</w:t>
            </w:r>
            <w:r>
              <w:rPr>
                <w:rFonts w:ascii="Arial" w:cs="Arial" w:eastAsia="Arial" w:hAnsi="Arial"/>
                <w:sz w:val="18"/>
                <w:szCs w:val="18"/>
                <w:color w:val="auto"/>
              </w:rPr>
              <w:t xml:space="preserve"> Carbon management business</w:t>
            </w:r>
          </w:p>
        </w:tc>
        <w:tc>
          <w:tcPr>
            <w:tcW w:w="1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840" w:type="dxa"/>
            <w:vAlign w:val="bottom"/>
            <w:tcBorders>
              <w:bottom w:val="single" w:sz="8" w:color="auto"/>
            </w:tcBorders>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i w:val="1"/>
          <w:iCs w:val="1"/>
          <w:color w:val="auto"/>
        </w:rPr>
        <w:t xml:space="preserve">Taxes other than on income </w:t>
      </w:r>
      <w:r>
        <w:rPr>
          <w:rFonts w:ascii="Arial" w:cs="Arial" w:eastAsia="Arial" w:hAnsi="Arial"/>
          <w:sz w:val="18"/>
          <w:szCs w:val="18"/>
          <w:color w:val="auto"/>
        </w:rPr>
        <w:t>— Taxes other than on income increased $8 million to $42 million for the three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$ 34 million for the three months ended March 31, 2022. The increase primarily relates to the rate applied to assess taxes on our oil and natural gas production.</w:t>
      </w:r>
    </w:p>
    <w:p>
      <w:pPr>
        <w:spacing w:after="0" w:line="198"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i w:val="1"/>
          <w:iCs w:val="1"/>
          <w:color w:val="auto"/>
        </w:rPr>
        <w:t xml:space="preserve">Purchased natural gas expense </w:t>
      </w:r>
      <w:r>
        <w:rPr>
          <w:rFonts w:ascii="Arial" w:cs="Arial" w:eastAsia="Arial" w:hAnsi="Arial"/>
          <w:sz w:val="18"/>
          <w:szCs w:val="18"/>
          <w:color w:val="auto"/>
        </w:rPr>
        <w:t>— Purchased natural gas expense relates to natural gas acquired from third parties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marketing activities. This expense amounted to $67 million for the three months ended June 30, 2022, which was an increase of $46 million, or 219% from $21 million for the three months ended March 31, 2022. The increase was predominantly the result of higher prices and higher volumes purchased in the three months ended June 30, 2022 compared to the three months ended March 31, 2022.</w:t>
      </w:r>
    </w:p>
    <w:p>
      <w:pPr>
        <w:spacing w:after="0" w:line="20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Net gain on asset divestitures </w:t>
      </w:r>
      <w:r>
        <w:rPr>
          <w:rFonts w:ascii="Arial" w:cs="Arial" w:eastAsia="Arial" w:hAnsi="Arial"/>
          <w:sz w:val="18"/>
          <w:szCs w:val="18"/>
          <w:color w:val="auto"/>
        </w:rPr>
        <w:t>– Net gain on asset divestitures for the three months ended June 30, 2022 was $4 million compared to $54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for the three months ended March 31, 2022. The net gain on asset divestitures for the three months ended June 30, 2022 relates to additional earn-out consideration related to our Ventura basin divestitures. In the three months ended March 31, 2022, the net gain on asset divestitures primarily related to the sale of our 50% non-operated working interest in certain horizons within our Lost Hills field. We also recognized a gain on the sale of certain Ventura basin assets. For more information on our asset divestitures,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Note 7 Divestitures and Acquisitions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3 Divestitures and Acquisitions </w:t>
      </w:r>
      <w:r>
        <w:rPr>
          <w:rFonts w:ascii="Arial" w:cs="Arial" w:eastAsia="Arial" w:hAnsi="Arial"/>
          <w:sz w:val="18"/>
          <w:szCs w:val="18"/>
          <w:color w:val="auto"/>
        </w:rPr>
        <w:t>in our 2021 Annual Report</w:t>
      </w:r>
      <w:r>
        <w:rPr>
          <w:rFonts w:ascii="Arial" w:cs="Arial" w:eastAsia="Arial" w:hAnsi="Arial"/>
          <w:sz w:val="18"/>
          <w:szCs w:val="18"/>
          <w:i w:val="1"/>
          <w:iCs w:val="1"/>
          <w:color w:val="auto"/>
        </w:rPr>
        <w:t>.</w:t>
      </w:r>
    </w:p>
    <w:p>
      <w:pPr>
        <w:spacing w:after="0" w:line="210"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income tax provision for the three months ended June 30, 2022 was $76 million (effective tax rate of 29%),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an income tax benefit of $26 million (effective tax rate of 13%) for the three months ended March 31, 2022. The income tax benefit for the three months ended March 31, 2022 included a $ 31 million charge for a valuation allowance recorded at the time of our Lost Hills divestiture. See </w:t>
      </w:r>
      <w:r>
        <w:rPr>
          <w:rFonts w:ascii="Arial" w:cs="Arial" w:eastAsia="Arial" w:hAnsi="Arial"/>
          <w:sz w:val="18"/>
          <w:szCs w:val="18"/>
          <w:i w:val="1"/>
          <w:iCs w:val="1"/>
          <w:color w:val="auto"/>
        </w:rPr>
        <w:t>Part I, Item 1 – Financial Statements, Note 12 Income Taxes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9"/>
              </w:rPr>
              <w:t>Six months ended June 30, 2022 compared to June 30, 2021</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83"/>
        </w:trPr>
        <w:tc>
          <w:tcPr>
            <w:tcW w:w="8640" w:type="dxa"/>
            <w:vAlign w:val="bottom"/>
            <w:gridSpan w:val="5"/>
          </w:tcPr>
          <w:p>
            <w:pPr>
              <w:ind w:left="340"/>
              <w:spacing w:after="0"/>
              <w:rPr>
                <w:sz w:val="20"/>
                <w:szCs w:val="20"/>
                <w:color w:val="auto"/>
              </w:rPr>
            </w:pPr>
            <w:r>
              <w:rPr>
                <w:rFonts w:ascii="Arial" w:cs="Arial" w:eastAsia="Arial" w:hAnsi="Arial"/>
                <w:sz w:val="18"/>
                <w:szCs w:val="18"/>
                <w:color w:val="auto"/>
              </w:rPr>
              <w:t>The following table presents our operating revenues for the six months ended June 30, 2022 and 2021:</w:t>
            </w:r>
          </w:p>
        </w:tc>
        <w:tc>
          <w:tcPr>
            <w:tcW w:w="9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47"/>
        </w:trPr>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20" w:type="dxa"/>
            <w:vAlign w:val="bottom"/>
            <w:gridSpan w:val="3"/>
          </w:tcPr>
          <w:p>
            <w:pPr>
              <w:jc w:val="center"/>
              <w:ind w:left="992"/>
              <w:spacing w:after="0"/>
              <w:rPr>
                <w:sz w:val="20"/>
                <w:szCs w:val="20"/>
                <w:color w:val="auto"/>
              </w:rPr>
            </w:pPr>
            <w:r>
              <w:rPr>
                <w:rFonts w:ascii="Arial" w:cs="Arial" w:eastAsia="Arial" w:hAnsi="Arial"/>
                <w:sz w:val="18"/>
                <w:szCs w:val="18"/>
                <w:b w:val="1"/>
                <w:bCs w:val="1"/>
                <w:color w:val="auto"/>
                <w:w w:val="99"/>
              </w:rPr>
              <w:t>Six months ended</w:t>
            </w:r>
          </w:p>
        </w:tc>
        <w:tc>
          <w:tcPr>
            <w:tcW w:w="1680" w:type="dxa"/>
            <w:vAlign w:val="bottom"/>
          </w:tcPr>
          <w:p>
            <w:pPr>
              <w:spacing w:after="0"/>
              <w:rPr>
                <w:sz w:val="24"/>
                <w:szCs w:val="24"/>
                <w:color w:val="auto"/>
              </w:rPr>
            </w:pPr>
          </w:p>
        </w:tc>
      </w:tr>
      <w:tr>
        <w:trPr>
          <w:trHeight w:val="243"/>
        </w:trPr>
        <w:tc>
          <w:tcPr>
            <w:tcW w:w="4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center"/>
              <w:ind w:left="972"/>
              <w:spacing w:after="0"/>
              <w:rPr>
                <w:sz w:val="20"/>
                <w:szCs w:val="20"/>
                <w:color w:val="auto"/>
              </w:rPr>
            </w:pPr>
            <w:r>
              <w:rPr>
                <w:rFonts w:ascii="Arial" w:cs="Arial" w:eastAsia="Arial" w:hAnsi="Arial"/>
                <w:sz w:val="18"/>
                <w:szCs w:val="18"/>
                <w:b w:val="1"/>
                <w:bCs w:val="1"/>
                <w:color w:val="auto"/>
                <w:w w:val="99"/>
              </w:rPr>
              <w:t>June 30,</w:t>
            </w:r>
          </w:p>
        </w:tc>
        <w:tc>
          <w:tcPr>
            <w:tcW w:w="1680" w:type="dxa"/>
            <w:vAlign w:val="bottom"/>
            <w:tcBorders>
              <w:bottom w:val="single" w:sz="8" w:color="auto"/>
            </w:tcBorders>
          </w:tcPr>
          <w:p>
            <w:pPr>
              <w:spacing w:after="0"/>
              <w:rPr>
                <w:sz w:val="21"/>
                <w:szCs w:val="21"/>
                <w:color w:val="auto"/>
              </w:rPr>
            </w:pPr>
          </w:p>
        </w:tc>
      </w:tr>
      <w:tr>
        <w:trPr>
          <w:trHeight w:val="223"/>
        </w:trPr>
        <w:tc>
          <w:tcPr>
            <w:tcW w:w="4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2021</w:t>
            </w:r>
          </w:p>
        </w:tc>
      </w:tr>
      <w:tr>
        <w:trPr>
          <w:trHeight w:val="192"/>
        </w:trPr>
        <w:tc>
          <w:tcPr>
            <w:tcW w:w="4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20" w:type="dxa"/>
            <w:vAlign w:val="bottom"/>
            <w:gridSpan w:val="3"/>
          </w:tcPr>
          <w:p>
            <w:pPr>
              <w:jc w:val="center"/>
              <w:ind w:left="992"/>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6"/>
                <w:szCs w:val="16"/>
                <w:color w:val="auto"/>
              </w:rPr>
            </w:pPr>
          </w:p>
        </w:tc>
      </w:tr>
      <w:tr>
        <w:trPr>
          <w:trHeight w:val="23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1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Net loss from commodity derivatives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purchased natural gas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0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88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106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1"/>
        </w:trPr>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effects of cash settlements on our commodity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were $1,346 million for the six months ended June 30, 2022, which is an increase of $436 million compared to $910 million for the same period of 2021. This increase was due to higher realized prices, which was partially offset by lower production, as reflected in the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0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Six months ended June 30, 2022</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34"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effect of cash settlements on our commodity derivative contracts is not included in the table above. Payments on commodity derivatives were $422 million for the six months ended June 30, 2022 compared to payments of $121 million for the same period of 2021. Including the effect of settlement payments for commodity derivatives, our oil, natural gas and NGL sales increased by $135 million or 17% for the six months ended June 30, 2022 compared to the same prior-year period.</w:t>
      </w:r>
    </w:p>
    <w:p>
      <w:pPr>
        <w:spacing w:after="0" w:line="20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Net loss from commodity derivatives </w:t>
      </w:r>
      <w:r>
        <w:rPr>
          <w:rFonts w:ascii="Arial" w:cs="Arial" w:eastAsia="Arial" w:hAnsi="Arial"/>
          <w:sz w:val="18"/>
          <w:szCs w:val="18"/>
          <w:color w:val="auto"/>
        </w:rPr>
        <w:t>— Net loss from commodity derivatives was $662 million for the six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net loss of $478 million for the same prior year period. The increase in the net loss primarily resulted from settlement payments due to a higher price environment. The non-cash changes in the fair value of our outstanding commodity derivatives resulted from the positions held at the end of each measurement period as well as the relationship between contract prices and the associated forward curves as shown in the table below:</w:t>
      </w:r>
    </w:p>
    <w:p>
      <w:pPr>
        <w:spacing w:after="0" w:line="85"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Six months ended</w:t>
      </w:r>
    </w:p>
    <w:p>
      <w:pPr>
        <w:jc w:val="center"/>
        <w:ind w:left="754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192"/>
        </w:trPr>
        <w:tc>
          <w:tcPr>
            <w:tcW w:w="7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16"/>
                <w:szCs w:val="16"/>
                <w:color w:val="auto"/>
              </w:rPr>
            </w:pPr>
          </w:p>
        </w:tc>
      </w:tr>
      <w:tr>
        <w:trPr>
          <w:trHeight w:val="23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loss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7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payments on settled commodity derivatives</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8"/>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from commodity derivatives</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Sales of purchased natural gas </w:t>
      </w:r>
      <w:r>
        <w:rPr>
          <w:rFonts w:ascii="Arial" w:cs="Arial" w:eastAsia="Arial" w:hAnsi="Arial"/>
          <w:sz w:val="18"/>
          <w:szCs w:val="18"/>
          <w:color w:val="auto"/>
        </w:rPr>
        <w:t>— Sales of purchased natural gas relates to natural gas acquired from third parties and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sold in connection with certain of our marketing activities. Sales of purchased natural gas were $107 million for the six months ended June 30, 2022, a decrease of $39 million, or 27% from $146 million during the same period of 2021. The decrease was predominantly the result of lower volumes, partially offset by higher prices. Our natural gas sales net of related purchased natural gas expense was $19 million for the six months ended June 30, 2022 compared to $55 million for the same period of 2021.</w:t>
      </w:r>
    </w:p>
    <w:p>
      <w:pPr>
        <w:sectPr>
          <w:pgSz w:w="11900" w:h="16838" w:orient="portrait"/>
          <w:cols w:equalWidth="0" w:num="1">
            <w:col w:w="11240"/>
          </w:cols>
          <w:pgMar w:left="320" w:top="1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35" w:name="page36"/>
    <w:bookmarkEnd w:id="35"/>
    <w:p>
      <w:pPr>
        <w:ind w:right="440" w:firstLine="324"/>
        <w:spacing w:after="0" w:line="268"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by $17 million to $83 million for the six months ended June 30, 2022 compared to $66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prior-year period. The increase was predominantly due to higher electricity prices resulting from higher natural gas prices.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operating and non-operating expenses for the six months ended June 30, 2022 and 2021:</w:t>
      </w:r>
    </w:p>
    <w:p>
      <w:pPr>
        <w:spacing w:after="0" w:line="36" w:lineRule="exact"/>
        <w:rPr>
          <w:sz w:val="20"/>
          <w:szCs w:val="20"/>
          <w:color w:val="auto"/>
        </w:rPr>
      </w:pPr>
    </w:p>
    <w:p>
      <w:pPr>
        <w:jc w:val="center"/>
        <w:ind w:left="5380"/>
        <w:spacing w:after="0"/>
        <w:rPr>
          <w:sz w:val="20"/>
          <w:szCs w:val="20"/>
          <w:color w:val="auto"/>
        </w:rPr>
      </w:pPr>
      <w:r>
        <w:rPr>
          <w:rFonts w:ascii="Arial" w:cs="Arial" w:eastAsia="Arial" w:hAnsi="Arial"/>
          <w:sz w:val="18"/>
          <w:szCs w:val="18"/>
          <w:b w:val="1"/>
          <w:bCs w:val="1"/>
          <w:color w:val="auto"/>
        </w:rPr>
        <w:t>Six months ended</w:t>
      </w:r>
    </w:p>
    <w:p>
      <w:pPr>
        <w:jc w:val="center"/>
        <w:ind w:left="538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2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2021</w:t>
            </w:r>
          </w:p>
        </w:tc>
      </w:tr>
      <w:tr>
        <w:trPr>
          <w:trHeight w:val="192"/>
        </w:trPr>
        <w:tc>
          <w:tcPr>
            <w:tcW w:w="54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700" w:type="dxa"/>
            <w:vAlign w:val="bottom"/>
            <w:gridSpan w:val="3"/>
          </w:tcPr>
          <w:p>
            <w:pPr>
              <w:jc w:val="right"/>
              <w:ind w:right="390"/>
              <w:spacing w:after="0"/>
              <w:rPr>
                <w:sz w:val="20"/>
                <w:szCs w:val="20"/>
                <w:color w:val="auto"/>
              </w:rPr>
            </w:pPr>
            <w:r>
              <w:rPr>
                <w:rFonts w:ascii="Arial" w:cs="Arial" w:eastAsia="Arial" w:hAnsi="Arial"/>
                <w:sz w:val="14"/>
                <w:szCs w:val="14"/>
                <w:color w:val="auto"/>
              </w:rPr>
              <w:t>(in millions)</w:t>
            </w:r>
          </w:p>
        </w:tc>
        <w:tc>
          <w:tcPr>
            <w:tcW w:w="2080" w:type="dxa"/>
            <w:vAlign w:val="bottom"/>
          </w:tcPr>
          <w:p>
            <w:pPr>
              <w:spacing w:after="0"/>
              <w:rPr>
                <w:sz w:val="16"/>
                <w:szCs w:val="16"/>
                <w:color w:val="auto"/>
              </w:rPr>
            </w:pPr>
          </w:p>
        </w:tc>
      </w:tr>
      <w:tr>
        <w:trPr>
          <w:trHeight w:val="23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060" w:type="dxa"/>
            <w:vAlign w:val="bottom"/>
          </w:tcPr>
          <w:p>
            <w:pPr>
              <w:jc w:val="right"/>
              <w:ind w:right="18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2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Purchased natural gas expense</w:t>
            </w:r>
          </w:p>
        </w:tc>
        <w:tc>
          <w:tcPr>
            <w:tcW w:w="2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2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2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on asset divestitures</w:t>
            </w:r>
          </w:p>
        </w:tc>
        <w:tc>
          <w:tcPr>
            <w:tcW w:w="2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2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54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20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2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loss on early extinguishment of debt</w:t>
            </w:r>
          </w:p>
        </w:tc>
        <w:tc>
          <w:tcPr>
            <w:tcW w:w="20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expenses, net</w:t>
            </w:r>
          </w:p>
        </w:tc>
        <w:tc>
          <w:tcPr>
            <w:tcW w:w="2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06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54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color w:val="auto"/>
        </w:rPr>
        <w:t>— Energy operating costs for the six months ended June 30, 2022 were $110 million, which was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or 29% from $85 million for the same period of 2021. This increase was primarily a result of higher prices for purchased natural gas, which we used to generate electricity for our operations, and for purchased electricity.</w:t>
      </w:r>
    </w:p>
    <w:p>
      <w:pPr>
        <w:spacing w:after="0" w:line="198"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six months ended June 30, 2022 were $253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$16 million, or 7% from $ 237 million for the same period of 2021. This increase was primarily a result of higher prices for purchased natural gas which we use to generate steam for our steamfloods.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General and administrative expenses increased $8 million to $104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compared to $96 million for the six months ended June 30, 2021 as a result of increased compensation-related expenses and additional headcount as shown in the table below.</w:t>
      </w:r>
    </w:p>
    <w:p>
      <w:pPr>
        <w:spacing w:after="0" w:line="225"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Six months ended</w:t>
      </w:r>
    </w:p>
    <w:p>
      <w:pPr>
        <w:jc w:val="center"/>
        <w:ind w:left="658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r>
      <w:tr>
        <w:trPr>
          <w:trHeight w:val="192"/>
        </w:trPr>
        <w:tc>
          <w:tcPr>
            <w:tcW w:w="6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0" w:type="dxa"/>
            <w:vAlign w:val="bottom"/>
            <w:gridSpan w:val="3"/>
          </w:tcPr>
          <w:p>
            <w:pPr>
              <w:jc w:val="right"/>
              <w:ind w:right="230"/>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6"/>
                <w:szCs w:val="16"/>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G&amp;A </w:t>
            </w:r>
            <w:r>
              <w:rPr>
                <w:rFonts w:ascii="Arial" w:cs="Arial" w:eastAsia="Arial" w:hAnsi="Arial"/>
                <w:sz w:val="18"/>
                <w:szCs w:val="18"/>
                <w:i w:val="1"/>
                <w:iCs w:val="1"/>
                <w:color w:val="auto"/>
              </w:rPr>
              <w:t>–</w:t>
            </w:r>
            <w:r>
              <w:rPr>
                <w:rFonts w:ascii="Arial" w:cs="Arial" w:eastAsia="Arial" w:hAnsi="Arial"/>
                <w:sz w:val="18"/>
                <w:szCs w:val="18"/>
                <w:color w:val="auto"/>
              </w:rPr>
              <w:t xml:space="preserve"> E&amp;P, corporate and other</w:t>
            </w: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G&amp;A </w:t>
            </w:r>
            <w:r>
              <w:rPr>
                <w:rFonts w:ascii="Arial" w:cs="Arial" w:eastAsia="Arial" w:hAnsi="Arial"/>
                <w:sz w:val="18"/>
                <w:szCs w:val="18"/>
                <w:i w:val="1"/>
                <w:iCs w:val="1"/>
                <w:color w:val="auto"/>
              </w:rPr>
              <w:t>–</w:t>
            </w:r>
            <w:r>
              <w:rPr>
                <w:rFonts w:ascii="Arial" w:cs="Arial" w:eastAsia="Arial" w:hAnsi="Arial"/>
                <w:sz w:val="18"/>
                <w:szCs w:val="18"/>
                <w:color w:val="auto"/>
              </w:rPr>
              <w:t xml:space="preserve"> Carbon management business</w:t>
            </w:r>
          </w:p>
        </w:tc>
        <w:tc>
          <w:tcPr>
            <w:tcW w:w="1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Electricity generation expenses </w:t>
      </w:r>
      <w:r>
        <w:rPr>
          <w:rFonts w:ascii="Arial" w:cs="Arial" w:eastAsia="Arial" w:hAnsi="Arial"/>
          <w:sz w:val="18"/>
          <w:szCs w:val="18"/>
          <w:color w:val="auto"/>
        </w:rPr>
        <w:t>— Electricity generation expenses were $57 million for the six months ended June 30, 2022, which is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$16 million, or 39%, from $41 million in the same prior-year period. The increase was predominantly due to higher electricity prices resulting from higher natural gas prices.</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Net gain on asset divestitures </w:t>
      </w:r>
      <w:r>
        <w:rPr>
          <w:rFonts w:ascii="Arial" w:cs="Arial" w:eastAsia="Arial" w:hAnsi="Arial"/>
          <w:sz w:val="18"/>
          <w:szCs w:val="18"/>
          <w:color w:val="auto"/>
        </w:rPr>
        <w:t>– Net gain on asset divestitures for the six months ended June 30, 2022 was $58 million primarily relates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sale of our 50% non-operated working interest in certain horizons within our Lost Hills field. We also recognized a gain on the sale of certain Ventura basin assets during the six months ended June 30, 2022. For more information on our asset divestitures, see </w:t>
      </w:r>
      <w:r>
        <w:rPr>
          <w:rFonts w:ascii="Arial" w:cs="Arial" w:eastAsia="Arial" w:hAnsi="Arial"/>
          <w:sz w:val="18"/>
          <w:szCs w:val="18"/>
          <w:i w:val="1"/>
          <w:iCs w:val="1"/>
          <w:color w:val="auto"/>
        </w:rPr>
        <w:t>Part I, Item 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Information, Note 7 Divestitures and Acquisitions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3 Divestitures and Acquisitions </w:t>
      </w:r>
      <w:r>
        <w:rPr>
          <w:rFonts w:ascii="Arial" w:cs="Arial" w:eastAsia="Arial" w:hAnsi="Arial"/>
          <w:sz w:val="18"/>
          <w:szCs w:val="18"/>
          <w:color w:val="auto"/>
        </w:rPr>
        <w:t>in our 2021 Annual Report</w:t>
      </w:r>
      <w:r>
        <w:rPr>
          <w:rFonts w:ascii="Arial" w:cs="Arial" w:eastAsia="Arial" w:hAnsi="Arial"/>
          <w:sz w:val="18"/>
          <w:szCs w:val="18"/>
          <w:i w:val="1"/>
          <w:iCs w:val="1"/>
          <w:color w:val="auto"/>
        </w:rPr>
        <w:t>.</w:t>
      </w:r>
    </w:p>
    <w:p>
      <w:pPr>
        <w:spacing w:after="0" w:line="206"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income tax provision for the six months ended June 30, 2022 was $ 50 million (effective tax rate of 77%),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includes a $ 31 million charge for a valuation allowance recorded at the time of our Lost Hills divestiture.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12 Income Taxes </w:t>
      </w:r>
      <w:r>
        <w:rPr>
          <w:rFonts w:ascii="Arial" w:cs="Arial" w:eastAsia="Arial" w:hAnsi="Arial"/>
          <w:sz w:val="18"/>
          <w:szCs w:val="18"/>
          <w:color w:val="auto"/>
        </w:rPr>
        <w:t>for more information. Realization of our deferred tax assets is subjective and remains dependent on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factors including our ability to generate sufficient taxable income, including capital gains, in future periods. We did not recognize an income tax benefit in the six months ended June 30, 2021 due to a full valuation allowance against our net deferred tax assets at that time.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primary sources of liquidity and capital resources are cash flows from operations, cash on hand and available borrowing capacity under our Revolving Credit Facility which matures in April 2024. We consider our low leverage and ability to control costs to be a core strength and strategic advantage, which we are focused on maintaining. Our primary uses of operating cash flow for the three months ended June 30, 2022 were for capital investments, dividends and repurchases of our common stock.</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413"/>
              <w:spacing w:after="0"/>
              <w:rPr>
                <w:sz w:val="20"/>
                <w:szCs w:val="20"/>
                <w:color w:val="auto"/>
              </w:rPr>
            </w:pPr>
            <w:r>
              <w:rPr>
                <w:rFonts w:ascii="Arial" w:cs="Arial" w:eastAsia="Arial" w:hAnsi="Arial"/>
                <w:sz w:val="18"/>
                <w:szCs w:val="18"/>
                <w:b w:val="1"/>
                <w:bCs w:val="1"/>
                <w:color w:val="auto"/>
                <w:w w:val="99"/>
              </w:rPr>
              <w:t>June 30, 2022</w:t>
            </w:r>
          </w:p>
        </w:tc>
      </w:tr>
      <w:tr>
        <w:trPr>
          <w:trHeight w:val="192"/>
        </w:trPr>
        <w:tc>
          <w:tcPr>
            <w:tcW w:w="8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60" w:type="dxa"/>
            <w:vAlign w:val="bottom"/>
          </w:tcPr>
          <w:p>
            <w:pPr>
              <w:jc w:val="center"/>
              <w:ind w:right="413"/>
              <w:spacing w:after="0"/>
              <w:rPr>
                <w:sz w:val="20"/>
                <w:szCs w:val="20"/>
                <w:color w:val="auto"/>
              </w:rPr>
            </w:pPr>
            <w:r>
              <w:rPr>
                <w:rFonts w:ascii="Arial" w:cs="Arial" w:eastAsia="Arial" w:hAnsi="Arial"/>
                <w:sz w:val="14"/>
                <w:szCs w:val="14"/>
                <w:color w:val="auto"/>
              </w:rPr>
              <w:t>(in millions)</w:t>
            </w:r>
          </w:p>
        </w:tc>
      </w:tr>
      <w:tr>
        <w:trPr>
          <w:trHeight w:val="234"/>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center"/>
              <w:ind w:left="1913"/>
              <w:spacing w:after="0"/>
              <w:rPr>
                <w:sz w:val="20"/>
                <w:szCs w:val="20"/>
                <w:color w:val="auto"/>
              </w:rPr>
            </w:pPr>
            <w:r>
              <w:rPr>
                <w:rFonts w:ascii="Arial" w:cs="Arial" w:eastAsia="Arial" w:hAnsi="Arial"/>
                <w:sz w:val="18"/>
                <w:szCs w:val="18"/>
                <w:color w:val="auto"/>
                <w:w w:val="99"/>
              </w:rPr>
              <w:t>324</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5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5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ind w:left="1913"/>
              <w:spacing w:after="0"/>
              <w:rPr>
                <w:sz w:val="20"/>
                <w:szCs w:val="20"/>
                <w:color w:val="auto"/>
              </w:rPr>
            </w:pPr>
            <w:r>
              <w:rPr>
                <w:rFonts w:ascii="Arial" w:cs="Arial" w:eastAsia="Arial" w:hAnsi="Arial"/>
                <w:sz w:val="18"/>
                <w:szCs w:val="18"/>
                <w:color w:val="auto"/>
                <w:w w:val="99"/>
              </w:rPr>
              <w:t>552</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5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center"/>
              <w:ind w:left="1913"/>
              <w:spacing w:after="0"/>
              <w:rPr>
                <w:sz w:val="20"/>
                <w:szCs w:val="20"/>
                <w:color w:val="auto"/>
              </w:rPr>
            </w:pPr>
            <w:r>
              <w:rPr>
                <w:rFonts w:ascii="Arial" w:cs="Arial" w:eastAsia="Arial" w:hAnsi="Arial"/>
                <w:sz w:val="18"/>
                <w:szCs w:val="18"/>
                <w:color w:val="auto"/>
                <w:w w:val="99"/>
              </w:rPr>
              <w:t>(136)</w:t>
            </w: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CCEEFF"/>
          </w:tcPr>
          <w:p>
            <w:pPr>
              <w:jc w:val="center"/>
              <w:ind w:left="1913"/>
              <w:spacing w:after="0"/>
              <w:rPr>
                <w:sz w:val="20"/>
                <w:szCs w:val="20"/>
                <w:color w:val="auto"/>
              </w:rPr>
            </w:pPr>
            <w:r>
              <w:rPr>
                <w:rFonts w:ascii="Arial" w:cs="Arial" w:eastAsia="Arial" w:hAnsi="Arial"/>
                <w:sz w:val="18"/>
                <w:szCs w:val="18"/>
                <w:color w:val="auto"/>
                <w:w w:val="99"/>
              </w:rPr>
              <w:t>416</w:t>
            </w:r>
          </w:p>
        </w:tc>
      </w:tr>
      <w:tr>
        <w:trPr>
          <w:trHeight w:val="216"/>
        </w:trPr>
        <w:tc>
          <w:tcPr>
            <w:tcW w:w="82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460" w:type="dxa"/>
            <w:vAlign w:val="bottom"/>
            <w:tcBorders>
              <w:bottom w:val="single" w:sz="8" w:color="auto"/>
            </w:tcBorders>
            <w:shd w:val="clear" w:color="auto" w:fill="CCEEFF"/>
          </w:tcPr>
          <w:p>
            <w:pPr>
              <w:jc w:val="center"/>
              <w:ind w:left="1913"/>
              <w:spacing w:after="0"/>
              <w:rPr>
                <w:sz w:val="20"/>
                <w:szCs w:val="20"/>
                <w:color w:val="auto"/>
              </w:rPr>
            </w:pPr>
            <w:r>
              <w:rPr>
                <w:rFonts w:ascii="Arial" w:cs="Arial" w:eastAsia="Arial" w:hAnsi="Arial"/>
                <w:sz w:val="18"/>
                <w:szCs w:val="18"/>
                <w:color w:val="auto"/>
                <w:w w:val="99"/>
              </w:rPr>
              <w:t>740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 xml:space="preserve">On April 29, 2022, the borrowing base under our Revolving Credit Facility was reaffirmed at $1.2 billion. Our Revolving Credit Facility was amended as of April 29, 2022. See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more information regarding this amendment.</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37" w:name="page38"/>
    <w:bookmarkEnd w:id="37"/>
    <w:p>
      <w:pPr>
        <w:ind w:right="20" w:firstLine="324"/>
        <w:spacing w:after="0" w:line="257" w:lineRule="auto"/>
        <w:rPr>
          <w:sz w:val="20"/>
          <w:szCs w:val="20"/>
          <w:color w:val="auto"/>
        </w:rPr>
      </w:pPr>
      <w:r>
        <w:rPr>
          <w:rFonts w:ascii="Arial" w:cs="Arial" w:eastAsia="Arial" w:hAnsi="Arial"/>
          <w:sz w:val="18"/>
          <w:szCs w:val="18"/>
          <w:color w:val="auto"/>
        </w:rPr>
        <w:t>At current commodity prices and based upon our planned 2022 capital program described below, we expect to generate operating cash flow to support and invest in our core assets and preserve financial flexibility. We regularly review our financial position and evaluate whether to (i) increase investments in our drilling program to accelerate value, (ii) return available cash to shareholders through dividends or stock buybacks to the extent permitted under our Revolving Credit Facility and Senior Notes indenture, (iii) advance carbon management activities, or (iv) maintain cash on our balance sheet. We believe we have sufficient sources of liquidity to meet our obligations for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Prior to May 2022, our Revolving Credit Facility required us to maintain certain levels of hedges regardless of our leverage. We also entered into incremental hedges above and beyond these requirements for certain time periods. In certain circumstances, these hedges (including hedges entered into by us in 2020 to comply with covenants in our Revolving Credit Facility) prevent us from realizing the full benefits of price increases. Following recent amendments to our Revolving Credit Facility in April 2022, we are only required to maintain hedges in the event the ratio of our consolidated total secured debt to consolidated EBITDAX as defined in our Credit Agreement exceeds 1:1. We will continue to evaluate our hedging strategy based on prevailing market prices and conditions.</w:t>
      </w:r>
    </w:p>
    <w:p>
      <w:pPr>
        <w:spacing w:after="0" w:line="20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June 30, 2022.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9 Derivatives </w:t>
      </w:r>
      <w:r>
        <w:rPr>
          <w:rFonts w:ascii="Arial" w:cs="Arial" w:eastAsia="Arial" w:hAnsi="Arial"/>
          <w:sz w:val="18"/>
          <w:szCs w:val="18"/>
          <w:color w:val="auto"/>
        </w:rPr>
        <w:t>for further information on our derivatives and a summary of our open derivative contracts as of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i w:val="1"/>
          <w:iCs w:val="1"/>
          <w:color w:val="auto"/>
        </w:rPr>
        <w:t>Part I, Item 1 – Financial Statements, Note 6 Debt</w:t>
      </w:r>
      <w:r>
        <w:rPr>
          <w:rFonts w:ascii="Arial" w:cs="Arial" w:eastAsia="Arial" w:hAnsi="Arial"/>
          <w:sz w:val="18"/>
          <w:szCs w:val="18"/>
          <w:color w:val="auto"/>
        </w:rPr>
        <w:t xml:space="preserve"> for information for more information on an amendment to the hedging requirements included in our Revolving Credit Facility.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Capital Program</w:t>
      </w:r>
    </w:p>
    <w:p>
      <w:pPr>
        <w:spacing w:after="0" w:line="252"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Our capital program is dynamic in response to oil market volatility while focusing on maintaining our oil production and strong liquidity and maximizing our free cash flow. During the second half of 2022, we expect to run five drilling rigs in the Elk Hills, Buena Vista and Wilmington fields.</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increasing our 2022 capital program to a range of $380 million to $ 410 million from $340 million to $385 million. We have and will likely continue to experience cost increases related to our drilling program due to inflationary pressures, including for items such as oilfield tubular goods (tubing, casing and pipe), fuel and drilling services. We increased our 2022 capital program for inflation and these cost increases could also impact our capital program in 2023 and beyond. Additionally, in response to the continued strong commodity environment, we are adding to our workover program for natural gas assets located in the Sacramento Basin and the Buena Vista field. Finally, we have increased our capital program for our carbon management activities.</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 xml:space="preserve">This level of expected spending is consistent with our capital allocation strategy. Following the joint venture with Brookfield, we anticipate that the percentage of operating cash flow previously designated for advancing decarbonization and other emission reducing projects will now be available for other corporate purposes, such as shareholder returns and other strategic opportunities. See a summary of our Business Strategy in </w:t>
      </w:r>
      <w:r>
        <w:rPr>
          <w:rFonts w:ascii="Arial" w:cs="Arial" w:eastAsia="Arial" w:hAnsi="Arial"/>
          <w:sz w:val="18"/>
          <w:szCs w:val="18"/>
          <w:i w:val="1"/>
          <w:iCs w:val="1"/>
          <w:color w:val="auto"/>
        </w:rPr>
        <w:t>Part I, Item 1 &amp; 2 – Business and Properties</w:t>
      </w:r>
      <w:r>
        <w:rPr>
          <w:rFonts w:ascii="Arial" w:cs="Arial" w:eastAsia="Arial" w:hAnsi="Arial"/>
          <w:sz w:val="18"/>
          <w:szCs w:val="18"/>
          <w:color w:val="auto"/>
        </w:rPr>
        <w:t>, in our 2021 Annual Report.</w:t>
      </w:r>
    </w:p>
    <w:p>
      <w:pPr>
        <w:spacing w:after="0" w:line="203"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Any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8" w:name="page39"/>
    <w:bookmarkEnd w:id="38"/>
    <w:p>
      <w:pPr>
        <w:ind w:right="520" w:firstLine="324"/>
        <w:spacing w:after="0" w:line="287"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4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2022 Full Year Estimate</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Six months ended June</w:t>
            </w: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30, 2022</w:t>
            </w:r>
          </w:p>
        </w:tc>
        <w:tc>
          <w:tcPr>
            <w:tcW w:w="0" w:type="dxa"/>
            <w:vAlign w:val="bottom"/>
          </w:tcPr>
          <w:p>
            <w:pPr>
              <w:spacing w:after="0"/>
              <w:rPr>
                <w:sz w:val="1"/>
                <w:szCs w:val="1"/>
                <w:color w:val="auto"/>
              </w:rPr>
            </w:pPr>
          </w:p>
        </w:tc>
      </w:tr>
      <w:tr>
        <w:trPr>
          <w:trHeight w:val="83"/>
        </w:trPr>
        <w:tc>
          <w:tcPr>
            <w:tcW w:w="652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96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operations, corporate and other</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 $380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Carbon management business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20 - 30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Capital</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$380 - $410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subject to many variables, including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other changes in our business, including adjustments to our capital program.</w:t>
      </w:r>
    </w:p>
    <w:p>
      <w:pPr>
        <w:spacing w:after="0" w:line="198"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For the six months ended June 30, 2022, our operating cash flow increased 24%, or $67 million, to $341 million from $274 million in the same prior period of 2021. Net cash used in operating activities for the six months ended June 30, 2022 included $ 7 million related to our carbon management business. We did not have operations related to our carbon management business for the six months ended June 30, 2021.</w:t>
      </w:r>
    </w:p>
    <w:p>
      <w:pPr>
        <w:spacing w:after="0" w:line="20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increases in operating cash flow for the six months ended June 30, 2022 primarily relates to higher average realized prices (including the effects of settlements on our commodity derivatives) in 2022 compared to the same prior-year period. This increase was partially offset by lower production volumes in 2022 as compared to the same period in 2021. The increase in our revenue from oil, natural gas and NGL sales was partially offset by an increase in operating costs primarily related to higher prices for purchased natural gas and electricity used in our operations.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The following table provides a comparative summary of net cash used in investing activities:</w:t>
      </w:r>
    </w:p>
    <w:p>
      <w:pPr>
        <w:spacing w:after="0" w:line="279"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Six months ended</w:t>
      </w:r>
    </w:p>
    <w:p>
      <w:pPr>
        <w:jc w:val="center"/>
        <w:ind w:left="780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192"/>
        </w:trPr>
        <w:tc>
          <w:tcPr>
            <w:tcW w:w="7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6"/>
                <w:szCs w:val="16"/>
                <w:color w:val="auto"/>
              </w:rPr>
            </w:pPr>
          </w:p>
        </w:tc>
      </w:tr>
      <w:tr>
        <w:trPr>
          <w:trHeight w:val="23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w:t>
            </w: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Acquisitions</w:t>
            </w:r>
          </w:p>
        </w:tc>
        <w:tc>
          <w:tcPr>
            <w:tcW w:w="1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Net cash used in investing activities for the six months ended June 30, 2022 included $11 million related to our carbon management business. We did not have investing activities related to our carbon management business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The following table provides a comparative summary of net cash used in financing activities:</w:t>
      </w:r>
    </w:p>
    <w:p>
      <w:pPr>
        <w:spacing w:after="0" w:line="279" w:lineRule="exact"/>
        <w:rPr>
          <w:sz w:val="20"/>
          <w:szCs w:val="20"/>
          <w:color w:val="auto"/>
        </w:rPr>
      </w:pPr>
    </w:p>
    <w:p>
      <w:pPr>
        <w:jc w:val="center"/>
        <w:ind w:left="8040"/>
        <w:spacing w:after="0"/>
        <w:rPr>
          <w:sz w:val="20"/>
          <w:szCs w:val="20"/>
          <w:color w:val="auto"/>
        </w:rPr>
      </w:pPr>
      <w:r>
        <w:rPr>
          <w:rFonts w:ascii="Arial" w:cs="Arial" w:eastAsia="Arial" w:hAnsi="Arial"/>
          <w:sz w:val="18"/>
          <w:szCs w:val="18"/>
          <w:b w:val="1"/>
          <w:bCs w:val="1"/>
          <w:color w:val="auto"/>
        </w:rPr>
        <w:t>Six months ended</w:t>
      </w:r>
    </w:p>
    <w:p>
      <w:pPr>
        <w:jc w:val="center"/>
        <w:ind w:left="804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192"/>
        </w:trPr>
        <w:tc>
          <w:tcPr>
            <w:tcW w:w="8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color w:val="auto"/>
              </w:rPr>
              <w:t>(in millions)</w:t>
            </w:r>
          </w:p>
        </w:tc>
        <w:tc>
          <w:tcPr>
            <w:tcW w:w="1100" w:type="dxa"/>
            <w:vAlign w:val="bottom"/>
          </w:tcPr>
          <w:p>
            <w:pPr>
              <w:spacing w:after="0"/>
              <w:rPr>
                <w:sz w:val="16"/>
                <w:szCs w:val="16"/>
                <w:color w:val="auto"/>
              </w:rPr>
            </w:pPr>
          </w:p>
        </w:tc>
      </w:tr>
      <w:tr>
        <w:trPr>
          <w:trHeight w:val="23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transactions, net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(12)</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Distributions paid to a noncontrolling interest holder</w:t>
            </w:r>
          </w:p>
        </w:tc>
        <w:tc>
          <w:tcPr>
            <w:tcW w:w="10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tcPr>
          <w:p>
            <w:pPr>
              <w:jc w:val="center"/>
              <w:ind w:left="650"/>
              <w:spacing w:after="0"/>
              <w:rPr>
                <w:sz w:val="20"/>
                <w:szCs w:val="20"/>
                <w:color w:val="auto"/>
              </w:rPr>
            </w:pPr>
            <w:r>
              <w:rPr>
                <w:rFonts w:ascii="Arial" w:cs="Arial" w:eastAsia="Arial" w:hAnsi="Arial"/>
                <w:sz w:val="18"/>
                <w:szCs w:val="18"/>
                <w:color w:val="auto"/>
                <w:w w:val="99"/>
              </w:rPr>
              <w:t>(31)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9"/>
              </w:rPr>
              <w:t>(45)</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dividends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w:t>
            </w:r>
          </w:p>
        </w:tc>
      </w:tr>
      <w:tr>
        <w:trPr>
          <w:trHeight w:val="248"/>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9"/>
              </w:rPr>
              <w:t>(88)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2022 and December 31, 2021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8 Lawsuits, Claims, Commitments and Contingencies</w:t>
      </w:r>
      <w:r>
        <w:rPr>
          <w:rFonts w:ascii="Arial" w:cs="Arial" w:eastAsia="Arial" w:hAnsi="Arial"/>
          <w:sz w:val="18"/>
          <w:szCs w:val="18"/>
          <w:color w:val="auto"/>
        </w:rPr>
        <w:t xml:space="preserve">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Accounting and Disclosure Changes</w:t>
      </w:r>
    </w:p>
    <w:p>
      <w:pPr>
        <w:spacing w:after="0" w:line="252"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 xml:space="preserve">There have been no changes to our critical accounting estimates, which are summarized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Critical Accounting Estimates </w:t>
      </w:r>
      <w:r>
        <w:rPr>
          <w:rFonts w:ascii="Arial" w:cs="Arial" w:eastAsia="Arial" w:hAnsi="Arial"/>
          <w:sz w:val="18"/>
          <w:szCs w:val="18"/>
          <w:color w:val="auto"/>
        </w:rPr>
        <w:t>of our 2021 Annual Report. See</w:t>
      </w:r>
      <w:r>
        <w:rPr>
          <w:rFonts w:ascii="Arial" w:cs="Arial" w:eastAsia="Arial" w:hAnsi="Arial"/>
          <w:sz w:val="18"/>
          <w:szCs w:val="18"/>
          <w:i w:val="1"/>
          <w:iCs w:val="1"/>
          <w:color w:val="auto"/>
        </w:rPr>
        <w:t xml:space="preserve"> Part I, Item 1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Statements, Note 2 Accounting and Disclosure Changes </w:t>
      </w:r>
      <w:r>
        <w:rPr>
          <w:rFonts w:ascii="Arial" w:cs="Arial" w:eastAsia="Arial" w:hAnsi="Arial"/>
          <w:sz w:val="18"/>
          <w:szCs w:val="18"/>
          <w:color w:val="auto"/>
        </w:rPr>
        <w:t>for a discussion of new accounting standards.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jc w:val="both"/>
        <w:ind w:left="660" w:right="669"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commodity prices and the potential for sustained low oil, natural gas and natural gas liquids prices;</w:t>
      </w:r>
    </w:p>
    <w:p>
      <w:pPr>
        <w:spacing w:after="0" w:line="1" w:lineRule="exact"/>
        <w:rPr>
          <w:rFonts w:ascii="Arial" w:cs="Arial" w:eastAsia="Arial" w:hAnsi="Arial"/>
          <w:sz w:val="18"/>
          <w:szCs w:val="18"/>
          <w:color w:val="auto"/>
        </w:rPr>
      </w:pPr>
    </w:p>
    <w:p>
      <w:pPr>
        <w:ind w:left="660" w:right="136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ind w:left="660" w:right="36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spacing w:after="0" w:line="3" w:lineRule="exact"/>
        <w:rPr>
          <w:rFonts w:ascii="Arial" w:cs="Arial" w:eastAsia="Arial" w:hAnsi="Arial"/>
          <w:sz w:val="18"/>
          <w:szCs w:val="18"/>
          <w:color w:val="auto"/>
        </w:rPr>
      </w:pPr>
    </w:p>
    <w:p>
      <w:pPr>
        <w:ind w:left="660" w:right="28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 necessary for drilling or development activities and carbon management projects;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business strategy and our capital plan;</w:t>
      </w:r>
    </w:p>
    <w:p>
      <w:pPr>
        <w:spacing w:after="0" w:line="9"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or acquisitions, or higher-than-expected decline rates;</w:t>
      </w:r>
    </w:p>
    <w:p>
      <w:pPr>
        <w:spacing w:after="0" w:line="1" w:lineRule="exact"/>
        <w:rPr>
          <w:rFonts w:ascii="Arial" w:cs="Arial" w:eastAsia="Arial" w:hAnsi="Arial"/>
          <w:sz w:val="18"/>
          <w:szCs w:val="18"/>
          <w:color w:val="auto"/>
        </w:rPr>
      </w:pPr>
    </w:p>
    <w:p>
      <w:pPr>
        <w:ind w:left="660" w:right="50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660" w:right="40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660" w:right="48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utilize storage capacity of the 26R storage reservoir consistent with the Joint Venture and Investment Agreement through either storage only contracts or as part of an integrated project;</w:t>
      </w:r>
    </w:p>
    <w:p>
      <w:pPr>
        <w:spacing w:after="0" w:line="1" w:lineRule="exact"/>
        <w:rPr>
          <w:rFonts w:ascii="Arial" w:cs="Arial" w:eastAsia="Arial" w:hAnsi="Arial"/>
          <w:sz w:val="18"/>
          <w:szCs w:val="18"/>
          <w:color w:val="auto"/>
        </w:rPr>
      </w:pPr>
    </w:p>
    <w:p>
      <w:pPr>
        <w:ind w:left="660" w:right="889"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develop projects that are acceptable to the JV;</w:t>
      </w:r>
    </w:p>
    <w:p>
      <w:pPr>
        <w:ind w:left="660" w:right="329" w:hanging="328"/>
        <w:spacing w:after="0" w:line="25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execute on the construction and other aspects of the infrastructure projects and enter into third party contracts on contemplated terms;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31" w:right="20" w:hanging="331"/>
        <w:spacing w:after="0" w:line="254"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all benefits contemplated by the strategic partnership and business strategies and initiatives related to energy transition, including carbon capture and storage projects and other renewable energy efforts;</w:t>
      </w:r>
    </w:p>
    <w:p>
      <w:pPr>
        <w:spacing w:after="0" w:line="2" w:lineRule="exact"/>
        <w:rPr>
          <w:rFonts w:ascii="Arial" w:cs="Arial" w:eastAsia="Arial" w:hAnsi="Arial"/>
          <w:sz w:val="18"/>
          <w:szCs w:val="18"/>
          <w:color w:val="auto"/>
        </w:rPr>
      </w:pPr>
    </w:p>
    <w:p>
      <w:pPr>
        <w:ind w:left="331" w:right="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finance and implement our carbon capture and storage projects, including the development of projects contemplated as part of the strategic partnership with Brookfield;</w:t>
      </w:r>
    </w:p>
    <w:p>
      <w:pPr>
        <w:spacing w:after="0" w:line="1" w:lineRule="exact"/>
        <w:rPr>
          <w:rFonts w:ascii="Arial" w:cs="Arial" w:eastAsia="Arial" w:hAnsi="Arial"/>
          <w:sz w:val="18"/>
          <w:szCs w:val="18"/>
          <w:color w:val="auto"/>
        </w:rPr>
      </w:pPr>
    </w:p>
    <w:p>
      <w:pPr>
        <w:ind w:left="331" w:right="38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geopolitical, socio-demographic and economic trends and technological innovations;</w:t>
      </w:r>
    </w:p>
    <w:p>
      <w:pPr>
        <w:ind w:left="331" w:right="18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dividend policy and our ability to declare future dividends;</w:t>
      </w:r>
    </w:p>
    <w:p>
      <w:pPr>
        <w:ind w:left="331" w:right="22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ind w:left="331" w:right="2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331" w:right="4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interest payments on our debt, stock repurchases or changes to our capital plan;</w:t>
      </w:r>
    </w:p>
    <w:p>
      <w:pPr>
        <w:spacing w:after="0" w:line="1" w:lineRule="exact"/>
        <w:rPr>
          <w:rFonts w:ascii="Arial" w:cs="Arial" w:eastAsia="Arial" w:hAnsi="Arial"/>
          <w:sz w:val="18"/>
          <w:szCs w:val="18"/>
          <w:color w:val="auto"/>
        </w:rPr>
      </w:pPr>
    </w:p>
    <w:p>
      <w:pPr>
        <w:ind w:left="331" w:right="460" w:hanging="331"/>
        <w:spacing w:after="0" w:line="265" w:lineRule="auto"/>
        <w:tabs>
          <w:tab w:leader="none" w:pos="32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insufficient capital or liquidity unavailability of capital markets or inability to attract potential investors;</w:t>
      </w:r>
    </w:p>
    <w:p>
      <w:pPr>
        <w:ind w:left="331" w:right="18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331" w:right="380" w:hanging="331"/>
        <w:spacing w:after="0" w:line="265" w:lineRule="auto"/>
        <w:tabs>
          <w:tab w:leader="none" w:pos="32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ind w:left="331" w:right="14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331" w:right="200" w:hanging="331"/>
        <w:spacing w:after="0" w:line="250"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ind w:left="331" w:right="420" w:hanging="331"/>
        <w:spacing w:after="0" w:line="258"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gather and verify data regarding emissions, our environmental impacts and other initiatives;</w:t>
      </w:r>
    </w:p>
    <w:p>
      <w:pPr>
        <w:spacing w:after="0" w:line="200"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41" w:name="page42"/>
    <w:bookmarkEnd w:id="41"/>
    <w:p>
      <w:pPr>
        <w:ind w:left="3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compliance of various third parties with our policies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procedures and legal requirements as well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contracts we enter into in connection with our climate-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initiatives;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stock price on costs associated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intensity of competition in the oil and gas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effects of hedging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climate-related conditions and weather events;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disruptions due to accidents, mechanical failures, power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outages, transportation or storage constraints, natural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disasters, labor difficulties, cyber-attacks or other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catastrophic events;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pandemics, epidemics, outbreaks, or other public health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events, such as the COVID-19;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847" w:lineRule="exact"/>
        <w:rPr>
          <w:sz w:val="20"/>
          <w:szCs w:val="20"/>
          <w:color w:val="auto"/>
        </w:rPr>
      </w:pPr>
    </w:p>
    <w:p>
      <w:pPr>
        <w:sectPr>
          <w:pgSz w:w="11900" w:h="16838" w:orient="portrait"/>
          <w:cols w:equalWidth="0" w:num="4">
            <w:col w:w="400" w:space="260"/>
            <w:col w:w="4840" w:space="720"/>
            <w:col w:w="80" w:space="240"/>
            <w:col w:w="4600"/>
          </w:cols>
          <w:pgMar w:left="320" w:top="890" w:right="439" w:bottom="1440" w:gutter="0" w:footer="0" w:header="0"/>
        </w:sectPr>
      </w:pPr>
    </w:p>
    <w:p>
      <w:pPr>
        <w:spacing w:after="0" w:line="27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type w:val="continuous"/>
        </w:sectPr>
      </w:pPr>
    </w:p>
    <w:bookmarkStart w:id="42" w:name="page43"/>
    <w:bookmarkEnd w:id="42"/>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 xml:space="preserve">For the three and six months ended June 30, 2022,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2021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These commodity price changes also impact the volume changes under PSCs. We maintain a commodity hedging program primarily focused on hedging crude oil sales to help protect our cash flows, margins and capital program from the volatility of crude oil prices. As of June 30, 2022, we had net liabilities of $596 million for our derivative commodity positions which are carried at fair value. For more information on our derivative positions as of June 30, 2022, refer to </w:t>
      </w:r>
      <w:r>
        <w:rPr>
          <w:rFonts w:ascii="Arial" w:cs="Arial" w:eastAsia="Arial" w:hAnsi="Arial"/>
          <w:sz w:val="18"/>
          <w:szCs w:val="18"/>
          <w:i w:val="1"/>
          <w:iCs w:val="1"/>
          <w:color w:val="auto"/>
        </w:rPr>
        <w:t>Part I, Item 1 – Financial Statements, Note 9 Derivatives.</w:t>
      </w:r>
      <w:r>
        <w:rPr>
          <w:rFonts w:ascii="Arial" w:cs="Arial" w:eastAsia="Arial" w:hAnsi="Arial"/>
          <w:sz w:val="18"/>
          <w:szCs w:val="18"/>
          <w:color w:val="auto"/>
        </w:rPr>
        <w:t xml:space="preserve"> We have price exposure for natural gas we purchase and use in our business. We used natural gas to generate electricity for our operations and higher natural gas prices will increase our electricity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w:t>
      </w:r>
    </w:p>
    <w:p>
      <w:pPr>
        <w:spacing w:after="0" w:line="203"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As of June 30, 2022, the majority of our credit exposure was with investment-grade counterparties. We believe exposure to counterparty credit-related losses related to our business at June 30, 2022 was not material and losses associated with counterparty credit risk have been insignificant for all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50"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Changes in interest rate may affect the amount of interest we pay on our long-term debt. We had no variable-rate debt outstanding as of June 30, 2022. Our Senior Notes bear interest at a fixed rate of 7.125% per annum.</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5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Chief Executive Officer and our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June 30, 2022.</w:t>
      </w:r>
    </w:p>
    <w:p>
      <w:pPr>
        <w:spacing w:after="0" w:line="13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June 30, 2022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43" w:name="page44"/>
    <w:bookmarkEnd w:id="43"/>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8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2021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2021 Annual Report. There were no material changes to those risk factors during the six months ended June 30, 2022.</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Our Board of Directors authorized a Share Repurchase Program to acquire up to $650 million of our common stock through June 30, 2023.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June 30, 2022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6"/>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29"/>
        </w:trPr>
        <w:tc>
          <w:tcPr>
            <w:tcW w:w="4200" w:type="dxa"/>
            <w:vAlign w:val="bottom"/>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19"/>
                <w:szCs w:val="19"/>
                <w:color w:val="auto"/>
              </w:rPr>
            </w:pPr>
          </w:p>
        </w:tc>
        <w:tc>
          <w:tcPr>
            <w:tcW w:w="22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May 1, 2022 - May 31, 2022</w:t>
            </w:r>
          </w:p>
        </w:tc>
        <w:tc>
          <w:tcPr>
            <w:tcW w:w="1240" w:type="dxa"/>
            <w:vAlign w:val="bottom"/>
          </w:tcPr>
          <w:p>
            <w:pPr>
              <w:jc w:val="right"/>
              <w:spacing w:after="0"/>
              <w:rPr>
                <w:sz w:val="20"/>
                <w:szCs w:val="20"/>
                <w:color w:val="auto"/>
              </w:rPr>
            </w:pPr>
            <w:r>
              <w:rPr>
                <w:rFonts w:ascii="Arial" w:cs="Arial" w:eastAsia="Arial" w:hAnsi="Arial"/>
                <w:sz w:val="18"/>
                <w:szCs w:val="18"/>
                <w:color w:val="auto"/>
              </w:rPr>
              <w:t>820,660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820,660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2,255,445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2,255,445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dollar value of shares that may yet be purchased under the Share Repurchase Program totaled $335 million as of June 30, 2022.</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ind w:left="20" w:hanging="17"/>
        <w:spacing w:after="0" w:line="443" w:lineRule="auto"/>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3.1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Exhibits</w:t>
      </w:r>
    </w:p>
    <w:p>
      <w:pPr>
        <w:spacing w:after="0" w:line="158" w:lineRule="exact"/>
        <w:rPr>
          <w:sz w:val="20"/>
          <w:szCs w:val="20"/>
          <w:color w:val="auto"/>
        </w:rPr>
      </w:pPr>
    </w:p>
    <w:p>
      <w:pPr>
        <w:ind w:left="160" w:right="200"/>
        <w:spacing w:after="0" w:line="271" w:lineRule="auto"/>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Amended and Restated Certificate of Incorporation of California Resources Corporation (filed as Exhibit 3.1 to Registrant’s</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Registration Statement on Form 8-A filed October 27, 2020 and incorporated herein by reference).</w:t>
        </w:r>
      </w:hyperlink>
    </w:p>
    <w:p>
      <w:pPr>
        <w:spacing w:after="0" w:line="59" w:lineRule="exact"/>
        <w:rPr>
          <w:sz w:val="20"/>
          <w:szCs w:val="20"/>
          <w:color w:val="auto"/>
        </w:rPr>
      </w:pPr>
    </w:p>
    <w:p>
      <w:pPr>
        <w:ind w:left="160"/>
        <w:spacing w:after="0" w:line="271"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Certificate of Amendment of Amended and Restated Certificate of Incorporation of California Resources Corporation (filed as</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Exhibit 3.1 to Registrant's Current Report on Form 8-K filed on May 6, 2022 and incorporated herein by reference).</w:t>
        </w:r>
      </w:hyperlink>
    </w:p>
    <w:p>
      <w:pPr>
        <w:spacing w:after="0" w:line="46" w:lineRule="exact"/>
        <w:rPr>
          <w:sz w:val="20"/>
          <w:szCs w:val="20"/>
          <w:color w:val="auto"/>
        </w:rPr>
      </w:pPr>
    </w:p>
    <w:p>
      <w:pPr>
        <w:sectPr>
          <w:pgSz w:w="11900" w:h="16838" w:orient="portrait"/>
          <w:cols w:equalWidth="0" w:num="2">
            <w:col w:w="520" w:space="440"/>
            <w:col w:w="10080"/>
          </w:cols>
          <w:pgMar w:left="320" w:top="890" w:right="539" w:bottom="1440" w:gutter="0" w:footer="0" w:header="0"/>
        </w:sectPr>
      </w:pPr>
    </w:p>
    <w:tbl>
      <w:tblPr>
        <w:tblLayout w:type="fixed"/>
        <w:tblInd w:w="20" w:type="dxa"/>
        <w:tblCellMar>
          <w:top w:w="0" w:type="dxa"/>
          <w:left w:w="0" w:type="dxa"/>
          <w:bottom w:w="0" w:type="dxa"/>
          <w:right w:w="0" w:type="dxa"/>
        </w:tblCellMar>
      </w:tblPr>
      <w:tr>
        <w:trPr>
          <w:trHeight w:val="208"/>
        </w:trPr>
        <w:tc>
          <w:tcPr>
            <w:tcW w:w="1100" w:type="dxa"/>
            <w:vAlign w:val="bottom"/>
          </w:tcPr>
          <w:p>
            <w:pPr>
              <w:spacing w:after="0"/>
              <w:rPr>
                <w:sz w:val="20"/>
                <w:szCs w:val="20"/>
                <w:color w:val="auto"/>
              </w:rPr>
            </w:pPr>
            <w:r>
              <w:rPr>
                <w:rFonts w:ascii="Arial" w:cs="Arial" w:eastAsia="Arial" w:hAnsi="Arial"/>
                <w:sz w:val="18"/>
                <w:szCs w:val="18"/>
                <w:color w:val="auto"/>
              </w:rPr>
              <w:t>3.3</w:t>
            </w:r>
          </w:p>
        </w:tc>
        <w:tc>
          <w:tcPr>
            <w:tcW w:w="9720" w:type="dxa"/>
            <w:vAlign w:val="bottom"/>
            <w:gridSpan w:val="12"/>
          </w:tcPr>
          <w:p>
            <w:pPr>
              <w:spacing w:after="0"/>
              <w:rPr>
                <w:rFonts w:ascii="Arial" w:cs="Arial" w:eastAsia="Arial" w:hAnsi="Arial"/>
                <w:sz w:val="18"/>
                <w:szCs w:val="18"/>
                <w:color w:val="0000FF"/>
              </w:rPr>
            </w:pPr>
            <w:hyperlink r:id="rId64">
              <w:r>
                <w:rPr>
                  <w:rFonts w:ascii="Arial" w:cs="Arial" w:eastAsia="Arial" w:hAnsi="Arial"/>
                  <w:sz w:val="18"/>
                  <w:szCs w:val="18"/>
                  <w:color w:val="0000FF"/>
                </w:rPr>
                <w:t>Amended and Restated Bylaws of California Resources Corporation (filed as Exhibit 3.2 to the Registrant’s Registration</w:t>
              </w:r>
            </w:hyperlink>
          </w:p>
        </w:tc>
      </w:tr>
      <w:tr>
        <w:trPr>
          <w:trHeight w:val="183"/>
        </w:trPr>
        <w:tc>
          <w:tcPr>
            <w:tcW w:w="1100" w:type="dxa"/>
            <w:vAlign w:val="bottom"/>
          </w:tcPr>
          <w:p>
            <w:pPr>
              <w:spacing w:after="0"/>
              <w:rPr>
                <w:sz w:val="15"/>
                <w:szCs w:val="15"/>
                <w:color w:val="auto"/>
              </w:rPr>
            </w:pPr>
          </w:p>
        </w:tc>
        <w:tc>
          <w:tcPr>
            <w:tcW w:w="95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Statement on Form 8-A filed October 27, 2020 and incorporated herein by reference).</w:t>
              </w:r>
            </w:hyperlink>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720" w:type="dxa"/>
            <w:vAlign w:val="bottom"/>
            <w:gridSpan w:val="12"/>
          </w:tcPr>
          <w:p>
            <w:pPr>
              <w:spacing w:after="0"/>
              <w:rPr>
                <w:rFonts w:ascii="Arial" w:cs="Arial" w:eastAsia="Arial" w:hAnsi="Arial"/>
                <w:sz w:val="18"/>
                <w:szCs w:val="18"/>
                <w:color w:val="0000FF"/>
              </w:rPr>
            </w:pPr>
            <w:hyperlink r:id="rId65">
              <w:r>
                <w:rPr>
                  <w:rFonts w:ascii="Arial" w:cs="Arial" w:eastAsia="Arial" w:hAnsi="Arial"/>
                  <w:sz w:val="18"/>
                  <w:szCs w:val="18"/>
                  <w:color w:val="0000FF"/>
                </w:rPr>
                <w:t>Third Amendment to the Credit Agreement, dated April 29, 2022, by and among California Resources Corporation, as the</w:t>
              </w:r>
            </w:hyperlink>
          </w:p>
        </w:tc>
      </w:tr>
      <w:tr>
        <w:trPr>
          <w:trHeight w:val="183"/>
        </w:trPr>
        <w:tc>
          <w:tcPr>
            <w:tcW w:w="1100" w:type="dxa"/>
            <w:vAlign w:val="bottom"/>
          </w:tcPr>
          <w:p>
            <w:pPr>
              <w:spacing w:after="0"/>
              <w:rPr>
                <w:sz w:val="15"/>
                <w:szCs w:val="15"/>
                <w:color w:val="auto"/>
              </w:rPr>
            </w:pPr>
          </w:p>
        </w:tc>
        <w:tc>
          <w:tcPr>
            <w:tcW w:w="964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Borrower, the credit parties party thereto, the several lenders from time to time parties thereto and Citibank, N.A. as</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916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administrative agent (filed as Exhibit 10.2 to the Registrant's Quarterly Report on Form 10-Q filed May 5, 2022 and</w:t>
              </w:r>
            </w:hyperlink>
          </w:p>
        </w:tc>
        <w:tc>
          <w:tcPr>
            <w:tcW w:w="5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1100" w:type="dxa"/>
            <w:vAlign w:val="bottom"/>
          </w:tcPr>
          <w:p>
            <w:pPr>
              <w:spacing w:after="0"/>
              <w:rPr>
                <w:sz w:val="14"/>
                <w:szCs w:val="14"/>
                <w:color w:val="auto"/>
              </w:rPr>
            </w:pPr>
          </w:p>
        </w:tc>
        <w:tc>
          <w:tcPr>
            <w:tcW w:w="910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incorporated herein by reference)</w:t>
              </w:r>
              <w:r>
                <w:rPr>
                  <w:rFonts w:ascii="Arial" w:cs="Arial" w:eastAsia="Arial" w:hAnsi="Arial"/>
                  <w:sz w:val="18"/>
                  <w:szCs w:val="18"/>
                  <w:u w:val="single" w:color="auto"/>
                  <w:color w:val="0000FF"/>
                </w:rPr>
                <w:t>.</w:t>
              </w:r>
            </w:hyperlink>
          </w:p>
        </w:tc>
        <w:tc>
          <w:tcPr>
            <w:tcW w:w="6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9720" w:type="dxa"/>
            <w:vAlign w:val="bottom"/>
            <w:gridSpan w:val="12"/>
          </w:tcPr>
          <w:p>
            <w:pPr>
              <w:spacing w:after="0"/>
              <w:rPr>
                <w:rFonts w:ascii="Arial" w:cs="Arial" w:eastAsia="Arial" w:hAnsi="Arial"/>
                <w:sz w:val="18"/>
                <w:szCs w:val="18"/>
                <w:color w:val="0000FF"/>
              </w:rPr>
            </w:pPr>
            <w:hyperlink r:id="rId66">
              <w:r>
                <w:rPr>
                  <w:rFonts w:ascii="Arial" w:cs="Arial" w:eastAsia="Arial" w:hAnsi="Arial"/>
                  <w:sz w:val="18"/>
                  <w:szCs w:val="18"/>
                  <w:color w:val="0000FF"/>
                </w:rPr>
                <w:t>Employee Stock Purchase Plan (filed as Exhibit 10.1 to Registrant's Current Report on Form 8-K filed on May 6, 2022 and</w:t>
              </w:r>
            </w:hyperlink>
          </w:p>
        </w:tc>
      </w:tr>
      <w:tr>
        <w:trPr>
          <w:trHeight w:val="183"/>
        </w:trPr>
        <w:tc>
          <w:tcPr>
            <w:tcW w:w="110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incorporated herein by reference).</w:t>
              </w:r>
            </w:hyperlink>
          </w:p>
        </w:tc>
        <w:tc>
          <w:tcPr>
            <w:tcW w:w="698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64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CEO Pursuant to Section 302 of the Sarbanes-Oxley Act of 2002.</w:t>
            </w:r>
          </w:p>
        </w:tc>
        <w:tc>
          <w:tcPr>
            <w:tcW w:w="3300" w:type="dxa"/>
            <w:vAlign w:val="bottom"/>
            <w:gridSpan w:val="8"/>
          </w:tcPr>
          <w:p>
            <w:pPr>
              <w:spacing w:after="0"/>
              <w:rPr>
                <w:sz w:val="24"/>
                <w:szCs w:val="24"/>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720" w:type="dxa"/>
            <w:vAlign w:val="bottom"/>
            <w:gridSpan w:val="12"/>
          </w:tcPr>
          <w:p>
            <w:pPr>
              <w:spacing w:after="0"/>
              <w:rPr>
                <w:sz w:val="20"/>
                <w:szCs w:val="20"/>
                <w:color w:val="auto"/>
              </w:rPr>
            </w:pPr>
            <w:r>
              <w:rPr>
                <w:rFonts w:ascii="Arial" w:cs="Arial" w:eastAsia="Arial" w:hAnsi="Arial"/>
                <w:sz w:val="18"/>
                <w:szCs w:val="18"/>
                <w:color w:val="0000FF"/>
              </w:rPr>
              <w:t>Certification of CFO Pursuant to Section 302 of the Sarbanes-Oxley Act of 2002.</w:t>
            </w:r>
          </w:p>
        </w:tc>
      </w:tr>
      <w:tr>
        <w:trPr>
          <w:trHeight w:val="20"/>
        </w:trPr>
        <w:tc>
          <w:tcPr>
            <w:tcW w:w="1100" w:type="dxa"/>
            <w:vAlign w:val="bottom"/>
          </w:tcPr>
          <w:p>
            <w:pPr>
              <w:spacing w:after="0" w:line="20" w:lineRule="exact"/>
              <w:rPr>
                <w:sz w:val="1"/>
                <w:szCs w:val="1"/>
                <w:color w:val="auto"/>
              </w:rPr>
            </w:pPr>
          </w:p>
        </w:tc>
        <w:tc>
          <w:tcPr>
            <w:tcW w:w="6400" w:type="dxa"/>
            <w:vAlign w:val="bottom"/>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720" w:type="dxa"/>
            <w:vAlign w:val="bottom"/>
            <w:gridSpan w:val="12"/>
          </w:tcPr>
          <w:p>
            <w:pPr>
              <w:spacing w:after="0"/>
              <w:rPr>
                <w:sz w:val="20"/>
                <w:szCs w:val="20"/>
                <w:color w:val="auto"/>
              </w:rPr>
            </w:pPr>
            <w:r>
              <w:rPr>
                <w:rFonts w:ascii="Arial" w:cs="Arial" w:eastAsia="Arial" w:hAnsi="Arial"/>
                <w:sz w:val="18"/>
                <w:szCs w:val="18"/>
                <w:color w:val="0000FF"/>
              </w:rPr>
              <w:t>Certifications of CEO and CFO Pursuant to Section 906 of the Sarbanes-Oxley Act of 2002.</w:t>
            </w:r>
          </w:p>
        </w:tc>
      </w:tr>
      <w:tr>
        <w:trPr>
          <w:trHeight w:val="308"/>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2440" w:type="dxa"/>
            <w:vAlign w:val="bottom"/>
            <w:gridSpan w:val="6"/>
          </w:tcPr>
          <w:p>
            <w:pPr>
              <w:spacing w:after="0"/>
              <w:rPr>
                <w:sz w:val="24"/>
                <w:szCs w:val="24"/>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5" w:lineRule="exact"/>
        <w:rPr>
          <w:sz w:val="20"/>
          <w:szCs w:val="20"/>
          <w:color w:val="auto"/>
        </w:rPr>
      </w:pPr>
    </w:p>
    <w:p>
      <w:pPr>
        <w:ind w:left="1120" w:hanging="1094"/>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220" w:type="dxa"/>
            <w:vAlign w:val="bottom"/>
            <w:gridSpan w:val="2"/>
          </w:tcPr>
          <w:p>
            <w:pPr>
              <w:ind w:left="960"/>
              <w:spacing w:after="0"/>
              <w:rPr>
                <w:sz w:val="20"/>
                <w:szCs w:val="20"/>
                <w:color w:val="auto"/>
              </w:rPr>
            </w:pPr>
            <w:r>
              <w:rPr>
                <w:rFonts w:ascii="Arial" w:cs="Arial" w:eastAsia="Arial" w:hAnsi="Arial"/>
                <w:sz w:val="18"/>
                <w:szCs w:val="18"/>
                <w:color w:val="auto"/>
              </w:rPr>
              <w:t>CALIFORNIA RESOURCES CORPORATION</w:t>
            </w:r>
          </w:p>
        </w:tc>
      </w:tr>
      <w:tr>
        <w:trPr>
          <w:trHeight w:val="59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tcPr>
          <w:p>
            <w:pPr>
              <w:ind w:left="240"/>
              <w:spacing w:after="0"/>
              <w:rPr>
                <w:sz w:val="20"/>
                <w:szCs w:val="20"/>
                <w:color w:val="auto"/>
              </w:rPr>
            </w:pPr>
            <w:r>
              <w:rPr>
                <w:rFonts w:ascii="Arial" w:cs="Arial" w:eastAsia="Arial" w:hAnsi="Arial"/>
                <w:sz w:val="18"/>
                <w:szCs w:val="18"/>
                <w:color w:val="auto"/>
              </w:rPr>
              <w:t>August 4, 2022</w:t>
            </w:r>
          </w:p>
        </w:tc>
        <w:tc>
          <w:tcPr>
            <w:tcW w:w="96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18"/>
        </w:trPr>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29"/>
        </w:trPr>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r>
      <w:tr>
        <w:trPr>
          <w:trHeight w:val="239"/>
        </w:trPr>
        <w:tc>
          <w:tcPr>
            <w:tcW w:w="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89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58"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74"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right="360" w:hanging="328"/>
        <w:spacing w:after="0" w:line="266"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66" w:lineRule="auto"/>
        <w:tabs>
          <w:tab w:leader="none" w:pos="1293"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3"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7"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ind w:left="1300" w:right="260" w:hanging="644"/>
        <w:spacing w:after="0" w:line="266" w:lineRule="auto"/>
        <w:tabs>
          <w:tab w:leader="none" w:pos="1293"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60" w:right="360" w:hanging="328"/>
        <w:spacing w:after="0" w:line="274"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2" w:lineRule="exact"/>
        <w:rPr>
          <w:rFonts w:ascii="Arial" w:cs="Arial" w:eastAsia="Arial" w:hAnsi="Arial"/>
          <w:sz w:val="17"/>
          <w:szCs w:val="17"/>
          <w:color w:val="auto"/>
        </w:rPr>
      </w:pPr>
    </w:p>
    <w:p>
      <w:pPr>
        <w:ind w:left="1300" w:right="140" w:hanging="644"/>
        <w:spacing w:after="0" w:line="284" w:lineRule="auto"/>
        <w:tabs>
          <w:tab w:leader="none" w:pos="129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2022</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28289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Mark A. (Mac) McFarland</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3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4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66" w:lineRule="auto"/>
        <w:tabs>
          <w:tab w:leader="none" w:pos="654"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660" w:right="360" w:hanging="652"/>
        <w:spacing w:after="0" w:line="258" w:lineRule="auto"/>
        <w:tabs>
          <w:tab w:leader="none" w:pos="65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74" w:lineRule="auto"/>
        <w:tabs>
          <w:tab w:leader="none" w:pos="129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1300" w:right="20" w:hanging="644"/>
        <w:spacing w:after="0" w:line="266" w:lineRule="auto"/>
        <w:tabs>
          <w:tab w:leader="none" w:pos="129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300" w:right="80" w:hanging="644"/>
        <w:spacing w:after="0" w:line="274" w:lineRule="auto"/>
        <w:tabs>
          <w:tab w:leader="none" w:pos="129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1300" w:right="260" w:hanging="644"/>
        <w:spacing w:after="0" w:line="266" w:lineRule="auto"/>
        <w:tabs>
          <w:tab w:leader="none" w:pos="129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60" w:right="360" w:hanging="652"/>
        <w:spacing w:after="0" w:line="274" w:lineRule="auto"/>
        <w:tabs>
          <w:tab w:leader="none" w:pos="65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300" w:right="140" w:hanging="644"/>
        <w:spacing w:after="0" w:line="284" w:lineRule="auto"/>
        <w:tabs>
          <w:tab w:leader="none" w:pos="1293"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301" w:lineRule="auto"/>
        <w:tabs>
          <w:tab w:leader="none" w:pos="1293"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Date: August 4, 2022</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27305</wp:posOffset>
            </wp:positionV>
            <wp:extent cx="28803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9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June 30, 2022, as filed with the Securities and Exchange Commission on August 4, 2022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392"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(Mac) McFarland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August 4, 2022</w:t>
            </w:r>
          </w:p>
        </w:tc>
      </w:tr>
      <w:tr>
        <w:trPr>
          <w:trHeight w:val="347"/>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18"/>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August 4, 2022</w:t>
            </w:r>
          </w:p>
        </w:tc>
      </w:tr>
    </w:tbl>
    <w:p>
      <w:pPr>
        <w:spacing w:after="0" w:line="39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31"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2"/>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62" Type="http://schemas.openxmlformats.org/officeDocument/2006/relationships/hyperlink" Target="http://www.sec.gov/Archives/edgar/data/1609253/000160925320000137/a8aex31.htm" TargetMode="External"/><Relationship Id="rId63" Type="http://schemas.openxmlformats.org/officeDocument/2006/relationships/hyperlink" Target="http://www.sec.gov/Archives/edgar/data/1609253/000160925322000036/a20220504ex31.htm" TargetMode="External"/><Relationship Id="rId64" Type="http://schemas.openxmlformats.org/officeDocument/2006/relationships/hyperlink" Target="http://www.sec.gov/Archives/edgar/data/1609253/000160925320000137/a8aex32.htm" TargetMode="External"/><Relationship Id="rId65" Type="http://schemas.openxmlformats.org/officeDocument/2006/relationships/hyperlink" Target="http://www.sec.gov/Archives/edgar/data/1609253/000160925322000028/crc-thirdamendmenttocredit.htm" TargetMode="External"/><Relationship Id="rId66" Type="http://schemas.openxmlformats.org/officeDocument/2006/relationships/hyperlink" Target="http://www.sec.gov/Archives/edgar/data/1609253/000160925322000036/a2022050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2022-08-04T16:10:46Z</dcterms:created>
  <dcterms:modified xsi:type="dcterms:W3CDTF">2022-08-04T16:10:46Z</dcterms:modified>
</cp:coreProperties>
</file>