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June 26, 2024 </w:t>
      </w:r>
    </w:p>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California Resources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848-4754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Introductory Note</w:t>
      </w:r>
    </w:p>
    <w:p>
      <w:pPr>
        <w:pStyle w:val="TextBody"/>
        <w:bidi w:val="0"/>
        <w:spacing w:lineRule="auto" w:line="288" w:before="200" w:after="283"/>
        <w:ind w:left="0" w:right="0" w:firstLine="15"/>
        <w:jc w:val="left"/>
        <w:rPr/>
      </w:pPr>
      <w:r>
        <w:rPr>
          <w:rFonts w:ascii="Times New Roman;sans-serif" w:hAnsi="Times New Roman;sans-serif"/>
          <w:b w:val="false"/>
          <w:color w:val="000000"/>
          <w:sz w:val="20"/>
        </w:rPr>
        <w:t>On June 26, 2024, California Resources Corporation, a Delaware corporation (“</w:t>
      </w:r>
      <w:r>
        <w:rPr>
          <w:rFonts w:ascii="Times New Roman;sans-serif" w:hAnsi="Times New Roman;sans-serif"/>
          <w:b w:val="false"/>
          <w:color w:val="000000"/>
          <w:sz w:val="20"/>
          <w:u w:val="single"/>
        </w:rPr>
        <w:t>CRC</w:t>
      </w:r>
      <w:r>
        <w:rPr>
          <w:color w:val="000000"/>
        </w:rPr>
        <w:t>”</w:t>
      </w:r>
      <w:r>
        <w:rPr>
          <w:rFonts w:ascii="Times New Roman;sans-serif" w:hAnsi="Times New Roman;sans-serif"/>
          <w:b w:val="false"/>
          <w:color w:val="000000"/>
          <w:sz w:val="20"/>
        </w:rPr>
        <w:t>), held a special meeting of stockholders (the “</w:t>
      </w:r>
      <w:r>
        <w:rPr>
          <w:rFonts w:ascii="Times New Roman;sans-serif" w:hAnsi="Times New Roman;sans-serif"/>
          <w:b w:val="false"/>
          <w:color w:val="000000"/>
          <w:sz w:val="20"/>
          <w:u w:val="single"/>
        </w:rPr>
        <w:t>Special Meeting</w:t>
      </w:r>
      <w:r>
        <w:rPr>
          <w:color w:val="000000"/>
        </w:rPr>
        <w:t>”</w:t>
      </w:r>
      <w:r>
        <w:rPr>
          <w:rFonts w:ascii="Times New Roman;sans-serif" w:hAnsi="Times New Roman;sans-serif"/>
          <w:b w:val="false"/>
          <w:color w:val="000000"/>
          <w:sz w:val="20"/>
        </w:rPr>
        <w:t>) in connection with CRC’s pending acquisition of Aera Energy, LLC and its operating affiliate Aera Energy Services Company (collectively, the “</w:t>
      </w:r>
      <w:r>
        <w:rPr>
          <w:rFonts w:ascii="Times New Roman;sans-serif" w:hAnsi="Times New Roman;sans-serif"/>
          <w:b w:val="false"/>
          <w:color w:val="000000"/>
          <w:sz w:val="20"/>
          <w:u w:val="single"/>
        </w:rPr>
        <w:t>Aera Companies</w:t>
      </w:r>
      <w:r>
        <w:rPr>
          <w:color w:val="000000"/>
        </w:rPr>
        <w:t>”</w:t>
      </w:r>
      <w:r>
        <w:rPr>
          <w:rFonts w:ascii="Times New Roman;sans-serif" w:hAnsi="Times New Roman;sans-serif"/>
          <w:b w:val="false"/>
          <w:color w:val="000000"/>
          <w:sz w:val="20"/>
        </w:rPr>
        <w:t>) pursuant to the Agreement and Plan of Merger (the “</w:t>
      </w:r>
      <w:r>
        <w:rPr>
          <w:rFonts w:ascii="Times New Roman;sans-serif" w:hAnsi="Times New Roman;sans-serif"/>
          <w:b w:val="false"/>
          <w:color w:val="000000"/>
          <w:sz w:val="20"/>
          <w:u w:val="single"/>
        </w:rPr>
        <w:t>Merger Agreement</w:t>
      </w:r>
      <w:r>
        <w:rPr>
          <w:color w:val="000000"/>
        </w:rPr>
        <w:t>”</w:t>
      </w:r>
      <w:r>
        <w:rPr>
          <w:rFonts w:ascii="Times New Roman;sans-serif" w:hAnsi="Times New Roman;sans-serif"/>
          <w:b w:val="false"/>
          <w:color w:val="000000"/>
          <w:sz w:val="20"/>
        </w:rPr>
        <w:t>) described in our Current Report on Form 8-K, filed on February 9, 2024.</w:t>
      </w:r>
    </w:p>
    <w:p>
      <w:pPr>
        <w:pStyle w:val="TextBody"/>
        <w:bidi w:val="0"/>
        <w:spacing w:lineRule="auto" w:line="288" w:before="40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200" w:after="283"/>
        <w:ind w:left="0" w:right="0" w:firstLine="15"/>
        <w:jc w:val="left"/>
        <w:rPr>
          <w:rFonts w:ascii="Times New Roman;sans-serif" w:hAnsi="Times New Roman;sans-serif"/>
          <w:b w:val="false"/>
          <w:color w:val="000000"/>
          <w:sz w:val="20"/>
        </w:rPr>
      </w:pPr>
      <w:r>
        <w:rPr>
          <w:rFonts w:ascii="Times New Roman;sans-serif" w:hAnsi="Times New Roman;sans-serif"/>
          <w:b w:val="false"/>
          <w:color w:val="000000"/>
          <w:sz w:val="20"/>
        </w:rPr>
        <w:t>At the close of business on May 6, 2024, the record date for the Special Meeting, there were 68,265,507 shares of common stock of CRC, par value $0.01 per share (“common stock”) issued and outstanding. At the Special Meeting, the holders of 64,284,719 shares of common stock were represented in person or by proxy, constituting a quorum.</w:t>
      </w:r>
    </w:p>
    <w:p>
      <w:pPr>
        <w:pStyle w:val="TextBody"/>
        <w:bidi w:val="0"/>
        <w:spacing w:lineRule="auto" w:line="288" w:before="200" w:after="283"/>
        <w:ind w:left="0" w:right="0" w:firstLine="15"/>
        <w:jc w:val="left"/>
        <w:rPr>
          <w:rFonts w:ascii="Times New Roman;sans-serif" w:hAnsi="Times New Roman;sans-serif"/>
          <w:b w:val="false"/>
          <w:color w:val="000000"/>
          <w:sz w:val="20"/>
        </w:rPr>
      </w:pPr>
      <w:r>
        <w:rPr>
          <w:rFonts w:ascii="Times New Roman;sans-serif" w:hAnsi="Times New Roman;sans-serif"/>
          <w:b w:val="false"/>
          <w:color w:val="000000"/>
          <w:sz w:val="20"/>
        </w:rPr>
        <w:t>The voting result on the matter presented at the Special Meeting is set forth below.</w:t>
      </w:r>
    </w:p>
    <w:p>
      <w:pPr>
        <w:pStyle w:val="TextBody"/>
        <w:bidi w:val="0"/>
        <w:spacing w:lineRule="auto" w:line="288" w:before="200" w:after="200"/>
        <w:ind w:left="0" w:right="0" w:firstLine="15"/>
        <w:jc w:val="both"/>
        <w:rPr/>
      </w:pPr>
      <w:r>
        <w:rPr>
          <w:rFonts w:ascii="Times New Roman;sans-serif" w:hAnsi="Times New Roman;sans-serif"/>
          <w:b/>
          <w:i/>
          <w:color w:val="000000"/>
          <w:sz w:val="20"/>
        </w:rPr>
        <w:t>Proposal No. 1</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proposal to approve, for purposes of complying with Section 312.03 of the NYSE Listed Company Manual, the issuance of shares of common stock, pursuant to the terms of the Merger Agreement was approved upon the following votes: </w:t>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63,972,219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225,808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86,692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200" w:after="283"/>
        <w:ind w:left="0" w:right="0" w:firstLine="15"/>
        <w:jc w:val="both"/>
        <w:rPr>
          <w:rFonts w:ascii="Times New Roman;sans-serif" w:hAnsi="Times New Roman;sans-serif"/>
          <w:b w:val="false"/>
          <w:color w:val="000000"/>
          <w:sz w:val="20"/>
        </w:rPr>
      </w:pPr>
      <w:r>
        <w:rPr>
          <w:rFonts w:ascii="Times New Roman;sans-serif" w:hAnsi="Times New Roman;sans-serif"/>
          <w:b w:val="false"/>
          <w:color w:val="000000"/>
          <w:sz w:val="20"/>
        </w:rPr>
        <w:t>No adjournment of the Special Meeting was determined to be necessary or appropriate and, accordingly, the Special Meeting was not adjourned and proceeded to conclusion without consideration of a proposal to adjourn the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4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June 26, 2024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585</Words>
  <Characters>3270</Characters>
  <CharactersWithSpaces>3808</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