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8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(D) (Instr. 3, 4 and 5)</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03/03/2022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18,800</w:t>
            </w:r>
            <w:r>
              <w:rPr>
                <w:rFonts w:ascii="Arial" w:cs="Arial" w:eastAsia="Arial" w:hAnsi="Arial"/>
                <w:sz w:val="11"/>
                <w:szCs w:val="11"/>
                <w:color w:val="008000"/>
                <w:w w:val="86"/>
              </w:rPr>
              <w:t>(1)(2)(3)(4)(5)(6)</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42.7747</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8,362,573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03/04/2022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75,000</w:t>
            </w:r>
            <w:r>
              <w:rPr>
                <w:rFonts w:ascii="Arial" w:cs="Arial" w:eastAsia="Arial" w:hAnsi="Arial"/>
                <w:sz w:val="11"/>
                <w:szCs w:val="11"/>
                <w:color w:val="008000"/>
                <w:w w:val="86"/>
              </w:rPr>
              <w:t>(1)(2)(3)(4)(5)(6)</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42.7988</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8,287,573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8,287,573 shares of Common Stock by reason of the direct or indirect beneficial ownership of such shares as follows: (i) ACOF AIV 1A directly holds 438,498 shares of Common Stock, (ii) ACOF AIV 1B directly holds 1,604,671 shares of Common Stock, (iii) ACOF AIV 2 directly holds</w:t>
      </w:r>
    </w:p>
    <w:p>
      <w:pPr>
        <w:sectPr>
          <w:pgSz w:w="11900" w:h="16838" w:orient="portrait"/>
          <w:cols w:equalWidth="0" w:num="1">
            <w:col w:w="10880"/>
          </w:cols>
          <w:pgMar w:left="480" w:top="459" w:right="53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1,634,693 shares of Common Stock, (iv) AEOF AIV A-B directly holds 1,894,861 shares of Common Stock, (v) AEOF AIV C directly holds 804,524 shares of Common Stock and (vi) AF Energy Feeder, L.P. directly holds 1,910,326 shares of Common Stock.</w:t>
      </w:r>
    </w:p>
    <w:p>
      <w:pPr>
        <w:spacing w:after="0" w:line="15" w:lineRule="exact"/>
        <w:rPr>
          <w:sz w:val="20"/>
          <w:szCs w:val="20"/>
          <w:color w:val="auto"/>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2022-03-07T18:53:58Z</dcterms:created>
  <dcterms:modified xsi:type="dcterms:W3CDTF">2022-03-07T18:53:58Z</dcterms:modified>
</cp:coreProperties>
</file>