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Pineci Roy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5"/>
        <w:spacing w:after="0"/>
        <w:rPr>
          <w:sz w:val="20"/>
          <w:szCs w:val="20"/>
          <w:color w:val="auto"/>
        </w:rPr>
      </w:pPr>
      <w:r>
        <w:rPr>
          <w:rFonts w:ascii="Arial" w:cs="Arial" w:eastAsia="Arial" w:hAnsi="Arial"/>
          <w:sz w:val="17"/>
          <w:szCs w:val="17"/>
          <w:color w:val="0000FF"/>
        </w:rPr>
        <w:t>SVP - Finance</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08/20/2020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38,225</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0.1052</w:t>
            </w:r>
            <w:r>
              <w:rPr>
                <w:rFonts w:ascii="Arial" w:cs="Arial" w:eastAsia="Arial" w:hAnsi="Arial"/>
                <w:sz w:val="22"/>
                <w:szCs w:val="22"/>
                <w:color w:val="008000"/>
                <w:w w:val="93"/>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$0.101 to $0.11, inclusive. The reporting person undertakes to provide to CRC, any security holder of CRC, or the staff of the Securities and Exchange Commission, upon request, full information regarding the number of shares sold at each separate price within the range set forth in footnote (1)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08/24/2020</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in-Fact for Roy Pineci</w:t>
            </w:r>
          </w:p>
        </w:tc>
        <w:tc>
          <w:tcPr>
            <w:tcW w:w="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79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2020-08-24T15:19:32Z</dcterms:created>
  <dcterms:modified xsi:type="dcterms:W3CDTF">2020-08-24T15:19:32Z</dcterms:modified>
</cp:coreProperties>
</file>