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As filed with the Securities and Exchange Commission on May 6, 2022</w:t>
      </w:r>
    </w:p>
    <w:p>
      <w:pPr>
        <w:spacing w:after="0" w:line="42" w:lineRule="exact"/>
        <w:rPr>
          <w:sz w:val="24"/>
          <w:szCs w:val="24"/>
          <w:color w:val="auto"/>
        </w:rPr>
      </w:pPr>
    </w:p>
    <w:p>
      <w:pPr>
        <w:ind w:left="95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342" w:lineRule="exact"/>
        <w:rPr>
          <w:sz w:val="24"/>
          <w:szCs w:val="24"/>
          <w:color w:val="auto"/>
        </w:rPr>
      </w:pPr>
    </w:p>
    <w:tbl>
      <w:tblPr>
        <w:tblLayout w:type="fixed"/>
        <w:tblInd w:w="1340" w:type="dxa"/>
        <w:tblCellMar>
          <w:top w:w="0" w:type="dxa"/>
          <w:left w:w="0" w:type="dxa"/>
          <w:bottom w:w="0" w:type="dxa"/>
          <w:right w:w="0" w:type="dxa"/>
        </w:tblCellMar>
      </w:tblPr>
      <w:tr>
        <w:trPr>
          <w:trHeight w:val="233"/>
        </w:trPr>
        <w:tc>
          <w:tcPr>
            <w:tcW w:w="6280" w:type="dxa"/>
            <w:vAlign w:val="bottom"/>
          </w:tcPr>
          <w:p>
            <w:pPr>
              <w:jc w:val="center"/>
              <w:ind w:left="2210"/>
              <w:spacing w:after="0"/>
              <w:rPr>
                <w:sz w:val="20"/>
                <w:szCs w:val="20"/>
                <w:color w:val="auto"/>
              </w:rPr>
            </w:pPr>
            <w:r>
              <w:rPr>
                <w:rFonts w:ascii="Arial" w:cs="Arial" w:eastAsia="Arial" w:hAnsi="Arial"/>
                <w:sz w:val="18"/>
                <w:szCs w:val="18"/>
                <w:b w:val="1"/>
                <w:bCs w:val="1"/>
                <w:color w:val="auto"/>
                <w:w w:val="90"/>
              </w:rPr>
              <w:t>California Resources Corporation</w:t>
            </w:r>
          </w:p>
        </w:tc>
        <w:tc>
          <w:tcPr>
            <w:tcW w:w="1480" w:type="dxa"/>
            <w:vAlign w:val="bottom"/>
          </w:tcPr>
          <w:p>
            <w:pPr>
              <w:spacing w:after="0"/>
              <w:rPr>
                <w:sz w:val="20"/>
                <w:szCs w:val="20"/>
                <w:color w:val="auto"/>
              </w:rPr>
            </w:pPr>
          </w:p>
        </w:tc>
      </w:tr>
      <w:tr>
        <w:trPr>
          <w:trHeight w:val="226"/>
        </w:trPr>
        <w:tc>
          <w:tcPr>
            <w:tcW w:w="6280" w:type="dxa"/>
            <w:vAlign w:val="bottom"/>
          </w:tcPr>
          <w:p>
            <w:pPr>
              <w:jc w:val="center"/>
              <w:ind w:left="2190"/>
              <w:spacing w:after="0"/>
              <w:rPr>
                <w:sz w:val="20"/>
                <w:szCs w:val="20"/>
                <w:color w:val="auto"/>
              </w:rPr>
            </w:pPr>
            <w:r>
              <w:rPr>
                <w:rFonts w:ascii="Arial" w:cs="Arial" w:eastAsia="Arial" w:hAnsi="Arial"/>
                <w:sz w:val="18"/>
                <w:szCs w:val="18"/>
                <w:color w:val="auto"/>
                <w:w w:val="90"/>
              </w:rPr>
              <w:t>(Exact name of registrant as specified in its charter)</w:t>
            </w:r>
          </w:p>
        </w:tc>
        <w:tc>
          <w:tcPr>
            <w:tcW w:w="1480" w:type="dxa"/>
            <w:vAlign w:val="bottom"/>
          </w:tcPr>
          <w:p>
            <w:pPr>
              <w:spacing w:after="0"/>
              <w:rPr>
                <w:sz w:val="19"/>
                <w:szCs w:val="19"/>
                <w:color w:val="auto"/>
              </w:rPr>
            </w:pPr>
          </w:p>
        </w:tc>
      </w:tr>
      <w:tr>
        <w:trPr>
          <w:trHeight w:val="233"/>
        </w:trPr>
        <w:tc>
          <w:tcPr>
            <w:tcW w:w="6280" w:type="dxa"/>
            <w:vAlign w:val="bottom"/>
          </w:tcPr>
          <w:p>
            <w:pPr>
              <w:jc w:val="center"/>
              <w:ind w:right="3230"/>
              <w:spacing w:after="0"/>
              <w:rPr>
                <w:sz w:val="20"/>
                <w:szCs w:val="20"/>
                <w:color w:val="auto"/>
              </w:rPr>
            </w:pPr>
            <w:r>
              <w:rPr>
                <w:rFonts w:ascii="Arial" w:cs="Arial" w:eastAsia="Arial" w:hAnsi="Arial"/>
                <w:sz w:val="18"/>
                <w:szCs w:val="18"/>
                <w:b w:val="1"/>
                <w:bCs w:val="1"/>
                <w:color w:val="auto"/>
                <w:w w:val="91"/>
              </w:rPr>
              <w:t>Delaware</w:t>
            </w: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46-5670947</w:t>
            </w:r>
          </w:p>
        </w:tc>
      </w:tr>
      <w:tr>
        <w:trPr>
          <w:trHeight w:val="176"/>
        </w:trPr>
        <w:tc>
          <w:tcPr>
            <w:tcW w:w="6280" w:type="dxa"/>
            <w:vAlign w:val="bottom"/>
          </w:tcPr>
          <w:p>
            <w:pPr>
              <w:ind w:left="480"/>
              <w:spacing w:after="0" w:line="176" w:lineRule="exact"/>
              <w:rPr>
                <w:sz w:val="20"/>
                <w:szCs w:val="20"/>
                <w:color w:val="auto"/>
              </w:rPr>
            </w:pPr>
            <w:r>
              <w:rPr>
                <w:rFonts w:ascii="Arial" w:cs="Arial" w:eastAsia="Arial" w:hAnsi="Arial"/>
                <w:sz w:val="18"/>
                <w:szCs w:val="18"/>
                <w:color w:val="auto"/>
              </w:rPr>
              <w:t>(State or Other Jurisdiction</w:t>
            </w:r>
          </w:p>
        </w:tc>
        <w:tc>
          <w:tcPr>
            <w:tcW w:w="1480" w:type="dxa"/>
            <w:vAlign w:val="bottom"/>
          </w:tcPr>
          <w:p>
            <w:pPr>
              <w:jc w:val="center"/>
              <w:ind w:left="10"/>
              <w:spacing w:after="0" w:line="176" w:lineRule="exact"/>
              <w:rPr>
                <w:sz w:val="20"/>
                <w:szCs w:val="20"/>
                <w:color w:val="auto"/>
              </w:rPr>
            </w:pPr>
            <w:r>
              <w:rPr>
                <w:rFonts w:ascii="Arial" w:cs="Arial" w:eastAsia="Arial" w:hAnsi="Arial"/>
                <w:sz w:val="18"/>
                <w:szCs w:val="18"/>
                <w:color w:val="auto"/>
                <w:w w:val="92"/>
              </w:rPr>
              <w:t>(I.R.S. Employer</w:t>
            </w:r>
          </w:p>
        </w:tc>
      </w:tr>
      <w:tr>
        <w:trPr>
          <w:trHeight w:val="230"/>
        </w:trPr>
        <w:tc>
          <w:tcPr>
            <w:tcW w:w="6280" w:type="dxa"/>
            <w:vAlign w:val="bottom"/>
          </w:tcPr>
          <w:p>
            <w:pPr>
              <w:jc w:val="center"/>
              <w:ind w:right="3230"/>
              <w:spacing w:after="0"/>
              <w:rPr>
                <w:sz w:val="20"/>
                <w:szCs w:val="20"/>
                <w:color w:val="auto"/>
              </w:rPr>
            </w:pPr>
            <w:r>
              <w:rPr>
                <w:rFonts w:ascii="Arial" w:cs="Arial" w:eastAsia="Arial" w:hAnsi="Arial"/>
                <w:sz w:val="18"/>
                <w:szCs w:val="18"/>
                <w:color w:val="auto"/>
                <w:w w:val="92"/>
              </w:rPr>
              <w:t>of Incorporation or Organization)</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w w:val="95"/>
              </w:rPr>
              <w:t>Identification No.)</w:t>
            </w:r>
          </w:p>
        </w:tc>
      </w:tr>
      <w:tr>
        <w:trPr>
          <w:trHeight w:val="399"/>
        </w:trPr>
        <w:tc>
          <w:tcPr>
            <w:tcW w:w="6280" w:type="dxa"/>
            <w:vAlign w:val="bottom"/>
          </w:tcPr>
          <w:p>
            <w:pPr>
              <w:jc w:val="center"/>
              <w:ind w:right="3230"/>
              <w:spacing w:after="0"/>
              <w:rPr>
                <w:sz w:val="20"/>
                <w:szCs w:val="20"/>
                <w:color w:val="auto"/>
              </w:rPr>
            </w:pPr>
            <w:r>
              <w:rPr>
                <w:rFonts w:ascii="Arial" w:cs="Arial" w:eastAsia="Arial" w:hAnsi="Arial"/>
                <w:sz w:val="18"/>
                <w:szCs w:val="18"/>
                <w:b w:val="1"/>
                <w:bCs w:val="1"/>
                <w:color w:val="auto"/>
                <w:w w:val="91"/>
              </w:rPr>
              <w:t>1 World Trade Center, Suite 1500</w:t>
            </w:r>
          </w:p>
        </w:tc>
        <w:tc>
          <w:tcPr>
            <w:tcW w:w="1480" w:type="dxa"/>
            <w:vAlign w:val="bottom"/>
          </w:tcPr>
          <w:p>
            <w:pPr>
              <w:spacing w:after="0"/>
              <w:rPr>
                <w:sz w:val="24"/>
                <w:szCs w:val="24"/>
                <w:color w:val="auto"/>
              </w:rPr>
            </w:pPr>
          </w:p>
        </w:tc>
      </w:tr>
      <w:tr>
        <w:trPr>
          <w:trHeight w:val="261"/>
        </w:trPr>
        <w:tc>
          <w:tcPr>
            <w:tcW w:w="6280" w:type="dxa"/>
            <w:vAlign w:val="bottom"/>
          </w:tcPr>
          <w:p>
            <w:pPr>
              <w:jc w:val="center"/>
              <w:ind w:right="3230"/>
              <w:spacing w:after="0"/>
              <w:rPr>
                <w:sz w:val="20"/>
                <w:szCs w:val="20"/>
                <w:color w:val="auto"/>
              </w:rPr>
            </w:pPr>
            <w:r>
              <w:rPr>
                <w:rFonts w:ascii="Arial" w:cs="Arial" w:eastAsia="Arial" w:hAnsi="Arial"/>
                <w:sz w:val="18"/>
                <w:szCs w:val="18"/>
                <w:b w:val="1"/>
                <w:bCs w:val="1"/>
                <w:color w:val="auto"/>
                <w:w w:val="91"/>
              </w:rPr>
              <w:t>Long Beach, California</w:t>
            </w: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90831</w:t>
            </w:r>
          </w:p>
        </w:tc>
      </w:tr>
      <w:tr>
        <w:trPr>
          <w:trHeight w:val="230"/>
        </w:trPr>
        <w:tc>
          <w:tcPr>
            <w:tcW w:w="6280" w:type="dxa"/>
            <w:vAlign w:val="bottom"/>
          </w:tcPr>
          <w:p>
            <w:pPr>
              <w:jc w:val="center"/>
              <w:ind w:right="3250"/>
              <w:spacing w:after="0"/>
              <w:rPr>
                <w:sz w:val="20"/>
                <w:szCs w:val="20"/>
                <w:color w:val="auto"/>
              </w:rPr>
            </w:pPr>
            <w:r>
              <w:rPr>
                <w:rFonts w:ascii="Arial" w:cs="Arial" w:eastAsia="Arial" w:hAnsi="Arial"/>
                <w:sz w:val="18"/>
                <w:szCs w:val="18"/>
                <w:color w:val="auto"/>
                <w:w w:val="92"/>
              </w:rPr>
              <w:t>(Address of Principal Executive Offices)</w:t>
            </w:r>
          </w:p>
        </w:tc>
        <w:tc>
          <w:tcPr>
            <w:tcW w:w="1480" w:type="dxa"/>
            <w:vAlign w:val="bottom"/>
          </w:tcPr>
          <w:p>
            <w:pPr>
              <w:ind w:left="420"/>
              <w:spacing w:after="0"/>
              <w:rPr>
                <w:sz w:val="20"/>
                <w:szCs w:val="20"/>
                <w:color w:val="auto"/>
              </w:rPr>
            </w:pPr>
            <w:r>
              <w:rPr>
                <w:rFonts w:ascii="Arial" w:cs="Arial" w:eastAsia="Arial" w:hAnsi="Arial"/>
                <w:sz w:val="18"/>
                <w:szCs w:val="18"/>
                <w:color w:val="auto"/>
              </w:rPr>
              <w:t>(Zip Code)</w:t>
            </w:r>
          </w:p>
        </w:tc>
      </w:tr>
    </w:tbl>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CALIFORNIA RESOURCES CORPORATION EMPLOYEE STOCK PURCHASE PLAN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(Full title of the plan)</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Michael L. Preston</w:t>
      </w:r>
    </w:p>
    <w:p>
      <w:pPr>
        <w:jc w:val="center"/>
        <w:ind w:right="-19"/>
        <w:spacing w:after="0" w:line="221" w:lineRule="auto"/>
        <w:rPr>
          <w:sz w:val="20"/>
          <w:szCs w:val="20"/>
          <w:color w:val="auto"/>
        </w:rPr>
      </w:pPr>
      <w:r>
        <w:rPr>
          <w:rFonts w:ascii="Arial" w:cs="Arial" w:eastAsia="Arial" w:hAnsi="Arial"/>
          <w:sz w:val="18"/>
          <w:szCs w:val="18"/>
          <w:b w:val="1"/>
          <w:bCs w:val="1"/>
          <w:color w:val="auto"/>
        </w:rPr>
        <w:t>Executive Vice President,</w:t>
      </w:r>
    </w:p>
    <w:p>
      <w:pPr>
        <w:jc w:val="center"/>
        <w:ind w:right="-19"/>
        <w:spacing w:after="0" w:line="235" w:lineRule="auto"/>
        <w:rPr>
          <w:sz w:val="20"/>
          <w:szCs w:val="20"/>
          <w:color w:val="auto"/>
        </w:rPr>
      </w:pPr>
      <w:r>
        <w:rPr>
          <w:rFonts w:ascii="Arial" w:cs="Arial" w:eastAsia="Arial" w:hAnsi="Arial"/>
          <w:sz w:val="18"/>
          <w:szCs w:val="18"/>
          <w:b w:val="1"/>
          <w:bCs w:val="1"/>
          <w:color w:val="auto"/>
        </w:rPr>
        <w:t>Chief Administrative Officer and General Counsel</w:t>
      </w:r>
    </w:p>
    <w:p>
      <w:pPr>
        <w:ind w:left="4340"/>
        <w:spacing w:after="0" w:line="219" w:lineRule="auto"/>
        <w:rPr>
          <w:sz w:val="20"/>
          <w:szCs w:val="20"/>
          <w:color w:val="auto"/>
        </w:rPr>
      </w:pPr>
      <w:r>
        <w:rPr>
          <w:rFonts w:ascii="Arial" w:cs="Arial" w:eastAsia="Arial" w:hAnsi="Arial"/>
          <w:sz w:val="18"/>
          <w:szCs w:val="18"/>
          <w:b w:val="1"/>
          <w:bCs w:val="1"/>
          <w:color w:val="auto"/>
        </w:rPr>
        <w:t>1 World Trade Center, Suite 1500</w:t>
      </w:r>
    </w:p>
    <w:p>
      <w:pPr>
        <w:ind w:left="4480"/>
        <w:spacing w:after="0"/>
        <w:rPr>
          <w:sz w:val="20"/>
          <w:szCs w:val="20"/>
          <w:color w:val="auto"/>
        </w:rPr>
      </w:pPr>
      <w:r>
        <w:rPr>
          <w:rFonts w:ascii="Arial" w:cs="Arial" w:eastAsia="Arial" w:hAnsi="Arial"/>
          <w:sz w:val="18"/>
          <w:szCs w:val="18"/>
          <w:b w:val="1"/>
          <w:bCs w:val="1"/>
          <w:color w:val="auto"/>
        </w:rPr>
        <w:t>Long Beach, California 90831</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and address of agent for service)</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(888) 848-4754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Copies to:</w:t>
      </w:r>
    </w:p>
    <w:p>
      <w:pPr>
        <w:spacing w:after="0" w:line="248"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Sarah K. Morgan</w:t>
      </w:r>
    </w:p>
    <w:p>
      <w:pPr>
        <w:ind w:left="4920"/>
        <w:spacing w:after="0" w:line="237" w:lineRule="auto"/>
        <w:rPr>
          <w:sz w:val="20"/>
          <w:szCs w:val="20"/>
          <w:color w:val="auto"/>
        </w:rPr>
      </w:pPr>
      <w:r>
        <w:rPr>
          <w:rFonts w:ascii="Arial" w:cs="Arial" w:eastAsia="Arial" w:hAnsi="Arial"/>
          <w:sz w:val="18"/>
          <w:szCs w:val="18"/>
          <w:b w:val="1"/>
          <w:bCs w:val="1"/>
          <w:color w:val="auto"/>
        </w:rPr>
        <w:t>Scott D. Rubinsky</w:t>
      </w:r>
    </w:p>
    <w:p>
      <w:pPr>
        <w:jc w:val="center"/>
        <w:ind w:right="-19"/>
        <w:spacing w:after="0" w:line="219" w:lineRule="auto"/>
        <w:rPr>
          <w:sz w:val="20"/>
          <w:szCs w:val="20"/>
          <w:color w:val="auto"/>
        </w:rPr>
      </w:pPr>
      <w:r>
        <w:rPr>
          <w:rFonts w:ascii="Arial" w:cs="Arial" w:eastAsia="Arial" w:hAnsi="Arial"/>
          <w:sz w:val="18"/>
          <w:szCs w:val="18"/>
          <w:b w:val="1"/>
          <w:bCs w:val="1"/>
          <w:color w:val="auto"/>
        </w:rPr>
        <w:t>Vinson &amp; Elkins L.L.P.</w:t>
      </w:r>
    </w:p>
    <w:p>
      <w:pPr>
        <w:jc w:val="center"/>
        <w:ind w:right="-19"/>
        <w:spacing w:after="0" w:line="219" w:lineRule="auto"/>
        <w:rPr>
          <w:sz w:val="20"/>
          <w:szCs w:val="20"/>
          <w:color w:val="auto"/>
        </w:rPr>
      </w:pPr>
      <w:r>
        <w:rPr>
          <w:rFonts w:ascii="Arial" w:cs="Arial" w:eastAsia="Arial" w:hAnsi="Arial"/>
          <w:sz w:val="18"/>
          <w:szCs w:val="18"/>
          <w:b w:val="1"/>
          <w:bCs w:val="1"/>
          <w:color w:val="auto"/>
        </w:rPr>
        <w:t>845 Texas Avenue, Suite 4700</w:t>
      </w:r>
    </w:p>
    <w:p>
      <w:pPr>
        <w:jc w:val="center"/>
        <w:ind w:right="-19"/>
        <w:spacing w:after="0" w:line="235" w:lineRule="auto"/>
        <w:rPr>
          <w:sz w:val="20"/>
          <w:szCs w:val="20"/>
          <w:color w:val="auto"/>
        </w:rPr>
      </w:pPr>
      <w:r>
        <w:rPr>
          <w:rFonts w:ascii="Arial" w:cs="Arial" w:eastAsia="Arial" w:hAnsi="Arial"/>
          <w:sz w:val="18"/>
          <w:szCs w:val="18"/>
          <w:b w:val="1"/>
          <w:bCs w:val="1"/>
          <w:color w:val="auto"/>
        </w:rPr>
        <w:t>Houston, Texas 77002</w:t>
      </w:r>
    </w:p>
    <w:p>
      <w:pPr>
        <w:jc w:val="center"/>
        <w:ind w:right="-19"/>
        <w:spacing w:after="0"/>
        <w:rPr>
          <w:sz w:val="20"/>
          <w:szCs w:val="20"/>
          <w:color w:val="auto"/>
        </w:rPr>
      </w:pPr>
      <w:r>
        <w:rPr>
          <w:rFonts w:ascii="Arial" w:cs="Arial" w:eastAsia="Arial" w:hAnsi="Arial"/>
          <w:sz w:val="18"/>
          <w:szCs w:val="18"/>
          <w:b w:val="1"/>
          <w:bCs w:val="1"/>
          <w:color w:val="auto"/>
        </w:rPr>
        <w:t>(713) 758-2222</w:t>
      </w:r>
    </w:p>
    <w:p>
      <w:pPr>
        <w:spacing w:after="0" w:line="272" w:lineRule="exact"/>
        <w:rPr>
          <w:sz w:val="24"/>
          <w:szCs w:val="24"/>
          <w:color w:val="auto"/>
        </w:rPr>
      </w:pPr>
    </w:p>
    <w:p>
      <w:pPr>
        <w:ind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 as amended (the “Exchange Act”).</w:t>
      </w:r>
    </w:p>
    <w:p>
      <w:pPr>
        <w:sectPr>
          <w:pgSz w:w="11900" w:h="16838" w:orient="portrait"/>
          <w:cols w:equalWidth="0" w:num="1">
            <w:col w:w="11220"/>
          </w:cols>
          <w:pgMar w:left="320" w:top="1440" w:right="359" w:bottom="1440" w:gutter="0" w:footer="0" w:header="0"/>
        </w:sectPr>
      </w:pP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Accelerated filer</w:t>
      </w:r>
    </w:p>
    <w:p>
      <w:pPr>
        <w:spacing w:after="0" w:line="33" w:lineRule="exact"/>
        <w:rPr>
          <w:sz w:val="24"/>
          <w:szCs w:val="24"/>
          <w:color w:val="auto"/>
        </w:rPr>
      </w:pPr>
    </w:p>
    <w:p>
      <w:pPr>
        <w:sectPr>
          <w:pgSz w:w="11900" w:h="16838" w:orient="portrait"/>
          <w:cols w:equalWidth="0" w:num="2">
            <w:col w:w="1300" w:space="280"/>
            <w:col w:w="9640"/>
          </w:cols>
          <w:pgMar w:left="320" w:top="1440" w:right="359" w:bottom="1440" w:gutter="0" w:footer="0" w:header="0"/>
          <w:type w:val="continuous"/>
        </w:sect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Smaller reporting company</w:t>
      </w:r>
    </w:p>
    <w:p>
      <w:pPr>
        <w:spacing w:after="0" w:line="26" w:lineRule="exact"/>
        <w:rPr>
          <w:sz w:val="24"/>
          <w:szCs w:val="24"/>
          <w:color w:val="auto"/>
        </w:rPr>
      </w:pPr>
    </w:p>
    <w:p>
      <w:pPr>
        <w:sectPr>
          <w:pgSz w:w="11900" w:h="16838" w:orient="portrait"/>
          <w:cols w:equalWidth="0" w:num="2">
            <w:col w:w="1220" w:space="300"/>
            <w:col w:w="9700"/>
          </w:cols>
          <w:pgMar w:left="320" w:top="1440" w:right="359" w:bottom="1440" w:gutter="0" w:footer="0" w:header="0"/>
          <w:type w:val="continuous"/>
        </w:sectPr>
      </w:pPr>
    </w:p>
    <w:p>
      <w:pPr>
        <w:ind w:left="160"/>
        <w:spacing w:after="0"/>
        <w:rPr>
          <w:sz w:val="20"/>
          <w:szCs w:val="20"/>
          <w:color w:val="auto"/>
        </w:rPr>
      </w:pPr>
      <w:r>
        <w:rPr>
          <w:rFonts w:ascii="Arial" w:cs="Arial" w:eastAsia="Arial" w:hAnsi="Arial"/>
          <w:sz w:val="14"/>
          <w:szCs w:val="14"/>
          <w:color w:val="auto"/>
        </w:rPr>
        <w:t>Emerging growth company</w:t>
      </w:r>
    </w:p>
    <w:p>
      <w:pPr>
        <w:spacing w:after="0" w:line="48" w:lineRule="exact"/>
        <w:rPr>
          <w:sz w:val="24"/>
          <w:szCs w:val="24"/>
          <w:color w:val="auto"/>
        </w:rPr>
      </w:pPr>
    </w:p>
    <w:p>
      <w:pPr>
        <w:ind w:right="220" w:firstLine="324"/>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of 1933, as amended (the “Securities Act”).</w:t>
      </w:r>
    </w:p>
    <w:p>
      <w:pPr>
        <w:sectPr>
          <w:pgSz w:w="11900" w:h="16838" w:orient="portrait"/>
          <w:cols w:equalWidth="0" w:num="1">
            <w:col w:w="11220"/>
          </w:cols>
          <w:pgMar w:left="320" w:top="1440" w:right="35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55" w:lineRule="exact"/>
        <w:rPr>
          <w:sz w:val="20"/>
          <w:szCs w:val="20"/>
          <w:color w:val="auto"/>
        </w:rPr>
      </w:pPr>
    </w:p>
    <w:p>
      <w:pPr>
        <w:ind w:right="180" w:firstLine="324"/>
        <w:spacing w:after="0" w:line="238" w:lineRule="auto"/>
        <w:rPr>
          <w:sz w:val="20"/>
          <w:szCs w:val="20"/>
          <w:color w:val="auto"/>
        </w:rPr>
      </w:pPr>
      <w:r>
        <w:rPr>
          <w:rFonts w:ascii="Arial" w:cs="Arial" w:eastAsia="Arial" w:hAnsi="Arial"/>
          <w:sz w:val="18"/>
          <w:szCs w:val="18"/>
          <w:color w:val="auto"/>
        </w:rPr>
        <w:t>California Resources Corporation (the “Registrant”) will provide all participants in the California Resources Corporation Employee Stock Purchase Plan (as amended from time to time, the “Plan”) with the document(s) containing the information required by Part I of Form S-8, as specified in Rule 428(b)(1) promulgated by the Securities and Exchange Commission (the “Commission”) under the Securities Act. In accordance with Rule 428 of the Securities Act, the Registrant has not filed such document(s) with the Commission, but such document(s) (along with the documents incorporated by reference into this registration statement (this “Registration Statement”) pursuant to Item 3 of Part II hereof) shall constitute a prospectus that meets the requirements of Section 10(a) of the Securities Act. The Registrant shall maintain a file of such documents in accordance with the provisions of Rule 428(a)(2) of the Securities Act. Upon request, the Registrant shall furnish to the Commission or its staff a copy or copies of all of the documents included in such file.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5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75"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Except to the extent that information is deemed furnished and not filed pursuant to securities laws and regulations, the Registrant hereby incorporates by reference into the Registration Statement the following documents:</w:t>
      </w:r>
    </w:p>
    <w:p>
      <w:pPr>
        <w:spacing w:after="0" w:line="144" w:lineRule="exact"/>
        <w:rPr>
          <w:sz w:val="20"/>
          <w:szCs w:val="20"/>
          <w:color w:val="auto"/>
        </w:rPr>
      </w:pPr>
    </w:p>
    <w:p>
      <w:pPr>
        <w:ind w:left="660" w:right="80" w:hanging="328"/>
        <w:spacing w:after="0" w:line="270" w:lineRule="auto"/>
        <w:tabs>
          <w:tab w:leader="none" w:pos="712"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Registrant’s Annual Report on Form 10-K (File No. 001-36478) for the year ended December 31, 2021, filed with the Commission on February 25, 2022, including information specifically incorporated by reference into such Annual Report on Form 10-K from the definitive proxy statement for the Registrant’s Annual Meeting of Stockholders filed with the Commission on March 22, 2022;</w:t>
      </w:r>
    </w:p>
    <w:p>
      <w:pPr>
        <w:spacing w:after="0" w:line="123" w:lineRule="exact"/>
        <w:rPr>
          <w:rFonts w:ascii="Arial" w:cs="Arial" w:eastAsia="Arial" w:hAnsi="Arial"/>
          <w:sz w:val="17"/>
          <w:szCs w:val="17"/>
          <w:color w:val="auto"/>
        </w:rPr>
      </w:pPr>
    </w:p>
    <w:p>
      <w:pPr>
        <w:ind w:left="660" w:right="80" w:hanging="328"/>
        <w:spacing w:after="0" w:line="261" w:lineRule="auto"/>
        <w:tabs>
          <w:tab w:leader="none" w:pos="72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Quarterly Report on Form 10-Q (File No. 001-36478) for the quarter ended March 31, 2021, filed with the Commission on May 5, 2022;</w:t>
      </w:r>
    </w:p>
    <w:p>
      <w:pPr>
        <w:spacing w:after="0" w:line="130" w:lineRule="exact"/>
        <w:rPr>
          <w:rFonts w:ascii="Arial" w:cs="Arial" w:eastAsia="Arial" w:hAnsi="Arial"/>
          <w:sz w:val="18"/>
          <w:szCs w:val="18"/>
          <w:color w:val="auto"/>
        </w:rPr>
      </w:pPr>
    </w:p>
    <w:p>
      <w:pPr>
        <w:ind w:left="660" w:right="100" w:hanging="328"/>
        <w:spacing w:after="0" w:line="261" w:lineRule="auto"/>
        <w:tabs>
          <w:tab w:leader="none" w:pos="75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Current Report on Form 8-K (File No. 001-36478), other than with respect to Items 2.02 or 7.01, filed with the Commission on February 16, 2022; and</w:t>
      </w:r>
    </w:p>
    <w:p>
      <w:pPr>
        <w:spacing w:after="0" w:line="143" w:lineRule="exact"/>
        <w:rPr>
          <w:rFonts w:ascii="Arial" w:cs="Arial" w:eastAsia="Arial" w:hAnsi="Arial"/>
          <w:sz w:val="18"/>
          <w:szCs w:val="18"/>
          <w:color w:val="auto"/>
        </w:rPr>
      </w:pPr>
    </w:p>
    <w:p>
      <w:pPr>
        <w:jc w:val="both"/>
        <w:ind w:left="660" w:right="400" w:hanging="328"/>
        <w:spacing w:after="0" w:line="248" w:lineRule="auto"/>
        <w:tabs>
          <w:tab w:leader="none" w:pos="72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description of the Registrant’s common stock, $0.01 par value per share (“Common Stock”), contained in Exhibit 4.1 to the Registrant’s Annual Report on Form 10-K (File No. 001-36478) filed with the Commission on March 11, 2021, including any subsequent amendments or reports that the Registrant may file in the future for the purpose of updating such description.</w:t>
      </w:r>
    </w:p>
    <w:p>
      <w:pPr>
        <w:spacing w:after="0" w:line="141" w:lineRule="exact"/>
        <w:rPr>
          <w:sz w:val="20"/>
          <w:szCs w:val="20"/>
          <w:color w:val="auto"/>
        </w:rPr>
      </w:pPr>
    </w:p>
    <w:p>
      <w:pPr>
        <w:ind w:right="40" w:firstLine="324"/>
        <w:spacing w:after="0" w:line="238" w:lineRule="auto"/>
        <w:rPr>
          <w:sz w:val="20"/>
          <w:szCs w:val="20"/>
          <w:color w:val="auto"/>
        </w:rPr>
      </w:pPr>
      <w:r>
        <w:rPr>
          <w:rFonts w:ascii="Arial" w:cs="Arial" w:eastAsia="Arial" w:hAnsi="Arial"/>
          <w:sz w:val="18"/>
          <w:szCs w:val="18"/>
          <w:color w:val="auto"/>
        </w:rPr>
        <w:t>Except to the extent that information is deemed furnished and not filed pursuant to securities laws and regulations, all documents filed by the Registrant pursuant to Sections 13(a), 13(c), 14 or 15(d) of the Exchange Act subsequent to the date hereof and prior to the filing of a post-effective amendment that indicates that all securities offered have been sold or that deregisters all securities then remaining unsold shall also be deemed to be incorporated by reference herein and to be a part hereof from the dates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4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417" w:right="339" w:bottom="1440" w:gutter="0" w:footer="0" w:header="0"/>
        </w:sectPr>
      </w:pPr>
    </w:p>
    <w:bookmarkStart w:id="2" w:name="page3"/>
    <w:bookmarkEnd w:id="2"/>
    <w:p>
      <w:pPr>
        <w:spacing w:after="0" w:line="15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89" w:lineRule="exact"/>
        <w:rPr>
          <w:sz w:val="20"/>
          <w:szCs w:val="20"/>
          <w:color w:val="auto"/>
        </w:rPr>
      </w:pPr>
    </w:p>
    <w:p>
      <w:pPr>
        <w:ind w:right="60" w:firstLine="324"/>
        <w:spacing w:after="0" w:line="324" w:lineRule="auto"/>
        <w:rPr>
          <w:sz w:val="20"/>
          <w:szCs w:val="20"/>
          <w:color w:val="auto"/>
        </w:rPr>
      </w:pPr>
      <w:r>
        <w:rPr>
          <w:rFonts w:ascii="Arial" w:cs="Arial" w:eastAsia="Arial" w:hAnsi="Arial"/>
          <w:sz w:val="16"/>
          <w:szCs w:val="16"/>
          <w:color w:val="auto"/>
        </w:rPr>
        <w:t>The General Corporation Law of the State of Delaware (the “DGCL”) authorizes corporations to limit or eliminate the personal liability of directors to corporations and their stockholders for monetary damages for breaches of directors’ fiduciary duties. The DGCL does not permit exculpation for liability:</w:t>
      </w:r>
    </w:p>
    <w:p>
      <w:pPr>
        <w:spacing w:after="0" w:line="8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breach of duty of loyalty;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acts or omissions not in good faith or involving intentional misconduct or knowing violation of law;</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under Section 174 of the DGCL (which deals generally with unlawful payments of dividends, stock repurchases and redemptions);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transactions from which the director derived improper personal benefit.</w:t>
      </w:r>
    </w:p>
    <w:p>
      <w:pPr>
        <w:spacing w:after="0" w:line="171" w:lineRule="exact"/>
        <w:rPr>
          <w:sz w:val="20"/>
          <w:szCs w:val="20"/>
          <w:color w:val="auto"/>
        </w:rPr>
      </w:pPr>
    </w:p>
    <w:p>
      <w:pPr>
        <w:ind w:right="160" w:firstLine="324"/>
        <w:spacing w:after="0" w:line="248" w:lineRule="auto"/>
        <w:rPr>
          <w:sz w:val="20"/>
          <w:szCs w:val="20"/>
          <w:color w:val="auto"/>
        </w:rPr>
      </w:pPr>
      <w:r>
        <w:rPr>
          <w:rFonts w:ascii="Arial" w:cs="Arial" w:eastAsia="Arial" w:hAnsi="Arial"/>
          <w:sz w:val="18"/>
          <w:szCs w:val="18"/>
          <w:color w:val="auto"/>
        </w:rPr>
        <w:t>The Registrant’s Amended and Restated Certificate of Incorporation, dated as of October 27, 2020, and the Amended and Restated Bylaws of the Registrant, dated as of October 27, 2020, provide that the Registrant shall indemnify its executive officers and directors to the fullest extent authorized by the DGCL.</w:t>
      </w:r>
    </w:p>
    <w:p>
      <w:pPr>
        <w:spacing w:after="0" w:line="155"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or officers of corporations, then the personal liability of the Registrant’s directors and executive officers will be further limited to the fullest extent permitted by the DGCL.</w:t>
      </w:r>
    </w:p>
    <w:p>
      <w:pPr>
        <w:spacing w:after="0" w:line="147" w:lineRule="exact"/>
        <w:rPr>
          <w:sz w:val="20"/>
          <w:szCs w:val="20"/>
          <w:color w:val="auto"/>
        </w:rPr>
      </w:pPr>
    </w:p>
    <w:p>
      <w:pPr>
        <w:ind w:right="40" w:firstLine="324"/>
        <w:spacing w:after="0"/>
        <w:rPr>
          <w:sz w:val="20"/>
          <w:szCs w:val="20"/>
          <w:color w:val="auto"/>
        </w:rPr>
      </w:pPr>
      <w:r>
        <w:rPr>
          <w:rFonts w:ascii="Arial" w:cs="Arial" w:eastAsia="Arial" w:hAnsi="Arial"/>
          <w:sz w:val="18"/>
          <w:szCs w:val="18"/>
          <w:color w:val="auto"/>
        </w:rPr>
        <w:t>In addition, the Registrant has entered into indemnification agreements with its current directors and executive officers containing provisions that are in some respects broader than the specific indemnification provisions contained in the DGCL. The indemnification agreements require the Registrant, among other things, to (i) indemnify these individuals to the fullest extent permitted under Delaware law against liabilities that may arise by reason of their service to the Registrant and (ii) advance expenses, to the extent not prohibited by law, incurred in connection with any proceeding not initiated by the indemnitee as to which they could be indemnified. The Registrant also intends to enter into indemnification agreements with its future directors and executive officers.</w:t>
      </w:r>
    </w:p>
    <w:p>
      <w:pPr>
        <w:spacing w:after="0" w:line="149" w:lineRule="exact"/>
        <w:rPr>
          <w:sz w:val="20"/>
          <w:szCs w:val="20"/>
          <w:color w:val="auto"/>
        </w:rPr>
      </w:pPr>
    </w:p>
    <w:p>
      <w:pPr>
        <w:ind w:firstLine="324"/>
        <w:spacing w:after="0" w:line="279" w:lineRule="auto"/>
        <w:rPr>
          <w:sz w:val="20"/>
          <w:szCs w:val="20"/>
          <w:color w:val="auto"/>
        </w:rPr>
      </w:pPr>
      <w:r>
        <w:rPr>
          <w:rFonts w:ascii="Arial" w:cs="Arial" w:eastAsia="Arial" w:hAnsi="Arial"/>
          <w:sz w:val="16"/>
          <w:szCs w:val="16"/>
          <w:color w:val="auto"/>
        </w:rPr>
        <w:t>Section 145 of the DGCL permits a corporation to purchase and maintain insurance on behalf of any person who is or was a director, officer, employee or agent of the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 The Registrant maintains such liability insurance policies to cover its directors and executive officers against various liabilities, including certain liabilities arising under the Securities Act and the Exchange Act, that may be incurred by them in their capacity as such.</w:t>
      </w:r>
    </w:p>
    <w:p>
      <w:pPr>
        <w:spacing w:after="0" w:line="132"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Commission, such indemnification is against public policy as expressed in the Securities Act and is therefore unenforceable.</w:t>
      </w:r>
    </w:p>
    <w:p>
      <w:pPr>
        <w:spacing w:after="0" w:line="141" w:lineRule="exact"/>
        <w:rPr>
          <w:sz w:val="20"/>
          <w:szCs w:val="20"/>
          <w:color w:val="auto"/>
        </w:rPr>
      </w:pPr>
    </w:p>
    <w:p>
      <w:pPr>
        <w:ind w:right="80" w:firstLine="324"/>
        <w:spacing w:after="0"/>
        <w:rPr>
          <w:sz w:val="20"/>
          <w:szCs w:val="20"/>
          <w:color w:val="auto"/>
        </w:rPr>
      </w:pPr>
      <w:r>
        <w:rPr>
          <w:rFonts w:ascii="Arial" w:cs="Arial" w:eastAsia="Arial" w:hAnsi="Arial"/>
          <w:sz w:val="18"/>
          <w:szCs w:val="18"/>
          <w:color w:val="auto"/>
        </w:rPr>
        <w:t>The Plan also provides that the committee administering the Plan and all members thereof are entitled to, in good faith, rely or act upon any report or other information furnished to them by any officer or employee of the Registrant or any of its affiliates, or the Registrant’s legal counsel, independent auditors, consultants or any other agents assisting in the administration of the Plan. Members of the committee and any officer or employee of the Registrant or any of its affiliates acting at the direction of or on behalf of the committee shall not be personally liable for any action or determination taken or made in good faith with respect to the Plan, and shall, to the fullest extent permitted by law, be indemnified and held harmless by the Registrant with respect to any such action or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1440" w:right="359" w:bottom="1440" w:gutter="0" w:footer="0" w:header="0"/>
        </w:sectPr>
      </w:pPr>
    </w:p>
    <w:bookmarkStart w:id="3" w:name="page4"/>
    <w:bookmarkEnd w:id="3"/>
    <w:p>
      <w:pPr>
        <w:spacing w:after="0" w:line="15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175"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documents are filed as exhibits to this Registration Statement, including those exhibits incorporated herein by reference to a prior filing of the Registrant under the Securities Act or the Exchange Act as indicated in parentheses:</w:t>
      </w:r>
    </w:p>
    <w:p>
      <w:pPr>
        <w:spacing w:after="0" w:line="212" w:lineRule="exact"/>
        <w:rPr>
          <w:sz w:val="20"/>
          <w:szCs w:val="20"/>
          <w:color w:val="auto"/>
        </w:rPr>
      </w:pPr>
    </w:p>
    <w:p>
      <w:pPr>
        <w:ind w:left="120"/>
        <w:spacing w:after="0"/>
        <w:tabs>
          <w:tab w:leader="none" w:pos="5980" w:val="left"/>
        </w:tabs>
        <w:rPr>
          <w:sz w:val="20"/>
          <w:szCs w:val="20"/>
          <w:color w:val="auto"/>
        </w:rPr>
      </w:pPr>
      <w:r>
        <w:rPr>
          <w:rFonts w:ascii="Arial" w:cs="Arial" w:eastAsia="Arial" w:hAnsi="Arial"/>
          <w:sz w:val="16"/>
          <w:szCs w:val="16"/>
          <w:b w:val="1"/>
          <w:bCs w:val="1"/>
          <w:color w:val="auto"/>
        </w:rPr>
        <w:t>Exhibit 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0"/>
          <w:szCs w:val="20"/>
          <w:color w:val="auto"/>
        </w:rPr>
      </w:pPr>
    </w:p>
    <w:p>
      <w:pPr>
        <w:ind w:left="1560" w:right="80" w:hanging="759"/>
        <w:spacing w:after="0" w:line="248" w:lineRule="auto"/>
        <w:tabs>
          <w:tab w:leader="none" w:pos="154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11">
        <w:r>
          <w:rPr>
            <w:rFonts w:ascii="Arial" w:cs="Arial" w:eastAsia="Arial" w:hAnsi="Arial"/>
            <w:sz w:val="18"/>
            <w:szCs w:val="18"/>
            <w:u w:val="single" w:color="auto"/>
            <w:color w:val="0000FF"/>
          </w:rPr>
          <w:t>Amended Debtors’ Joint Plan of Reorganization of the Registrant and certain of its subsidiaries, dated as of October 8, 2020</w:t>
        </w:r>
      </w:hyperlink>
      <w:r>
        <w:rPr>
          <w:rFonts w:ascii="Arial" w:cs="Arial" w:eastAsia="Arial" w:hAnsi="Arial"/>
          <w:sz w:val="18"/>
          <w:szCs w:val="18"/>
          <w:u w:val="single" w:color="auto"/>
          <w:color w:val="0000FF"/>
        </w:rPr>
        <w:t xml:space="preserve"> </w:t>
      </w:r>
      <w:hyperlink r:id="rId11">
        <w:r>
          <w:rPr>
            <w:rFonts w:ascii="Arial" w:cs="Arial" w:eastAsia="Arial" w:hAnsi="Arial"/>
            <w:sz w:val="18"/>
            <w:szCs w:val="18"/>
            <w:u w:val="single" w:color="auto"/>
            <w:color w:val="0000FF"/>
          </w:rPr>
          <w:t>(incorporated by reference to Exhibit 2.1 of the Registrant’s Current Report on Form 8-K filed with the Commission on October 19,</w:t>
        </w:r>
      </w:hyperlink>
      <w:r>
        <w:rPr>
          <w:rFonts w:ascii="Arial" w:cs="Arial" w:eastAsia="Arial" w:hAnsi="Arial"/>
          <w:sz w:val="18"/>
          <w:szCs w:val="18"/>
          <w:u w:val="single" w:color="auto"/>
          <w:color w:val="0000FF"/>
        </w:rPr>
        <w:t xml:space="preserve"> </w:t>
      </w:r>
      <w:hyperlink r:id="rId11">
        <w:r>
          <w:rPr>
            <w:rFonts w:ascii="Arial" w:cs="Arial" w:eastAsia="Arial" w:hAnsi="Arial"/>
            <w:sz w:val="18"/>
            <w:szCs w:val="18"/>
            <w:u w:val="single" w:color="auto"/>
            <w:color w:val="0000FF"/>
          </w:rPr>
          <w:t>2020).</w:t>
        </w:r>
      </w:hyperlink>
    </w:p>
    <w:p>
      <w:pPr>
        <w:spacing w:after="0" w:line="20" w:lineRule="exact"/>
        <w:rPr>
          <w:rFonts w:ascii="Arial" w:cs="Arial" w:eastAsia="Arial" w:hAnsi="Arial"/>
          <w:sz w:val="18"/>
          <w:szCs w:val="18"/>
          <w:u w:val="single" w:color="auto"/>
          <w:color w:val="0000FF"/>
        </w:rPr>
      </w:pPr>
    </w:p>
    <w:p>
      <w:pPr>
        <w:ind w:left="800"/>
        <w:spacing w:after="0"/>
        <w:tabs>
          <w:tab w:leader="none" w:pos="1540" w:val="left"/>
        </w:tabs>
        <w:rPr>
          <w:rFonts w:ascii="Arial" w:cs="Arial" w:eastAsia="Arial" w:hAnsi="Arial"/>
          <w:sz w:val="16"/>
          <w:szCs w:val="16"/>
          <w:u w:val="single" w:color="auto"/>
          <w:color w:val="0000FF"/>
        </w:rPr>
      </w:pPr>
      <w:r>
        <w:rPr>
          <w:rFonts w:ascii="Arial" w:cs="Arial" w:eastAsia="Arial" w:hAnsi="Arial"/>
          <w:sz w:val="18"/>
          <w:szCs w:val="18"/>
          <w:color w:val="auto"/>
        </w:rPr>
        <w:t>4.2</w:t>
      </w:r>
      <w:r>
        <w:rPr>
          <w:sz w:val="20"/>
          <w:szCs w:val="20"/>
          <w:color w:val="auto"/>
        </w:rPr>
        <w:tab/>
      </w:r>
      <w:hyperlink r:id="rId12">
        <w:r>
          <w:rPr>
            <w:rFonts w:ascii="Arial" w:cs="Arial" w:eastAsia="Arial" w:hAnsi="Arial"/>
            <w:sz w:val="16"/>
            <w:szCs w:val="16"/>
            <w:u w:val="single" w:color="auto"/>
            <w:color w:val="0000FF"/>
          </w:rPr>
          <w:t>Amended and Restated Certificate of Incorporation of the Registrant dated as of October 27, 2020 (incorporated by reference to</w:t>
        </w:r>
      </w:hyperlink>
    </w:p>
    <w:p>
      <w:pPr>
        <w:spacing w:after="0" w:line="12" w:lineRule="exact"/>
        <w:rPr>
          <w:rFonts w:ascii="Arial" w:cs="Arial" w:eastAsia="Arial" w:hAnsi="Arial"/>
          <w:sz w:val="18"/>
          <w:szCs w:val="18"/>
          <w:u w:val="single" w:color="auto"/>
          <w:color w:val="0000FF"/>
        </w:rPr>
      </w:pPr>
    </w:p>
    <w:p>
      <w:pPr>
        <w:jc w:val="center"/>
        <w:ind w:right="-399"/>
        <w:spacing w:after="0"/>
        <w:rPr>
          <w:rFonts w:ascii="Arial" w:cs="Arial" w:eastAsia="Arial" w:hAnsi="Arial"/>
          <w:sz w:val="18"/>
          <w:szCs w:val="18"/>
          <w:color w:val="0000FF"/>
        </w:rPr>
      </w:pPr>
      <w:hyperlink r:id="rId12">
        <w:r>
          <w:rPr>
            <w:rFonts w:ascii="Arial" w:cs="Arial" w:eastAsia="Arial" w:hAnsi="Arial"/>
            <w:sz w:val="18"/>
            <w:szCs w:val="18"/>
            <w:u w:val="single" w:color="auto"/>
            <w:color w:val="0000FF"/>
          </w:rPr>
          <w:t>Exhibit 3.1 to the Registrant’s Registration Statement on Form 8-A filed with the Commission on</w:t>
        </w:r>
        <w:r>
          <w:rPr>
            <w:rFonts w:ascii="Arial" w:cs="Arial" w:eastAsia="Arial" w:hAnsi="Arial"/>
            <w:sz w:val="18"/>
            <w:szCs w:val="18"/>
            <w:color w:val="0000FF"/>
          </w:rPr>
          <w:t xml:space="preserve"> </w:t>
        </w:r>
        <w:r>
          <w:rPr>
            <w:rFonts w:ascii="Arial" w:cs="Arial" w:eastAsia="Arial" w:hAnsi="Arial"/>
            <w:sz w:val="18"/>
            <w:szCs w:val="18"/>
            <w:color w:val="0000FF"/>
            <w:highlight w:val="white"/>
          </w:rPr>
          <w:t>October 27, 2020</w:t>
        </w:r>
        <w:r>
          <w:rPr>
            <w:rFonts w:ascii="Arial" w:cs="Arial" w:eastAsia="Arial" w:hAnsi="Arial"/>
            <w:sz w:val="18"/>
            <w:szCs w:val="18"/>
            <w:color w:val="0000FF"/>
          </w:rPr>
          <w: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5474970</wp:posOffset>
            </wp:positionH>
            <wp:positionV relativeFrom="paragraph">
              <wp:posOffset>-20320</wp:posOffset>
            </wp:positionV>
            <wp:extent cx="8629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862965" cy="8890"/>
                    </a:xfrm>
                    <a:prstGeom prst="rect">
                      <a:avLst/>
                    </a:prstGeom>
                    <a:noFill/>
                  </pic:spPr>
                </pic:pic>
              </a:graphicData>
            </a:graphic>
          </wp:anchor>
        </w:drawing>
      </w:r>
    </w:p>
    <w:p>
      <w:pPr>
        <w:spacing w:after="0" w:line="108" w:lineRule="exact"/>
        <w:rPr>
          <w:rFonts w:ascii="Arial" w:cs="Arial" w:eastAsia="Arial" w:hAnsi="Arial"/>
          <w:sz w:val="18"/>
          <w:szCs w:val="18"/>
          <w:u w:val="single" w:color="auto"/>
          <w:color w:val="0000FF"/>
        </w:rPr>
      </w:pPr>
    </w:p>
    <w:p>
      <w:pPr>
        <w:ind w:left="1560" w:right="380" w:hanging="759"/>
        <w:spacing w:after="0" w:line="261" w:lineRule="auto"/>
        <w:tabs>
          <w:tab w:leader="none" w:pos="154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r:id="rId14">
        <w:r>
          <w:rPr>
            <w:rFonts w:ascii="Arial" w:cs="Arial" w:eastAsia="Arial" w:hAnsi="Arial"/>
            <w:sz w:val="18"/>
            <w:szCs w:val="18"/>
            <w:u w:val="single" w:color="auto"/>
            <w:color w:val="0000FF"/>
          </w:rPr>
          <w:t>Certificate of Amendment to Amended and Restated Certificate of Incorporation of the Registrant (incorporated by reference to</w:t>
        </w:r>
      </w:hyperlink>
      <w:r>
        <w:rPr>
          <w:rFonts w:ascii="Arial" w:cs="Arial" w:eastAsia="Arial" w:hAnsi="Arial"/>
          <w:sz w:val="18"/>
          <w:szCs w:val="18"/>
          <w:u w:val="single" w:color="auto"/>
          <w:color w:val="0000FF"/>
        </w:rPr>
        <w:t xml:space="preserve"> </w:t>
      </w:r>
      <w:hyperlink r:id="rId14">
        <w:r>
          <w:rPr>
            <w:rFonts w:ascii="Arial" w:cs="Arial" w:eastAsia="Arial" w:hAnsi="Arial"/>
            <w:sz w:val="18"/>
            <w:szCs w:val="18"/>
            <w:u w:val="single" w:color="auto"/>
            <w:color w:val="0000FF"/>
          </w:rPr>
          <w:t>Exhibit 3.1 to the Registrant’s Current Report on Form 8-K, filed with the Commission on May 6, 2022).</w:t>
        </w:r>
      </w:hyperlink>
    </w:p>
    <w:p>
      <w:pPr>
        <w:spacing w:after="0" w:line="9" w:lineRule="exact"/>
        <w:rPr>
          <w:sz w:val="20"/>
          <w:szCs w:val="20"/>
          <w:color w:val="auto"/>
        </w:rPr>
      </w:pPr>
    </w:p>
    <w:p>
      <w:pPr>
        <w:ind w:left="1560" w:right="520" w:hanging="759"/>
        <w:spacing w:after="0" w:line="291" w:lineRule="auto"/>
        <w:tabs>
          <w:tab w:leader="none" w:pos="1540" w:val="left"/>
        </w:tabs>
        <w:rPr>
          <w:rFonts w:ascii="Arial" w:cs="Arial" w:eastAsia="Arial" w:hAnsi="Arial"/>
          <w:sz w:val="17"/>
          <w:szCs w:val="17"/>
          <w:color w:val="0000FF"/>
        </w:rPr>
      </w:pPr>
      <w:r>
        <w:rPr>
          <w:rFonts w:ascii="Arial" w:cs="Arial" w:eastAsia="Arial" w:hAnsi="Arial"/>
          <w:sz w:val="18"/>
          <w:szCs w:val="18"/>
          <w:color w:val="auto"/>
        </w:rPr>
        <w:t>4.4</w:t>
      </w:r>
      <w:r>
        <w:rPr>
          <w:sz w:val="20"/>
          <w:szCs w:val="20"/>
          <w:color w:val="auto"/>
        </w:rPr>
        <w:tab/>
      </w:r>
      <w:hyperlink r:id="rId15">
        <w:r>
          <w:rPr>
            <w:rFonts w:ascii="Arial" w:cs="Arial" w:eastAsia="Arial" w:hAnsi="Arial"/>
            <w:sz w:val="17"/>
            <w:szCs w:val="17"/>
            <w:u w:val="single" w:color="auto"/>
            <w:color w:val="0000FF"/>
          </w:rPr>
          <w:t xml:space="preserve">Amended and Restated Bylaws of </w:t>
        </w:r>
        <w:r>
          <w:rPr>
            <w:rFonts w:ascii="Arial" w:cs="Arial" w:eastAsia="Arial" w:hAnsi="Arial"/>
            <w:sz w:val="17"/>
            <w:szCs w:val="17"/>
            <w:u w:val="single" w:color="auto"/>
            <w:color w:val="0000FF"/>
            <w:highlight w:val="white"/>
          </w:rPr>
          <w:t>the Registrant dated as of October 27, 2020</w:t>
        </w:r>
        <w:r>
          <w:rPr>
            <w:rFonts w:ascii="Arial" w:cs="Arial" w:eastAsia="Arial" w:hAnsi="Arial"/>
            <w:sz w:val="17"/>
            <w:szCs w:val="17"/>
            <w:u w:val="single" w:color="auto"/>
            <w:color w:val="0000FF"/>
          </w:rPr>
          <w:t xml:space="preserve"> (incorporated by reference to Exhibit 3.2 to the</w:t>
        </w:r>
      </w:hyperlink>
      <w:r>
        <w:rPr>
          <w:rFonts w:ascii="Arial" w:cs="Arial" w:eastAsia="Arial" w:hAnsi="Arial"/>
          <w:sz w:val="17"/>
          <w:szCs w:val="17"/>
          <w:u w:val="single" w:color="auto"/>
          <w:color w:val="0000FF"/>
        </w:rPr>
        <w:t xml:space="preserve"> </w:t>
      </w:r>
      <w:hyperlink r:id="rId15">
        <w:r>
          <w:rPr>
            <w:rFonts w:ascii="Arial" w:cs="Arial" w:eastAsia="Arial" w:hAnsi="Arial"/>
            <w:sz w:val="17"/>
            <w:szCs w:val="17"/>
            <w:u w:val="single" w:color="auto"/>
            <w:color w:val="0000FF"/>
          </w:rPr>
          <w:t>Registrant’s Registration Statement on Form 8-A filed with the Commission on</w:t>
        </w:r>
        <w:r>
          <w:rPr>
            <w:rFonts w:ascii="Arial" w:cs="Arial" w:eastAsia="Arial" w:hAnsi="Arial"/>
            <w:sz w:val="17"/>
            <w:szCs w:val="17"/>
            <w:color w:val="0000FF"/>
          </w:rPr>
          <w:t xml:space="preserve"> </w:t>
        </w:r>
        <w:r>
          <w:rPr>
            <w:rFonts w:ascii="Arial" w:cs="Arial" w:eastAsia="Arial" w:hAnsi="Arial"/>
            <w:sz w:val="17"/>
            <w:szCs w:val="17"/>
            <w:color w:val="0000FF"/>
            <w:highlight w:val="white"/>
          </w:rPr>
          <w:t>October 27, 2020</w:t>
        </w:r>
        <w:r>
          <w:rPr>
            <w:rFonts w:ascii="Arial" w:cs="Arial" w:eastAsia="Arial" w:hAnsi="Arial"/>
            <w:sz w:val="17"/>
            <w:szCs w:val="17"/>
            <w:color w:val="0000FF"/>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4652645</wp:posOffset>
            </wp:positionH>
            <wp:positionV relativeFrom="paragraph">
              <wp:posOffset>-51435</wp:posOffset>
            </wp:positionV>
            <wp:extent cx="8629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862965" cy="8890"/>
                    </a:xfrm>
                    <a:prstGeom prst="rect">
                      <a:avLst/>
                    </a:prstGeom>
                    <a:noFill/>
                  </pic:spPr>
                </pic:pic>
              </a:graphicData>
            </a:graphic>
          </wp:anchor>
        </w:drawing>
      </w:r>
    </w:p>
    <w:p>
      <w:pPr>
        <w:spacing w:after="0" w:line="59" w:lineRule="exact"/>
        <w:rPr>
          <w:sz w:val="20"/>
          <w:szCs w:val="20"/>
          <w:color w:val="auto"/>
        </w:rPr>
      </w:pPr>
    </w:p>
    <w:p>
      <w:pPr>
        <w:ind w:left="800"/>
        <w:spacing w:after="0"/>
        <w:tabs>
          <w:tab w:leader="none" w:pos="1540" w:val="left"/>
        </w:tabs>
        <w:rPr>
          <w:rFonts w:ascii="Arial" w:cs="Arial" w:eastAsia="Arial" w:hAnsi="Arial"/>
          <w:sz w:val="17"/>
          <w:szCs w:val="17"/>
          <w:u w:val="single" w:color="auto"/>
          <w:color w:val="0000FF"/>
        </w:rPr>
      </w:pPr>
      <w:r>
        <w:rPr>
          <w:rFonts w:ascii="Arial" w:cs="Arial" w:eastAsia="Arial" w:hAnsi="Arial"/>
          <w:sz w:val="18"/>
          <w:szCs w:val="18"/>
          <w:color w:val="auto"/>
        </w:rPr>
        <w:t>5.1*</w:t>
      </w:r>
      <w:r>
        <w:rPr>
          <w:sz w:val="20"/>
          <w:szCs w:val="20"/>
          <w:color w:val="auto"/>
        </w:rPr>
        <w:tab/>
      </w:r>
      <w:hyperlink w:anchor="page9">
        <w:r>
          <w:rPr>
            <w:rFonts w:ascii="Arial" w:cs="Arial" w:eastAsia="Arial" w:hAnsi="Arial"/>
            <w:sz w:val="17"/>
            <w:szCs w:val="17"/>
            <w:u w:val="single" w:color="auto"/>
            <w:color w:val="0000FF"/>
          </w:rPr>
          <w:t>Opinion of Vinson &amp; Elkins L.L.P.</w:t>
        </w:r>
      </w:hyperlink>
    </w:p>
    <w:p>
      <w:pPr>
        <w:spacing w:after="0" w:line="50" w:lineRule="exact"/>
        <w:rPr>
          <w:sz w:val="20"/>
          <w:szCs w:val="20"/>
          <w:color w:val="auto"/>
        </w:rPr>
      </w:pPr>
    </w:p>
    <w:p>
      <w:pPr>
        <w:ind w:left="700"/>
        <w:spacing w:after="0"/>
        <w:tabs>
          <w:tab w:leader="none" w:pos="1540" w:val="left"/>
        </w:tabs>
        <w:rPr>
          <w:rFonts w:ascii="Arial" w:cs="Arial" w:eastAsia="Arial" w:hAnsi="Arial"/>
          <w:sz w:val="16"/>
          <w:szCs w:val="16"/>
          <w:u w:val="single" w:color="auto"/>
          <w:color w:val="0000FF"/>
        </w:rPr>
      </w:pPr>
      <w:r>
        <w:rPr>
          <w:rFonts w:ascii="Arial" w:cs="Arial" w:eastAsia="Arial" w:hAnsi="Arial"/>
          <w:sz w:val="18"/>
          <w:szCs w:val="18"/>
          <w:color w:val="auto"/>
        </w:rPr>
        <w:t>23.1*</w:t>
      </w:r>
      <w:r>
        <w:rPr>
          <w:sz w:val="20"/>
          <w:szCs w:val="20"/>
          <w:color w:val="auto"/>
        </w:rPr>
        <w:tab/>
      </w:r>
      <w:hyperlink w:anchor="page11">
        <w:r>
          <w:rPr>
            <w:rFonts w:ascii="Arial" w:cs="Arial" w:eastAsia="Arial" w:hAnsi="Arial"/>
            <w:sz w:val="16"/>
            <w:szCs w:val="16"/>
            <w:u w:val="single" w:color="auto"/>
            <w:color w:val="0000FF"/>
          </w:rPr>
          <w:t>Consent of Independent Registered Public Accounting Firm.</w:t>
        </w:r>
      </w:hyperlink>
    </w:p>
    <w:p>
      <w:pPr>
        <w:spacing w:after="0" w:line="50" w:lineRule="exact"/>
        <w:rPr>
          <w:sz w:val="20"/>
          <w:szCs w:val="20"/>
          <w:color w:val="auto"/>
        </w:rPr>
      </w:pPr>
    </w:p>
    <w:p>
      <w:pPr>
        <w:ind w:left="700"/>
        <w:spacing w:after="0"/>
        <w:tabs>
          <w:tab w:leader="none" w:pos="1540" w:val="left"/>
        </w:tabs>
        <w:rPr>
          <w:rFonts w:ascii="Arial" w:cs="Arial" w:eastAsia="Arial" w:hAnsi="Arial"/>
          <w:sz w:val="16"/>
          <w:szCs w:val="16"/>
          <w:u w:val="single" w:color="auto"/>
          <w:color w:val="0000FF"/>
        </w:rPr>
      </w:pPr>
      <w:r>
        <w:rPr>
          <w:rFonts w:ascii="Arial" w:cs="Arial" w:eastAsia="Arial" w:hAnsi="Arial"/>
          <w:sz w:val="18"/>
          <w:szCs w:val="18"/>
          <w:color w:val="auto"/>
        </w:rPr>
        <w:t>23.2*</w:t>
      </w:r>
      <w:r>
        <w:rPr>
          <w:sz w:val="20"/>
          <w:szCs w:val="20"/>
          <w:color w:val="auto"/>
        </w:rPr>
        <w:tab/>
      </w:r>
      <w:hyperlink w:anchor="page12">
        <w:r>
          <w:rPr>
            <w:rFonts w:ascii="Arial" w:cs="Arial" w:eastAsia="Arial" w:hAnsi="Arial"/>
            <w:sz w:val="16"/>
            <w:szCs w:val="16"/>
            <w:u w:val="single" w:color="auto"/>
            <w:color w:val="0000FF"/>
          </w:rPr>
          <w:t>Consent of Independent Petroleum Engineers, Ryder Scott Company, L.P.</w:t>
        </w:r>
      </w:hyperlink>
    </w:p>
    <w:p>
      <w:pPr>
        <w:spacing w:after="0" w:line="50" w:lineRule="exact"/>
        <w:rPr>
          <w:sz w:val="20"/>
          <w:szCs w:val="20"/>
          <w:color w:val="auto"/>
        </w:rPr>
      </w:pPr>
    </w:p>
    <w:p>
      <w:pPr>
        <w:ind w:left="700"/>
        <w:spacing w:after="0"/>
        <w:tabs>
          <w:tab w:leader="none" w:pos="1540" w:val="left"/>
        </w:tabs>
        <w:rPr>
          <w:rFonts w:ascii="Arial" w:cs="Arial" w:eastAsia="Arial" w:hAnsi="Arial"/>
          <w:sz w:val="16"/>
          <w:szCs w:val="16"/>
          <w:u w:val="single" w:color="auto"/>
          <w:color w:val="0000FF"/>
        </w:rPr>
      </w:pPr>
      <w:r>
        <w:rPr>
          <w:rFonts w:ascii="Arial" w:cs="Arial" w:eastAsia="Arial" w:hAnsi="Arial"/>
          <w:sz w:val="18"/>
          <w:szCs w:val="18"/>
          <w:color w:val="auto"/>
        </w:rPr>
        <w:t>23.3*</w:t>
      </w:r>
      <w:r>
        <w:rPr>
          <w:sz w:val="20"/>
          <w:szCs w:val="20"/>
          <w:color w:val="auto"/>
        </w:rPr>
        <w:tab/>
      </w:r>
      <w:hyperlink w:anchor="page13">
        <w:r>
          <w:rPr>
            <w:rFonts w:ascii="Arial" w:cs="Arial" w:eastAsia="Arial" w:hAnsi="Arial"/>
            <w:sz w:val="16"/>
            <w:szCs w:val="16"/>
            <w:u w:val="single" w:color="auto"/>
            <w:color w:val="0000FF"/>
          </w:rPr>
          <w:t>Consent of Independent Petroleum Engineers, Netherland, Sewell &amp; Associates, Inc.</w:t>
        </w:r>
      </w:hyperlink>
    </w:p>
    <w:p>
      <w:pPr>
        <w:spacing w:after="0" w:line="50" w:lineRule="exact"/>
        <w:rPr>
          <w:sz w:val="20"/>
          <w:szCs w:val="20"/>
          <w:color w:val="auto"/>
        </w:rPr>
      </w:pPr>
    </w:p>
    <w:p>
      <w:pPr>
        <w:ind w:left="700"/>
        <w:spacing w:after="0"/>
        <w:tabs>
          <w:tab w:leader="none" w:pos="1540" w:val="left"/>
        </w:tabs>
        <w:rPr>
          <w:rFonts w:ascii="Arial" w:cs="Arial" w:eastAsia="Arial" w:hAnsi="Arial"/>
          <w:sz w:val="16"/>
          <w:szCs w:val="16"/>
          <w:u w:val="single" w:color="auto"/>
          <w:color w:val="0000FF"/>
        </w:rPr>
      </w:pPr>
      <w:r>
        <w:rPr>
          <w:rFonts w:ascii="Arial" w:cs="Arial" w:eastAsia="Arial" w:hAnsi="Arial"/>
          <w:sz w:val="18"/>
          <w:szCs w:val="18"/>
          <w:color w:val="auto"/>
        </w:rPr>
        <w:t>23.4*</w:t>
      </w:r>
      <w:r>
        <w:rPr>
          <w:sz w:val="20"/>
          <w:szCs w:val="20"/>
          <w:color w:val="auto"/>
        </w:rPr>
        <w:tab/>
      </w:r>
      <w:hyperlink w:anchor="page9">
        <w:r>
          <w:rPr>
            <w:rFonts w:ascii="Arial" w:cs="Arial" w:eastAsia="Arial" w:hAnsi="Arial"/>
            <w:sz w:val="16"/>
            <w:szCs w:val="16"/>
            <w:u w:val="single" w:color="auto"/>
            <w:color w:val="0000FF"/>
          </w:rPr>
          <w:t>Consent of Vinson &amp; Elkins L.L.P. (included in the opinion filed as Exhibit 5.1 to this Registration Statement).</w:t>
        </w:r>
      </w:hyperlink>
    </w:p>
    <w:p>
      <w:pPr>
        <w:spacing w:after="0" w:line="50" w:lineRule="exact"/>
        <w:rPr>
          <w:sz w:val="20"/>
          <w:szCs w:val="20"/>
          <w:color w:val="auto"/>
        </w:rPr>
      </w:pPr>
    </w:p>
    <w:p>
      <w:pPr>
        <w:ind w:left="700"/>
        <w:spacing w:after="0"/>
        <w:tabs>
          <w:tab w:leader="none" w:pos="1540" w:val="left"/>
        </w:tabs>
        <w:rPr>
          <w:rFonts w:ascii="Arial" w:cs="Arial" w:eastAsia="Arial" w:hAnsi="Arial"/>
          <w:sz w:val="16"/>
          <w:szCs w:val="16"/>
          <w:u w:val="single" w:color="auto"/>
          <w:color w:val="0000FF"/>
        </w:rPr>
      </w:pPr>
      <w:r>
        <w:rPr>
          <w:rFonts w:ascii="Arial" w:cs="Arial" w:eastAsia="Arial" w:hAnsi="Arial"/>
          <w:sz w:val="18"/>
          <w:szCs w:val="18"/>
          <w:color w:val="auto"/>
        </w:rPr>
        <w:t>24.1*</w:t>
      </w:r>
      <w:r>
        <w:rPr>
          <w:sz w:val="20"/>
          <w:szCs w:val="20"/>
          <w:color w:val="auto"/>
        </w:rPr>
        <w:tab/>
      </w:r>
      <w:hyperlink w:anchor="page5">
        <w:r>
          <w:rPr>
            <w:rFonts w:ascii="Arial" w:cs="Arial" w:eastAsia="Arial" w:hAnsi="Arial"/>
            <w:sz w:val="16"/>
            <w:szCs w:val="16"/>
            <w:u w:val="single" w:color="auto"/>
            <w:color w:val="0000FF"/>
          </w:rPr>
          <w:t>Power of Attorney (included as part of the signature pages to this Registration Statement).</w:t>
        </w:r>
      </w:hyperlink>
    </w:p>
    <w:p>
      <w:pPr>
        <w:spacing w:after="0" w:line="50" w:lineRule="exact"/>
        <w:rPr>
          <w:sz w:val="20"/>
          <w:szCs w:val="20"/>
          <w:color w:val="auto"/>
        </w:rPr>
      </w:pPr>
    </w:p>
    <w:p>
      <w:pPr>
        <w:ind w:left="1560" w:right="440" w:hanging="849"/>
        <w:spacing w:after="0" w:line="261" w:lineRule="auto"/>
        <w:tabs>
          <w:tab w:leader="none" w:pos="1540" w:val="left"/>
        </w:tabs>
        <w:rPr>
          <w:rFonts w:ascii="Arial" w:cs="Arial" w:eastAsia="Arial" w:hAnsi="Arial"/>
          <w:sz w:val="18"/>
          <w:szCs w:val="18"/>
          <w:u w:val="single" w:color="auto"/>
          <w:color w:val="0000FF"/>
        </w:rPr>
      </w:pPr>
      <w:r>
        <w:rPr>
          <w:rFonts w:ascii="Arial" w:cs="Arial" w:eastAsia="Arial" w:hAnsi="Arial"/>
          <w:sz w:val="18"/>
          <w:szCs w:val="18"/>
          <w:color w:val="auto"/>
        </w:rPr>
        <w:t>99.1</w:t>
      </w:r>
      <w:r>
        <w:rPr>
          <w:sz w:val="20"/>
          <w:szCs w:val="20"/>
          <w:color w:val="auto"/>
        </w:rPr>
        <w:tab/>
      </w:r>
      <w:hyperlink r:id="rId17">
        <w:r>
          <w:rPr>
            <w:rFonts w:ascii="Arial" w:cs="Arial" w:eastAsia="Arial" w:hAnsi="Arial"/>
            <w:sz w:val="18"/>
            <w:szCs w:val="18"/>
            <w:u w:val="single" w:color="auto"/>
            <w:color w:val="0000FF"/>
          </w:rPr>
          <w:t>California Resources Corporation Employee Stock Purchase Plan (incorporated by reference to Exhibit 10.1 to the Registrant’s</w:t>
        </w:r>
      </w:hyperlink>
      <w:r>
        <w:rPr>
          <w:rFonts w:ascii="Arial" w:cs="Arial" w:eastAsia="Arial" w:hAnsi="Arial"/>
          <w:sz w:val="18"/>
          <w:szCs w:val="18"/>
          <w:u w:val="single" w:color="auto"/>
          <w:color w:val="0000FF"/>
        </w:rPr>
        <w:t xml:space="preserve"> </w:t>
      </w:r>
      <w:hyperlink r:id="rId17">
        <w:r>
          <w:rPr>
            <w:rFonts w:ascii="Arial" w:cs="Arial" w:eastAsia="Arial" w:hAnsi="Arial"/>
            <w:sz w:val="18"/>
            <w:szCs w:val="18"/>
            <w:u w:val="single" w:color="auto"/>
            <w:color w:val="0000FF"/>
          </w:rPr>
          <w:t>Current Report on Form 8-K, filed with the Commission on May 6, 2022).</w:t>
        </w:r>
      </w:hyperlink>
    </w:p>
    <w:p>
      <w:pPr>
        <w:spacing w:after="0" w:line="9" w:lineRule="exact"/>
        <w:rPr>
          <w:sz w:val="20"/>
          <w:szCs w:val="20"/>
          <w:color w:val="auto"/>
        </w:rPr>
      </w:pPr>
    </w:p>
    <w:p>
      <w:pPr>
        <w:ind w:left="620"/>
        <w:spacing w:after="0"/>
        <w:tabs>
          <w:tab w:leader="none" w:pos="1540" w:val="left"/>
        </w:tabs>
        <w:rPr>
          <w:rFonts w:ascii="Arial" w:cs="Arial" w:eastAsia="Arial" w:hAnsi="Arial"/>
          <w:sz w:val="16"/>
          <w:szCs w:val="16"/>
          <w:u w:val="single" w:color="auto"/>
          <w:color w:val="0000FF"/>
        </w:rPr>
      </w:pPr>
      <w:r>
        <w:rPr>
          <w:rFonts w:ascii="Arial" w:cs="Arial" w:eastAsia="Arial" w:hAnsi="Arial"/>
          <w:sz w:val="18"/>
          <w:szCs w:val="18"/>
          <w:color w:val="auto"/>
        </w:rPr>
        <w:t>107.1*</w:t>
      </w:r>
      <w:r>
        <w:rPr>
          <w:sz w:val="20"/>
          <w:szCs w:val="20"/>
          <w:color w:val="auto"/>
        </w:rPr>
        <w:tab/>
      </w:r>
      <w:hyperlink w:anchor="page8">
        <w:r>
          <w:rPr>
            <w:rFonts w:ascii="Arial" w:cs="Arial" w:eastAsia="Arial" w:hAnsi="Arial"/>
            <w:sz w:val="16"/>
            <w:szCs w:val="16"/>
            <w:u w:val="single" w:color="auto"/>
            <w:color w:val="0000FF"/>
          </w:rPr>
          <w:t>Calculation of Filing Fee Tables.</w:t>
        </w:r>
      </w:hyperlink>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46" w:lineRule="exact"/>
        <w:rPr>
          <w:sz w:val="20"/>
          <w:szCs w:val="20"/>
          <w:color w:val="auto"/>
        </w:rPr>
      </w:pPr>
    </w:p>
    <w:p>
      <w:pPr>
        <w:spacing w:after="0"/>
        <w:tabs>
          <w:tab w:leader="none" w:pos="2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140"/>
          </w:cols>
          <w:pgMar w:left="320" w:top="1440" w:right="439" w:bottom="1440" w:gutter="0" w:footer="0" w:header="0"/>
        </w:sectPr>
      </w:pPr>
    </w:p>
    <w:bookmarkStart w:id="4" w:name="page5"/>
    <w:bookmarkEnd w:id="4"/>
    <w:p>
      <w:pPr>
        <w:spacing w:after="0" w:line="15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89" w:lineRule="exact"/>
        <w:rPr>
          <w:sz w:val="20"/>
          <w:szCs w:val="20"/>
          <w:color w:val="auto"/>
        </w:rPr>
      </w:pPr>
    </w:p>
    <w:p>
      <w:pPr>
        <w:ind w:left="700" w:hanging="36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71" w:lineRule="exact"/>
        <w:rPr>
          <w:rFonts w:ascii="Arial" w:cs="Arial" w:eastAsia="Arial" w:hAnsi="Arial"/>
          <w:sz w:val="18"/>
          <w:szCs w:val="18"/>
          <w:color w:val="auto"/>
        </w:rPr>
      </w:pPr>
    </w:p>
    <w:p>
      <w:pPr>
        <w:ind w:left="1040" w:hanging="384"/>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the Registration Statement:</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84" w:lineRule="exact"/>
        <w:rPr>
          <w:rFonts w:ascii="Arial" w:cs="Arial" w:eastAsia="Arial" w:hAnsi="Arial"/>
          <w:sz w:val="18"/>
          <w:szCs w:val="18"/>
          <w:color w:val="auto"/>
        </w:rPr>
      </w:pPr>
    </w:p>
    <w:p>
      <w:pPr>
        <w:ind w:left="1300" w:right="100" w:hanging="320"/>
        <w:spacing w:after="0" w:line="255" w:lineRule="auto"/>
        <w:tabs>
          <w:tab w:leader="none" w:pos="1376" w:val="left"/>
        </w:tabs>
        <w:numPr>
          <w:ilvl w:val="2"/>
          <w:numId w:val="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39" w:lineRule="exact"/>
        <w:rPr>
          <w:rFonts w:ascii="Arial" w:cs="Arial" w:eastAsia="Arial" w:hAnsi="Arial"/>
          <w:sz w:val="17"/>
          <w:szCs w:val="17"/>
          <w:color w:val="auto"/>
        </w:rPr>
      </w:pPr>
    </w:p>
    <w:p>
      <w:pPr>
        <w:ind w:left="1300" w:right="20" w:hanging="320"/>
        <w:spacing w:after="0" w:line="261" w:lineRule="auto"/>
        <w:tabs>
          <w:tab w:leader="none" w:pos="1426"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0" w:lineRule="exact"/>
        <w:rPr>
          <w:sz w:val="20"/>
          <w:szCs w:val="20"/>
          <w:color w:val="auto"/>
        </w:rPr>
      </w:pPr>
    </w:p>
    <w:p>
      <w:pPr>
        <w:ind w:left="340"/>
        <w:spacing w:after="0" w:line="248"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periodic reports filed with or furnished to the Commission by the Registrant pursuant to Section 13 or Section 15(d) of the Exchange Act that are incorporated by reference in this Registration Statement.</w:t>
      </w:r>
    </w:p>
    <w:p>
      <w:pPr>
        <w:spacing w:after="0" w:line="155" w:lineRule="exact"/>
        <w:rPr>
          <w:sz w:val="20"/>
          <w:szCs w:val="20"/>
          <w:color w:val="auto"/>
        </w:rPr>
      </w:pPr>
    </w:p>
    <w:p>
      <w:pPr>
        <w:jc w:val="both"/>
        <w:ind w:left="980" w:right="80" w:hanging="324"/>
        <w:spacing w:after="0" w:line="248" w:lineRule="auto"/>
        <w:tabs>
          <w:tab w:leader="none" w:pos="1042" w:val="left"/>
        </w:tabs>
        <w:numPr>
          <w:ilvl w:val="1"/>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41" w:lineRule="exact"/>
        <w:rPr>
          <w:rFonts w:ascii="Arial" w:cs="Arial" w:eastAsia="Arial" w:hAnsi="Arial"/>
          <w:sz w:val="18"/>
          <w:szCs w:val="18"/>
          <w:color w:val="auto"/>
        </w:rPr>
      </w:pPr>
    </w:p>
    <w:p>
      <w:pPr>
        <w:ind w:left="980" w:right="500" w:hanging="324"/>
        <w:spacing w:after="0" w:line="261" w:lineRule="auto"/>
        <w:tabs>
          <w:tab w:leader="none" w:pos="1042"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0" w:lineRule="exact"/>
        <w:rPr>
          <w:rFonts w:ascii="Arial" w:cs="Arial" w:eastAsia="Arial" w:hAnsi="Arial"/>
          <w:sz w:val="18"/>
          <w:szCs w:val="18"/>
          <w:color w:val="auto"/>
        </w:rPr>
      </w:pPr>
    </w:p>
    <w:p>
      <w:pPr>
        <w:ind w:left="660" w:right="40" w:hanging="328"/>
        <w:spacing w:after="0" w:line="241" w:lineRule="auto"/>
        <w:tabs>
          <w:tab w:leader="none" w:pos="72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2" w:lineRule="exact"/>
        <w:rPr>
          <w:rFonts w:ascii="Arial" w:cs="Arial" w:eastAsia="Arial" w:hAnsi="Arial"/>
          <w:sz w:val="18"/>
          <w:szCs w:val="18"/>
          <w:color w:val="auto"/>
        </w:rPr>
      </w:pPr>
    </w:p>
    <w:p>
      <w:pPr>
        <w:ind w:left="660" w:right="60" w:hanging="328"/>
        <w:spacing w:after="0" w:line="254" w:lineRule="auto"/>
        <w:tabs>
          <w:tab w:leader="none" w:pos="716" w:val="left"/>
        </w:tabs>
        <w:numPr>
          <w:ilvl w:val="0"/>
          <w:numId w:val="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20"/>
          </w:cols>
          <w:pgMar w:left="320" w:top="1440" w:right="359" w:bottom="1440" w:gutter="0" w:footer="0" w:header="0"/>
        </w:sectPr>
      </w:pPr>
    </w:p>
    <w:bookmarkStart w:id="5" w:name="page6"/>
    <w:bookmarkEnd w:id="5"/>
    <w:p>
      <w:pPr>
        <w:spacing w:after="0" w:line="157" w:lineRule="exact"/>
        <w:rPr>
          <w:sz w:val="20"/>
          <w:szCs w:val="20"/>
          <w:color w:val="auto"/>
        </w:rPr>
      </w:pPr>
    </w:p>
    <w:p>
      <w:pPr>
        <w:jc w:val="both"/>
        <w:ind w:right="80" w:firstLine="324"/>
        <w:spacing w:after="0" w:line="248"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Long Beach, State of California, on May 6, 2022.</w:t>
      </w:r>
    </w:p>
    <w:p>
      <w:pPr>
        <w:spacing w:after="0" w:line="19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CALIFORNIA RESOURCES CORPORATION</w:t>
      </w:r>
    </w:p>
    <w:p>
      <w:pPr>
        <w:spacing w:after="0" w:line="297" w:lineRule="exact"/>
        <w:rPr>
          <w:sz w:val="20"/>
          <w:szCs w:val="20"/>
          <w:color w:val="auto"/>
        </w:rPr>
      </w:pPr>
    </w:p>
    <w:tbl>
      <w:tblPr>
        <w:tblLayout w:type="fixed"/>
        <w:tblInd w:w="51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Mark A. McFarland</w:t>
            </w:r>
          </w:p>
        </w:tc>
      </w:tr>
      <w:tr>
        <w:trPr>
          <w:trHeight w:val="222"/>
        </w:trPr>
        <w:tc>
          <w:tcPr>
            <w:tcW w:w="62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Name:</w:t>
            </w:r>
          </w:p>
        </w:tc>
        <w:tc>
          <w:tcPr>
            <w:tcW w:w="4760" w:type="dxa"/>
            <w:vAlign w:val="bottom"/>
          </w:tcPr>
          <w:p>
            <w:pPr>
              <w:ind w:left="240"/>
              <w:spacing w:after="0"/>
              <w:rPr>
                <w:sz w:val="20"/>
                <w:szCs w:val="20"/>
                <w:color w:val="auto"/>
              </w:rPr>
            </w:pPr>
            <w:r>
              <w:rPr>
                <w:rFonts w:ascii="Arial" w:cs="Arial" w:eastAsia="Arial" w:hAnsi="Arial"/>
                <w:sz w:val="18"/>
                <w:szCs w:val="18"/>
                <w:color w:val="auto"/>
              </w:rPr>
              <w:t>Mark A. McFarland</w:t>
            </w:r>
          </w:p>
        </w:tc>
      </w:tr>
      <w:tr>
        <w:trPr>
          <w:trHeight w:val="230"/>
        </w:trPr>
        <w:tc>
          <w:tcPr>
            <w:tcW w:w="62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Title:</w:t>
            </w:r>
          </w:p>
        </w:tc>
        <w:tc>
          <w:tcPr>
            <w:tcW w:w="4760" w:type="dxa"/>
            <w:vAlign w:val="bottom"/>
          </w:tcPr>
          <w:p>
            <w:pPr>
              <w:ind w:left="200"/>
              <w:spacing w:after="0"/>
              <w:rPr>
                <w:sz w:val="20"/>
                <w:szCs w:val="20"/>
                <w:color w:val="auto"/>
              </w:rPr>
            </w:pPr>
            <w:r>
              <w:rPr>
                <w:rFonts w:ascii="Arial" w:cs="Arial" w:eastAsia="Arial" w:hAnsi="Arial"/>
                <w:sz w:val="18"/>
                <w:szCs w:val="18"/>
                <w:color w:val="auto"/>
              </w:rPr>
              <w:t>President, Chief Executive Officer and Director</w:t>
            </w: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2" w:lineRule="exact"/>
        <w:rPr>
          <w:sz w:val="20"/>
          <w:szCs w:val="20"/>
          <w:color w:val="auto"/>
        </w:rPr>
      </w:pPr>
    </w:p>
    <w:p>
      <w:pPr>
        <w:ind w:right="60" w:firstLine="324"/>
        <w:spacing w:after="0" w:line="272" w:lineRule="auto"/>
        <w:rPr>
          <w:sz w:val="20"/>
          <w:szCs w:val="20"/>
          <w:color w:val="auto"/>
        </w:rPr>
      </w:pPr>
      <w:r>
        <w:rPr>
          <w:rFonts w:ascii="Arial" w:cs="Arial" w:eastAsia="Arial" w:hAnsi="Arial"/>
          <w:sz w:val="16"/>
          <w:szCs w:val="16"/>
          <w:color w:val="auto"/>
        </w:rPr>
        <w:t>KNOWN ALL PERSONS BY THESE PRESENTS, that each person whose signature appears below appoints Mark A. McFarland, Francisco J. Leon, Michael L. Preston and Ulrik Damborg, and each of them, any of whom may act without the joinder of the other, as his true and lawful attorneys-in-fact and agents, with full power of substitution and resubstitution, for him and in his name, place and stead, in any and all capacities, to sign any and all amendments (including post-effective amendments) to the Registration Statement and any Registration Statement (including any amendment thereto) for this offering that is to be effective upon filing pursuant to Rule 462(b) under the Securities Act, and to file the same, with all exhibits thereto, and all other documents in connection therewith, with the Commission, granting unto said attorneys-in-fact and agents full power and authority to do and perform each and every act and thing requisite and necessary to be done, as fully to all intents and purposes as he might or would do in person, hereby ratifying and confirming all that said attorneys-in-fact and agents or any of them or his substitute or substitutes, may lawfully do or cause to be done by virtue hereof.</w:t>
      </w:r>
    </w:p>
    <w:p>
      <w:pPr>
        <w:spacing w:after="0" w:line="127"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Pursuant to the requirements of the Securities Act, the Registration Statement has been signed by the following persons in the capacities indicated on May 6,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700" w:type="dxa"/>
            <w:vAlign w:val="bottom"/>
          </w:tcPr>
          <w:p>
            <w:pPr>
              <w:ind w:left="500"/>
              <w:spacing w:after="0"/>
              <w:rPr>
                <w:sz w:val="20"/>
                <w:szCs w:val="20"/>
                <w:color w:val="auto"/>
              </w:rPr>
            </w:pPr>
            <w:r>
              <w:rPr>
                <w:rFonts w:ascii="Arial" w:cs="Arial" w:eastAsia="Arial" w:hAnsi="Arial"/>
                <w:sz w:val="18"/>
                <w:szCs w:val="18"/>
                <w:b w:val="1"/>
                <w:bCs w:val="1"/>
                <w:color w:val="auto"/>
              </w:rPr>
              <w:t>SIGNATURES</w:t>
            </w:r>
          </w:p>
        </w:tc>
      </w:tr>
      <w:tr>
        <w:trPr>
          <w:trHeight w:val="403"/>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Signature</w:t>
            </w:r>
          </w:p>
        </w:tc>
        <w:tc>
          <w:tcPr>
            <w:tcW w:w="260" w:type="dxa"/>
            <w:vAlign w:val="bottom"/>
          </w:tcPr>
          <w:p>
            <w:pPr>
              <w:spacing w:after="0"/>
              <w:rPr>
                <w:sz w:val="24"/>
                <w:szCs w:val="24"/>
                <w:color w:val="auto"/>
              </w:rPr>
            </w:pPr>
          </w:p>
        </w:tc>
        <w:tc>
          <w:tcPr>
            <w:tcW w:w="67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Title</w:t>
            </w:r>
          </w:p>
        </w:tc>
      </w:tr>
      <w:tr>
        <w:trPr>
          <w:trHeight w:val="329"/>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Mark A. (Mac) McFarland</w:t>
            </w:r>
          </w:p>
        </w:tc>
        <w:tc>
          <w:tcPr>
            <w:tcW w:w="260" w:type="dxa"/>
            <w:vAlign w:val="bottom"/>
          </w:tcPr>
          <w:p>
            <w:pPr>
              <w:spacing w:after="0"/>
              <w:rPr>
                <w:sz w:val="24"/>
                <w:szCs w:val="24"/>
                <w:color w:val="auto"/>
              </w:rPr>
            </w:pPr>
          </w:p>
        </w:tc>
        <w:tc>
          <w:tcPr>
            <w:tcW w:w="6700" w:type="dxa"/>
            <w:vAlign w:val="bottom"/>
          </w:tcPr>
          <w:p>
            <w:pPr>
              <w:jc w:val="center"/>
              <w:spacing w:after="0"/>
              <w:rPr>
                <w:sz w:val="20"/>
                <w:szCs w:val="20"/>
                <w:color w:val="auto"/>
              </w:rPr>
            </w:pPr>
            <w:r>
              <w:rPr>
                <w:rFonts w:ascii="Arial" w:cs="Arial" w:eastAsia="Arial" w:hAnsi="Arial"/>
                <w:sz w:val="17"/>
                <w:szCs w:val="17"/>
                <w:color w:val="auto"/>
                <w:w w:val="92"/>
              </w:rPr>
              <w:t>President, Chief Executive Officer and Director</w:t>
            </w:r>
          </w:p>
        </w:tc>
      </w:tr>
      <w:tr>
        <w:trPr>
          <w:trHeight w:val="214"/>
        </w:trPr>
        <w:tc>
          <w:tcPr>
            <w:tcW w:w="4280" w:type="dxa"/>
            <w:vAlign w:val="bottom"/>
          </w:tcPr>
          <w:p>
            <w:pPr>
              <w:jc w:val="center"/>
              <w:spacing w:after="0"/>
              <w:rPr>
                <w:sz w:val="20"/>
                <w:szCs w:val="20"/>
                <w:color w:val="auto"/>
              </w:rPr>
            </w:pPr>
            <w:r>
              <w:rPr>
                <w:rFonts w:ascii="Arial" w:cs="Arial" w:eastAsia="Arial" w:hAnsi="Arial"/>
                <w:sz w:val="17"/>
                <w:szCs w:val="17"/>
                <w:color w:val="auto"/>
                <w:w w:val="95"/>
              </w:rPr>
              <w:t>Mark A. (Mac) McFarland</w:t>
            </w:r>
          </w:p>
        </w:tc>
        <w:tc>
          <w:tcPr>
            <w:tcW w:w="260" w:type="dxa"/>
            <w:vAlign w:val="bottom"/>
          </w:tcPr>
          <w:p>
            <w:pPr>
              <w:spacing w:after="0"/>
              <w:rPr>
                <w:sz w:val="18"/>
                <w:szCs w:val="18"/>
                <w:color w:val="auto"/>
              </w:rPr>
            </w:pPr>
          </w:p>
        </w:tc>
        <w:tc>
          <w:tcPr>
            <w:tcW w:w="6700" w:type="dxa"/>
            <w:vAlign w:val="bottom"/>
          </w:tcPr>
          <w:p>
            <w:pPr>
              <w:jc w:val="center"/>
              <w:spacing w:after="0"/>
              <w:rPr>
                <w:sz w:val="20"/>
                <w:szCs w:val="20"/>
                <w:color w:val="auto"/>
              </w:rPr>
            </w:pPr>
            <w:r>
              <w:rPr>
                <w:rFonts w:ascii="Arial" w:cs="Arial" w:eastAsia="Arial" w:hAnsi="Arial"/>
                <w:sz w:val="17"/>
                <w:szCs w:val="17"/>
                <w:color w:val="auto"/>
                <w:w w:val="94"/>
              </w:rPr>
              <w:t>(Principal Executive Officer)</w:t>
            </w:r>
          </w:p>
        </w:tc>
      </w:tr>
      <w:tr>
        <w:trPr>
          <w:trHeight w:val="333"/>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/s/ Francisco J. Leon</w:t>
            </w:r>
          </w:p>
        </w:tc>
        <w:tc>
          <w:tcPr>
            <w:tcW w:w="260" w:type="dxa"/>
            <w:vAlign w:val="bottom"/>
          </w:tcPr>
          <w:p>
            <w:pPr>
              <w:spacing w:after="0"/>
              <w:rPr>
                <w:sz w:val="24"/>
                <w:szCs w:val="24"/>
                <w:color w:val="auto"/>
              </w:rPr>
            </w:pPr>
          </w:p>
        </w:tc>
        <w:tc>
          <w:tcPr>
            <w:tcW w:w="6700" w:type="dxa"/>
            <w:vAlign w:val="bottom"/>
          </w:tcPr>
          <w:p>
            <w:pPr>
              <w:jc w:val="center"/>
              <w:spacing w:after="0"/>
              <w:rPr>
                <w:sz w:val="20"/>
                <w:szCs w:val="20"/>
                <w:color w:val="auto"/>
              </w:rPr>
            </w:pPr>
            <w:r>
              <w:rPr>
                <w:rFonts w:ascii="Arial" w:cs="Arial" w:eastAsia="Arial" w:hAnsi="Arial"/>
                <w:sz w:val="17"/>
                <w:szCs w:val="17"/>
                <w:color w:val="auto"/>
                <w:w w:val="92"/>
              </w:rPr>
              <w:t>Executive Vice President and Chief Financial Officer</w:t>
            </w:r>
          </w:p>
        </w:tc>
      </w:tr>
      <w:tr>
        <w:trPr>
          <w:trHeight w:val="214"/>
        </w:trPr>
        <w:tc>
          <w:tcPr>
            <w:tcW w:w="4280" w:type="dxa"/>
            <w:vAlign w:val="bottom"/>
          </w:tcPr>
          <w:p>
            <w:pPr>
              <w:jc w:val="center"/>
              <w:spacing w:after="0"/>
              <w:rPr>
                <w:sz w:val="20"/>
                <w:szCs w:val="20"/>
                <w:color w:val="auto"/>
              </w:rPr>
            </w:pPr>
            <w:r>
              <w:rPr>
                <w:rFonts w:ascii="Arial" w:cs="Arial" w:eastAsia="Arial" w:hAnsi="Arial"/>
                <w:sz w:val="17"/>
                <w:szCs w:val="17"/>
                <w:color w:val="auto"/>
                <w:w w:val="89"/>
              </w:rPr>
              <w:t>Francisco J. Leon</w:t>
            </w:r>
          </w:p>
        </w:tc>
        <w:tc>
          <w:tcPr>
            <w:tcW w:w="260" w:type="dxa"/>
            <w:vAlign w:val="bottom"/>
          </w:tcPr>
          <w:p>
            <w:pPr>
              <w:spacing w:after="0"/>
              <w:rPr>
                <w:sz w:val="18"/>
                <w:szCs w:val="18"/>
                <w:color w:val="auto"/>
              </w:rPr>
            </w:pPr>
          </w:p>
        </w:tc>
        <w:tc>
          <w:tcPr>
            <w:tcW w:w="6700" w:type="dxa"/>
            <w:vAlign w:val="bottom"/>
          </w:tcPr>
          <w:p>
            <w:pPr>
              <w:jc w:val="center"/>
              <w:spacing w:after="0"/>
              <w:rPr>
                <w:sz w:val="20"/>
                <w:szCs w:val="20"/>
                <w:color w:val="auto"/>
              </w:rPr>
            </w:pPr>
            <w:r>
              <w:rPr>
                <w:rFonts w:ascii="Arial" w:cs="Arial" w:eastAsia="Arial" w:hAnsi="Arial"/>
                <w:sz w:val="17"/>
                <w:szCs w:val="17"/>
                <w:color w:val="auto"/>
                <w:w w:val="95"/>
              </w:rPr>
              <w:t>(Principal Financial Officer)</w:t>
            </w:r>
          </w:p>
        </w:tc>
      </w:tr>
      <w:tr>
        <w:trPr>
          <w:trHeight w:val="333"/>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/s/ Noelle M. Repetti</w:t>
            </w:r>
          </w:p>
        </w:tc>
        <w:tc>
          <w:tcPr>
            <w:tcW w:w="260" w:type="dxa"/>
            <w:vAlign w:val="bottom"/>
          </w:tcPr>
          <w:p>
            <w:pPr>
              <w:spacing w:after="0"/>
              <w:rPr>
                <w:sz w:val="24"/>
                <w:szCs w:val="24"/>
                <w:color w:val="auto"/>
              </w:rPr>
            </w:pPr>
          </w:p>
        </w:tc>
        <w:tc>
          <w:tcPr>
            <w:tcW w:w="6700" w:type="dxa"/>
            <w:vAlign w:val="bottom"/>
          </w:tcPr>
          <w:p>
            <w:pPr>
              <w:jc w:val="center"/>
              <w:spacing w:after="0"/>
              <w:rPr>
                <w:sz w:val="20"/>
                <w:szCs w:val="20"/>
                <w:color w:val="auto"/>
              </w:rPr>
            </w:pPr>
            <w:r>
              <w:rPr>
                <w:rFonts w:ascii="Arial" w:cs="Arial" w:eastAsia="Arial" w:hAnsi="Arial"/>
                <w:sz w:val="17"/>
                <w:szCs w:val="17"/>
                <w:color w:val="auto"/>
                <w:w w:val="91"/>
              </w:rPr>
              <w:t>Senior Vice President and Controller</w:t>
            </w:r>
          </w:p>
        </w:tc>
      </w:tr>
      <w:tr>
        <w:trPr>
          <w:trHeight w:val="214"/>
        </w:trPr>
        <w:tc>
          <w:tcPr>
            <w:tcW w:w="4280" w:type="dxa"/>
            <w:vAlign w:val="bottom"/>
          </w:tcPr>
          <w:p>
            <w:pPr>
              <w:jc w:val="center"/>
              <w:spacing w:after="0"/>
              <w:rPr>
                <w:sz w:val="20"/>
                <w:szCs w:val="20"/>
                <w:color w:val="auto"/>
              </w:rPr>
            </w:pPr>
            <w:r>
              <w:rPr>
                <w:rFonts w:ascii="Arial" w:cs="Arial" w:eastAsia="Arial" w:hAnsi="Arial"/>
                <w:sz w:val="17"/>
                <w:szCs w:val="17"/>
                <w:color w:val="auto"/>
                <w:w w:val="95"/>
              </w:rPr>
              <w:t>Noelle M. Repetti</w:t>
            </w:r>
          </w:p>
        </w:tc>
        <w:tc>
          <w:tcPr>
            <w:tcW w:w="260" w:type="dxa"/>
            <w:vAlign w:val="bottom"/>
          </w:tcPr>
          <w:p>
            <w:pPr>
              <w:spacing w:after="0"/>
              <w:rPr>
                <w:sz w:val="18"/>
                <w:szCs w:val="18"/>
                <w:color w:val="auto"/>
              </w:rPr>
            </w:pPr>
          </w:p>
        </w:tc>
        <w:tc>
          <w:tcPr>
            <w:tcW w:w="6700" w:type="dxa"/>
            <w:vAlign w:val="bottom"/>
          </w:tcPr>
          <w:p>
            <w:pPr>
              <w:jc w:val="center"/>
              <w:spacing w:after="0"/>
              <w:rPr>
                <w:sz w:val="20"/>
                <w:szCs w:val="20"/>
                <w:color w:val="auto"/>
              </w:rPr>
            </w:pPr>
            <w:r>
              <w:rPr>
                <w:rFonts w:ascii="Arial" w:cs="Arial" w:eastAsia="Arial" w:hAnsi="Arial"/>
                <w:sz w:val="17"/>
                <w:szCs w:val="17"/>
                <w:color w:val="auto"/>
                <w:w w:val="95"/>
              </w:rPr>
              <w:t>(Principal Accounting Officer)</w:t>
            </w:r>
          </w:p>
        </w:tc>
      </w:tr>
      <w:tr>
        <w:trPr>
          <w:trHeight w:val="33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Tiffany (TJ) Thom Cepak</w:t>
            </w:r>
          </w:p>
        </w:tc>
        <w:tc>
          <w:tcPr>
            <w:tcW w:w="260" w:type="dxa"/>
            <w:vAlign w:val="bottom"/>
          </w:tcPr>
          <w:p>
            <w:pPr>
              <w:spacing w:after="0"/>
              <w:rPr>
                <w:sz w:val="24"/>
                <w:szCs w:val="24"/>
                <w:color w:val="auto"/>
              </w:rPr>
            </w:pPr>
          </w:p>
        </w:tc>
        <w:tc>
          <w:tcPr>
            <w:tcW w:w="6700" w:type="dxa"/>
            <w:vAlign w:val="bottom"/>
          </w:tcPr>
          <w:p>
            <w:pPr>
              <w:jc w:val="center"/>
              <w:spacing w:after="0"/>
              <w:rPr>
                <w:sz w:val="20"/>
                <w:szCs w:val="20"/>
                <w:color w:val="auto"/>
              </w:rPr>
            </w:pPr>
            <w:r>
              <w:rPr>
                <w:rFonts w:ascii="Arial" w:cs="Arial" w:eastAsia="Arial" w:hAnsi="Arial"/>
                <w:sz w:val="17"/>
                <w:szCs w:val="17"/>
                <w:color w:val="auto"/>
                <w:w w:val="92"/>
              </w:rPr>
              <w:t>Chair of the Board</w:t>
            </w:r>
          </w:p>
        </w:tc>
      </w:tr>
      <w:tr>
        <w:trPr>
          <w:trHeight w:val="212"/>
        </w:trPr>
        <w:tc>
          <w:tcPr>
            <w:tcW w:w="4280" w:type="dxa"/>
            <w:vAlign w:val="bottom"/>
          </w:tcPr>
          <w:p>
            <w:pPr>
              <w:jc w:val="center"/>
              <w:spacing w:after="0"/>
              <w:rPr>
                <w:sz w:val="20"/>
                <w:szCs w:val="20"/>
                <w:color w:val="auto"/>
              </w:rPr>
            </w:pPr>
            <w:r>
              <w:rPr>
                <w:rFonts w:ascii="Arial" w:cs="Arial" w:eastAsia="Arial" w:hAnsi="Arial"/>
                <w:sz w:val="17"/>
                <w:szCs w:val="17"/>
                <w:color w:val="auto"/>
                <w:w w:val="93"/>
              </w:rPr>
              <w:t>Tiffany (TJ) Thom Cepak</w:t>
            </w:r>
          </w:p>
        </w:tc>
        <w:tc>
          <w:tcPr>
            <w:tcW w:w="260" w:type="dxa"/>
            <w:vAlign w:val="bottom"/>
          </w:tcPr>
          <w:p>
            <w:pPr>
              <w:spacing w:after="0"/>
              <w:rPr>
                <w:sz w:val="18"/>
                <w:szCs w:val="18"/>
                <w:color w:val="auto"/>
              </w:rPr>
            </w:pPr>
          </w:p>
        </w:tc>
        <w:tc>
          <w:tcPr>
            <w:tcW w:w="6700" w:type="dxa"/>
            <w:vAlign w:val="bottom"/>
          </w:tcPr>
          <w:p>
            <w:pPr>
              <w:spacing w:after="0"/>
              <w:rPr>
                <w:sz w:val="18"/>
                <w:szCs w:val="18"/>
                <w:color w:val="auto"/>
              </w:rPr>
            </w:pPr>
          </w:p>
        </w:tc>
      </w:tr>
      <w:tr>
        <w:trPr>
          <w:trHeight w:val="33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Andrew B. Bremner</w:t>
            </w:r>
          </w:p>
        </w:tc>
        <w:tc>
          <w:tcPr>
            <w:tcW w:w="260" w:type="dxa"/>
            <w:vAlign w:val="bottom"/>
          </w:tcPr>
          <w:p>
            <w:pPr>
              <w:spacing w:after="0"/>
              <w:rPr>
                <w:sz w:val="24"/>
                <w:szCs w:val="24"/>
                <w:color w:val="auto"/>
              </w:rPr>
            </w:pPr>
          </w:p>
        </w:tc>
        <w:tc>
          <w:tcPr>
            <w:tcW w:w="6700" w:type="dxa"/>
            <w:vAlign w:val="bottom"/>
          </w:tcPr>
          <w:p>
            <w:pPr>
              <w:jc w:val="center"/>
              <w:spacing w:after="0"/>
              <w:rPr>
                <w:sz w:val="20"/>
                <w:szCs w:val="20"/>
                <w:color w:val="auto"/>
              </w:rPr>
            </w:pPr>
            <w:r>
              <w:rPr>
                <w:rFonts w:ascii="Arial" w:cs="Arial" w:eastAsia="Arial" w:hAnsi="Arial"/>
                <w:sz w:val="17"/>
                <w:szCs w:val="17"/>
                <w:color w:val="auto"/>
                <w:w w:val="97"/>
              </w:rPr>
              <w:t>Director</w:t>
            </w:r>
          </w:p>
        </w:tc>
      </w:tr>
      <w:tr>
        <w:trPr>
          <w:trHeight w:val="212"/>
        </w:trPr>
        <w:tc>
          <w:tcPr>
            <w:tcW w:w="4280" w:type="dxa"/>
            <w:vAlign w:val="bottom"/>
          </w:tcPr>
          <w:p>
            <w:pPr>
              <w:jc w:val="center"/>
              <w:spacing w:after="0"/>
              <w:rPr>
                <w:sz w:val="20"/>
                <w:szCs w:val="20"/>
                <w:color w:val="auto"/>
              </w:rPr>
            </w:pPr>
            <w:r>
              <w:rPr>
                <w:rFonts w:ascii="Arial" w:cs="Arial" w:eastAsia="Arial" w:hAnsi="Arial"/>
                <w:sz w:val="17"/>
                <w:szCs w:val="17"/>
                <w:color w:val="auto"/>
                <w:w w:val="94"/>
              </w:rPr>
              <w:t>Andrew B. Bremner</w:t>
            </w:r>
          </w:p>
        </w:tc>
        <w:tc>
          <w:tcPr>
            <w:tcW w:w="260" w:type="dxa"/>
            <w:vAlign w:val="bottom"/>
          </w:tcPr>
          <w:p>
            <w:pPr>
              <w:spacing w:after="0"/>
              <w:rPr>
                <w:sz w:val="18"/>
                <w:szCs w:val="18"/>
                <w:color w:val="auto"/>
              </w:rPr>
            </w:pPr>
          </w:p>
        </w:tc>
        <w:tc>
          <w:tcPr>
            <w:tcW w:w="6700" w:type="dxa"/>
            <w:vAlign w:val="bottom"/>
          </w:tcPr>
          <w:p>
            <w:pPr>
              <w:spacing w:after="0"/>
              <w:rPr>
                <w:sz w:val="18"/>
                <w:szCs w:val="18"/>
                <w:color w:val="auto"/>
              </w:rPr>
            </w:pPr>
          </w:p>
        </w:tc>
      </w:tr>
      <w:tr>
        <w:trPr>
          <w:trHeight w:val="33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/s/ Douglas E. Brooks</w:t>
            </w:r>
          </w:p>
        </w:tc>
        <w:tc>
          <w:tcPr>
            <w:tcW w:w="260" w:type="dxa"/>
            <w:vAlign w:val="bottom"/>
          </w:tcPr>
          <w:p>
            <w:pPr>
              <w:spacing w:after="0"/>
              <w:rPr>
                <w:sz w:val="24"/>
                <w:szCs w:val="24"/>
                <w:color w:val="auto"/>
              </w:rPr>
            </w:pPr>
          </w:p>
        </w:tc>
        <w:tc>
          <w:tcPr>
            <w:tcW w:w="6700" w:type="dxa"/>
            <w:vAlign w:val="bottom"/>
          </w:tcPr>
          <w:p>
            <w:pPr>
              <w:jc w:val="center"/>
              <w:spacing w:after="0"/>
              <w:rPr>
                <w:sz w:val="20"/>
                <w:szCs w:val="20"/>
                <w:color w:val="auto"/>
              </w:rPr>
            </w:pPr>
            <w:r>
              <w:rPr>
                <w:rFonts w:ascii="Arial" w:cs="Arial" w:eastAsia="Arial" w:hAnsi="Arial"/>
                <w:sz w:val="17"/>
                <w:szCs w:val="17"/>
                <w:color w:val="auto"/>
                <w:w w:val="97"/>
              </w:rPr>
              <w:t>Director</w:t>
            </w:r>
          </w:p>
        </w:tc>
      </w:tr>
      <w:tr>
        <w:trPr>
          <w:trHeight w:val="212"/>
        </w:trPr>
        <w:tc>
          <w:tcPr>
            <w:tcW w:w="4280" w:type="dxa"/>
            <w:vAlign w:val="bottom"/>
          </w:tcPr>
          <w:p>
            <w:pPr>
              <w:jc w:val="center"/>
              <w:spacing w:after="0"/>
              <w:rPr>
                <w:sz w:val="20"/>
                <w:szCs w:val="20"/>
                <w:color w:val="auto"/>
              </w:rPr>
            </w:pPr>
            <w:r>
              <w:rPr>
                <w:rFonts w:ascii="Arial" w:cs="Arial" w:eastAsia="Arial" w:hAnsi="Arial"/>
                <w:sz w:val="17"/>
                <w:szCs w:val="17"/>
                <w:color w:val="auto"/>
                <w:w w:val="90"/>
              </w:rPr>
              <w:t>Douglas E. Brooks</w:t>
            </w:r>
          </w:p>
        </w:tc>
        <w:tc>
          <w:tcPr>
            <w:tcW w:w="260" w:type="dxa"/>
            <w:vAlign w:val="bottom"/>
          </w:tcPr>
          <w:p>
            <w:pPr>
              <w:spacing w:after="0"/>
              <w:rPr>
                <w:sz w:val="18"/>
                <w:szCs w:val="18"/>
                <w:color w:val="auto"/>
              </w:rPr>
            </w:pPr>
          </w:p>
        </w:tc>
        <w:tc>
          <w:tcPr>
            <w:tcW w:w="6700" w:type="dxa"/>
            <w:vAlign w:val="bottom"/>
          </w:tcPr>
          <w:p>
            <w:pPr>
              <w:spacing w:after="0"/>
              <w:rPr>
                <w:sz w:val="18"/>
                <w:szCs w:val="18"/>
                <w:color w:val="auto"/>
              </w:rPr>
            </w:pPr>
          </w:p>
        </w:tc>
      </w:tr>
      <w:tr>
        <w:trPr>
          <w:trHeight w:val="33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/s/ Nicole Neeman Brady</w:t>
            </w:r>
          </w:p>
        </w:tc>
        <w:tc>
          <w:tcPr>
            <w:tcW w:w="260" w:type="dxa"/>
            <w:vAlign w:val="bottom"/>
          </w:tcPr>
          <w:p>
            <w:pPr>
              <w:spacing w:after="0"/>
              <w:rPr>
                <w:sz w:val="24"/>
                <w:szCs w:val="24"/>
                <w:color w:val="auto"/>
              </w:rPr>
            </w:pPr>
          </w:p>
        </w:tc>
        <w:tc>
          <w:tcPr>
            <w:tcW w:w="6700" w:type="dxa"/>
            <w:vAlign w:val="bottom"/>
          </w:tcPr>
          <w:p>
            <w:pPr>
              <w:jc w:val="center"/>
              <w:spacing w:after="0"/>
              <w:rPr>
                <w:sz w:val="20"/>
                <w:szCs w:val="20"/>
                <w:color w:val="auto"/>
              </w:rPr>
            </w:pPr>
            <w:r>
              <w:rPr>
                <w:rFonts w:ascii="Arial" w:cs="Arial" w:eastAsia="Arial" w:hAnsi="Arial"/>
                <w:sz w:val="17"/>
                <w:szCs w:val="17"/>
                <w:color w:val="auto"/>
                <w:w w:val="97"/>
              </w:rPr>
              <w:t>Director</w:t>
            </w:r>
          </w:p>
        </w:tc>
      </w:tr>
      <w:tr>
        <w:trPr>
          <w:trHeight w:val="212"/>
        </w:trPr>
        <w:tc>
          <w:tcPr>
            <w:tcW w:w="4280" w:type="dxa"/>
            <w:vAlign w:val="bottom"/>
          </w:tcPr>
          <w:p>
            <w:pPr>
              <w:jc w:val="center"/>
              <w:spacing w:after="0"/>
              <w:rPr>
                <w:sz w:val="20"/>
                <w:szCs w:val="20"/>
                <w:color w:val="auto"/>
              </w:rPr>
            </w:pPr>
            <w:r>
              <w:rPr>
                <w:rFonts w:ascii="Arial" w:cs="Arial" w:eastAsia="Arial" w:hAnsi="Arial"/>
                <w:sz w:val="17"/>
                <w:szCs w:val="17"/>
                <w:color w:val="auto"/>
                <w:w w:val="91"/>
              </w:rPr>
              <w:t>Nicole Neeman Brady</w:t>
            </w:r>
          </w:p>
        </w:tc>
        <w:tc>
          <w:tcPr>
            <w:tcW w:w="260" w:type="dxa"/>
            <w:vAlign w:val="bottom"/>
          </w:tcPr>
          <w:p>
            <w:pPr>
              <w:spacing w:after="0"/>
              <w:rPr>
                <w:sz w:val="18"/>
                <w:szCs w:val="18"/>
                <w:color w:val="auto"/>
              </w:rPr>
            </w:pPr>
          </w:p>
        </w:tc>
        <w:tc>
          <w:tcPr>
            <w:tcW w:w="67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440" w:right="339" w:bottom="1440" w:gutter="0" w:footer="0" w:header="0"/>
        </w:sectPr>
      </w:pPr>
    </w:p>
    <w:bookmarkStart w:id="6" w:name="page7"/>
    <w:bookmarkEnd w:id="6"/>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Signature</w:t>
            </w:r>
          </w:p>
        </w:tc>
        <w:tc>
          <w:tcPr>
            <w:tcW w:w="6920" w:type="dxa"/>
            <w:vAlign w:val="bottom"/>
            <w:tcBorders>
              <w:bottom w:val="single" w:sz="8" w:color="auto"/>
            </w:tcBorders>
          </w:tcPr>
          <w:p>
            <w:pPr>
              <w:jc w:val="center"/>
              <w:ind w:left="175"/>
              <w:spacing w:after="0"/>
              <w:rPr>
                <w:sz w:val="20"/>
                <w:szCs w:val="20"/>
                <w:color w:val="auto"/>
              </w:rPr>
            </w:pPr>
            <w:r>
              <w:rPr>
                <w:rFonts w:ascii="Arial" w:cs="Arial" w:eastAsia="Arial" w:hAnsi="Arial"/>
                <w:sz w:val="17"/>
                <w:szCs w:val="17"/>
                <w:b w:val="1"/>
                <w:bCs w:val="1"/>
                <w:color w:val="auto"/>
                <w:w w:val="97"/>
              </w:rPr>
              <w:t>Title</w:t>
            </w:r>
          </w:p>
        </w:tc>
      </w:tr>
      <w:tr>
        <w:trPr>
          <w:trHeight w:val="34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Julio M. Quintana</w:t>
            </w:r>
          </w:p>
        </w:tc>
        <w:tc>
          <w:tcPr>
            <w:tcW w:w="6920" w:type="dxa"/>
            <w:vAlign w:val="bottom"/>
          </w:tcPr>
          <w:p>
            <w:pPr>
              <w:jc w:val="center"/>
              <w:ind w:left="175"/>
              <w:spacing w:after="0"/>
              <w:rPr>
                <w:sz w:val="20"/>
                <w:szCs w:val="20"/>
                <w:color w:val="auto"/>
              </w:rPr>
            </w:pPr>
            <w:r>
              <w:rPr>
                <w:rFonts w:ascii="Arial" w:cs="Arial" w:eastAsia="Arial" w:hAnsi="Arial"/>
                <w:sz w:val="17"/>
                <w:szCs w:val="17"/>
                <w:color w:val="auto"/>
                <w:w w:val="97"/>
              </w:rPr>
              <w:t>Director</w:t>
            </w:r>
          </w:p>
        </w:tc>
      </w:tr>
      <w:tr>
        <w:trPr>
          <w:trHeight w:val="212"/>
        </w:trPr>
        <w:tc>
          <w:tcPr>
            <w:tcW w:w="4320" w:type="dxa"/>
            <w:vAlign w:val="bottom"/>
          </w:tcPr>
          <w:p>
            <w:pPr>
              <w:jc w:val="center"/>
              <w:spacing w:after="0"/>
              <w:rPr>
                <w:sz w:val="20"/>
                <w:szCs w:val="20"/>
                <w:color w:val="auto"/>
              </w:rPr>
            </w:pPr>
            <w:r>
              <w:rPr>
                <w:rFonts w:ascii="Arial" w:cs="Arial" w:eastAsia="Arial" w:hAnsi="Arial"/>
                <w:sz w:val="17"/>
                <w:szCs w:val="17"/>
                <w:color w:val="auto"/>
                <w:w w:val="93"/>
              </w:rPr>
              <w:t>Julio M. Quintana</w:t>
            </w:r>
          </w:p>
        </w:tc>
        <w:tc>
          <w:tcPr>
            <w:tcW w:w="6920" w:type="dxa"/>
            <w:vAlign w:val="bottom"/>
          </w:tcPr>
          <w:p>
            <w:pPr>
              <w:spacing w:after="0"/>
              <w:rPr>
                <w:sz w:val="18"/>
                <w:szCs w:val="18"/>
                <w:color w:val="auto"/>
              </w:rPr>
            </w:pPr>
          </w:p>
        </w:tc>
      </w:tr>
      <w:tr>
        <w:trPr>
          <w:trHeight w:val="33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William B. Roby</w:t>
            </w:r>
          </w:p>
        </w:tc>
        <w:tc>
          <w:tcPr>
            <w:tcW w:w="6920" w:type="dxa"/>
            <w:vAlign w:val="bottom"/>
          </w:tcPr>
          <w:p>
            <w:pPr>
              <w:jc w:val="center"/>
              <w:ind w:left="175"/>
              <w:spacing w:after="0"/>
              <w:rPr>
                <w:sz w:val="20"/>
                <w:szCs w:val="20"/>
                <w:color w:val="auto"/>
              </w:rPr>
            </w:pPr>
            <w:r>
              <w:rPr>
                <w:rFonts w:ascii="Arial" w:cs="Arial" w:eastAsia="Arial" w:hAnsi="Arial"/>
                <w:sz w:val="17"/>
                <w:szCs w:val="17"/>
                <w:color w:val="auto"/>
                <w:w w:val="97"/>
              </w:rPr>
              <w:t>Director</w:t>
            </w:r>
          </w:p>
        </w:tc>
      </w:tr>
      <w:tr>
        <w:trPr>
          <w:trHeight w:val="212"/>
        </w:trPr>
        <w:tc>
          <w:tcPr>
            <w:tcW w:w="4320" w:type="dxa"/>
            <w:vAlign w:val="bottom"/>
          </w:tcPr>
          <w:p>
            <w:pPr>
              <w:jc w:val="center"/>
              <w:spacing w:after="0"/>
              <w:rPr>
                <w:sz w:val="20"/>
                <w:szCs w:val="20"/>
                <w:color w:val="auto"/>
              </w:rPr>
            </w:pPr>
            <w:r>
              <w:rPr>
                <w:rFonts w:ascii="Arial" w:cs="Arial" w:eastAsia="Arial" w:hAnsi="Arial"/>
                <w:sz w:val="17"/>
                <w:szCs w:val="17"/>
                <w:color w:val="auto"/>
                <w:w w:val="96"/>
              </w:rPr>
              <w:t>William B. Roby</w:t>
            </w:r>
          </w:p>
        </w:tc>
        <w:tc>
          <w:tcPr>
            <w:tcW w:w="6920" w:type="dxa"/>
            <w:vAlign w:val="bottom"/>
          </w:tcPr>
          <w:p>
            <w:pPr>
              <w:spacing w:after="0"/>
              <w:rPr>
                <w:sz w:val="18"/>
                <w:szCs w:val="18"/>
                <w:color w:val="auto"/>
              </w:rPr>
            </w:pPr>
          </w:p>
        </w:tc>
      </w:tr>
      <w:tr>
        <w:trPr>
          <w:trHeight w:val="33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A. Alejandra Veltmann</w:t>
            </w:r>
          </w:p>
        </w:tc>
        <w:tc>
          <w:tcPr>
            <w:tcW w:w="6920" w:type="dxa"/>
            <w:vAlign w:val="bottom"/>
          </w:tcPr>
          <w:p>
            <w:pPr>
              <w:jc w:val="center"/>
              <w:ind w:left="175"/>
              <w:spacing w:after="0"/>
              <w:rPr>
                <w:sz w:val="20"/>
                <w:szCs w:val="20"/>
                <w:color w:val="auto"/>
              </w:rPr>
            </w:pPr>
            <w:r>
              <w:rPr>
                <w:rFonts w:ascii="Arial" w:cs="Arial" w:eastAsia="Arial" w:hAnsi="Arial"/>
                <w:sz w:val="17"/>
                <w:szCs w:val="17"/>
                <w:color w:val="auto"/>
                <w:w w:val="97"/>
              </w:rPr>
              <w:t>Director</w:t>
            </w:r>
          </w:p>
        </w:tc>
      </w:tr>
      <w:tr>
        <w:trPr>
          <w:trHeight w:val="212"/>
        </w:trPr>
        <w:tc>
          <w:tcPr>
            <w:tcW w:w="4320" w:type="dxa"/>
            <w:vAlign w:val="bottom"/>
          </w:tcPr>
          <w:p>
            <w:pPr>
              <w:jc w:val="center"/>
              <w:spacing w:after="0"/>
              <w:rPr>
                <w:sz w:val="20"/>
                <w:szCs w:val="20"/>
                <w:color w:val="auto"/>
              </w:rPr>
            </w:pPr>
            <w:r>
              <w:rPr>
                <w:rFonts w:ascii="Arial" w:cs="Arial" w:eastAsia="Arial" w:hAnsi="Arial"/>
                <w:sz w:val="17"/>
                <w:szCs w:val="17"/>
                <w:color w:val="auto"/>
                <w:w w:val="93"/>
              </w:rPr>
              <w:t>A. Alejandra Veltmann</w:t>
            </w:r>
          </w:p>
        </w:tc>
        <w:tc>
          <w:tcPr>
            <w:tcW w:w="69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440"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107.1</w:t>
      </w:r>
    </w:p>
    <w:p>
      <w:pPr>
        <w:spacing w:after="0" w:line="166" w:lineRule="exact"/>
        <w:rPr>
          <w:sz w:val="20"/>
          <w:szCs w:val="20"/>
          <w:color w:val="auto"/>
        </w:rPr>
      </w:pPr>
    </w:p>
    <w:p>
      <w:pPr>
        <w:ind w:left="3920"/>
        <w:spacing w:after="0"/>
        <w:rPr>
          <w:sz w:val="20"/>
          <w:szCs w:val="20"/>
          <w:color w:val="auto"/>
        </w:rPr>
      </w:pPr>
      <w:r>
        <w:rPr>
          <w:rFonts w:ascii="Arial" w:cs="Arial" w:eastAsia="Arial" w:hAnsi="Arial"/>
          <w:sz w:val="25"/>
          <w:szCs w:val="25"/>
          <w:b w:val="1"/>
          <w:bCs w:val="1"/>
          <w:color w:val="auto"/>
        </w:rPr>
        <w:t>Calculation of Filing Fee Tables</w:t>
      </w:r>
    </w:p>
    <w:p>
      <w:pPr>
        <w:spacing w:after="0" w:line="155" w:lineRule="exact"/>
        <w:rPr>
          <w:sz w:val="20"/>
          <w:szCs w:val="20"/>
          <w:color w:val="auto"/>
        </w:rPr>
      </w:pPr>
    </w:p>
    <w:p>
      <w:pPr>
        <w:ind w:left="5120"/>
        <w:spacing w:after="0"/>
        <w:rPr>
          <w:sz w:val="20"/>
          <w:szCs w:val="20"/>
          <w:color w:val="auto"/>
        </w:rPr>
      </w:pPr>
      <w:r>
        <w:rPr>
          <w:rFonts w:ascii="Arial" w:cs="Arial" w:eastAsia="Arial" w:hAnsi="Arial"/>
          <w:sz w:val="25"/>
          <w:szCs w:val="25"/>
          <w:b w:val="1"/>
          <w:bCs w:val="1"/>
          <w:color w:val="auto"/>
        </w:rPr>
        <w:t>Form S-8</w:t>
      </w:r>
    </w:p>
    <w:p>
      <w:pPr>
        <w:jc w:val="center"/>
        <w:spacing w:after="0" w:line="202" w:lineRule="auto"/>
        <w:rPr>
          <w:sz w:val="20"/>
          <w:szCs w:val="20"/>
          <w:color w:val="auto"/>
        </w:rPr>
      </w:pPr>
      <w:r>
        <w:rPr>
          <w:rFonts w:ascii="Arial" w:cs="Arial" w:eastAsia="Arial" w:hAnsi="Arial"/>
          <w:sz w:val="25"/>
          <w:szCs w:val="25"/>
          <w:b w:val="1"/>
          <w:bCs w:val="1"/>
          <w:color w:val="auto"/>
        </w:rPr>
        <w:t>Registration Statement Under</w:t>
      </w:r>
    </w:p>
    <w:p>
      <w:pPr>
        <w:jc w:val="center"/>
        <w:spacing w:after="0" w:line="212" w:lineRule="auto"/>
        <w:rPr>
          <w:sz w:val="20"/>
          <w:szCs w:val="20"/>
          <w:color w:val="auto"/>
        </w:rPr>
      </w:pPr>
      <w:r>
        <w:rPr>
          <w:rFonts w:ascii="Arial" w:cs="Arial" w:eastAsia="Arial" w:hAnsi="Arial"/>
          <w:sz w:val="25"/>
          <w:szCs w:val="25"/>
          <w:b w:val="1"/>
          <w:bCs w:val="1"/>
          <w:color w:val="auto"/>
        </w:rPr>
        <w:t>The Securities Act Of 1933</w:t>
      </w:r>
    </w:p>
    <w:p>
      <w:pPr>
        <w:jc w:val="center"/>
        <w:spacing w:after="0"/>
        <w:rPr>
          <w:sz w:val="20"/>
          <w:szCs w:val="20"/>
          <w:color w:val="auto"/>
        </w:rPr>
      </w:pPr>
      <w:r>
        <w:rPr>
          <w:rFonts w:ascii="Arial" w:cs="Arial" w:eastAsia="Arial" w:hAnsi="Arial"/>
          <w:sz w:val="18"/>
          <w:szCs w:val="18"/>
          <w:color w:val="auto"/>
        </w:rPr>
        <w:t>(Form Type)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California Resources Corporation</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Table 1 – Newly Registered Securities</w:t>
      </w:r>
    </w:p>
    <w:p>
      <w:pPr>
        <w:spacing w:after="0" w:line="22" w:lineRule="exact"/>
        <w:rPr>
          <w:sz w:val="20"/>
          <w:szCs w:val="20"/>
          <w:color w:val="auto"/>
        </w:rPr>
      </w:pPr>
    </w:p>
    <w:tbl>
      <w:tblPr>
        <w:tblLayout w:type="fixed"/>
        <w:tblInd w:w="670" w:type="dxa"/>
        <w:tblCellMar>
          <w:top w:w="0" w:type="dxa"/>
          <w:left w:w="0" w:type="dxa"/>
          <w:bottom w:w="0" w:type="dxa"/>
          <w:right w:w="0" w:type="dxa"/>
        </w:tblCellMar>
      </w:tblPr>
      <w:tr>
        <w:trPr>
          <w:trHeight w:val="121"/>
        </w:trPr>
        <w:tc>
          <w:tcPr>
            <w:tcW w:w="72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3"/>
                <w:szCs w:val="13"/>
                <w:b w:val="1"/>
                <w:bCs w:val="1"/>
                <w:color w:val="auto"/>
                <w:w w:val="83"/>
              </w:rPr>
              <w:t>Proposed</w:t>
            </w:r>
          </w:p>
        </w:tc>
        <w:tc>
          <w:tcPr>
            <w:tcW w:w="15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Security</w:t>
            </w:r>
          </w:p>
        </w:tc>
        <w:tc>
          <w:tcPr>
            <w:tcW w:w="156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Fee Calculation</w:t>
            </w:r>
          </w:p>
        </w:tc>
        <w:tc>
          <w:tcPr>
            <w:tcW w:w="12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Amount Registered</w:t>
            </w:r>
          </w:p>
        </w:tc>
        <w:tc>
          <w:tcPr>
            <w:tcW w:w="8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3"/>
              </w:rPr>
              <w:t>Maximum</w:t>
            </w:r>
          </w:p>
        </w:tc>
        <w:tc>
          <w:tcPr>
            <w:tcW w:w="15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Maximum Aggregate</w:t>
            </w:r>
          </w:p>
        </w:tc>
        <w:tc>
          <w:tcPr>
            <w:tcW w:w="1100" w:type="dxa"/>
            <w:vAlign w:val="bottom"/>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Amount of</w:t>
            </w:r>
          </w:p>
        </w:tc>
        <w:tc>
          <w:tcPr>
            <w:tcW w:w="0" w:type="dxa"/>
            <w:vAlign w:val="bottom"/>
          </w:tcPr>
          <w:p>
            <w:pPr>
              <w:spacing w:after="0"/>
              <w:rPr>
                <w:sz w:val="1"/>
                <w:szCs w:val="1"/>
                <w:color w:val="auto"/>
              </w:rPr>
            </w:pPr>
          </w:p>
        </w:tc>
      </w:tr>
      <w:tr>
        <w:trPr>
          <w:trHeight w:val="122"/>
        </w:trPr>
        <w:tc>
          <w:tcPr>
            <w:tcW w:w="720" w:type="dxa"/>
            <w:vAlign w:val="bottom"/>
            <w:vMerge w:val="continue"/>
          </w:tcPr>
          <w:p>
            <w:pPr>
              <w:spacing w:after="0"/>
              <w:rPr>
                <w:sz w:val="10"/>
                <w:szCs w:val="10"/>
                <w:color w:val="auto"/>
              </w:rPr>
            </w:pPr>
          </w:p>
        </w:tc>
        <w:tc>
          <w:tcPr>
            <w:tcW w:w="15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Security Class Title</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Offering Price</w:t>
            </w:r>
          </w:p>
        </w:tc>
        <w:tc>
          <w:tcPr>
            <w:tcW w:w="158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4"/>
              </w:rPr>
              <w:t>Fee Rate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Type</w:t>
            </w:r>
          </w:p>
        </w:tc>
        <w:tc>
          <w:tcPr>
            <w:tcW w:w="156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Rule (3)</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(1)(2)</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Per Unit (3)</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Offering Price (3)</w:t>
            </w:r>
          </w:p>
        </w:tc>
        <w:tc>
          <w:tcPr>
            <w:tcW w:w="110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Registration Fee</w:t>
            </w:r>
          </w:p>
        </w:tc>
        <w:tc>
          <w:tcPr>
            <w:tcW w:w="0" w:type="dxa"/>
            <w:vAlign w:val="bottom"/>
          </w:tcPr>
          <w:p>
            <w:pPr>
              <w:spacing w:after="0"/>
              <w:rPr>
                <w:sz w:val="1"/>
                <w:szCs w:val="1"/>
                <w:color w:val="auto"/>
              </w:rPr>
            </w:pPr>
          </w:p>
        </w:tc>
      </w:tr>
      <w:tr>
        <w:trPr>
          <w:trHeight w:val="134"/>
        </w:trPr>
        <w:tc>
          <w:tcPr>
            <w:tcW w:w="720" w:type="dxa"/>
            <w:vAlign w:val="bottom"/>
            <w:tcBorders>
              <w:left w:val="single" w:sz="8" w:color="auto"/>
              <w:right w:val="single" w:sz="8" w:color="auto"/>
            </w:tcBorders>
          </w:tcPr>
          <w:p>
            <w:pPr>
              <w:spacing w:after="0"/>
              <w:rPr>
                <w:sz w:val="11"/>
                <w:szCs w:val="11"/>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Common stock, $0.01 par</w:t>
            </w:r>
          </w:p>
        </w:tc>
        <w:tc>
          <w:tcPr>
            <w:tcW w:w="92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4"/>
                <w:szCs w:val="14"/>
                <w:color w:val="auto"/>
                <w:w w:val="96"/>
              </w:rPr>
              <w:t>Rule 457(c)</w:t>
            </w:r>
          </w:p>
        </w:tc>
        <w:tc>
          <w:tcPr>
            <w:tcW w:w="12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$92.70 per</w:t>
            </w:r>
          </w:p>
        </w:tc>
        <w:tc>
          <w:tcPr>
            <w:tcW w:w="10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720" w:type="dxa"/>
            <w:vAlign w:val="bottom"/>
            <w:tcBorders>
              <w:left w:val="single" w:sz="8" w:color="auto"/>
              <w:right w:val="single" w:sz="8" w:color="auto"/>
            </w:tcBorders>
            <w:vMerge w:val="restart"/>
          </w:tcPr>
          <w:p>
            <w:pPr>
              <w:jc w:val="center"/>
              <w:spacing w:after="0" w:line="135" w:lineRule="exact"/>
              <w:rPr>
                <w:sz w:val="20"/>
                <w:szCs w:val="20"/>
                <w:color w:val="auto"/>
              </w:rPr>
            </w:pPr>
            <w:r>
              <w:rPr>
                <w:rFonts w:ascii="Arial" w:cs="Arial" w:eastAsia="Arial" w:hAnsi="Arial"/>
                <w:sz w:val="14"/>
                <w:szCs w:val="14"/>
                <w:color w:val="auto"/>
                <w:w w:val="97"/>
              </w:rPr>
              <w:t>Equity</w:t>
            </w:r>
          </w:p>
        </w:tc>
        <w:tc>
          <w:tcPr>
            <w:tcW w:w="156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4"/>
                <w:szCs w:val="14"/>
                <w:color w:val="auto"/>
                <w:w w:val="89"/>
              </w:rPr>
              <w:t>and Rule</w:t>
            </w:r>
          </w:p>
        </w:tc>
        <w:tc>
          <w:tcPr>
            <w:tcW w:w="12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4"/>
                <w:szCs w:val="14"/>
                <w:color w:val="auto"/>
                <w:w w:val="93"/>
              </w:rPr>
              <w:t>1,250,000</w:t>
            </w:r>
          </w:p>
        </w:tc>
        <w:tc>
          <w:tcPr>
            <w:tcW w:w="8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4"/>
                <w:szCs w:val="14"/>
                <w:color w:val="auto"/>
                <w:w w:val="88"/>
              </w:rPr>
              <w:t>$39.48</w:t>
            </w:r>
          </w:p>
        </w:tc>
        <w:tc>
          <w:tcPr>
            <w:tcW w:w="158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4"/>
                <w:szCs w:val="14"/>
                <w:color w:val="auto"/>
                <w:w w:val="92"/>
              </w:rPr>
              <w:t>$49,350,000</w:t>
            </w:r>
          </w:p>
        </w:tc>
        <w:tc>
          <w:tcPr>
            <w:tcW w:w="110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4"/>
                <w:szCs w:val="14"/>
                <w:color w:val="auto"/>
                <w:w w:val="93"/>
              </w:rPr>
              <w:t>$4,574.75</w:t>
            </w:r>
          </w:p>
        </w:tc>
        <w:tc>
          <w:tcPr>
            <w:tcW w:w="0" w:type="dxa"/>
            <w:vAlign w:val="bottom"/>
          </w:tcPr>
          <w:p>
            <w:pPr>
              <w:spacing w:after="0"/>
              <w:rPr>
                <w:sz w:val="1"/>
                <w:szCs w:val="1"/>
                <w:color w:val="auto"/>
              </w:rPr>
            </w:pPr>
          </w:p>
        </w:tc>
      </w:tr>
      <w:tr>
        <w:trPr>
          <w:trHeight w:val="68"/>
        </w:trPr>
        <w:tc>
          <w:tcPr>
            <w:tcW w:w="720" w:type="dxa"/>
            <w:vAlign w:val="bottom"/>
            <w:tcBorders>
              <w:left w:val="single" w:sz="8" w:color="auto"/>
              <w:right w:val="single" w:sz="8" w:color="auto"/>
            </w:tcBorders>
            <w:vMerge w:val="continue"/>
          </w:tcPr>
          <w:p>
            <w:pPr>
              <w:spacing w:after="0"/>
              <w:rPr>
                <w:sz w:val="5"/>
                <w:szCs w:val="5"/>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value per share</w:t>
            </w:r>
          </w:p>
        </w:tc>
        <w:tc>
          <w:tcPr>
            <w:tcW w:w="920" w:type="dxa"/>
            <w:vAlign w:val="bottom"/>
            <w:tcBorders>
              <w:right w:val="single" w:sz="8" w:color="auto"/>
            </w:tcBorders>
            <w:vMerge w:val="continue"/>
          </w:tcPr>
          <w:p>
            <w:pPr>
              <w:spacing w:after="0"/>
              <w:rPr>
                <w:sz w:val="5"/>
                <w:szCs w:val="5"/>
                <w:color w:val="auto"/>
              </w:rPr>
            </w:pPr>
          </w:p>
        </w:tc>
        <w:tc>
          <w:tcPr>
            <w:tcW w:w="1240" w:type="dxa"/>
            <w:vAlign w:val="bottom"/>
            <w:tcBorders>
              <w:right w:val="single" w:sz="8" w:color="auto"/>
            </w:tcBorders>
            <w:vMerge w:val="continue"/>
          </w:tcPr>
          <w:p>
            <w:pPr>
              <w:spacing w:after="0"/>
              <w:rPr>
                <w:sz w:val="5"/>
                <w:szCs w:val="5"/>
                <w:color w:val="auto"/>
              </w:rPr>
            </w:pPr>
          </w:p>
        </w:tc>
        <w:tc>
          <w:tcPr>
            <w:tcW w:w="860" w:type="dxa"/>
            <w:vAlign w:val="bottom"/>
            <w:tcBorders>
              <w:right w:val="single" w:sz="8" w:color="auto"/>
            </w:tcBorders>
            <w:vMerge w:val="continue"/>
          </w:tcPr>
          <w:p>
            <w:pPr>
              <w:spacing w:after="0"/>
              <w:rPr>
                <w:sz w:val="5"/>
                <w:szCs w:val="5"/>
                <w:color w:val="auto"/>
              </w:rPr>
            </w:pPr>
          </w:p>
        </w:tc>
        <w:tc>
          <w:tcPr>
            <w:tcW w:w="1580" w:type="dxa"/>
            <w:vAlign w:val="bottom"/>
            <w:tcBorders>
              <w:right w:val="single" w:sz="8" w:color="auto"/>
            </w:tcBorders>
            <w:vMerge w:val="continue"/>
          </w:tcPr>
          <w:p>
            <w:pPr>
              <w:spacing w:after="0"/>
              <w:rPr>
                <w:sz w:val="5"/>
                <w:szCs w:val="5"/>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$1,000,000</w:t>
            </w:r>
          </w:p>
        </w:tc>
        <w:tc>
          <w:tcPr>
            <w:tcW w:w="10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720" w:type="dxa"/>
            <w:vAlign w:val="bottom"/>
            <w:tcBorders>
              <w:left w:val="single" w:sz="8" w:color="auto"/>
              <w:right w:val="single" w:sz="8" w:color="auto"/>
            </w:tcBorders>
          </w:tcPr>
          <w:p>
            <w:pPr>
              <w:spacing w:after="0"/>
              <w:rPr>
                <w:sz w:val="9"/>
                <w:szCs w:val="9"/>
                <w:color w:val="auto"/>
              </w:rPr>
            </w:pPr>
          </w:p>
        </w:tc>
        <w:tc>
          <w:tcPr>
            <w:tcW w:w="156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457(h)</w:t>
            </w:r>
          </w:p>
        </w:tc>
        <w:tc>
          <w:tcPr>
            <w:tcW w:w="124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720" w:type="dxa"/>
            <w:vAlign w:val="bottom"/>
            <w:tcBorders>
              <w:left w:val="single" w:sz="8" w:color="auto"/>
              <w:bottom w:val="single" w:sz="8" w:color="auto"/>
              <w:right w:val="single" w:sz="8" w:color="auto"/>
            </w:tcBorders>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vMerge w:val="continue"/>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158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720" w:type="dxa"/>
            <w:vAlign w:val="bottom"/>
            <w:tcBorders>
              <w:left w:val="single" w:sz="8" w:color="auto"/>
              <w:bottom w:val="single" w:sz="8" w:color="auto"/>
            </w:tcBorders>
          </w:tcPr>
          <w:p>
            <w:pPr>
              <w:spacing w:after="0"/>
              <w:rPr>
                <w:sz w:val="15"/>
                <w:szCs w:val="15"/>
                <w:color w:val="auto"/>
              </w:rPr>
            </w:pPr>
          </w:p>
        </w:tc>
        <w:tc>
          <w:tcPr>
            <w:tcW w:w="248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4"/>
                <w:szCs w:val="14"/>
                <w:color w:val="auto"/>
                <w:w w:val="95"/>
              </w:rPr>
              <w:t>Total Offering Amounts</w:t>
            </w:r>
          </w:p>
        </w:tc>
        <w:tc>
          <w:tcPr>
            <w:tcW w:w="12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$49,350,000</w:t>
            </w:r>
          </w:p>
        </w:tc>
        <w:tc>
          <w:tcPr>
            <w:tcW w:w="110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$4,574.75</w:t>
            </w:r>
          </w:p>
        </w:tc>
        <w:tc>
          <w:tcPr>
            <w:tcW w:w="0" w:type="dxa"/>
            <w:vAlign w:val="bottom"/>
          </w:tcPr>
          <w:p>
            <w:pPr>
              <w:spacing w:after="0"/>
              <w:rPr>
                <w:sz w:val="1"/>
                <w:szCs w:val="1"/>
                <w:color w:val="auto"/>
              </w:rPr>
            </w:pPr>
          </w:p>
        </w:tc>
      </w:tr>
      <w:tr>
        <w:trPr>
          <w:trHeight w:val="183"/>
        </w:trPr>
        <w:tc>
          <w:tcPr>
            <w:tcW w:w="720" w:type="dxa"/>
            <w:vAlign w:val="bottom"/>
            <w:tcBorders>
              <w:left w:val="single" w:sz="8" w:color="auto"/>
              <w:bottom w:val="single" w:sz="8" w:color="auto"/>
            </w:tcBorders>
          </w:tcPr>
          <w:p>
            <w:pPr>
              <w:spacing w:after="0"/>
              <w:rPr>
                <w:sz w:val="15"/>
                <w:szCs w:val="15"/>
                <w:color w:val="auto"/>
              </w:rPr>
            </w:pPr>
          </w:p>
        </w:tc>
        <w:tc>
          <w:tcPr>
            <w:tcW w:w="248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4"/>
                <w:szCs w:val="14"/>
                <w:color w:val="auto"/>
                <w:w w:val="91"/>
              </w:rPr>
              <w:t>Total Fee Offsets</w:t>
            </w:r>
          </w:p>
        </w:tc>
        <w:tc>
          <w:tcPr>
            <w:tcW w:w="12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3"/>
        </w:trPr>
        <w:tc>
          <w:tcPr>
            <w:tcW w:w="720" w:type="dxa"/>
            <w:vAlign w:val="bottom"/>
            <w:tcBorders>
              <w:left w:val="single" w:sz="8" w:color="auto"/>
              <w:bottom w:val="single" w:sz="8" w:color="auto"/>
            </w:tcBorders>
          </w:tcPr>
          <w:p>
            <w:pPr>
              <w:spacing w:after="0"/>
              <w:rPr>
                <w:sz w:val="15"/>
                <w:szCs w:val="15"/>
                <w:color w:val="auto"/>
              </w:rPr>
            </w:pPr>
          </w:p>
        </w:tc>
        <w:tc>
          <w:tcPr>
            <w:tcW w:w="248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4"/>
                <w:szCs w:val="14"/>
                <w:color w:val="auto"/>
                <w:w w:val="93"/>
              </w:rPr>
              <w:t>Net Fee Due</w:t>
            </w:r>
          </w:p>
        </w:tc>
        <w:tc>
          <w:tcPr>
            <w:tcW w:w="12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$4,574.75</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right="60" w:hanging="332"/>
        <w:spacing w:after="0" w:line="243" w:lineRule="auto"/>
        <w:tabs>
          <w:tab w:leader="none" w:pos="325"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Form S-8 registration statement to which this Exhibit 107.1 is attached (the “Registration Statement”) registers 1,250,000 shares of common stock, $0.01 par value per share (the “Common Stock”), of California Resources Corporation, a Delaware corporation, that may be delivered with respect to awards under the California Resources Corporation Employee Stock Purchase Plan (as amended from time to time, the “Plan”), which shares consist of shares of Common Stock reserved and available for delivery with respect to awards under the Plan.</w:t>
      </w:r>
    </w:p>
    <w:p>
      <w:pPr>
        <w:spacing w:after="0" w:line="4" w:lineRule="exact"/>
        <w:rPr>
          <w:rFonts w:ascii="Arial" w:cs="Arial" w:eastAsia="Arial" w:hAnsi="Arial"/>
          <w:sz w:val="13"/>
          <w:szCs w:val="13"/>
          <w:color w:val="auto"/>
        </w:rPr>
      </w:pPr>
    </w:p>
    <w:p>
      <w:pPr>
        <w:ind w:left="340" w:right="320" w:hanging="332"/>
        <w:spacing w:after="0" w:line="281" w:lineRule="auto"/>
        <w:tabs>
          <w:tab w:leader="none" w:pos="328" w:val="left"/>
        </w:tabs>
        <w:numPr>
          <w:ilvl w:val="0"/>
          <w:numId w:val="6"/>
        </w:numPr>
        <w:rPr>
          <w:rFonts w:ascii="Arial" w:cs="Arial" w:eastAsia="Arial" w:hAnsi="Arial"/>
          <w:sz w:val="12"/>
          <w:szCs w:val="12"/>
          <w:color w:val="auto"/>
        </w:rPr>
      </w:pPr>
      <w:r>
        <w:rPr>
          <w:rFonts w:ascii="Arial" w:cs="Arial" w:eastAsia="Arial" w:hAnsi="Arial"/>
          <w:sz w:val="12"/>
          <w:szCs w:val="12"/>
          <w:color w:val="auto"/>
        </w:rPr>
        <w:t>Pursuant to Rule 416(a) under the Securities Act of 1933, as amended (the “Securities Act”), the Registration Statement shall be deemed to cover an indeterminate number of additional shares of Common Stock that may become issuable as a result of stock splits, stock dividends or similar transactions pursuant to the adjustment or anti-dilution provisions of the Plan.</w:t>
      </w:r>
    </w:p>
    <w:p>
      <w:pPr>
        <w:ind w:left="340" w:right="80" w:hanging="332"/>
        <w:spacing w:after="0" w:line="218" w:lineRule="auto"/>
        <w:tabs>
          <w:tab w:leader="none" w:pos="325"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proposed maximum offering price per share and proposed maximum aggregate offering price for the shares of Common Stock covered by this Registration Statement have been estimated solely for purposes of calculating the registration fee pursuant to Rules 457(c) and 457(h) under the Securities Act based upon the average of the high and low prices of a share of Common Stock as reported on the New York Stock Exchange on May 2, 2022 (a date within five business days prior to the date of filing the Registration Statement), which was equal to $39.48.</w:t>
      </w:r>
    </w:p>
    <w:p>
      <w:pPr>
        <w:sectPr>
          <w:pgSz w:w="11900" w:h="16838" w:orient="portrait"/>
          <w:cols w:equalWidth="0" w:num="1">
            <w:col w:w="11240"/>
          </w:cols>
          <w:pgMar w:left="320" w:top="1404" w:right="339" w:bottom="1440" w:gutter="0" w:footer="0" w:header="0"/>
        </w:sectPr>
      </w:pPr>
    </w:p>
    <w:bookmarkStart w:id="8" w:name="page9"/>
    <w:bookmarkEnd w:id="8"/>
    <w:p>
      <w:pPr>
        <w:ind w:left="10400"/>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45732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457325" cy="17145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9"/>
          <w:szCs w:val="19"/>
          <w:color w:val="auto"/>
        </w:rPr>
        <w:t>May 6,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232" w:lineRule="auto"/>
        <w:rPr>
          <w:sz w:val="20"/>
          <w:szCs w:val="20"/>
          <w:color w:val="auto"/>
        </w:rPr>
      </w:pPr>
      <w:r>
        <w:rPr>
          <w:rFonts w:ascii="Arial" w:cs="Arial" w:eastAsia="Arial" w:hAnsi="Arial"/>
          <w:sz w:val="18"/>
          <w:szCs w:val="18"/>
          <w:color w:val="auto"/>
        </w:rPr>
        <w:t>1 World Trade Center, Suite 1500</w:t>
      </w:r>
    </w:p>
    <w:p>
      <w:pPr>
        <w:spacing w:after="0"/>
        <w:rPr>
          <w:sz w:val="20"/>
          <w:szCs w:val="20"/>
          <w:color w:val="auto"/>
        </w:rPr>
      </w:pPr>
      <w:r>
        <w:rPr>
          <w:rFonts w:ascii="Arial" w:cs="Arial" w:eastAsia="Arial" w:hAnsi="Arial"/>
          <w:sz w:val="18"/>
          <w:szCs w:val="18"/>
          <w:color w:val="auto"/>
        </w:rPr>
        <w:t>Long Beach, CA 90831</w:t>
      </w:r>
    </w:p>
    <w:p>
      <w:pPr>
        <w:spacing w:after="0" w:line="15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have acted as counsel for California Resources Corporation, a Delaware corporation (the “Company”), in connection with the Company’s registration under the Securities Act of 1933, as amended (the “Act”), of the offer and sale of up to an aggregate of 1,250,000 shares of the Company’s common stock, par value $0.01 per share (the “Shares”), pursuant to the Company’s registration statement on Form S-8 (the “Registration Statement”) to be filed with the Securities and Exchange Commission on May 6, 2022, which Shares may be issued from time to time in accordance with the terms of the California Resources Corporation Employee Stock Purchase Plan (as it may be amended from time to time, the “Plan”).</w:t>
      </w:r>
    </w:p>
    <w:p>
      <w:pPr>
        <w:spacing w:after="0" w:line="134"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In reaching the opinions set forth herein, we have examined and are familiar with originals or copies, certified or otherwise identified to our satisfaction, of such documents and records of the Company and such statutes, regulations and other instruments as we deemed necessary or advisable for purposes of this opinion, including (i) the Registration Statement, (ii) certain resolutions adopted by the board of directors of the Company, (iii) the Plan, and (iv) such other certificates, instruments, and documents as we have considered necessary for purposes of this opinion. As to any facts material to our opinions, we have made no independent investigation or verification of such facts and have relied, to the extent that we deem such reliance proper, upon certificates of public officials and officers or other representatives of the Company.</w:t>
      </w:r>
    </w:p>
    <w:p>
      <w:pPr>
        <w:spacing w:after="0" w:line="13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have assumed (i) the legal capacity of all natural persons, (ii) the genuineness of all signatures, (iii) the authority of all persons signing all documents submitted to us on behalf of the parties to such documents, (iv) the authenticity of all documents submitted to us as originals, (v) the conformity to authentic original documents of all documents submitted to us as copies, (vi) that all information contained in all documents reviewed by us is true, correct and complete, and (vii) that the Shares will be issued in accordance with the terms of the Plan.</w:t>
      </w:r>
    </w:p>
    <w:p>
      <w:pPr>
        <w:spacing w:after="0" w:line="146" w:lineRule="exact"/>
        <w:rPr>
          <w:sz w:val="20"/>
          <w:szCs w:val="20"/>
          <w:color w:val="auto"/>
        </w:rPr>
      </w:pPr>
    </w:p>
    <w:p>
      <w:pPr>
        <w:jc w:val="both"/>
        <w:ind w:right="220" w:firstLine="324"/>
        <w:spacing w:after="0" w:line="286" w:lineRule="auto"/>
        <w:rPr>
          <w:sz w:val="20"/>
          <w:szCs w:val="20"/>
          <w:color w:val="auto"/>
        </w:rPr>
      </w:pPr>
      <w:r>
        <w:rPr>
          <w:rFonts w:ascii="Arial" w:cs="Arial" w:eastAsia="Arial" w:hAnsi="Arial"/>
          <w:sz w:val="17"/>
          <w:szCs w:val="17"/>
          <w:color w:val="auto"/>
        </w:rPr>
        <w:t>Based on the foregoing and subject to the limitations set forth herein, and having due regard for the legal considerations we deem relevant, we are of the opinion that the Shares have been duly authorized and, when the Shares are issued by the Company in accordance with the terms of the Plan and the instruments executed pursuant to the Plan, as applicable, the Shares will be validly issued, fully paid and non-assessable.</w:t>
      </w:r>
    </w:p>
    <w:p>
      <w:pPr>
        <w:spacing w:after="0" w:line="13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This opinion is limited in all respects to the General Corporation Law of the State of Delaware. We express no opinion as to any other law or any matter other than as expressly set forth above, and no opinion as to any other law or matter may be inferred or implied herefrom. The opinions expressed herein are rendered as of the date hereof and we expressly disclaim any obligation to update this letter or advise you of any change in any matter after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0"/>
        <w:spacing w:after="0"/>
        <w:tabs>
          <w:tab w:leader="none" w:pos="5960" w:val="left"/>
        </w:tabs>
        <w:rPr>
          <w:sz w:val="20"/>
          <w:szCs w:val="20"/>
          <w:color w:val="auto"/>
        </w:rPr>
      </w:pPr>
      <w:r>
        <w:rPr>
          <w:rFonts w:ascii="Arial" w:cs="Arial" w:eastAsia="Arial" w:hAnsi="Arial"/>
          <w:sz w:val="13"/>
          <w:szCs w:val="13"/>
          <w:b w:val="1"/>
          <w:bCs w:val="1"/>
          <w:color w:val="auto"/>
        </w:rPr>
        <w:t>Vinson &amp; Elkins LLP Attorneys at Law</w:t>
      </w:r>
      <w:r>
        <w:rPr>
          <w:sz w:val="20"/>
          <w:szCs w:val="20"/>
          <w:color w:val="auto"/>
        </w:rPr>
        <w:tab/>
      </w:r>
      <w:r>
        <w:rPr>
          <w:rFonts w:ascii="Arial" w:cs="Arial" w:eastAsia="Arial" w:hAnsi="Arial"/>
          <w:sz w:val="12"/>
          <w:szCs w:val="12"/>
          <w:color w:val="auto"/>
        </w:rPr>
        <w:t>2001 Ross Avenue, Suite 3900</w:t>
      </w:r>
    </w:p>
    <w:p>
      <w:pPr>
        <w:spacing w:after="0" w:line="56" w:lineRule="exact"/>
        <w:rPr>
          <w:sz w:val="20"/>
          <w:szCs w:val="20"/>
          <w:color w:val="auto"/>
        </w:rPr>
      </w:pPr>
    </w:p>
    <w:p>
      <w:pPr>
        <w:ind w:left="80"/>
        <w:spacing w:after="0"/>
        <w:tabs>
          <w:tab w:leader="none" w:pos="5960" w:val="left"/>
        </w:tabs>
        <w:rPr>
          <w:sz w:val="20"/>
          <w:szCs w:val="20"/>
          <w:color w:val="auto"/>
        </w:rPr>
      </w:pPr>
      <w:r>
        <w:rPr>
          <w:rFonts w:ascii="Arial" w:cs="Arial" w:eastAsia="Arial" w:hAnsi="Arial"/>
          <w:sz w:val="13"/>
          <w:szCs w:val="13"/>
          <w:color w:val="auto"/>
        </w:rPr>
        <w:t>Austin Dallas Dubai Houston London Los Angeles New York</w:t>
      </w:r>
      <w:r>
        <w:rPr>
          <w:sz w:val="20"/>
          <w:szCs w:val="20"/>
          <w:color w:val="auto"/>
        </w:rPr>
        <w:tab/>
      </w:r>
      <w:r>
        <w:rPr>
          <w:rFonts w:ascii="Arial" w:cs="Arial" w:eastAsia="Arial" w:hAnsi="Arial"/>
          <w:sz w:val="12"/>
          <w:szCs w:val="12"/>
          <w:color w:val="auto"/>
        </w:rPr>
        <w:t>Dallas, TX 75201</w:t>
      </w:r>
    </w:p>
    <w:p>
      <w:pPr>
        <w:spacing w:after="0" w:line="24" w:lineRule="exact"/>
        <w:rPr>
          <w:sz w:val="20"/>
          <w:szCs w:val="20"/>
          <w:color w:val="auto"/>
        </w:rPr>
      </w:pPr>
    </w:p>
    <w:p>
      <w:pPr>
        <w:ind w:left="80"/>
        <w:spacing w:after="0"/>
        <w:tabs>
          <w:tab w:leader="none" w:pos="5960" w:val="left"/>
        </w:tabs>
        <w:rPr>
          <w:sz w:val="20"/>
          <w:szCs w:val="20"/>
          <w:color w:val="auto"/>
        </w:rPr>
      </w:pPr>
      <w:r>
        <w:rPr>
          <w:rFonts w:ascii="Arial" w:cs="Arial" w:eastAsia="Arial" w:hAnsi="Arial"/>
          <w:sz w:val="13"/>
          <w:szCs w:val="13"/>
          <w:color w:val="auto"/>
        </w:rPr>
        <w:t>Richmond Riyadh San Francisco Tokyo Washington</w:t>
      </w:r>
      <w:r>
        <w:rPr>
          <w:sz w:val="20"/>
          <w:szCs w:val="20"/>
          <w:color w:val="auto"/>
        </w:rPr>
        <w:tab/>
      </w:r>
      <w:r>
        <w:rPr>
          <w:rFonts w:ascii="Arial" w:cs="Arial" w:eastAsia="Arial" w:hAnsi="Arial"/>
          <w:sz w:val="12"/>
          <w:szCs w:val="12"/>
          <w:b w:val="1"/>
          <w:bCs w:val="1"/>
          <w:color w:val="auto"/>
        </w:rPr>
        <w:t xml:space="preserve">Tel </w:t>
      </w:r>
      <w:r>
        <w:rPr>
          <w:rFonts w:ascii="Arial" w:cs="Arial" w:eastAsia="Arial" w:hAnsi="Arial"/>
          <w:sz w:val="12"/>
          <w:szCs w:val="12"/>
          <w:color w:val="auto"/>
        </w:rPr>
        <w:t>+1.214.220.7700</w:t>
      </w:r>
      <w:r>
        <w:rPr>
          <w:rFonts w:ascii="Arial" w:cs="Arial" w:eastAsia="Arial" w:hAnsi="Arial"/>
          <w:sz w:val="12"/>
          <w:szCs w:val="12"/>
          <w:b w:val="1"/>
          <w:bCs w:val="1"/>
          <w:color w:val="auto"/>
        </w:rPr>
        <w:t xml:space="preserve"> Fax </w:t>
      </w:r>
      <w:r>
        <w:rPr>
          <w:rFonts w:ascii="Arial" w:cs="Arial" w:eastAsia="Arial" w:hAnsi="Arial"/>
          <w:sz w:val="12"/>
          <w:szCs w:val="12"/>
          <w:color w:val="auto"/>
        </w:rPr>
        <w:t>+1.214.220.7716</w:t>
      </w:r>
      <w:r>
        <w:rPr>
          <w:rFonts w:ascii="Arial" w:cs="Arial" w:eastAsia="Arial" w:hAnsi="Arial"/>
          <w:sz w:val="12"/>
          <w:szCs w:val="12"/>
          <w:b w:val="1"/>
          <w:bCs w:val="1"/>
          <w:color w:val="auto"/>
        </w:rPr>
        <w:t xml:space="preserve"> www.velaw.com</w:t>
      </w:r>
    </w:p>
    <w:p>
      <w:pPr>
        <w:sectPr>
          <w:pgSz w:w="11900" w:h="16838" w:orient="portrait"/>
          <w:cols w:equalWidth="0" w:num="1">
            <w:col w:w="11240"/>
          </w:cols>
          <w:pgMar w:left="320" w:top="108" w:right="339"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13"/>
          <w:szCs w:val="13"/>
          <w:b w:val="1"/>
          <w:bCs w:val="1"/>
          <w:color w:val="auto"/>
        </w:rPr>
        <w:t xml:space="preserve">May 6, 2022 </w:t>
      </w:r>
      <w:r>
        <w:rPr>
          <w:rFonts w:ascii="Arial" w:cs="Arial" w:eastAsia="Arial" w:hAnsi="Arial"/>
          <w:sz w:val="13"/>
          <w:szCs w:val="13"/>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158750</wp:posOffset>
            </wp:positionV>
            <wp:extent cx="43688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4368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opinion may be filed as an exhibit to the Registration Statement. In giving this consent, we do not thereby admit that we come within the category of persons whose consent is required under Section 7 of the Act.</w:t>
      </w:r>
    </w:p>
    <w:p>
      <w:pPr>
        <w:spacing w:after="0" w:line="40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79"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Vinson &amp; Elkins L.L.P.</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Vinson &amp; Elkins L.L.P.</w:t>
      </w:r>
    </w:p>
    <w:p>
      <w:pPr>
        <w:sectPr>
          <w:pgSz w:w="11900" w:h="16838" w:orient="portrait"/>
          <w:cols w:equalWidth="0" w:num="1">
            <w:col w:w="11240"/>
          </w:cols>
          <w:pgMar w:left="320" w:top="145"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3000375" cy="908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300037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consent to the use of our report dated February 25, 2022, with respect to the consolidated financial statements and financial statement schedule II of California Resources Corporation, and the effectiveness of internal control over financial reporting, incorporated herein by reference.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6, 2022</w:t>
      </w:r>
    </w:p>
    <w:p>
      <w:pPr>
        <w:sectPr>
          <w:pgSz w:w="11900" w:h="16838" w:orient="portrait"/>
          <w:cols w:equalWidth="0" w:num="1">
            <w:col w:w="11240"/>
          </w:cols>
          <w:pgMar w:left="320" w:top="1422"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108835" cy="514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10883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620" w:type="dxa"/>
            <w:vAlign w:val="bottom"/>
          </w:tcPr>
          <w:p>
            <w:pPr>
              <w:spacing w:after="0"/>
              <w:rPr>
                <w:sz w:val="20"/>
                <w:szCs w:val="20"/>
                <w:color w:val="auto"/>
              </w:rPr>
            </w:pPr>
            <w:r>
              <w:rPr>
                <w:rFonts w:ascii="Arial" w:cs="Arial" w:eastAsia="Arial" w:hAnsi="Arial"/>
                <w:sz w:val="14"/>
                <w:szCs w:val="14"/>
                <w:color w:val="auto"/>
              </w:rPr>
              <w:t>TBPELS REGISTERED ENGINEERING FIRM F-1580</w:t>
            </w:r>
          </w:p>
        </w:tc>
        <w:tc>
          <w:tcPr>
            <w:tcW w:w="1460" w:type="dxa"/>
            <w:vAlign w:val="bottom"/>
          </w:tcPr>
          <w:p>
            <w:pPr>
              <w:ind w:left="160"/>
              <w:spacing w:after="0"/>
              <w:rPr>
                <w:sz w:val="20"/>
                <w:szCs w:val="20"/>
                <w:color w:val="auto"/>
              </w:rPr>
            </w:pPr>
            <w:r>
              <w:rPr>
                <w:rFonts w:ascii="Arial" w:cs="Arial" w:eastAsia="Arial" w:hAnsi="Arial"/>
                <w:sz w:val="14"/>
                <w:szCs w:val="14"/>
                <w:color w:val="auto"/>
              </w:rPr>
              <w:t>FAX (713) 651-0849</w:t>
            </w:r>
          </w:p>
        </w:tc>
      </w:tr>
    </w:tbl>
    <w:p>
      <w:pPr>
        <w:ind w:left="160"/>
        <w:spacing w:after="0"/>
        <w:tabs>
          <w:tab w:leader="none" w:pos="2260" w:val="left"/>
          <w:tab w:leader="none" w:pos="4500" w:val="left"/>
        </w:tabs>
        <w:rPr>
          <w:sz w:val="20"/>
          <w:szCs w:val="20"/>
          <w:color w:val="auto"/>
        </w:rPr>
      </w:pPr>
      <w:r>
        <w:rPr>
          <w:rFonts w:ascii="Arial" w:cs="Arial" w:eastAsia="Arial" w:hAnsi="Arial"/>
          <w:sz w:val="14"/>
          <w:szCs w:val="14"/>
          <w:color w:val="auto"/>
        </w:rPr>
        <w:t>1100 LOUISIANA SUITE 4600</w:t>
        <w:tab/>
        <w:t>HOUSTON, TEXAS 77002-5294</w:t>
        <w:tab/>
        <w:t>TELEPHONE (713) 651-9191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Petroleum Engineers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w:t>
      </w:r>
    </w:p>
    <w:p>
      <w:pPr>
        <w:spacing w:after="0"/>
        <w:rPr>
          <w:sz w:val="20"/>
          <w:szCs w:val="20"/>
          <w:color w:val="auto"/>
        </w:rPr>
      </w:pPr>
      <w:r>
        <w:rPr>
          <w:rFonts w:ascii="Arial" w:cs="Arial" w:eastAsia="Arial" w:hAnsi="Arial"/>
          <w:sz w:val="20"/>
          <w:szCs w:val="20"/>
          <w:color w:val="auto"/>
        </w:rPr>
        <w:t>California Resources Corporation:</w:t>
      </w:r>
    </w:p>
    <w:p>
      <w:pPr>
        <w:spacing w:after="0" w:line="202"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We hereby consent to the incorporation by reference into this Registration Statement on Form S-8 of references to our name and to our letter dated February 16, 2022 relating to our audit of California Resources Corporation’s oil and gas proved reserves as of December 31, 2021.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/s/ RYDER SCOTT COMPANY, L.P.</w:t>
      </w:r>
    </w:p>
    <w:p>
      <w:pPr>
        <w:spacing w:after="0" w:line="161"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RYDER SCOTT COMPANY, L.P.</w:t>
      </w:r>
    </w:p>
    <w:p>
      <w:pPr>
        <w:ind w:left="4540"/>
        <w:spacing w:after="0"/>
        <w:rPr>
          <w:sz w:val="20"/>
          <w:szCs w:val="20"/>
          <w:color w:val="auto"/>
        </w:rPr>
      </w:pPr>
      <w:r>
        <w:rPr>
          <w:rFonts w:ascii="Arial" w:cs="Arial" w:eastAsia="Arial" w:hAnsi="Arial"/>
          <w:sz w:val="20"/>
          <w:szCs w:val="20"/>
          <w:color w:val="auto"/>
        </w:rPr>
        <w:t>TBPELS Firm Registration No. F-1580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rPr>
          <w:sz w:val="20"/>
          <w:szCs w:val="20"/>
          <w:color w:val="auto"/>
        </w:rPr>
      </w:pPr>
      <w:r>
        <w:rPr>
          <w:rFonts w:ascii="Arial" w:cs="Arial" w:eastAsia="Arial" w:hAnsi="Arial"/>
          <w:sz w:val="20"/>
          <w:szCs w:val="20"/>
          <w:color w:val="auto"/>
        </w:rPr>
        <w:t>May 6, 2022</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3514725" cy="6343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351472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CONSENT OF INDEPENDENT PETROLEUM ENGINEERS AND GEOLOGISTS</w:t>
      </w:r>
    </w:p>
    <w:p>
      <w:pPr>
        <w:spacing w:after="0" w:line="202" w:lineRule="exact"/>
        <w:rPr>
          <w:sz w:val="20"/>
          <w:szCs w:val="20"/>
          <w:color w:val="auto"/>
        </w:rPr>
      </w:pPr>
    </w:p>
    <w:p>
      <w:pPr>
        <w:ind w:right="340"/>
        <w:spacing w:after="0" w:line="222" w:lineRule="auto"/>
        <w:rPr>
          <w:sz w:val="20"/>
          <w:szCs w:val="20"/>
          <w:color w:val="auto"/>
        </w:rPr>
      </w:pPr>
      <w:r>
        <w:rPr>
          <w:rFonts w:ascii="Arial" w:cs="Arial" w:eastAsia="Arial" w:hAnsi="Arial"/>
          <w:sz w:val="20"/>
          <w:szCs w:val="20"/>
          <w:color w:val="auto"/>
        </w:rPr>
        <w:t>We hereby consent to the incorporation by reference into this Registration Statement on Form S-8 of references to our name and to our report dated February 18, 2022.</w:t>
      </w:r>
    </w:p>
    <w:p>
      <w:pPr>
        <w:spacing w:after="0" w:line="239"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NETHERLAND, SEWELL &amp; ASSOCIATES, INC.</w:t>
      </w:r>
    </w:p>
    <w:p>
      <w:pPr>
        <w:spacing w:after="0" w:line="361" w:lineRule="exact"/>
        <w:rPr>
          <w:sz w:val="20"/>
          <w:szCs w:val="20"/>
          <w:color w:val="auto"/>
        </w:rPr>
      </w:pPr>
    </w:p>
    <w:tbl>
      <w:tblPr>
        <w:tblLayout w:type="fixed"/>
        <w:tblInd w:w="5060" w:type="dxa"/>
        <w:tblCellMar>
          <w:top w:w="0" w:type="dxa"/>
          <w:left w:w="0" w:type="dxa"/>
          <w:bottom w:w="0" w:type="dxa"/>
          <w:right w:w="0" w:type="dxa"/>
        </w:tblCellMar>
      </w:tblPr>
      <w:tr>
        <w:trPr>
          <w:trHeight w:val="233"/>
        </w:trPr>
        <w:tc>
          <w:tcPr>
            <w:tcW w:w="740" w:type="dxa"/>
            <w:vAlign w:val="bottom"/>
          </w:tcPr>
          <w:p>
            <w:pPr>
              <w:spacing w:after="0"/>
              <w:rPr>
                <w:sz w:val="20"/>
                <w:szCs w:val="20"/>
                <w:color w:val="auto"/>
              </w:rPr>
            </w:pPr>
            <w:r>
              <w:rPr>
                <w:rFonts w:ascii="Arial" w:cs="Arial" w:eastAsia="Arial" w:hAnsi="Arial"/>
                <w:sz w:val="20"/>
                <w:szCs w:val="20"/>
                <w:color w:val="auto"/>
              </w:rPr>
              <w:t>By:</w:t>
            </w:r>
          </w:p>
        </w:tc>
        <w:tc>
          <w:tcPr>
            <w:tcW w:w="46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Danny D. Simmons, P.E.</w:t>
            </w:r>
          </w:p>
        </w:tc>
      </w:tr>
      <w:tr>
        <w:trPr>
          <w:trHeight w:val="240"/>
        </w:trPr>
        <w:tc>
          <w:tcPr>
            <w:tcW w:w="74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20"/>
                <w:szCs w:val="20"/>
                <w:color w:val="auto"/>
              </w:rPr>
              <w:t>Danny D. Simmons, P.E.</w:t>
            </w:r>
          </w:p>
        </w:tc>
      </w:tr>
      <w:tr>
        <w:trPr>
          <w:trHeight w:val="243"/>
        </w:trPr>
        <w:tc>
          <w:tcPr>
            <w:tcW w:w="74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20"/>
                <w:szCs w:val="20"/>
                <w:color w:val="auto"/>
              </w:rPr>
              <w:t>President and Chief Operating Officer</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rPr>
          <w:sz w:val="20"/>
          <w:szCs w:val="20"/>
          <w:color w:val="auto"/>
        </w:rPr>
      </w:pPr>
      <w:r>
        <w:rPr>
          <w:rFonts w:ascii="Arial" w:cs="Arial" w:eastAsia="Arial" w:hAnsi="Arial"/>
          <w:sz w:val="20"/>
          <w:szCs w:val="20"/>
          <w:color w:val="auto"/>
        </w:rPr>
        <w:t>May 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US 8850181</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46E87CCD"/>
    <w:multiLevelType w:val="hybridMultilevel"/>
    <w:lvl w:ilvl="0">
      <w:lvlJc w:val="left"/>
      <w:lvlText w:val="%1"/>
      <w:numFmt w:val="lowerLetter"/>
      <w:start w:val="1"/>
    </w:lvl>
    <w:lvl w:ilvl="1">
      <w:lvlJc w:val="left"/>
      <w:lvlText w:val="(%2)"/>
      <w:numFmt w:val="decimal"/>
      <w:start w:val="2"/>
    </w:lvl>
  </w:abstractNum>
  <w:abstractNum w:abstractNumId="4">
    <w:nsid w:val="3D1B58BA"/>
    <w:multiLevelType w:val="hybridMultilevel"/>
    <w:lvl w:ilvl="0">
      <w:lvlJc w:val="left"/>
      <w:lvlText w:val="(%1)"/>
      <w:numFmt w:val="lowerLetter"/>
      <w:start w:val="2"/>
    </w:lvl>
    <w:lvl w:ilvl="1">
      <w:lvlJc w:val="left"/>
      <w:lvlText w:val="%2"/>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jpeg"/><Relationship Id="rId19" Type="http://schemas.openxmlformats.org/officeDocument/2006/relationships/image" Target="media/image7.jpeg"/><Relationship Id="rId20" Type="http://schemas.openxmlformats.org/officeDocument/2006/relationships/image" Target="media/image8.jpeg"/><Relationship Id="rId21" Type="http://schemas.openxmlformats.org/officeDocument/2006/relationships/image" Target="media/image9.png"/><Relationship Id="rId22" Type="http://schemas.openxmlformats.org/officeDocument/2006/relationships/image" Target="media/image10.jpeg"/><Relationship Id="rId11" Type="http://schemas.openxmlformats.org/officeDocument/2006/relationships/hyperlink" Target="https://www.sec.gov/Archives/edgar/data/1609253/000160925320000133/a20201013exhibit991.htm" TargetMode="External"/><Relationship Id="rId12" Type="http://schemas.openxmlformats.org/officeDocument/2006/relationships/hyperlink" Target="https://www.sec.gov/Archives/edgar/data/1609253/000160925320000137/a8aex31.htm" TargetMode="External"/><Relationship Id="rId14" Type="http://schemas.openxmlformats.org/officeDocument/2006/relationships/hyperlink" Target="https://www.sec.gov/Archives/edgar/data/1609253/000160925322000036/a20220504ex31.htm" TargetMode="External"/><Relationship Id="rId15" Type="http://schemas.openxmlformats.org/officeDocument/2006/relationships/hyperlink" Target="https://www.sec.gov/Archives/edgar/data/1609253/000160925320000137/a8aex32.htm" TargetMode="External"/><Relationship Id="rId17" Type="http://schemas.openxmlformats.org/officeDocument/2006/relationships/hyperlink" Target="https://www.sec.gov/Archives/edgar/data/1609253/000160925322000036/a20220504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2022-05-07T13:12:26Z</dcterms:created>
  <dcterms:modified xsi:type="dcterms:W3CDTF">2022-05-07T13:12:26Z</dcterms:modified>
</cp:coreProperties>
</file>